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body>
    <w:p w:rsidR="00000000" w:rsidDel="00000000" w:rsidP="00000000" w:rsidRDefault="00000000" w:rsidRPr="00000000" w14:paraId="00000001">
      <w:pPr>
        <w:pStyle w:val="Heading1"/>
        <w:jc w:val="center"/>
        <w:rPr>
          <w:sz w:val="32"/>
          <w:szCs w:val="32"/>
        </w:rPr>
      </w:pPr>
      <w:bookmarkStart w:colFirst="0" w:colLast="0" w:name="_gjdgxs" w:id="0"/>
      <w:bookmarkEnd w:id="0"/>
      <w:r w:rsidDel="00000000" w:rsidR="00000000" w:rsidRPr="00000000">
        <w:rPr>
          <w:rtl w:val="0"/>
        </w:rPr>
      </w:r>
    </w:p>
    <w:p w:rsidR="00000000" w:rsidDel="00000000" w:rsidP="00000000" w:rsidRDefault="00000000" w:rsidRPr="00000000" w14:paraId="00000002">
      <w:pPr>
        <w:jc w:val="center"/>
        <w:rPr/>
      </w:pPr>
      <w:bookmarkStart w:colFirst="0" w:colLast="0" w:name="_30j0zll" w:id="1"/>
      <w:bookmarkEnd w:id="1"/>
      <w:r w:rsidDel="00000000" w:rsidR="00000000" w:rsidRPr="00000000">
        <w:rPr/>
        <w:drawing>
          <wp:inline distB="114300" distT="114300" distL="114300" distR="114300">
            <wp:extent cx="1947863" cy="687839"/>
            <wp:effectExtent b="0" l="0" r="0" t="0"/>
            <wp:docPr id="12" name="image12.png"/>
            <a:graphic>
              <a:graphicData uri="http://schemas.openxmlformats.org/drawingml/2006/picture">
                <pic:pic>
                  <pic:nvPicPr>
                    <pic:cNvPr id="0" name="image12.png"/>
                    <pic:cNvPicPr preferRelativeResize="0"/>
                  </pic:nvPicPr>
                  <pic:blipFill>
                    <a:blip r:embed="rId6"/>
                    <a:srcRect b="0" l="0" r="0" t="0"/>
                    <a:stretch>
                      <a:fillRect/>
                    </a:stretch>
                  </pic:blipFill>
                  <pic:spPr>
                    <a:xfrm>
                      <a:off x="0" y="0"/>
                      <a:ext cx="1947863" cy="687839"/>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pStyle w:val="Heading1"/>
        <w:jc w:val="center"/>
        <w:rPr>
          <w:sz w:val="32"/>
          <w:szCs w:val="32"/>
        </w:rPr>
      </w:pPr>
      <w:bookmarkStart w:colFirst="0" w:colLast="0" w:name="_1fob9te" w:id="2"/>
      <w:bookmarkEnd w:id="2"/>
      <w:r w:rsidDel="00000000" w:rsidR="00000000" w:rsidRPr="00000000">
        <w:rPr>
          <w:rtl w:val="0"/>
        </w:rPr>
      </w:r>
    </w:p>
    <w:p w:rsidR="00000000" w:rsidDel="00000000" w:rsidP="00000000" w:rsidRDefault="00000000" w:rsidRPr="00000000" w14:paraId="00000004">
      <w:pPr>
        <w:pStyle w:val="Heading1"/>
        <w:jc w:val="center"/>
        <w:rPr>
          <w:sz w:val="32"/>
          <w:szCs w:val="32"/>
        </w:rPr>
      </w:pPr>
      <w:bookmarkStart w:colFirst="0" w:colLast="0" w:name="_3znysh7" w:id="3"/>
      <w:bookmarkEnd w:id="3"/>
      <w:r w:rsidDel="00000000" w:rsidR="00000000" w:rsidRPr="00000000">
        <w:rPr>
          <w:rtl w:val="0"/>
        </w:rPr>
      </w:r>
    </w:p>
    <w:p w:rsidR="00000000" w:rsidDel="00000000" w:rsidP="00000000" w:rsidRDefault="00000000" w:rsidRPr="00000000" w14:paraId="00000005">
      <w:pPr>
        <w:jc w:val="center"/>
        <w:rPr>
          <w:b w:val="1"/>
          <w:sz w:val="34"/>
          <w:szCs w:val="34"/>
        </w:rPr>
      </w:pPr>
      <w:r w:rsidDel="00000000" w:rsidR="00000000" w:rsidRPr="00000000">
        <w:rPr>
          <w:b w:val="1"/>
          <w:sz w:val="34"/>
          <w:szCs w:val="34"/>
          <w:rtl w:val="0"/>
        </w:rPr>
        <w:t xml:space="preserve">Programme: Master of Business Administration</w:t>
      </w:r>
    </w:p>
    <w:p w:rsidR="00000000" w:rsidDel="00000000" w:rsidP="00000000" w:rsidRDefault="00000000" w:rsidRPr="00000000" w14:paraId="00000006">
      <w:pPr>
        <w:jc w:val="center"/>
        <w:rPr>
          <w:b w:val="1"/>
          <w:sz w:val="34"/>
          <w:szCs w:val="34"/>
        </w:rPr>
      </w:pPr>
      <w:r w:rsidDel="00000000" w:rsidR="00000000" w:rsidRPr="00000000">
        <w:rPr>
          <w:b w:val="1"/>
          <w:sz w:val="34"/>
          <w:szCs w:val="34"/>
          <w:rtl w:val="0"/>
        </w:rPr>
        <w:t xml:space="preserve">Module Title: Financial Management</w:t>
      </w:r>
    </w:p>
    <w:p w:rsidR="00000000" w:rsidDel="00000000" w:rsidP="00000000" w:rsidRDefault="00000000" w:rsidRPr="00000000" w14:paraId="00000007">
      <w:pPr>
        <w:jc w:val="center"/>
        <w:rPr>
          <w:b w:val="1"/>
          <w:sz w:val="34"/>
          <w:szCs w:val="34"/>
        </w:rPr>
      </w:pPr>
      <w:r w:rsidDel="00000000" w:rsidR="00000000" w:rsidRPr="00000000">
        <w:rPr>
          <w:b w:val="1"/>
          <w:sz w:val="34"/>
          <w:szCs w:val="34"/>
          <w:rtl w:val="0"/>
        </w:rPr>
        <w:t xml:space="preserve">Module Code: LCMB7002</w:t>
      </w:r>
    </w:p>
    <w:p w:rsidR="00000000" w:rsidDel="00000000" w:rsidP="00000000" w:rsidRDefault="00000000" w:rsidRPr="00000000" w14:paraId="00000008">
      <w:pPr>
        <w:pStyle w:val="Heading1"/>
        <w:jc w:val="center"/>
        <w:rPr/>
      </w:pPr>
      <w:r w:rsidDel="00000000" w:rsidR="00000000" w:rsidRPr="00000000">
        <w:rPr>
          <w:rtl w:val="0"/>
        </w:rPr>
        <w:t xml:space="preserve"> </w:t>
      </w:r>
    </w:p>
    <w:p w:rsidR="00000000" w:rsidDel="00000000" w:rsidP="00000000" w:rsidRDefault="00000000" w:rsidRPr="00000000" w14:paraId="00000009">
      <w:pPr>
        <w:pStyle w:val="Heading1"/>
        <w:jc w:val="center"/>
        <w:rPr/>
      </w:pPr>
      <w:r w:rsidDel="00000000" w:rsidR="00000000" w:rsidRPr="00000000">
        <w:rPr>
          <w:rtl w:val="0"/>
        </w:rPr>
        <w:t xml:space="preserve"> </w:t>
      </w:r>
    </w:p>
    <w:p w:rsidR="00000000" w:rsidDel="00000000" w:rsidP="00000000" w:rsidRDefault="00000000" w:rsidRPr="00000000" w14:paraId="0000000A">
      <w:pPr>
        <w:pStyle w:val="Heading1"/>
        <w:jc w:val="center"/>
        <w:rPr/>
      </w:pPr>
      <w:r w:rsidDel="00000000" w:rsidR="00000000" w:rsidRPr="00000000">
        <w:rPr>
          <w:rtl w:val="0"/>
        </w:rPr>
        <w:t xml:space="preserve"> </w:t>
      </w:r>
    </w:p>
    <w:p w:rsidR="00000000" w:rsidDel="00000000" w:rsidP="00000000" w:rsidRDefault="00000000" w:rsidRPr="00000000" w14:paraId="0000000B">
      <w:pPr>
        <w:pStyle w:val="Heading1"/>
        <w:jc w:val="center"/>
        <w:rPr/>
      </w:pPr>
      <w:r w:rsidDel="00000000" w:rsidR="00000000" w:rsidRPr="00000000">
        <w:rPr>
          <w:rtl w:val="0"/>
        </w:rPr>
        <w:t xml:space="preserve"> </w:t>
      </w:r>
    </w:p>
    <w:p w:rsidR="00000000" w:rsidDel="00000000" w:rsidP="00000000" w:rsidRDefault="00000000" w:rsidRPr="00000000" w14:paraId="0000000C">
      <w:pPr>
        <w:pStyle w:val="Heading1"/>
        <w:jc w:val="center"/>
        <w:rPr/>
      </w:pPr>
      <w:bookmarkStart w:colFirst="0" w:colLast="0" w:name="_2et92p0" w:id="4"/>
      <w:bookmarkEnd w:id="4"/>
      <w:r w:rsidDel="00000000" w:rsidR="00000000" w:rsidRPr="00000000">
        <w:rPr>
          <w:rtl w:val="0"/>
        </w:rPr>
        <w:t xml:space="preserve"> </w:t>
      </w:r>
    </w:p>
    <w:p w:rsidR="00000000" w:rsidDel="00000000" w:rsidP="00000000" w:rsidRDefault="00000000" w:rsidRPr="00000000" w14:paraId="0000000D">
      <w:pPr>
        <w:jc w:val="center"/>
        <w:rPr>
          <w:b w:val="1"/>
          <w:sz w:val="30"/>
          <w:szCs w:val="30"/>
        </w:rPr>
      </w:pPr>
      <w:r w:rsidDel="00000000" w:rsidR="00000000" w:rsidRPr="00000000">
        <w:rPr>
          <w:b w:val="1"/>
          <w:sz w:val="30"/>
          <w:szCs w:val="30"/>
          <w:rtl w:val="0"/>
        </w:rPr>
        <w:t xml:space="preserve">Student Name: keshavala Nisha Lakhubhai </w:t>
      </w:r>
    </w:p>
    <w:p w:rsidR="00000000" w:rsidDel="00000000" w:rsidP="00000000" w:rsidRDefault="00000000" w:rsidRPr="00000000" w14:paraId="0000000E">
      <w:pPr>
        <w:jc w:val="center"/>
        <w:rPr/>
      </w:pPr>
      <w:r w:rsidDel="00000000" w:rsidR="00000000" w:rsidRPr="00000000">
        <w:rPr>
          <w:b w:val="1"/>
          <w:sz w:val="30"/>
          <w:szCs w:val="30"/>
          <w:rtl w:val="0"/>
        </w:rPr>
        <w:t xml:space="preserve">Student ID: 2538593</w:t>
      </w:r>
      <w:r w:rsidDel="00000000" w:rsidR="00000000" w:rsidRPr="00000000">
        <w:br w:type="page"/>
      </w:r>
      <w:r w:rsidDel="00000000" w:rsidR="00000000" w:rsidRPr="00000000">
        <w:rPr>
          <w:rtl w:val="0"/>
        </w:rPr>
      </w:r>
    </w:p>
    <w:p w:rsidR="00000000" w:rsidDel="00000000" w:rsidP="00000000" w:rsidRDefault="00000000" w:rsidRPr="00000000" w14:paraId="0000000F">
      <w:pPr>
        <w:jc w:val="center"/>
        <w:rPr>
          <w:b w:val="1"/>
          <w:sz w:val="28"/>
          <w:szCs w:val="28"/>
        </w:rPr>
      </w:pPr>
      <w:r w:rsidDel="00000000" w:rsidR="00000000" w:rsidRPr="00000000">
        <w:rPr>
          <w:b w:val="1"/>
          <w:sz w:val="28"/>
          <w:szCs w:val="28"/>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tyjcwt">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1. Financial Health Check of Marriott International (2021–2025)</w:t>
              <w:tab/>
              <w:t xml:space="preserve">4</w:t>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40" w:right="0" w:firstLine="0"/>
            <w:jc w:val="both"/>
            <w:rPr>
              <w:rFonts w:ascii="Arial" w:cs="Arial" w:eastAsia="Arial" w:hAnsi="Arial"/>
              <w:b w:val="0"/>
              <w:i w:val="0"/>
              <w:smallCaps w:val="0"/>
              <w:strike w:val="0"/>
              <w:color w:val="000000"/>
              <w:sz w:val="24"/>
              <w:szCs w:val="24"/>
              <w:u w:val="none"/>
              <w:shd w:fill="auto" w:val="clear"/>
              <w:vertAlign w:val="baseline"/>
            </w:rPr>
          </w:pPr>
          <w:hyperlink w:anchor="_3dy6vkm">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1.1 Overview of Five-Year Financial Performance</w:t>
              <w:tab/>
              <w:t xml:space="preserve">4</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480" w:right="0" w:firstLine="0"/>
            <w:jc w:val="both"/>
            <w:rPr>
              <w:rFonts w:ascii="Arial" w:cs="Arial" w:eastAsia="Arial" w:hAnsi="Arial"/>
              <w:b w:val="0"/>
              <w:i w:val="0"/>
              <w:smallCaps w:val="0"/>
              <w:strike w:val="0"/>
              <w:color w:val="000000"/>
              <w:sz w:val="24"/>
              <w:szCs w:val="24"/>
              <w:u w:val="none"/>
              <w:shd w:fill="auto" w:val="clear"/>
              <w:vertAlign w:val="baseline"/>
            </w:rPr>
          </w:pPr>
          <w:hyperlink w:anchor="_1t3h5sf">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1.1.1 Income statement analysis</w:t>
              <w:tab/>
              <w:t xml:space="preserve">4</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480" w:right="0" w:firstLine="0"/>
            <w:jc w:val="both"/>
            <w:rPr>
              <w:rFonts w:ascii="Arial" w:cs="Arial" w:eastAsia="Arial" w:hAnsi="Arial"/>
              <w:b w:val="0"/>
              <w:i w:val="0"/>
              <w:smallCaps w:val="0"/>
              <w:strike w:val="0"/>
              <w:color w:val="000000"/>
              <w:sz w:val="24"/>
              <w:szCs w:val="24"/>
              <w:u w:val="none"/>
              <w:shd w:fill="auto" w:val="clear"/>
              <w:vertAlign w:val="baseline"/>
            </w:rPr>
          </w:pPr>
          <w:hyperlink w:anchor="_4d34og8">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1.1.2 Balance sheet analysis</w:t>
              <w:tab/>
              <w:t xml:space="preserve">4</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40" w:right="0" w:firstLine="0"/>
            <w:jc w:val="both"/>
            <w:rPr>
              <w:rFonts w:ascii="Arial" w:cs="Arial" w:eastAsia="Arial" w:hAnsi="Arial"/>
              <w:b w:val="0"/>
              <w:i w:val="0"/>
              <w:smallCaps w:val="0"/>
              <w:strike w:val="0"/>
              <w:color w:val="000000"/>
              <w:sz w:val="24"/>
              <w:szCs w:val="24"/>
              <w:u w:val="none"/>
              <w:shd w:fill="auto" w:val="clear"/>
              <w:vertAlign w:val="baseline"/>
            </w:rPr>
          </w:pPr>
          <w:hyperlink w:anchor="_2s8eyo1">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1.2 Liquidity Ratios</w:t>
              <w:tab/>
              <w:t xml:space="preserve">5</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40" w:right="0" w:firstLine="0"/>
            <w:jc w:val="both"/>
            <w:rPr>
              <w:rFonts w:ascii="Arial" w:cs="Arial" w:eastAsia="Arial" w:hAnsi="Arial"/>
              <w:b w:val="0"/>
              <w:i w:val="0"/>
              <w:smallCaps w:val="0"/>
              <w:strike w:val="0"/>
              <w:color w:val="000000"/>
              <w:sz w:val="24"/>
              <w:szCs w:val="24"/>
              <w:u w:val="none"/>
              <w:shd w:fill="auto" w:val="clear"/>
              <w:vertAlign w:val="baseline"/>
            </w:rPr>
          </w:pPr>
          <w:hyperlink w:anchor="_17dp8vu">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1.3 Efficiency Ratios</w:t>
              <w:tab/>
              <w:t xml:space="preserve">7</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40" w:right="0" w:firstLine="0"/>
            <w:jc w:val="both"/>
            <w:rPr>
              <w:rFonts w:ascii="Arial" w:cs="Arial" w:eastAsia="Arial" w:hAnsi="Arial"/>
              <w:b w:val="0"/>
              <w:i w:val="0"/>
              <w:smallCaps w:val="0"/>
              <w:strike w:val="0"/>
              <w:color w:val="000000"/>
              <w:sz w:val="24"/>
              <w:szCs w:val="24"/>
              <w:u w:val="none"/>
              <w:shd w:fill="auto" w:val="clear"/>
              <w:vertAlign w:val="baseline"/>
            </w:rPr>
          </w:pPr>
          <w:hyperlink w:anchor="_3rdcrjn">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1.4 Profitability Ratios</w:t>
              <w:tab/>
              <w:t xml:space="preserve">8</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40" w:right="0" w:firstLine="0"/>
            <w:jc w:val="both"/>
            <w:rPr>
              <w:rFonts w:ascii="Arial" w:cs="Arial" w:eastAsia="Arial" w:hAnsi="Arial"/>
              <w:b w:val="0"/>
              <w:i w:val="0"/>
              <w:smallCaps w:val="0"/>
              <w:strike w:val="0"/>
              <w:color w:val="000000"/>
              <w:sz w:val="24"/>
              <w:szCs w:val="24"/>
              <w:u w:val="none"/>
              <w:shd w:fill="auto" w:val="clear"/>
              <w:vertAlign w:val="baseline"/>
            </w:rPr>
          </w:pPr>
          <w:hyperlink w:anchor="_26in1rg">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1.5 Gearing Ratios</w:t>
              <w:tab/>
              <w:t xml:space="preserve">9</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40" w:right="0" w:firstLine="0"/>
            <w:jc w:val="both"/>
            <w:rPr>
              <w:rFonts w:ascii="Arial" w:cs="Arial" w:eastAsia="Arial" w:hAnsi="Arial"/>
              <w:b w:val="0"/>
              <w:i w:val="0"/>
              <w:smallCaps w:val="0"/>
              <w:strike w:val="0"/>
              <w:color w:val="000000"/>
              <w:sz w:val="24"/>
              <w:szCs w:val="24"/>
              <w:u w:val="none"/>
              <w:shd w:fill="auto" w:val="clear"/>
              <w:vertAlign w:val="baseline"/>
            </w:rPr>
          </w:pPr>
          <w:hyperlink w:anchor="_lnxbz9">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1.6 Investment Ratios</w:t>
              <w:tab/>
              <w:t xml:space="preserve">10</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40" w:right="0" w:firstLine="0"/>
            <w:jc w:val="both"/>
            <w:rPr>
              <w:rFonts w:ascii="Arial" w:cs="Arial" w:eastAsia="Arial" w:hAnsi="Arial"/>
              <w:b w:val="0"/>
              <w:i w:val="0"/>
              <w:smallCaps w:val="0"/>
              <w:strike w:val="0"/>
              <w:color w:val="000000"/>
              <w:sz w:val="24"/>
              <w:szCs w:val="24"/>
              <w:u w:val="none"/>
              <w:shd w:fill="auto" w:val="clear"/>
              <w:vertAlign w:val="baseline"/>
            </w:rPr>
          </w:pPr>
          <w:hyperlink w:anchor="_35nkun2">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1.7 Cash Flow Ratios</w:t>
              <w:tab/>
              <w:t xml:space="preserve">11</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40" w:right="0" w:firstLine="0"/>
            <w:jc w:val="both"/>
            <w:rPr>
              <w:rFonts w:ascii="Arial" w:cs="Arial" w:eastAsia="Arial" w:hAnsi="Arial"/>
              <w:b w:val="0"/>
              <w:i w:val="0"/>
              <w:smallCaps w:val="0"/>
              <w:strike w:val="0"/>
              <w:color w:val="000000"/>
              <w:sz w:val="24"/>
              <w:szCs w:val="24"/>
              <w:u w:val="none"/>
              <w:shd w:fill="auto" w:val="clear"/>
              <w:vertAlign w:val="baseline"/>
            </w:rPr>
          </w:pPr>
          <w:hyperlink w:anchor="_1ksv4uv">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1.8 Liquidity Benchmarking Against Industry Standards</w:t>
              <w:tab/>
              <w:t xml:space="preserve">12</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480" w:right="0" w:firstLine="0"/>
            <w:jc w:val="both"/>
            <w:rPr>
              <w:rFonts w:ascii="Arial" w:cs="Arial" w:eastAsia="Arial" w:hAnsi="Arial"/>
              <w:b w:val="0"/>
              <w:i w:val="0"/>
              <w:smallCaps w:val="0"/>
              <w:strike w:val="0"/>
              <w:color w:val="000000"/>
              <w:sz w:val="24"/>
              <w:szCs w:val="24"/>
              <w:u w:val="none"/>
              <w:shd w:fill="auto" w:val="clear"/>
              <w:vertAlign w:val="baseline"/>
            </w:rPr>
          </w:pPr>
          <w:hyperlink w:anchor="_44sinio">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1.8.1 Evaluation with Liquidity Industrial Benchmark</w:t>
              <w:tab/>
              <w:t xml:space="preserve">12</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480" w:right="0" w:firstLine="0"/>
            <w:jc w:val="both"/>
            <w:rPr>
              <w:rFonts w:ascii="Arial" w:cs="Arial" w:eastAsia="Arial" w:hAnsi="Arial"/>
              <w:b w:val="0"/>
              <w:i w:val="0"/>
              <w:smallCaps w:val="0"/>
              <w:strike w:val="0"/>
              <w:color w:val="000000"/>
              <w:sz w:val="24"/>
              <w:szCs w:val="24"/>
              <w:u w:val="none"/>
              <w:shd w:fill="auto" w:val="clear"/>
              <w:vertAlign w:val="baseline"/>
            </w:rPr>
          </w:pPr>
          <w:hyperlink w:anchor="_2jxsxqh">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1.8.2 Liquidity Comparison with benchmark reliable with sector</w:t>
              <w:tab/>
              <w:t xml:space="preserve">12</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hyperlink w:anchor="_z337ya">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 Working Capital Management Analysis</w:t>
              <w:tab/>
              <w:t xml:space="preserve">14</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40" w:right="0" w:firstLine="0"/>
            <w:jc w:val="both"/>
            <w:rPr>
              <w:rFonts w:ascii="Arial" w:cs="Arial" w:eastAsia="Arial" w:hAnsi="Arial"/>
              <w:b w:val="0"/>
              <w:i w:val="0"/>
              <w:smallCaps w:val="0"/>
              <w:strike w:val="0"/>
              <w:color w:val="000000"/>
              <w:sz w:val="24"/>
              <w:szCs w:val="24"/>
              <w:u w:val="none"/>
              <w:shd w:fill="auto" w:val="clear"/>
              <w:vertAlign w:val="baseline"/>
            </w:rPr>
          </w:pPr>
          <w:hyperlink w:anchor="_3j2qqm3">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2.1 Cash Operating Cycle</w:t>
              <w:tab/>
              <w:t xml:space="preserve">14</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480" w:right="0" w:firstLine="0"/>
            <w:jc w:val="both"/>
            <w:rPr>
              <w:rFonts w:ascii="Arial" w:cs="Arial" w:eastAsia="Arial" w:hAnsi="Arial"/>
              <w:b w:val="0"/>
              <w:i w:val="0"/>
              <w:smallCaps w:val="0"/>
              <w:strike w:val="0"/>
              <w:color w:val="000000"/>
              <w:sz w:val="24"/>
              <w:szCs w:val="24"/>
              <w:u w:val="none"/>
              <w:shd w:fill="auto" w:val="clear"/>
              <w:vertAlign w:val="baseline"/>
            </w:rPr>
          </w:pPr>
          <w:hyperlink w:anchor="_1y810tw">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2.1.1 Receivables Collection Period</w:t>
              <w:tab/>
              <w:t xml:space="preserve">14</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480" w:right="0" w:firstLine="0"/>
            <w:jc w:val="both"/>
            <w:rPr>
              <w:rFonts w:ascii="Arial" w:cs="Arial" w:eastAsia="Arial" w:hAnsi="Arial"/>
              <w:b w:val="0"/>
              <w:i w:val="0"/>
              <w:smallCaps w:val="0"/>
              <w:strike w:val="0"/>
              <w:color w:val="000000"/>
              <w:sz w:val="24"/>
              <w:szCs w:val="24"/>
              <w:u w:val="none"/>
              <w:shd w:fill="auto" w:val="clear"/>
              <w:vertAlign w:val="baseline"/>
            </w:rPr>
          </w:pPr>
          <w:hyperlink w:anchor="_4i7ojhp">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2.1.2 Payables Deferral Period</w:t>
              <w:tab/>
              <w:t xml:space="preserve">14</w:t>
            </w:r>
          </w:hyperlink>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480" w:right="0" w:firstLine="0"/>
            <w:jc w:val="both"/>
            <w:rPr>
              <w:rFonts w:ascii="Arial" w:cs="Arial" w:eastAsia="Arial" w:hAnsi="Arial"/>
              <w:b w:val="0"/>
              <w:i w:val="0"/>
              <w:smallCaps w:val="0"/>
              <w:strike w:val="0"/>
              <w:color w:val="000000"/>
              <w:sz w:val="24"/>
              <w:szCs w:val="24"/>
              <w:u w:val="none"/>
              <w:shd w:fill="auto" w:val="clear"/>
              <w:vertAlign w:val="baseline"/>
            </w:rPr>
          </w:pPr>
          <w:hyperlink w:anchor="_2xcytpi">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2.1.3 Cash Operating Cycle Evaluation</w:t>
              <w:tab/>
              <w:t xml:space="preserve">14</w:t>
            </w:r>
          </w:hyperlink>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40" w:right="0" w:firstLine="0"/>
            <w:jc w:val="both"/>
            <w:rPr>
              <w:rFonts w:ascii="Arial" w:cs="Arial" w:eastAsia="Arial" w:hAnsi="Arial"/>
              <w:b w:val="0"/>
              <w:i w:val="0"/>
              <w:smallCaps w:val="0"/>
              <w:strike w:val="0"/>
              <w:color w:val="000000"/>
              <w:sz w:val="24"/>
              <w:szCs w:val="24"/>
              <w:u w:val="none"/>
              <w:shd w:fill="auto" w:val="clear"/>
              <w:vertAlign w:val="baseline"/>
            </w:rPr>
          </w:pPr>
          <w:hyperlink w:anchor="_1ci93xb">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2.2 Working Capital Challenges</w:t>
              <w:tab/>
              <w:t xml:space="preserve">15</w:t>
            </w:r>
          </w:hyperlink>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40" w:right="0" w:firstLine="0"/>
            <w:jc w:val="both"/>
            <w:rPr>
              <w:rFonts w:ascii="Arial" w:cs="Arial" w:eastAsia="Arial" w:hAnsi="Arial"/>
              <w:b w:val="0"/>
              <w:i w:val="0"/>
              <w:smallCaps w:val="0"/>
              <w:strike w:val="0"/>
              <w:color w:val="000000"/>
              <w:sz w:val="24"/>
              <w:szCs w:val="24"/>
              <w:u w:val="none"/>
              <w:shd w:fill="auto" w:val="clear"/>
              <w:vertAlign w:val="baseline"/>
            </w:rPr>
          </w:pPr>
          <w:hyperlink w:anchor="_3whwml4">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2.3 Recommendation to improve liquidity of working capital</w:t>
              <w:tab/>
              <w:t xml:space="preserve">15</w:t>
            </w:r>
          </w:hyperlink>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480" w:right="0" w:firstLine="0"/>
            <w:jc w:val="both"/>
            <w:rPr>
              <w:rFonts w:ascii="Arial" w:cs="Arial" w:eastAsia="Arial" w:hAnsi="Arial"/>
              <w:b w:val="0"/>
              <w:i w:val="0"/>
              <w:smallCaps w:val="0"/>
              <w:strike w:val="0"/>
              <w:color w:val="000000"/>
              <w:sz w:val="24"/>
              <w:szCs w:val="24"/>
              <w:u w:val="none"/>
              <w:shd w:fill="auto" w:val="clear"/>
              <w:vertAlign w:val="baseline"/>
            </w:rPr>
          </w:pPr>
          <w:hyperlink w:anchor="_2bn6wsx">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2.3.1 Management of Account Receivables</w:t>
              <w:tab/>
              <w:t xml:space="preserve">15</w:t>
            </w:r>
          </w:hyperlink>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480" w:right="0" w:firstLine="0"/>
            <w:jc w:val="both"/>
            <w:rPr>
              <w:rFonts w:ascii="Arial" w:cs="Arial" w:eastAsia="Arial" w:hAnsi="Arial"/>
              <w:b w:val="0"/>
              <w:i w:val="0"/>
              <w:smallCaps w:val="0"/>
              <w:strike w:val="0"/>
              <w:color w:val="000000"/>
              <w:sz w:val="24"/>
              <w:szCs w:val="24"/>
              <w:u w:val="none"/>
              <w:shd w:fill="auto" w:val="clear"/>
              <w:vertAlign w:val="baseline"/>
            </w:rPr>
          </w:pPr>
          <w:hyperlink w:anchor="_qsh70q">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2.3.2 Monitoring Account Payables</w:t>
              <w:tab/>
              <w:t xml:space="preserve">15</w:t>
            </w:r>
          </w:hyperlink>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480" w:right="0" w:firstLine="0"/>
            <w:jc w:val="both"/>
            <w:rPr>
              <w:rFonts w:ascii="Arial" w:cs="Arial" w:eastAsia="Arial" w:hAnsi="Arial"/>
              <w:b w:val="0"/>
              <w:i w:val="0"/>
              <w:smallCaps w:val="0"/>
              <w:strike w:val="0"/>
              <w:color w:val="000000"/>
              <w:sz w:val="24"/>
              <w:szCs w:val="24"/>
              <w:u w:val="none"/>
              <w:shd w:fill="auto" w:val="clear"/>
              <w:vertAlign w:val="baseline"/>
            </w:rPr>
          </w:pPr>
          <w:hyperlink w:anchor="_3as4poj">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2.3.3 Cash Management Reforms</w:t>
              <w:tab/>
              <w:t xml:space="preserve">15</w:t>
            </w:r>
          </w:hyperlink>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40" w:right="0" w:firstLine="0"/>
            <w:jc w:val="both"/>
            <w:rPr>
              <w:rFonts w:ascii="Arial" w:cs="Arial" w:eastAsia="Arial" w:hAnsi="Arial"/>
              <w:b w:val="0"/>
              <w:i w:val="0"/>
              <w:smallCaps w:val="0"/>
              <w:strike w:val="0"/>
              <w:color w:val="000000"/>
              <w:sz w:val="24"/>
              <w:szCs w:val="24"/>
              <w:u w:val="none"/>
              <w:shd w:fill="auto" w:val="clear"/>
              <w:vertAlign w:val="baseline"/>
            </w:rPr>
          </w:pPr>
          <w:hyperlink w:anchor="_1pxezwc">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2.4 Comparison of financing option</w:t>
              <w:tab/>
              <w:t xml:space="preserve">16</w:t>
            </w:r>
          </w:hyperlink>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480" w:right="0" w:firstLine="0"/>
            <w:jc w:val="both"/>
            <w:rPr>
              <w:rFonts w:ascii="Arial" w:cs="Arial" w:eastAsia="Arial" w:hAnsi="Arial"/>
              <w:b w:val="0"/>
              <w:i w:val="0"/>
              <w:smallCaps w:val="0"/>
              <w:strike w:val="0"/>
              <w:color w:val="000000"/>
              <w:sz w:val="24"/>
              <w:szCs w:val="24"/>
              <w:u w:val="none"/>
              <w:shd w:fill="auto" w:val="clear"/>
              <w:vertAlign w:val="baseline"/>
            </w:rPr>
          </w:pPr>
          <w:hyperlink w:anchor="_49x2ik5">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2.4.1 Short-Term Financing Options</w:t>
              <w:tab/>
              <w:t xml:space="preserve">16</w:t>
            </w:r>
          </w:hyperlink>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480" w:right="0" w:firstLine="0"/>
            <w:jc w:val="both"/>
            <w:rPr>
              <w:rFonts w:ascii="Arial" w:cs="Arial" w:eastAsia="Arial" w:hAnsi="Arial"/>
              <w:b w:val="0"/>
              <w:i w:val="0"/>
              <w:smallCaps w:val="0"/>
              <w:strike w:val="0"/>
              <w:color w:val="000000"/>
              <w:sz w:val="24"/>
              <w:szCs w:val="24"/>
              <w:u w:val="none"/>
              <w:shd w:fill="auto" w:val="clear"/>
              <w:vertAlign w:val="baseline"/>
            </w:rPr>
          </w:pPr>
          <w:hyperlink w:anchor="_2p2csry">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2.4.2 Long-Term Financing Options</w:t>
              <w:tab/>
              <w:t xml:space="preserve">17</w:t>
            </w:r>
          </w:hyperlink>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480" w:right="0" w:firstLine="0"/>
            <w:jc w:val="both"/>
            <w:rPr>
              <w:rFonts w:ascii="Arial" w:cs="Arial" w:eastAsia="Arial" w:hAnsi="Arial"/>
              <w:b w:val="0"/>
              <w:i w:val="0"/>
              <w:smallCaps w:val="0"/>
              <w:strike w:val="0"/>
              <w:color w:val="000000"/>
              <w:sz w:val="24"/>
              <w:szCs w:val="24"/>
              <w:u w:val="none"/>
              <w:shd w:fill="auto" w:val="clear"/>
              <w:vertAlign w:val="baseline"/>
            </w:rPr>
          </w:pPr>
          <w:hyperlink w:anchor="_147n2z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2.4.3 Comparative Analysis</w:t>
              <w:tab/>
              <w:t xml:space="preserve">17</w:t>
            </w:r>
          </w:hyperlink>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hyperlink w:anchor="_3o7al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3. Strategic Financial Restructuring Plan</w:t>
              <w:tab/>
              <w:t xml:space="preserve">18</w:t>
            </w:r>
          </w:hyperlink>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40" w:right="0" w:firstLine="0"/>
            <w:jc w:val="both"/>
            <w:rPr>
              <w:rFonts w:ascii="Arial" w:cs="Arial" w:eastAsia="Arial" w:hAnsi="Arial"/>
              <w:b w:val="0"/>
              <w:i w:val="0"/>
              <w:smallCaps w:val="0"/>
              <w:strike w:val="0"/>
              <w:color w:val="000000"/>
              <w:sz w:val="24"/>
              <w:szCs w:val="24"/>
              <w:u w:val="none"/>
              <w:shd w:fill="auto" w:val="clear"/>
              <w:vertAlign w:val="baseline"/>
            </w:rPr>
          </w:pPr>
          <w:hyperlink w:anchor="_23ckvvd">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3.1 Challenges related to Financial Restructuring Option</w:t>
              <w:tab/>
              <w:t xml:space="preserve">18</w:t>
            </w:r>
          </w:hyperlink>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40" w:right="0" w:firstLine="0"/>
            <w:jc w:val="both"/>
            <w:rPr>
              <w:rFonts w:ascii="Arial" w:cs="Arial" w:eastAsia="Arial" w:hAnsi="Arial"/>
              <w:b w:val="0"/>
              <w:i w:val="0"/>
              <w:smallCaps w:val="0"/>
              <w:strike w:val="0"/>
              <w:color w:val="000000"/>
              <w:sz w:val="24"/>
              <w:szCs w:val="24"/>
              <w:u w:val="none"/>
              <w:shd w:fill="auto" w:val="clear"/>
              <w:vertAlign w:val="baseline"/>
            </w:rPr>
          </w:pPr>
          <w:hyperlink w:anchor="_ihv636">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3.2 Recommended Financial Restructuring Options</w:t>
              <w:tab/>
              <w:t xml:space="preserve">18</w:t>
            </w:r>
          </w:hyperlink>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480" w:right="0" w:firstLine="0"/>
            <w:jc w:val="both"/>
            <w:rPr>
              <w:rFonts w:ascii="Arial" w:cs="Arial" w:eastAsia="Arial" w:hAnsi="Arial"/>
              <w:b w:val="0"/>
              <w:i w:val="0"/>
              <w:smallCaps w:val="0"/>
              <w:strike w:val="0"/>
              <w:color w:val="000000"/>
              <w:sz w:val="24"/>
              <w:szCs w:val="24"/>
              <w:u w:val="none"/>
              <w:shd w:fill="auto" w:val="clear"/>
              <w:vertAlign w:val="baseline"/>
            </w:rPr>
          </w:pPr>
          <w:hyperlink w:anchor="_32hioqz">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3.2.1 Divestiture of Non-Core Assets</w:t>
              <w:tab/>
              <w:t xml:space="preserve">18</w:t>
            </w:r>
          </w:hyperlink>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480" w:right="0" w:firstLine="0"/>
            <w:jc w:val="both"/>
            <w:rPr>
              <w:rFonts w:ascii="Arial" w:cs="Arial" w:eastAsia="Arial" w:hAnsi="Arial"/>
              <w:b w:val="0"/>
              <w:i w:val="0"/>
              <w:smallCaps w:val="0"/>
              <w:strike w:val="0"/>
              <w:color w:val="000000"/>
              <w:sz w:val="24"/>
              <w:szCs w:val="24"/>
              <w:u w:val="none"/>
              <w:shd w:fill="auto" w:val="clear"/>
              <w:vertAlign w:val="baseline"/>
            </w:rPr>
          </w:pPr>
          <w:hyperlink w:anchor="_1hmsyys">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3.2.2 Equity Injection Strategy</w:t>
              <w:tab/>
              <w:t xml:space="preserve">19</w:t>
            </w:r>
          </w:hyperlink>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480" w:right="0" w:firstLine="0"/>
            <w:jc w:val="both"/>
            <w:rPr>
              <w:rFonts w:ascii="Arial" w:cs="Arial" w:eastAsia="Arial" w:hAnsi="Arial"/>
              <w:b w:val="0"/>
              <w:i w:val="0"/>
              <w:smallCaps w:val="0"/>
              <w:strike w:val="0"/>
              <w:color w:val="000000"/>
              <w:sz w:val="24"/>
              <w:szCs w:val="24"/>
              <w:u w:val="none"/>
              <w:shd w:fill="auto" w:val="clear"/>
              <w:vertAlign w:val="baseline"/>
            </w:rPr>
          </w:pPr>
          <w:hyperlink w:anchor="_41mghml">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3.2.3 Merger and Acquisition Opportunities</w:t>
              <w:tab/>
              <w:t xml:space="preserve">19</w:t>
            </w:r>
          </w:hyperlink>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40" w:right="0" w:firstLine="0"/>
            <w:jc w:val="both"/>
            <w:rPr>
              <w:rFonts w:ascii="Arial" w:cs="Arial" w:eastAsia="Arial" w:hAnsi="Arial"/>
              <w:b w:val="0"/>
              <w:i w:val="0"/>
              <w:smallCaps w:val="0"/>
              <w:strike w:val="0"/>
              <w:color w:val="000000"/>
              <w:sz w:val="24"/>
              <w:szCs w:val="24"/>
              <w:u w:val="none"/>
              <w:shd w:fill="auto" w:val="clear"/>
              <w:vertAlign w:val="baseline"/>
            </w:rPr>
          </w:pPr>
          <w:hyperlink w:anchor="_2grqrue">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3.3 Impact on financial restructuring</w:t>
              <w:tab/>
              <w:t xml:space="preserve">20</w:t>
            </w:r>
          </w:hyperlink>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480" w:right="0" w:firstLine="0"/>
            <w:jc w:val="both"/>
            <w:rPr>
              <w:rFonts w:ascii="Arial" w:cs="Arial" w:eastAsia="Arial" w:hAnsi="Arial"/>
              <w:b w:val="0"/>
              <w:i w:val="0"/>
              <w:smallCaps w:val="0"/>
              <w:strike w:val="0"/>
              <w:color w:val="000000"/>
              <w:sz w:val="24"/>
              <w:szCs w:val="24"/>
              <w:u w:val="none"/>
              <w:shd w:fill="auto" w:val="clear"/>
              <w:vertAlign w:val="baseline"/>
            </w:rPr>
          </w:pPr>
          <w:hyperlink w:anchor="_vx1227">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3.3.1 Significance on Shareholder Value</w:t>
              <w:tab/>
              <w:t xml:space="preserve">20</w:t>
            </w:r>
          </w:hyperlink>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480" w:right="0" w:firstLine="0"/>
            <w:jc w:val="both"/>
            <w:rPr>
              <w:rFonts w:ascii="Arial" w:cs="Arial" w:eastAsia="Arial" w:hAnsi="Arial"/>
              <w:b w:val="0"/>
              <w:i w:val="0"/>
              <w:smallCaps w:val="0"/>
              <w:strike w:val="0"/>
              <w:color w:val="000000"/>
              <w:sz w:val="24"/>
              <w:szCs w:val="24"/>
              <w:u w:val="none"/>
              <w:shd w:fill="auto" w:val="clear"/>
              <w:vertAlign w:val="baseline"/>
            </w:rPr>
          </w:pPr>
          <w:hyperlink w:anchor="_3fwokq0">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3.3.2 Significance on Debt Structure</w:t>
              <w:tab/>
              <w:t xml:space="preserve">20</w:t>
            </w:r>
          </w:hyperlink>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480" w:right="0" w:firstLine="0"/>
            <w:jc w:val="both"/>
            <w:rPr>
              <w:rFonts w:ascii="Arial" w:cs="Arial" w:eastAsia="Arial" w:hAnsi="Arial"/>
              <w:b w:val="0"/>
              <w:i w:val="0"/>
              <w:smallCaps w:val="0"/>
              <w:strike w:val="0"/>
              <w:color w:val="000000"/>
              <w:sz w:val="24"/>
              <w:szCs w:val="24"/>
              <w:u w:val="none"/>
              <w:shd w:fill="auto" w:val="clear"/>
              <w:vertAlign w:val="baseline"/>
            </w:rPr>
          </w:pPr>
          <w:hyperlink w:anchor="_1v1yuxt">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3.3.3 Significance on Operational Flexibility</w:t>
              <w:tab/>
              <w:t xml:space="preserve">20</w:t>
            </w:r>
          </w:hyperlink>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40" w:right="0" w:firstLine="0"/>
            <w:jc w:val="both"/>
            <w:rPr>
              <w:rFonts w:ascii="Arial" w:cs="Arial" w:eastAsia="Arial" w:hAnsi="Arial"/>
              <w:b w:val="0"/>
              <w:i w:val="0"/>
              <w:smallCaps w:val="0"/>
              <w:strike w:val="0"/>
              <w:color w:val="000000"/>
              <w:sz w:val="24"/>
              <w:szCs w:val="24"/>
              <w:u w:val="none"/>
              <w:shd w:fill="auto" w:val="clear"/>
              <w:vertAlign w:val="baseline"/>
            </w:rPr>
          </w:pPr>
          <w:hyperlink w:anchor="_4f1mdlm">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3.4 International Financial Considerations</w:t>
              <w:tab/>
              <w:t xml:space="preserve">21</w:t>
            </w:r>
          </w:hyperlink>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480" w:right="0" w:firstLine="0"/>
            <w:jc w:val="both"/>
            <w:rPr>
              <w:rFonts w:ascii="Arial" w:cs="Arial" w:eastAsia="Arial" w:hAnsi="Arial"/>
              <w:b w:val="0"/>
              <w:i w:val="0"/>
              <w:smallCaps w:val="0"/>
              <w:strike w:val="0"/>
              <w:color w:val="000000"/>
              <w:sz w:val="24"/>
              <w:szCs w:val="24"/>
              <w:u w:val="none"/>
              <w:shd w:fill="auto" w:val="clear"/>
              <w:vertAlign w:val="baseline"/>
            </w:rPr>
          </w:pPr>
          <w:hyperlink w:anchor="_2u6wntf">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3.4.1 Taxation Considerations</w:t>
              <w:tab/>
              <w:t xml:space="preserve">21</w:t>
            </w:r>
          </w:hyperlink>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480" w:right="0" w:firstLine="0"/>
            <w:jc w:val="both"/>
            <w:rPr>
              <w:rFonts w:ascii="Arial" w:cs="Arial" w:eastAsia="Arial" w:hAnsi="Arial"/>
              <w:b w:val="0"/>
              <w:i w:val="0"/>
              <w:smallCaps w:val="0"/>
              <w:strike w:val="0"/>
              <w:color w:val="000000"/>
              <w:sz w:val="24"/>
              <w:szCs w:val="24"/>
              <w:u w:val="none"/>
              <w:shd w:fill="auto" w:val="clear"/>
              <w:vertAlign w:val="baseline"/>
            </w:rPr>
          </w:pPr>
          <w:hyperlink w:anchor="_19c6y18">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3.4.2 Currency Risk</w:t>
              <w:tab/>
              <w:t xml:space="preserve">21</w:t>
            </w:r>
          </w:hyperlink>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480" w:right="0" w:firstLine="0"/>
            <w:jc w:val="both"/>
            <w:rPr>
              <w:rFonts w:ascii="Arial" w:cs="Arial" w:eastAsia="Arial" w:hAnsi="Arial"/>
              <w:b w:val="0"/>
              <w:i w:val="0"/>
              <w:smallCaps w:val="0"/>
              <w:strike w:val="0"/>
              <w:color w:val="000000"/>
              <w:sz w:val="24"/>
              <w:szCs w:val="24"/>
              <w:u w:val="none"/>
              <w:shd w:fill="auto" w:val="clear"/>
              <w:vertAlign w:val="baseline"/>
            </w:rPr>
          </w:pPr>
          <w:hyperlink w:anchor="_3tbugp1">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3.4.3 Inflation Risk</w:t>
              <w:tab/>
              <w:t xml:space="preserve">22</w:t>
            </w:r>
          </w:hyperlink>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40" w:right="0" w:firstLine="0"/>
            <w:jc w:val="both"/>
            <w:rPr>
              <w:rFonts w:ascii="Arial" w:cs="Arial" w:eastAsia="Arial" w:hAnsi="Arial"/>
              <w:b w:val="0"/>
              <w:i w:val="0"/>
              <w:smallCaps w:val="0"/>
              <w:strike w:val="0"/>
              <w:color w:val="000000"/>
              <w:sz w:val="24"/>
              <w:szCs w:val="24"/>
              <w:u w:val="none"/>
              <w:shd w:fill="auto" w:val="clear"/>
              <w:vertAlign w:val="baseline"/>
            </w:rPr>
          </w:pPr>
          <w:hyperlink w:anchor="_28h4qwu">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3.5 Discussion on the Ethical and ESG Operations</w:t>
              <w:tab/>
              <w:t xml:space="preserve">23</w:t>
            </w:r>
          </w:hyperlink>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480" w:right="0" w:firstLine="0"/>
            <w:jc w:val="both"/>
            <w:rPr>
              <w:rFonts w:ascii="Arial" w:cs="Arial" w:eastAsia="Arial" w:hAnsi="Arial"/>
              <w:b w:val="0"/>
              <w:i w:val="0"/>
              <w:smallCaps w:val="0"/>
              <w:strike w:val="0"/>
              <w:color w:val="000000"/>
              <w:sz w:val="24"/>
              <w:szCs w:val="24"/>
              <w:u w:val="none"/>
              <w:shd w:fill="auto" w:val="clear"/>
              <w:vertAlign w:val="baseline"/>
            </w:rPr>
          </w:pPr>
          <w:hyperlink w:anchor="_nmf14n">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3.5.1 Corporate Social Responsibility</w:t>
              <w:tab/>
              <w:t xml:space="preserve">23</w:t>
            </w:r>
          </w:hyperlink>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480" w:right="0" w:firstLine="0"/>
            <w:jc w:val="both"/>
            <w:rPr>
              <w:rFonts w:ascii="Arial" w:cs="Arial" w:eastAsia="Arial" w:hAnsi="Arial"/>
              <w:b w:val="0"/>
              <w:i w:val="0"/>
              <w:smallCaps w:val="0"/>
              <w:strike w:val="0"/>
              <w:color w:val="000000"/>
              <w:sz w:val="24"/>
              <w:szCs w:val="24"/>
              <w:u w:val="none"/>
              <w:shd w:fill="auto" w:val="clear"/>
              <w:vertAlign w:val="baseline"/>
            </w:rPr>
          </w:pPr>
          <w:hyperlink w:anchor="_37m2jsg">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3.5.2 Environmental Sustainability</w:t>
              <w:tab/>
              <w:t xml:space="preserve">23</w:t>
            </w:r>
          </w:hyperlink>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480" w:right="0" w:firstLine="0"/>
            <w:jc w:val="both"/>
            <w:rPr>
              <w:rFonts w:ascii="Arial" w:cs="Arial" w:eastAsia="Arial" w:hAnsi="Arial"/>
              <w:b w:val="0"/>
              <w:i w:val="0"/>
              <w:smallCaps w:val="0"/>
              <w:strike w:val="0"/>
              <w:color w:val="000000"/>
              <w:sz w:val="24"/>
              <w:szCs w:val="24"/>
              <w:u w:val="none"/>
              <w:shd w:fill="auto" w:val="clear"/>
              <w:vertAlign w:val="baseline"/>
            </w:rPr>
          </w:pPr>
          <w:hyperlink w:anchor="_1mrcu09">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3.5.3 ESG Performance and Reporting</w:t>
              <w:tab/>
              <w:t xml:space="preserve">24</w:t>
            </w:r>
          </w:hyperlink>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hyperlink w:anchor="_46r0co2">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4. Investment Appraisal and Capital Budgeting</w:t>
              <w:tab/>
              <w:t xml:space="preserve">25</w:t>
            </w:r>
          </w:hyperlink>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40" w:right="0" w:firstLine="0"/>
            <w:jc w:val="both"/>
            <w:rPr>
              <w:rFonts w:ascii="Arial" w:cs="Arial" w:eastAsia="Arial" w:hAnsi="Arial"/>
              <w:b w:val="0"/>
              <w:i w:val="0"/>
              <w:smallCaps w:val="0"/>
              <w:strike w:val="0"/>
              <w:color w:val="000000"/>
              <w:sz w:val="24"/>
              <w:szCs w:val="24"/>
              <w:u w:val="none"/>
              <w:shd w:fill="auto" w:val="clear"/>
              <w:vertAlign w:val="baseline"/>
            </w:rPr>
          </w:pPr>
          <w:hyperlink w:anchor="_2lwamvv">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4.1 Project Overview</w:t>
              <w:tab/>
              <w:t xml:space="preserve">25</w:t>
            </w:r>
          </w:hyperlink>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40" w:right="0" w:firstLine="0"/>
            <w:jc w:val="both"/>
            <w:rPr>
              <w:rFonts w:ascii="Arial" w:cs="Arial" w:eastAsia="Arial" w:hAnsi="Arial"/>
              <w:b w:val="0"/>
              <w:i w:val="0"/>
              <w:smallCaps w:val="0"/>
              <w:strike w:val="0"/>
              <w:color w:val="000000"/>
              <w:sz w:val="24"/>
              <w:szCs w:val="24"/>
              <w:u w:val="none"/>
              <w:shd w:fill="auto" w:val="clear"/>
              <w:vertAlign w:val="baseline"/>
            </w:rPr>
          </w:pPr>
          <w:hyperlink w:anchor="_111kx3o">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4.2 Discuss About Project Viability</w:t>
              <w:tab/>
              <w:t xml:space="preserve">25</w:t>
            </w:r>
          </w:hyperlink>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480" w:right="0" w:firstLine="0"/>
            <w:jc w:val="both"/>
            <w:rPr>
              <w:rFonts w:ascii="Arial" w:cs="Arial" w:eastAsia="Arial" w:hAnsi="Arial"/>
              <w:b w:val="0"/>
              <w:i w:val="0"/>
              <w:smallCaps w:val="0"/>
              <w:strike w:val="0"/>
              <w:color w:val="000000"/>
              <w:sz w:val="24"/>
              <w:szCs w:val="24"/>
              <w:u w:val="none"/>
              <w:shd w:fill="auto" w:val="clear"/>
              <w:vertAlign w:val="baseline"/>
            </w:rPr>
          </w:pPr>
          <w:hyperlink w:anchor="_3l18frh">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4.2.1 Project A Appraisal</w:t>
              <w:tab/>
              <w:t xml:space="preserve">25</w:t>
            </w:r>
          </w:hyperlink>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480" w:right="0" w:firstLine="0"/>
            <w:jc w:val="both"/>
            <w:rPr>
              <w:rFonts w:ascii="Arial" w:cs="Arial" w:eastAsia="Arial" w:hAnsi="Arial"/>
              <w:b w:val="0"/>
              <w:i w:val="0"/>
              <w:smallCaps w:val="0"/>
              <w:strike w:val="0"/>
              <w:color w:val="000000"/>
              <w:sz w:val="24"/>
              <w:szCs w:val="24"/>
              <w:u w:val="none"/>
              <w:shd w:fill="auto" w:val="clear"/>
              <w:vertAlign w:val="baseline"/>
            </w:rPr>
          </w:pPr>
          <w:hyperlink w:anchor="_206ipza">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4.2.2 Project B Appraisal</w:t>
              <w:tab/>
              <w:t xml:space="preserve">27</w:t>
            </w:r>
          </w:hyperlink>
          <w:r w:rsidDel="00000000" w:rsidR="00000000" w:rsidRPr="00000000">
            <w:rPr>
              <w:rtl w:val="0"/>
            </w:rPr>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480" w:right="0" w:firstLine="0"/>
            <w:jc w:val="both"/>
            <w:rPr>
              <w:rFonts w:ascii="Arial" w:cs="Arial" w:eastAsia="Arial" w:hAnsi="Arial"/>
              <w:b w:val="0"/>
              <w:i w:val="0"/>
              <w:smallCaps w:val="0"/>
              <w:strike w:val="0"/>
              <w:color w:val="000000"/>
              <w:sz w:val="24"/>
              <w:szCs w:val="24"/>
              <w:u w:val="none"/>
              <w:shd w:fill="auto" w:val="clear"/>
              <w:vertAlign w:val="baseline"/>
            </w:rPr>
          </w:pPr>
          <w:hyperlink w:anchor="_4k668n3">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4.2.3 Project C Appraisal</w:t>
              <w:tab/>
              <w:t xml:space="preserve">29</w:t>
            </w:r>
          </w:hyperlink>
          <w:r w:rsidDel="00000000" w:rsidR="00000000" w:rsidRPr="00000000">
            <w:rPr>
              <w:rtl w:val="0"/>
            </w:rPr>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40" w:right="0" w:firstLine="0"/>
            <w:jc w:val="both"/>
            <w:rPr>
              <w:rFonts w:ascii="Arial" w:cs="Arial" w:eastAsia="Arial" w:hAnsi="Arial"/>
              <w:b w:val="0"/>
              <w:i w:val="0"/>
              <w:smallCaps w:val="0"/>
              <w:strike w:val="0"/>
              <w:color w:val="000000"/>
              <w:sz w:val="24"/>
              <w:szCs w:val="24"/>
              <w:u w:val="none"/>
              <w:shd w:fill="auto" w:val="clear"/>
              <w:vertAlign w:val="baseline"/>
            </w:rPr>
          </w:pPr>
          <w:hyperlink w:anchor="_2zbgiuw">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4.3 Recommendation based on company's financial performance</w:t>
              <w:tab/>
              <w:t xml:space="preserve">31</w:t>
            </w:r>
          </w:hyperlink>
          <w:r w:rsidDel="00000000" w:rsidR="00000000" w:rsidRPr="00000000">
            <w:rPr>
              <w:rtl w:val="0"/>
            </w:rPr>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480" w:right="0" w:firstLine="0"/>
            <w:jc w:val="both"/>
            <w:rPr>
              <w:rFonts w:ascii="Arial" w:cs="Arial" w:eastAsia="Arial" w:hAnsi="Arial"/>
              <w:b w:val="0"/>
              <w:i w:val="0"/>
              <w:smallCaps w:val="0"/>
              <w:strike w:val="0"/>
              <w:color w:val="000000"/>
              <w:sz w:val="24"/>
              <w:szCs w:val="24"/>
              <w:u w:val="none"/>
              <w:shd w:fill="auto" w:val="clear"/>
              <w:vertAlign w:val="baseline"/>
            </w:rPr>
          </w:pPr>
          <w:hyperlink w:anchor="_1egqt2p">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4.3.1 Selection of project</w:t>
              <w:tab/>
              <w:t xml:space="preserve">31</w:t>
            </w:r>
          </w:hyperlink>
          <w:r w:rsidDel="00000000" w:rsidR="00000000" w:rsidRPr="00000000">
            <w:rPr>
              <w:rtl w:val="0"/>
            </w:rPr>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480" w:right="0" w:firstLine="0"/>
            <w:jc w:val="both"/>
            <w:rPr>
              <w:rFonts w:ascii="Arial" w:cs="Arial" w:eastAsia="Arial" w:hAnsi="Arial"/>
              <w:b w:val="0"/>
              <w:i w:val="0"/>
              <w:smallCaps w:val="0"/>
              <w:strike w:val="0"/>
              <w:color w:val="000000"/>
              <w:sz w:val="24"/>
              <w:szCs w:val="24"/>
              <w:u w:val="none"/>
              <w:shd w:fill="auto" w:val="clear"/>
              <w:vertAlign w:val="baseline"/>
            </w:rPr>
          </w:pPr>
          <w:hyperlink w:anchor="_3ygebqi">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4.3.2 Financial Justification</w:t>
              <w:tab/>
              <w:t xml:space="preserve">31</w:t>
            </w:r>
          </w:hyperlink>
          <w:r w:rsidDel="00000000" w:rsidR="00000000" w:rsidRPr="00000000">
            <w:rPr>
              <w:rtl w:val="0"/>
            </w:rPr>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480" w:right="0" w:firstLine="0"/>
            <w:jc w:val="both"/>
            <w:rPr>
              <w:rFonts w:ascii="Arial" w:cs="Arial" w:eastAsia="Arial" w:hAnsi="Arial"/>
              <w:b w:val="0"/>
              <w:i w:val="0"/>
              <w:smallCaps w:val="0"/>
              <w:strike w:val="0"/>
              <w:color w:val="000000"/>
              <w:sz w:val="24"/>
              <w:szCs w:val="24"/>
              <w:u w:val="none"/>
              <w:shd w:fill="auto" w:val="clear"/>
              <w:vertAlign w:val="baseline"/>
            </w:rPr>
          </w:pPr>
          <w:hyperlink w:anchor="_2dlolyb">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4.3.3 Non-Financial Risk Assessment</w:t>
              <w:tab/>
              <w:t xml:space="preserve">32</w:t>
            </w:r>
          </w:hyperlink>
          <w:r w:rsidDel="00000000" w:rsidR="00000000" w:rsidRPr="00000000">
            <w:rPr>
              <w:rtl w:val="0"/>
            </w:rPr>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40" w:right="0" w:firstLine="0"/>
            <w:jc w:val="both"/>
            <w:rPr>
              <w:rFonts w:ascii="Arial" w:cs="Arial" w:eastAsia="Arial" w:hAnsi="Arial"/>
              <w:b w:val="0"/>
              <w:i w:val="0"/>
              <w:smallCaps w:val="0"/>
              <w:strike w:val="0"/>
              <w:color w:val="000000"/>
              <w:sz w:val="24"/>
              <w:szCs w:val="24"/>
              <w:u w:val="none"/>
              <w:shd w:fill="auto" w:val="clear"/>
              <w:vertAlign w:val="baseline"/>
            </w:rPr>
          </w:pPr>
          <w:hyperlink w:anchor="_sqyw64">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4.4 Capital Rationing Analysis (£100 Million Limit)</w:t>
              <w:tab/>
              <w:t xml:space="preserve">32</w:t>
            </w:r>
          </w:hyperlink>
          <w:r w:rsidDel="00000000" w:rsidR="00000000" w:rsidRPr="00000000">
            <w:rPr>
              <w:rtl w:val="0"/>
            </w:rPr>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hyperlink w:anchor="_3cqmetx">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5. Critical Reflection on Artificial Intelligence Usage</w:t>
              <w:tab/>
              <w:t xml:space="preserve">34</w:t>
            </w:r>
          </w:hyperlink>
          <w:r w:rsidDel="00000000" w:rsidR="00000000" w:rsidRPr="00000000">
            <w:rPr>
              <w:rtl w:val="0"/>
            </w:rPr>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40" w:right="0" w:firstLine="0"/>
            <w:jc w:val="both"/>
            <w:rPr>
              <w:rFonts w:ascii="Arial" w:cs="Arial" w:eastAsia="Arial" w:hAnsi="Arial"/>
              <w:b w:val="0"/>
              <w:i w:val="0"/>
              <w:smallCaps w:val="0"/>
              <w:strike w:val="0"/>
              <w:color w:val="000000"/>
              <w:sz w:val="24"/>
              <w:szCs w:val="24"/>
              <w:u w:val="none"/>
              <w:shd w:fill="auto" w:val="clear"/>
              <w:vertAlign w:val="baseline"/>
            </w:rPr>
          </w:pPr>
          <w:hyperlink w:anchor="_1rvwp1q">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5.1 Identification of AI tools and Acknowledgement</w:t>
              <w:tab/>
              <w:t xml:space="preserve">34</w:t>
            </w:r>
          </w:hyperlink>
          <w:r w:rsidDel="00000000" w:rsidR="00000000" w:rsidRPr="00000000">
            <w:rPr>
              <w:rtl w:val="0"/>
            </w:rPr>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40" w:right="0" w:firstLine="0"/>
            <w:jc w:val="both"/>
            <w:rPr>
              <w:rFonts w:ascii="Arial" w:cs="Arial" w:eastAsia="Arial" w:hAnsi="Arial"/>
              <w:b w:val="0"/>
              <w:i w:val="0"/>
              <w:smallCaps w:val="0"/>
              <w:strike w:val="0"/>
              <w:color w:val="000000"/>
              <w:sz w:val="24"/>
              <w:szCs w:val="24"/>
              <w:u w:val="none"/>
              <w:shd w:fill="auto" w:val="clear"/>
              <w:vertAlign w:val="baseline"/>
            </w:rPr>
          </w:pPr>
          <w:hyperlink w:anchor="_4bvk7pj">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5.2 Verification of AI Outputs</w:t>
              <w:tab/>
              <w:t xml:space="preserve">34</w:t>
            </w:r>
          </w:hyperlink>
          <w:r w:rsidDel="00000000" w:rsidR="00000000" w:rsidRPr="00000000">
            <w:rPr>
              <w:rtl w:val="0"/>
            </w:rPr>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40" w:right="0" w:firstLine="0"/>
            <w:jc w:val="both"/>
            <w:rPr>
              <w:rFonts w:ascii="Arial" w:cs="Arial" w:eastAsia="Arial" w:hAnsi="Arial"/>
              <w:b w:val="0"/>
              <w:i w:val="0"/>
              <w:smallCaps w:val="0"/>
              <w:strike w:val="0"/>
              <w:color w:val="000000"/>
              <w:sz w:val="24"/>
              <w:szCs w:val="24"/>
              <w:u w:val="none"/>
              <w:shd w:fill="auto" w:val="clear"/>
              <w:vertAlign w:val="baseline"/>
            </w:rPr>
          </w:pPr>
          <w:hyperlink w:anchor="_2r0uhxc">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5.3 Contribution Analysis</w:t>
              <w:tab/>
              <w:t xml:space="preserve">34</w:t>
            </w:r>
          </w:hyperlink>
          <w:r w:rsidDel="00000000" w:rsidR="00000000" w:rsidRPr="00000000">
            <w:rPr>
              <w:rtl w:val="0"/>
            </w:rPr>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480" w:right="0" w:firstLine="0"/>
            <w:jc w:val="both"/>
            <w:rPr>
              <w:rFonts w:ascii="Arial" w:cs="Arial" w:eastAsia="Arial" w:hAnsi="Arial"/>
              <w:b w:val="0"/>
              <w:i w:val="0"/>
              <w:smallCaps w:val="0"/>
              <w:strike w:val="0"/>
              <w:color w:val="000000"/>
              <w:sz w:val="24"/>
              <w:szCs w:val="24"/>
              <w:u w:val="none"/>
              <w:shd w:fill="auto" w:val="clear"/>
              <w:vertAlign w:val="baseline"/>
            </w:rPr>
          </w:pPr>
          <w:hyperlink w:anchor="_1664s55">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5.3.1 AI-Generated Contributions</w:t>
              <w:tab/>
              <w:t xml:space="preserve">34</w:t>
            </w:r>
          </w:hyperlink>
          <w:r w:rsidDel="00000000" w:rsidR="00000000" w:rsidRPr="00000000">
            <w:rPr>
              <w:rtl w:val="0"/>
            </w:rPr>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480" w:right="0" w:firstLine="0"/>
            <w:jc w:val="both"/>
            <w:rPr>
              <w:rFonts w:ascii="Arial" w:cs="Arial" w:eastAsia="Arial" w:hAnsi="Arial"/>
              <w:b w:val="0"/>
              <w:i w:val="0"/>
              <w:smallCaps w:val="0"/>
              <w:strike w:val="0"/>
              <w:color w:val="000000"/>
              <w:sz w:val="24"/>
              <w:szCs w:val="24"/>
              <w:u w:val="none"/>
              <w:shd w:fill="auto" w:val="clear"/>
              <w:vertAlign w:val="baseline"/>
            </w:rPr>
          </w:pPr>
          <w:hyperlink w:anchor="_3q5sasy">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5.3.2 Independent Critical Analysis</w:t>
              <w:tab/>
              <w:t xml:space="preserve">35</w:t>
            </w:r>
          </w:hyperlink>
          <w:r w:rsidDel="00000000" w:rsidR="00000000" w:rsidRPr="00000000">
            <w:rPr>
              <w:rtl w:val="0"/>
            </w:rPr>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40" w:right="0" w:firstLine="0"/>
            <w:jc w:val="both"/>
            <w:rPr>
              <w:rFonts w:ascii="Arial" w:cs="Arial" w:eastAsia="Arial" w:hAnsi="Arial"/>
              <w:b w:val="0"/>
              <w:i w:val="0"/>
              <w:smallCaps w:val="0"/>
              <w:strike w:val="0"/>
              <w:color w:val="000000"/>
              <w:sz w:val="24"/>
              <w:szCs w:val="24"/>
              <w:u w:val="none"/>
              <w:shd w:fill="auto" w:val="clear"/>
              <w:vertAlign w:val="baseline"/>
            </w:rPr>
          </w:pPr>
          <w:hyperlink w:anchor="_25b2l0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5.4 Ethical and Professional Reflection</w:t>
              <w:tab/>
              <w:t xml:space="preserve">35</w:t>
            </w:r>
          </w:hyperlink>
          <w:r w:rsidDel="00000000" w:rsidR="00000000" w:rsidRPr="00000000">
            <w:rPr>
              <w:rtl w:val="0"/>
            </w:rPr>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hyperlink w:anchor="_kgcv8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References</w:t>
              <w:tab/>
              <w:t xml:space="preserve">36</w:t>
            </w:r>
          </w:hyperlink>
          <w:r w:rsidDel="00000000" w:rsidR="00000000" w:rsidRPr="00000000">
            <w:rPr>
              <w:rtl w:val="0"/>
            </w:rPr>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hyperlink w:anchor="_34g0dwd">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Appendices</w:t>
              <w:tab/>
              <w:t xml:space="preserve">42</w:t>
            </w:r>
          </w:hyperlink>
          <w:r w:rsidDel="00000000" w:rsidR="00000000" w:rsidRPr="00000000">
            <w:rPr>
              <w:rtl w:val="0"/>
            </w:rPr>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40" w:right="0" w:firstLine="0"/>
            <w:jc w:val="both"/>
            <w:rPr>
              <w:rFonts w:ascii="Arial" w:cs="Arial" w:eastAsia="Arial" w:hAnsi="Arial"/>
              <w:b w:val="0"/>
              <w:i w:val="0"/>
              <w:smallCaps w:val="0"/>
              <w:strike w:val="0"/>
              <w:color w:val="000000"/>
              <w:sz w:val="24"/>
              <w:szCs w:val="24"/>
              <w:u w:val="none"/>
              <w:shd w:fill="auto" w:val="clear"/>
              <w:vertAlign w:val="baseline"/>
            </w:rPr>
          </w:pPr>
          <w:hyperlink w:anchor="_1jlao46">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Appendix 1: Ratio analysis</w:t>
              <w:tab/>
              <w:t xml:space="preserve">42</w:t>
            </w:r>
          </w:hyperlink>
          <w:r w:rsidDel="00000000" w:rsidR="00000000" w:rsidRPr="00000000">
            <w:rPr>
              <w:rtl w:val="0"/>
            </w:rPr>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40" w:right="0" w:firstLine="0"/>
            <w:jc w:val="both"/>
            <w:rPr>
              <w:rFonts w:ascii="Arial" w:cs="Arial" w:eastAsia="Arial" w:hAnsi="Arial"/>
              <w:b w:val="0"/>
              <w:i w:val="0"/>
              <w:smallCaps w:val="0"/>
              <w:strike w:val="0"/>
              <w:color w:val="000000"/>
              <w:sz w:val="24"/>
              <w:szCs w:val="24"/>
              <w:u w:val="none"/>
              <w:shd w:fill="auto" w:val="clear"/>
              <w:vertAlign w:val="baseline"/>
            </w:rPr>
          </w:pPr>
          <w:hyperlink w:anchor="_43ky6rz">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Appendix 2: Capital investment analysis</w:t>
              <w:tab/>
              <w:t xml:space="preserve">46</w:t>
            </w:r>
          </w:hyperlink>
          <w:r w:rsidDel="00000000" w:rsidR="00000000" w:rsidRPr="00000000">
            <w:rPr>
              <w:rtl w:val="0"/>
            </w:rPr>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40" w:right="0" w:firstLine="0"/>
            <w:jc w:val="both"/>
            <w:rPr>
              <w:rFonts w:ascii="Arial" w:cs="Arial" w:eastAsia="Arial" w:hAnsi="Arial"/>
              <w:b w:val="0"/>
              <w:i w:val="0"/>
              <w:smallCaps w:val="0"/>
              <w:strike w:val="0"/>
              <w:color w:val="000000"/>
              <w:sz w:val="24"/>
              <w:szCs w:val="24"/>
              <w:u w:val="none"/>
              <w:shd w:fill="auto" w:val="clear"/>
              <w:vertAlign w:val="baseline"/>
            </w:rPr>
          </w:pPr>
          <w:hyperlink w:anchor="_2iq8gzs">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Appendix 3: Income Statement of 2021 and 2022</w:t>
              <w:tab/>
              <w:t xml:space="preserve">47</w:t>
            </w:r>
          </w:hyperlink>
          <w:r w:rsidDel="00000000" w:rsidR="00000000" w:rsidRPr="00000000">
            <w:rPr>
              <w:rtl w:val="0"/>
            </w:rPr>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40" w:right="0" w:firstLine="0"/>
            <w:jc w:val="both"/>
            <w:rPr>
              <w:rFonts w:ascii="Arial" w:cs="Arial" w:eastAsia="Arial" w:hAnsi="Arial"/>
              <w:b w:val="0"/>
              <w:i w:val="0"/>
              <w:smallCaps w:val="0"/>
              <w:strike w:val="0"/>
              <w:color w:val="000000"/>
              <w:sz w:val="24"/>
              <w:szCs w:val="24"/>
              <w:u w:val="none"/>
              <w:shd w:fill="auto" w:val="clear"/>
              <w:vertAlign w:val="baseline"/>
            </w:rPr>
          </w:pPr>
          <w:hyperlink w:anchor="_xvir7l">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Appendix 4: Income Statement of 2023 to 2025</w:t>
              <w:tab/>
              <w:t xml:space="preserve">48</w:t>
            </w:r>
          </w:hyperlink>
          <w:r w:rsidDel="00000000" w:rsidR="00000000" w:rsidRPr="00000000">
            <w:rPr>
              <w:rtl w:val="0"/>
            </w:rPr>
          </w:r>
        </w:p>
        <w:p w:rsidR="00000000" w:rsidDel="00000000" w:rsidP="00000000" w:rsidRDefault="00000000" w:rsidRPr="00000000" w14:paraId="00000055">
          <w:pPr>
            <w:widowControl w:val="0"/>
            <w:tabs>
              <w:tab w:val="right" w:leader="none" w:pos="12000"/>
            </w:tabs>
            <w:spacing w:before="60" w:line="240" w:lineRule="auto"/>
            <w:ind w:left="360" w:firstLine="0"/>
            <w:jc w:val="left"/>
            <w:rPr>
              <w:color w:val="000000"/>
              <w:sz w:val="22"/>
              <w:szCs w:val="22"/>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56">
      <w:pPr>
        <w:jc w:val="center"/>
        <w:rPr/>
      </w:pPr>
      <w:r w:rsidDel="00000000" w:rsidR="00000000" w:rsidRPr="00000000">
        <w:br w:type="page"/>
      </w:r>
      <w:r w:rsidDel="00000000" w:rsidR="00000000" w:rsidRPr="00000000">
        <w:rPr>
          <w:rtl w:val="0"/>
        </w:rPr>
      </w:r>
    </w:p>
    <w:p w:rsidR="00000000" w:rsidDel="00000000" w:rsidP="00000000" w:rsidRDefault="00000000" w:rsidRPr="00000000" w14:paraId="00000057">
      <w:pPr>
        <w:pStyle w:val="Heading1"/>
        <w:rPr/>
      </w:pPr>
      <w:bookmarkStart w:colFirst="0" w:colLast="0" w:name="_tyjcwt" w:id="5"/>
      <w:bookmarkEnd w:id="5"/>
      <w:r w:rsidDel="00000000" w:rsidR="00000000" w:rsidRPr="00000000">
        <w:rPr>
          <w:rtl w:val="0"/>
        </w:rPr>
        <w:t xml:space="preserve">1. Financial Health Check of Marriott International (2021–2025) </w:t>
      </w:r>
    </w:p>
    <w:p w:rsidR="00000000" w:rsidDel="00000000" w:rsidP="00000000" w:rsidRDefault="00000000" w:rsidRPr="00000000" w14:paraId="00000058">
      <w:pPr>
        <w:pStyle w:val="Heading2"/>
        <w:rPr/>
      </w:pPr>
      <w:bookmarkStart w:colFirst="0" w:colLast="0" w:name="_3dy6vkm" w:id="6"/>
      <w:bookmarkEnd w:id="6"/>
      <w:r w:rsidDel="00000000" w:rsidR="00000000" w:rsidRPr="00000000">
        <w:rPr>
          <w:rtl w:val="0"/>
        </w:rPr>
        <w:t xml:space="preserve">1.1 Overview of Five-Year Financial Performance </w:t>
        <w:tab/>
      </w:r>
    </w:p>
    <w:p w:rsidR="00000000" w:rsidDel="00000000" w:rsidP="00000000" w:rsidRDefault="00000000" w:rsidRPr="00000000" w14:paraId="00000059">
      <w:pPr>
        <w:pStyle w:val="Heading3"/>
        <w:rPr/>
      </w:pPr>
      <w:bookmarkStart w:colFirst="0" w:colLast="0" w:name="_1t3h5sf" w:id="7"/>
      <w:bookmarkEnd w:id="7"/>
      <w:r w:rsidDel="00000000" w:rsidR="00000000" w:rsidRPr="00000000">
        <w:rPr>
          <w:rtl w:val="0"/>
        </w:rPr>
        <w:t xml:space="preserve">1.1.1 Income statement analysis</w:t>
      </w:r>
    </w:p>
    <w:p w:rsidR="00000000" w:rsidDel="00000000" w:rsidP="00000000" w:rsidRDefault="00000000" w:rsidRPr="00000000" w14:paraId="0000005A">
      <w:pPr>
        <w:rPr/>
      </w:pPr>
      <w:r w:rsidDel="00000000" w:rsidR="00000000" w:rsidRPr="00000000">
        <w:rPr>
          <w:rtl w:val="0"/>
        </w:rPr>
        <w:t xml:space="preserve">Annual revenue of Marriott International steadily rose about 4% with approximate value $26.19 billion in 2025 for adoption of the “free-driven” model (Yahoo Finance, 2025). On the other hand, net income in 2025 is about $2.601 billion, leading to rising demand for the luxury accommodation segment in the market. In 2021, Gross Profit is about $5,354and in 2025 with its growth rate about 97.64% (Yahoo Finance, 2025). Thus, the company demonstrated its profit of about $1,398 million in 2026 drove its demand towards the hotel segment to enhance corporate booking (Marriott, 2026).</w:t>
      </w:r>
    </w:p>
    <w:p w:rsidR="00000000" w:rsidDel="00000000" w:rsidP="00000000" w:rsidRDefault="00000000" w:rsidRPr="00000000" w14:paraId="0000005B">
      <w:pPr>
        <w:rPr/>
      </w:pPr>
      <w:bookmarkStart w:colFirst="0" w:colLast="0" w:name="_3hv69ve" w:id="8"/>
      <w:bookmarkEnd w:id="8"/>
      <w:r w:rsidDel="00000000" w:rsidR="00000000" w:rsidRPr="00000000">
        <w:rPr/>
        <w:drawing>
          <wp:inline distB="114300" distT="114300" distL="114300" distR="114300">
            <wp:extent cx="5943600" cy="1803400"/>
            <wp:effectExtent b="0" l="0" r="0" t="0"/>
            <wp:docPr id="14" name="image14.png"/>
            <a:graphic>
              <a:graphicData uri="http://schemas.openxmlformats.org/drawingml/2006/picture">
                <pic:pic>
                  <pic:nvPicPr>
                    <pic:cNvPr id="0" name="image14.png"/>
                    <pic:cNvPicPr preferRelativeResize="0"/>
                  </pic:nvPicPr>
                  <pic:blipFill>
                    <a:blip r:embed="rId7"/>
                    <a:srcRect b="0" l="0" r="0" t="0"/>
                    <a:stretch>
                      <a:fillRect/>
                    </a:stretch>
                  </pic:blipFill>
                  <pic:spPr>
                    <a:xfrm>
                      <a:off x="0" y="0"/>
                      <a:ext cx="5943600" cy="1803400"/>
                    </a:xfrm>
                    <a:prstGeom prst="rect"/>
                    <a:ln/>
                  </pic:spPr>
                </pic:pic>
              </a:graphicData>
            </a:graphic>
          </wp:inline>
        </w:drawing>
      </w:r>
      <w:r w:rsidDel="00000000" w:rsidR="00000000" w:rsidRPr="00000000">
        <w:rPr>
          <w:rtl w:val="0"/>
        </w:rPr>
      </w:r>
    </w:p>
    <w:p w:rsidR="00000000" w:rsidDel="00000000" w:rsidP="00000000" w:rsidRDefault="00000000" w:rsidRPr="00000000" w14:paraId="0000005C">
      <w:pPr>
        <w:jc w:val="center"/>
        <w:rPr/>
      </w:pPr>
      <w:r w:rsidDel="00000000" w:rsidR="00000000" w:rsidRPr="00000000">
        <w:rPr>
          <w:b w:val="1"/>
          <w:rtl w:val="0"/>
        </w:rPr>
        <w:t xml:space="preserve"> Figure 1: Net income and revenue of Marriott International </w:t>
        <w:tab/>
        <w:br w:type="textWrapping"/>
      </w:r>
      <w:r w:rsidDel="00000000" w:rsidR="00000000" w:rsidRPr="00000000">
        <w:rPr>
          <w:rtl w:val="0"/>
        </w:rPr>
        <w:t xml:space="preserve">(Source: Yahoo Finance, 2025)</w:t>
      </w:r>
    </w:p>
    <w:p w:rsidR="00000000" w:rsidDel="00000000" w:rsidP="00000000" w:rsidRDefault="00000000" w:rsidRPr="00000000" w14:paraId="0000005D">
      <w:pPr>
        <w:pStyle w:val="Heading3"/>
        <w:rPr/>
      </w:pPr>
      <w:bookmarkStart w:colFirst="0" w:colLast="0" w:name="_4d34og8" w:id="9"/>
      <w:bookmarkEnd w:id="9"/>
      <w:r w:rsidDel="00000000" w:rsidR="00000000" w:rsidRPr="00000000">
        <w:rPr>
          <w:rtl w:val="0"/>
        </w:rPr>
        <w:t xml:space="preserve">1.1.2 Balance sheet analysis</w:t>
        <w:tab/>
      </w:r>
    </w:p>
    <w:p w:rsidR="00000000" w:rsidDel="00000000" w:rsidP="00000000" w:rsidRDefault="00000000" w:rsidRPr="00000000" w14:paraId="0000005E">
      <w:pPr>
        <w:rPr/>
      </w:pPr>
      <w:r w:rsidDel="00000000" w:rsidR="00000000" w:rsidRPr="00000000">
        <w:rPr>
          <w:rtl w:val="0"/>
        </w:rPr>
        <w:t xml:space="preserve">As per the balance sheet analysis, Marriott International has achieved a growth of 5.61% in its equity value in 2025 as compared to 2024. The company has diversified its investments for meeting the financial requirements of its business operations. For instance, the organisation has acquired 9900 properties with an intent to enhance its customer base in 2026 (Marriott International, 2025). On the other hand, Marriott International has also increased its debt value to $14995m in 2025. Thus, the expansion of the financial investments has helped Marriott International in overcoming market uncertainty.</w:t>
      </w:r>
    </w:p>
    <w:p w:rsidR="00000000" w:rsidDel="00000000" w:rsidP="00000000" w:rsidRDefault="00000000" w:rsidRPr="00000000" w14:paraId="0000005F">
      <w:pPr>
        <w:jc w:val="center"/>
        <w:rPr/>
      </w:pPr>
      <w:r w:rsidDel="00000000" w:rsidR="00000000" w:rsidRPr="00000000">
        <w:rPr/>
        <w:drawing>
          <wp:inline distB="114300" distT="114300" distL="114300" distR="114300">
            <wp:extent cx="4676455" cy="5493336"/>
            <wp:effectExtent b="0" l="0" r="0" t="0"/>
            <wp:docPr id="13" name="image13.png"/>
            <a:graphic>
              <a:graphicData uri="http://schemas.openxmlformats.org/drawingml/2006/picture">
                <pic:pic>
                  <pic:nvPicPr>
                    <pic:cNvPr id="0" name="image13.png"/>
                    <pic:cNvPicPr preferRelativeResize="0"/>
                  </pic:nvPicPr>
                  <pic:blipFill>
                    <a:blip r:embed="rId8"/>
                    <a:srcRect b="0" l="0" r="0" t="0"/>
                    <a:stretch>
                      <a:fillRect/>
                    </a:stretch>
                  </pic:blipFill>
                  <pic:spPr>
                    <a:xfrm>
                      <a:off x="0" y="0"/>
                      <a:ext cx="4676455" cy="5493336"/>
                    </a:xfrm>
                    <a:prstGeom prst="rect"/>
                    <a:ln/>
                  </pic:spPr>
                </pic:pic>
              </a:graphicData>
            </a:graphic>
          </wp:inline>
        </w:drawing>
      </w:r>
      <w:r w:rsidDel="00000000" w:rsidR="00000000" w:rsidRPr="00000000">
        <w:rPr>
          <w:rtl w:val="0"/>
        </w:rPr>
      </w:r>
    </w:p>
    <w:p w:rsidR="00000000" w:rsidDel="00000000" w:rsidP="00000000" w:rsidRDefault="00000000" w:rsidRPr="00000000" w14:paraId="00000060">
      <w:pPr>
        <w:jc w:val="center"/>
        <w:rPr>
          <w:b w:val="1"/>
        </w:rPr>
      </w:pPr>
      <w:r w:rsidDel="00000000" w:rsidR="00000000" w:rsidRPr="00000000">
        <w:rPr>
          <w:b w:val="1"/>
          <w:rtl w:val="0"/>
        </w:rPr>
        <w:t xml:space="preserve">Figure 2: Balance sheet Analysis</w:t>
      </w:r>
    </w:p>
    <w:p w:rsidR="00000000" w:rsidDel="00000000" w:rsidP="00000000" w:rsidRDefault="00000000" w:rsidRPr="00000000" w14:paraId="00000061">
      <w:pPr>
        <w:jc w:val="center"/>
        <w:rPr/>
      </w:pPr>
      <w:r w:rsidDel="00000000" w:rsidR="00000000" w:rsidRPr="00000000">
        <w:rPr>
          <w:rtl w:val="0"/>
        </w:rPr>
        <w:t xml:space="preserve">(Source: Marriott, 2025)</w:t>
      </w:r>
    </w:p>
    <w:p w:rsidR="00000000" w:rsidDel="00000000" w:rsidP="00000000" w:rsidRDefault="00000000" w:rsidRPr="00000000" w14:paraId="00000062">
      <w:pPr>
        <w:pStyle w:val="Heading2"/>
        <w:rPr/>
      </w:pPr>
      <w:bookmarkStart w:colFirst="0" w:colLast="0" w:name="_2s8eyo1" w:id="10"/>
      <w:bookmarkEnd w:id="10"/>
      <w:r w:rsidDel="00000000" w:rsidR="00000000" w:rsidRPr="00000000">
        <w:rPr>
          <w:rtl w:val="0"/>
        </w:rPr>
        <w:t xml:space="preserve">1.2 Liquidity Ratios</w:t>
        <w:tab/>
      </w:r>
    </w:p>
    <w:p w:rsidR="00000000" w:rsidDel="00000000" w:rsidP="00000000" w:rsidRDefault="00000000" w:rsidRPr="00000000" w14:paraId="00000063">
      <w:pPr>
        <w:rPr/>
      </w:pPr>
      <w:r w:rsidDel="00000000" w:rsidR="00000000" w:rsidRPr="00000000">
        <w:rPr/>
        <w:drawing>
          <wp:inline distB="114300" distT="114300" distL="114300" distR="114300">
            <wp:extent cx="5943600" cy="1054100"/>
            <wp:effectExtent b="0" l="0" r="0" t="0"/>
            <wp:docPr id="16" name="image16.png"/>
            <a:graphic>
              <a:graphicData uri="http://schemas.openxmlformats.org/drawingml/2006/picture">
                <pic:pic>
                  <pic:nvPicPr>
                    <pic:cNvPr id="0" name="image16.png"/>
                    <pic:cNvPicPr preferRelativeResize="0"/>
                  </pic:nvPicPr>
                  <pic:blipFill>
                    <a:blip r:embed="rId9"/>
                    <a:srcRect b="0" l="0" r="0" t="0"/>
                    <a:stretch>
                      <a:fillRect/>
                    </a:stretch>
                  </pic:blipFill>
                  <pic:spPr>
                    <a:xfrm>
                      <a:off x="0" y="0"/>
                      <a:ext cx="5943600" cy="1054100"/>
                    </a:xfrm>
                    <a:prstGeom prst="rect"/>
                    <a:ln/>
                  </pic:spPr>
                </pic:pic>
              </a:graphicData>
            </a:graphic>
          </wp:inline>
        </w:drawing>
      </w:r>
      <w:r w:rsidDel="00000000" w:rsidR="00000000" w:rsidRPr="00000000">
        <w:rPr>
          <w:rtl w:val="0"/>
        </w:rPr>
      </w:r>
    </w:p>
    <w:p w:rsidR="00000000" w:rsidDel="00000000" w:rsidP="00000000" w:rsidRDefault="00000000" w:rsidRPr="00000000" w14:paraId="00000064">
      <w:pPr>
        <w:jc w:val="center"/>
        <w:rPr/>
      </w:pPr>
      <w:r w:rsidDel="00000000" w:rsidR="00000000" w:rsidRPr="00000000">
        <w:rPr/>
        <w:drawing>
          <wp:inline distB="114300" distT="114300" distL="114300" distR="114300">
            <wp:extent cx="4133850" cy="2458214"/>
            <wp:effectExtent b="0" l="0" r="0" t="0"/>
            <wp:docPr id="15" name="image15.png"/>
            <a:graphic>
              <a:graphicData uri="http://schemas.openxmlformats.org/drawingml/2006/picture">
                <pic:pic>
                  <pic:nvPicPr>
                    <pic:cNvPr id="0" name="image15.png"/>
                    <pic:cNvPicPr preferRelativeResize="0"/>
                  </pic:nvPicPr>
                  <pic:blipFill>
                    <a:blip r:embed="rId10"/>
                    <a:srcRect b="0" l="0" r="0" t="0"/>
                    <a:stretch>
                      <a:fillRect/>
                    </a:stretch>
                  </pic:blipFill>
                  <pic:spPr>
                    <a:xfrm>
                      <a:off x="0" y="0"/>
                      <a:ext cx="4133850" cy="2458214"/>
                    </a:xfrm>
                    <a:prstGeom prst="rect"/>
                    <a:ln/>
                  </pic:spPr>
                </pic:pic>
              </a:graphicData>
            </a:graphic>
          </wp:inline>
        </w:drawing>
      </w:r>
      <w:r w:rsidDel="00000000" w:rsidR="00000000" w:rsidRPr="00000000">
        <w:rPr>
          <w:rtl w:val="0"/>
        </w:rPr>
      </w:r>
    </w:p>
    <w:p w:rsidR="00000000" w:rsidDel="00000000" w:rsidP="00000000" w:rsidRDefault="00000000" w:rsidRPr="00000000" w14:paraId="00000065">
      <w:pPr>
        <w:jc w:val="center"/>
        <w:rPr>
          <w:b w:val="1"/>
        </w:rPr>
      </w:pPr>
      <w:r w:rsidDel="00000000" w:rsidR="00000000" w:rsidRPr="00000000">
        <w:rPr>
          <w:b w:val="1"/>
          <w:rtl w:val="0"/>
        </w:rPr>
        <w:t xml:space="preserve">Figure 3: Liquidity Ratios</w:t>
      </w:r>
    </w:p>
    <w:p w:rsidR="00000000" w:rsidDel="00000000" w:rsidP="00000000" w:rsidRDefault="00000000" w:rsidRPr="00000000" w14:paraId="00000066">
      <w:pPr>
        <w:jc w:val="center"/>
        <w:rPr/>
      </w:pPr>
      <w:r w:rsidDel="00000000" w:rsidR="00000000" w:rsidRPr="00000000">
        <w:rPr>
          <w:rtl w:val="0"/>
        </w:rPr>
        <w:t xml:space="preserve">(Source: Marriott, 2021; Marriott, 2023; Marriott, 2025)</w:t>
      </w:r>
    </w:p>
    <w:p w:rsidR="00000000" w:rsidDel="00000000" w:rsidP="00000000" w:rsidRDefault="00000000" w:rsidRPr="00000000" w14:paraId="00000067">
      <w:pPr>
        <w:rPr/>
      </w:pPr>
      <w:r w:rsidDel="00000000" w:rsidR="00000000" w:rsidRPr="00000000">
        <w:rPr>
          <w:b w:val="1"/>
          <w:rtl w:val="0"/>
        </w:rPr>
        <w:t xml:space="preserve">Identification of trend </w:t>
      </w:r>
      <w:r w:rsidDel="00000000" w:rsidR="00000000" w:rsidRPr="00000000">
        <w:rPr>
          <w:rtl w:val="0"/>
        </w:rPr>
      </w:r>
    </w:p>
    <w:p w:rsidR="00000000" w:rsidDel="00000000" w:rsidP="00000000" w:rsidRDefault="00000000" w:rsidRPr="00000000" w14:paraId="00000068">
      <w:pPr>
        <w:rPr>
          <w:rFonts w:ascii="Times New Roman" w:cs="Times New Roman" w:eastAsia="Times New Roman" w:hAnsi="Times New Roman"/>
        </w:rPr>
      </w:pPr>
      <w:r w:rsidDel="00000000" w:rsidR="00000000" w:rsidRPr="00000000">
        <w:rPr>
          <w:rtl w:val="0"/>
        </w:rPr>
        <w:t xml:space="preserve">Liquidity Ratios measure the ability of a company to deal with short-term debt that helps investors in managing financial health of the business. Current ratio is calculated through “Current Assets ÷ Current Liabilities” which decreases about 24.56%. The declining trend is due to high rises in financial risk, as the company engages with short-term debts (Marriott, 2025). Quick ratio is calculated through “(Current Assets - Inventory) ÷ Current Liabilities” which decrease about 24.56%. The decreasing of the quick ratio encounters an operational shift by ability to slow down cash reserves and through investment. Cash ratio is calculated through “(Cash ÷ Current Liability)” which decreases about 81.82%. The decline in cash reserve is due to paying off long term debt and increasing its liabilities which is due to cash generation. </w:t>
      </w:r>
      <w:r w:rsidDel="00000000" w:rsidR="00000000" w:rsidRPr="00000000">
        <w:rPr>
          <w:rtl w:val="0"/>
        </w:rPr>
      </w:r>
    </w:p>
    <w:p w:rsidR="00000000" w:rsidDel="00000000" w:rsidP="00000000" w:rsidRDefault="00000000" w:rsidRPr="00000000" w14:paraId="00000069">
      <w:pPr>
        <w:rPr>
          <w:b w:val="1"/>
        </w:rPr>
      </w:pPr>
      <w:r w:rsidDel="00000000" w:rsidR="00000000" w:rsidRPr="00000000">
        <w:rPr>
          <w:b w:val="1"/>
          <w:rtl w:val="0"/>
        </w:rPr>
        <w:t xml:space="preserve">Opportunities </w:t>
      </w:r>
    </w:p>
    <w:p w:rsidR="00000000" w:rsidDel="00000000" w:rsidP="00000000" w:rsidRDefault="00000000" w:rsidRPr="00000000" w14:paraId="0000006A">
      <w:pPr>
        <w:rPr/>
      </w:pPr>
      <w:r w:rsidDel="00000000" w:rsidR="00000000" w:rsidRPr="00000000">
        <w:rPr>
          <w:rtl w:val="0"/>
        </w:rPr>
        <w:t xml:space="preserve">High liquidity affects Marriott International by serving growth opportunities through “Revenue Per Available Room” and "accommodation services". </w:t>
      </w:r>
    </w:p>
    <w:p w:rsidR="00000000" w:rsidDel="00000000" w:rsidP="00000000" w:rsidRDefault="00000000" w:rsidRPr="00000000" w14:paraId="0000006B">
      <w:pPr>
        <w:rPr>
          <w:b w:val="1"/>
        </w:rPr>
      </w:pPr>
      <w:r w:rsidDel="00000000" w:rsidR="00000000" w:rsidRPr="00000000">
        <w:rPr>
          <w:b w:val="1"/>
          <w:rtl w:val="0"/>
        </w:rPr>
        <w:t xml:space="preserve">Threats</w:t>
      </w:r>
    </w:p>
    <w:p w:rsidR="00000000" w:rsidDel="00000000" w:rsidP="00000000" w:rsidRDefault="00000000" w:rsidRPr="00000000" w14:paraId="0000006C">
      <w:pPr>
        <w:rPr/>
      </w:pPr>
      <w:r w:rsidDel="00000000" w:rsidR="00000000" w:rsidRPr="00000000">
        <w:rPr>
          <w:rtl w:val="0"/>
        </w:rPr>
        <w:t xml:space="preserve">Marriott International faced operational challenges due to rises of short-term debt by responding with the weak economic condition. </w:t>
      </w:r>
    </w:p>
    <w:p w:rsidR="00000000" w:rsidDel="00000000" w:rsidP="00000000" w:rsidRDefault="00000000" w:rsidRPr="00000000" w14:paraId="0000006D">
      <w:pPr>
        <w:jc w:val="left"/>
        <w:rPr/>
      </w:pPr>
      <w:r w:rsidDel="00000000" w:rsidR="00000000" w:rsidRPr="00000000">
        <w:rPr>
          <w:rtl w:val="0"/>
        </w:rPr>
      </w:r>
    </w:p>
    <w:p w:rsidR="00000000" w:rsidDel="00000000" w:rsidP="00000000" w:rsidRDefault="00000000" w:rsidRPr="00000000" w14:paraId="0000006E">
      <w:pPr>
        <w:pStyle w:val="Heading2"/>
        <w:rPr/>
      </w:pPr>
      <w:bookmarkStart w:colFirst="0" w:colLast="0" w:name="_17dp8vu" w:id="11"/>
      <w:bookmarkEnd w:id="11"/>
      <w:r w:rsidDel="00000000" w:rsidR="00000000" w:rsidRPr="00000000">
        <w:rPr>
          <w:rtl w:val="0"/>
        </w:rPr>
        <w:t xml:space="preserve">1.3 Efficiency Ratios</w:t>
      </w:r>
    </w:p>
    <w:p w:rsidR="00000000" w:rsidDel="00000000" w:rsidP="00000000" w:rsidRDefault="00000000" w:rsidRPr="00000000" w14:paraId="0000006F">
      <w:pPr>
        <w:rPr/>
      </w:pPr>
      <w:r w:rsidDel="00000000" w:rsidR="00000000" w:rsidRPr="00000000">
        <w:rPr/>
        <w:drawing>
          <wp:inline distB="114300" distT="114300" distL="114300" distR="114300">
            <wp:extent cx="5943600" cy="1511300"/>
            <wp:effectExtent b="0" l="0" r="0" t="0"/>
            <wp:docPr id="18" name="image18.png"/>
            <a:graphic>
              <a:graphicData uri="http://schemas.openxmlformats.org/drawingml/2006/picture">
                <pic:pic>
                  <pic:nvPicPr>
                    <pic:cNvPr id="0" name="image18.png"/>
                    <pic:cNvPicPr preferRelativeResize="0"/>
                  </pic:nvPicPr>
                  <pic:blipFill>
                    <a:blip r:embed="rId11"/>
                    <a:srcRect b="0" l="0" r="0" t="0"/>
                    <a:stretch>
                      <a:fillRect/>
                    </a:stretch>
                  </pic:blipFill>
                  <pic:spPr>
                    <a:xfrm>
                      <a:off x="0" y="0"/>
                      <a:ext cx="5943600" cy="1511300"/>
                    </a:xfrm>
                    <a:prstGeom prst="rect"/>
                    <a:ln/>
                  </pic:spPr>
                </pic:pic>
              </a:graphicData>
            </a:graphic>
          </wp:inline>
        </w:drawing>
      </w:r>
      <w:r w:rsidDel="00000000" w:rsidR="00000000" w:rsidRPr="00000000">
        <w:rPr>
          <w:rtl w:val="0"/>
        </w:rPr>
      </w:r>
    </w:p>
    <w:p w:rsidR="00000000" w:rsidDel="00000000" w:rsidP="00000000" w:rsidRDefault="00000000" w:rsidRPr="00000000" w14:paraId="00000070">
      <w:pPr>
        <w:jc w:val="center"/>
        <w:rPr/>
      </w:pPr>
      <w:r w:rsidDel="00000000" w:rsidR="00000000" w:rsidRPr="00000000">
        <w:rPr/>
        <w:drawing>
          <wp:inline distB="114300" distT="114300" distL="114300" distR="114300">
            <wp:extent cx="3900488" cy="2319040"/>
            <wp:effectExtent b="0" l="0" r="0" t="0"/>
            <wp:docPr id="17" name="image17.png"/>
            <a:graphic>
              <a:graphicData uri="http://schemas.openxmlformats.org/drawingml/2006/picture">
                <pic:pic>
                  <pic:nvPicPr>
                    <pic:cNvPr id="0" name="image17.png"/>
                    <pic:cNvPicPr preferRelativeResize="0"/>
                  </pic:nvPicPr>
                  <pic:blipFill>
                    <a:blip r:embed="rId12"/>
                    <a:srcRect b="0" l="0" r="0" t="0"/>
                    <a:stretch>
                      <a:fillRect/>
                    </a:stretch>
                  </pic:blipFill>
                  <pic:spPr>
                    <a:xfrm>
                      <a:off x="0" y="0"/>
                      <a:ext cx="3900488" cy="2319040"/>
                    </a:xfrm>
                    <a:prstGeom prst="rect"/>
                    <a:ln/>
                  </pic:spPr>
                </pic:pic>
              </a:graphicData>
            </a:graphic>
          </wp:inline>
        </w:drawing>
      </w:r>
      <w:r w:rsidDel="00000000" w:rsidR="00000000" w:rsidRPr="00000000">
        <w:rPr>
          <w:rtl w:val="0"/>
        </w:rPr>
      </w:r>
    </w:p>
    <w:p w:rsidR="00000000" w:rsidDel="00000000" w:rsidP="00000000" w:rsidRDefault="00000000" w:rsidRPr="00000000" w14:paraId="00000071">
      <w:pPr>
        <w:jc w:val="center"/>
        <w:rPr>
          <w:b w:val="1"/>
        </w:rPr>
      </w:pPr>
      <w:r w:rsidDel="00000000" w:rsidR="00000000" w:rsidRPr="00000000">
        <w:rPr>
          <w:b w:val="1"/>
          <w:rtl w:val="0"/>
        </w:rPr>
        <w:tab/>
        <w:t xml:space="preserve">Figure 4: Efficiency Ratios</w:t>
      </w:r>
    </w:p>
    <w:p w:rsidR="00000000" w:rsidDel="00000000" w:rsidP="00000000" w:rsidRDefault="00000000" w:rsidRPr="00000000" w14:paraId="00000072">
      <w:pPr>
        <w:jc w:val="center"/>
        <w:rPr/>
      </w:pPr>
      <w:r w:rsidDel="00000000" w:rsidR="00000000" w:rsidRPr="00000000">
        <w:rPr>
          <w:rtl w:val="0"/>
        </w:rPr>
        <w:t xml:space="preserve">(Source: Marriott, 2021; Marriott, 2023; Marriott, 2025)</w:t>
      </w:r>
    </w:p>
    <w:p w:rsidR="00000000" w:rsidDel="00000000" w:rsidP="00000000" w:rsidRDefault="00000000" w:rsidRPr="00000000" w14:paraId="00000073">
      <w:pPr>
        <w:rPr>
          <w:b w:val="1"/>
        </w:rPr>
      </w:pPr>
      <w:r w:rsidDel="00000000" w:rsidR="00000000" w:rsidRPr="00000000">
        <w:rPr>
          <w:b w:val="1"/>
          <w:rtl w:val="0"/>
        </w:rPr>
        <w:t xml:space="preserve">Identification of Trends</w:t>
      </w:r>
    </w:p>
    <w:p w:rsidR="00000000" w:rsidDel="00000000" w:rsidP="00000000" w:rsidRDefault="00000000" w:rsidRPr="00000000" w14:paraId="00000074">
      <w:pPr>
        <w:rPr/>
      </w:pPr>
      <w:r w:rsidDel="00000000" w:rsidR="00000000" w:rsidRPr="00000000">
        <w:rPr>
          <w:rtl w:val="0"/>
        </w:rPr>
        <w:t xml:space="preserve">Marriott International has reduced its growth in receivable turnover days “(Revenue ÷ Average Receivables) ÷ 365” by 18.36% due to the execution of large-scale investments in its business operations in 2025 (Marriott, 2025). In addition, the company has also adopted partnership techniques with an intent to improve its supply chain operations. For instance, Marriott Internationals have collaborated with OCBC for executing payment invoices of 12000 suppliers in 2025 (OCBC, 2026). On the other hand, the hotel company has also reduced its account payable value “365 ÷ (Cost of Sales ÷ Average Payables)" to 13 days due to improvement in the payment services to its creditors. Thus, the strengthening of the supply chain operations has helped the company in enhancing its productivity.</w:t>
      </w:r>
    </w:p>
    <w:p w:rsidR="00000000" w:rsidDel="00000000" w:rsidP="00000000" w:rsidRDefault="00000000" w:rsidRPr="00000000" w14:paraId="00000075">
      <w:pPr>
        <w:rPr>
          <w:b w:val="1"/>
        </w:rPr>
      </w:pPr>
      <w:r w:rsidDel="00000000" w:rsidR="00000000" w:rsidRPr="00000000">
        <w:rPr>
          <w:b w:val="1"/>
          <w:rtl w:val="0"/>
        </w:rPr>
        <w:t xml:space="preserve">Strength </w:t>
      </w:r>
    </w:p>
    <w:p w:rsidR="00000000" w:rsidDel="00000000" w:rsidP="00000000" w:rsidRDefault="00000000" w:rsidRPr="00000000" w14:paraId="00000076">
      <w:pPr>
        <w:rPr>
          <w:b w:val="1"/>
        </w:rPr>
      </w:pPr>
      <w:r w:rsidDel="00000000" w:rsidR="00000000" w:rsidRPr="00000000">
        <w:rPr>
          <w:rtl w:val="0"/>
        </w:rPr>
        <w:t xml:space="preserve">The improvement in the payment services has helped Marriott Internationals in strengthening creditor relationships</w:t>
      </w:r>
      <w:r w:rsidDel="00000000" w:rsidR="00000000" w:rsidRPr="00000000">
        <w:rPr>
          <w:b w:val="1"/>
          <w:rtl w:val="0"/>
        </w:rPr>
        <w:t xml:space="preserve"> </w:t>
      </w:r>
    </w:p>
    <w:p w:rsidR="00000000" w:rsidDel="00000000" w:rsidP="00000000" w:rsidRDefault="00000000" w:rsidRPr="00000000" w14:paraId="00000077">
      <w:pPr>
        <w:rPr>
          <w:b w:val="1"/>
        </w:rPr>
      </w:pPr>
      <w:r w:rsidDel="00000000" w:rsidR="00000000" w:rsidRPr="00000000">
        <w:rPr>
          <w:b w:val="1"/>
          <w:rtl w:val="0"/>
        </w:rPr>
        <w:t xml:space="preserve">Weakness </w:t>
      </w:r>
    </w:p>
    <w:p w:rsidR="00000000" w:rsidDel="00000000" w:rsidP="00000000" w:rsidRDefault="00000000" w:rsidRPr="00000000" w14:paraId="00000078">
      <w:pPr>
        <w:rPr/>
      </w:pPr>
      <w:r w:rsidDel="00000000" w:rsidR="00000000" w:rsidRPr="00000000">
        <w:rPr>
          <w:rtl w:val="0"/>
        </w:rPr>
        <w:t xml:space="preserve">The enhancement in the involvement of the creditors has adversely influenced the internal financial resources of the organisation.</w:t>
      </w:r>
    </w:p>
    <w:p w:rsidR="00000000" w:rsidDel="00000000" w:rsidP="00000000" w:rsidRDefault="00000000" w:rsidRPr="00000000" w14:paraId="00000079">
      <w:pPr>
        <w:pStyle w:val="Heading2"/>
        <w:rPr/>
      </w:pPr>
      <w:bookmarkStart w:colFirst="0" w:colLast="0" w:name="_3rdcrjn" w:id="12"/>
      <w:bookmarkEnd w:id="12"/>
      <w:r w:rsidDel="00000000" w:rsidR="00000000" w:rsidRPr="00000000">
        <w:rPr>
          <w:rtl w:val="0"/>
        </w:rPr>
        <w:t xml:space="preserve">1.4 Profitability Ratios</w:t>
      </w:r>
    </w:p>
    <w:p w:rsidR="00000000" w:rsidDel="00000000" w:rsidP="00000000" w:rsidRDefault="00000000" w:rsidRPr="00000000" w14:paraId="0000007A">
      <w:pPr>
        <w:rPr/>
      </w:pPr>
      <w:r w:rsidDel="00000000" w:rsidR="00000000" w:rsidRPr="00000000">
        <w:rPr/>
        <w:drawing>
          <wp:inline distB="114300" distT="114300" distL="114300" distR="114300">
            <wp:extent cx="5943600" cy="1308100"/>
            <wp:effectExtent b="0" l="0" r="0" t="0"/>
            <wp:docPr id="22" name="image22.png"/>
            <a:graphic>
              <a:graphicData uri="http://schemas.openxmlformats.org/drawingml/2006/picture">
                <pic:pic>
                  <pic:nvPicPr>
                    <pic:cNvPr id="0" name="image22.png"/>
                    <pic:cNvPicPr preferRelativeResize="0"/>
                  </pic:nvPicPr>
                  <pic:blipFill>
                    <a:blip r:embed="rId13"/>
                    <a:srcRect b="0" l="0" r="0" t="0"/>
                    <a:stretch>
                      <a:fillRect/>
                    </a:stretch>
                  </pic:blipFill>
                  <pic:spPr>
                    <a:xfrm>
                      <a:off x="0" y="0"/>
                      <a:ext cx="5943600" cy="1308100"/>
                    </a:xfrm>
                    <a:prstGeom prst="rect"/>
                    <a:ln/>
                  </pic:spPr>
                </pic:pic>
              </a:graphicData>
            </a:graphic>
          </wp:inline>
        </w:drawing>
      </w:r>
      <w:r w:rsidDel="00000000" w:rsidR="00000000" w:rsidRPr="00000000">
        <w:rPr>
          <w:rtl w:val="0"/>
        </w:rPr>
      </w:r>
    </w:p>
    <w:p w:rsidR="00000000" w:rsidDel="00000000" w:rsidP="00000000" w:rsidRDefault="00000000" w:rsidRPr="00000000" w14:paraId="0000007B">
      <w:pPr>
        <w:jc w:val="center"/>
        <w:rPr/>
      </w:pPr>
      <w:r w:rsidDel="00000000" w:rsidR="00000000" w:rsidRPr="00000000">
        <w:rPr/>
        <w:drawing>
          <wp:inline distB="114300" distT="114300" distL="114300" distR="114300">
            <wp:extent cx="4310063" cy="2514203"/>
            <wp:effectExtent b="0" l="0" r="0" t="0"/>
            <wp:docPr id="20" name="image20.png"/>
            <a:graphic>
              <a:graphicData uri="http://schemas.openxmlformats.org/drawingml/2006/picture">
                <pic:pic>
                  <pic:nvPicPr>
                    <pic:cNvPr id="0" name="image20.png"/>
                    <pic:cNvPicPr preferRelativeResize="0"/>
                  </pic:nvPicPr>
                  <pic:blipFill>
                    <a:blip r:embed="rId14"/>
                    <a:srcRect b="0" l="0" r="0" t="0"/>
                    <a:stretch>
                      <a:fillRect/>
                    </a:stretch>
                  </pic:blipFill>
                  <pic:spPr>
                    <a:xfrm>
                      <a:off x="0" y="0"/>
                      <a:ext cx="4310063" cy="2514203"/>
                    </a:xfrm>
                    <a:prstGeom prst="rect"/>
                    <a:ln/>
                  </pic:spPr>
                </pic:pic>
              </a:graphicData>
            </a:graphic>
          </wp:inline>
        </w:drawing>
      </w:r>
      <w:r w:rsidDel="00000000" w:rsidR="00000000" w:rsidRPr="00000000">
        <w:rPr>
          <w:rtl w:val="0"/>
        </w:rPr>
      </w:r>
    </w:p>
    <w:p w:rsidR="00000000" w:rsidDel="00000000" w:rsidP="00000000" w:rsidRDefault="00000000" w:rsidRPr="00000000" w14:paraId="0000007C">
      <w:pPr>
        <w:jc w:val="center"/>
        <w:rPr>
          <w:b w:val="1"/>
        </w:rPr>
      </w:pPr>
      <w:r w:rsidDel="00000000" w:rsidR="00000000" w:rsidRPr="00000000">
        <w:rPr>
          <w:b w:val="1"/>
          <w:rtl w:val="0"/>
        </w:rPr>
        <w:t xml:space="preserve">Figure 5: Profitability ratios</w:t>
      </w:r>
    </w:p>
    <w:p w:rsidR="00000000" w:rsidDel="00000000" w:rsidP="00000000" w:rsidRDefault="00000000" w:rsidRPr="00000000" w14:paraId="0000007D">
      <w:pPr>
        <w:jc w:val="center"/>
        <w:rPr/>
      </w:pPr>
      <w:r w:rsidDel="00000000" w:rsidR="00000000" w:rsidRPr="00000000">
        <w:rPr>
          <w:rtl w:val="0"/>
        </w:rPr>
        <w:t xml:space="preserve">(Source: Marriott, 2021; Marriott, 2023; Marriott, 2025)</w:t>
      </w:r>
    </w:p>
    <w:p w:rsidR="00000000" w:rsidDel="00000000" w:rsidP="00000000" w:rsidRDefault="00000000" w:rsidRPr="00000000" w14:paraId="0000007E">
      <w:pPr>
        <w:rPr/>
      </w:pPr>
      <w:r w:rsidDel="00000000" w:rsidR="00000000" w:rsidRPr="00000000">
        <w:rPr>
          <w:rFonts w:ascii="Arimo" w:cs="Arimo" w:eastAsia="Arimo" w:hAnsi="Arimo"/>
          <w:rtl w:val="0"/>
        </w:rPr>
        <w:t xml:space="preserve">The fluctuating trend is also identified in net profit margin with highest volatility in 2023-2024 about declining 9.64% calculated by “(Net Profit ÷ Revenue) × 100”. Hence, this value was also higher in previous year $23,713 million revenue while declination of net profit marginal value by $2,375 million impacted financial performance of organizations. In addition, ROCE calculated “Operating Profit ÷ (Total Assets − Current Liabilities) × 100” that also rose from 9.14% to 24.14% by 2024 due to efficient management of assets with better investment capital recognition (Marriott, 2025). Also, ROE decline by 89.79% in 2024 followed by an uprising of 94.27% calculated by “(Net Profit ÷ Shareholders' Equity) × 100” also indicated improved earning potential with a strong shareholder base.</w:t>
      </w:r>
      <w:r w:rsidDel="00000000" w:rsidR="00000000" w:rsidRPr="00000000">
        <w:rPr>
          <w:rtl w:val="0"/>
        </w:rPr>
      </w:r>
    </w:p>
    <w:p w:rsidR="00000000" w:rsidDel="00000000" w:rsidP="00000000" w:rsidRDefault="00000000" w:rsidRPr="00000000" w14:paraId="0000007F">
      <w:pPr>
        <w:rPr>
          <w:b w:val="1"/>
        </w:rPr>
      </w:pPr>
      <w:r w:rsidDel="00000000" w:rsidR="00000000" w:rsidRPr="00000000">
        <w:rPr>
          <w:b w:val="1"/>
          <w:rtl w:val="0"/>
        </w:rPr>
        <w:t xml:space="preserve">Strength </w:t>
      </w:r>
    </w:p>
    <w:p w:rsidR="00000000" w:rsidDel="00000000" w:rsidP="00000000" w:rsidRDefault="00000000" w:rsidRPr="00000000" w14:paraId="00000080">
      <w:pPr>
        <w:rPr/>
      </w:pPr>
      <w:r w:rsidDel="00000000" w:rsidR="00000000" w:rsidRPr="00000000">
        <w:rPr>
          <w:rtl w:val="0"/>
        </w:rPr>
        <w:t xml:space="preserve">Strong profitability recovery and efficient capital utilisation effectively increasing shareholders confidence with support changing market conditions.</w:t>
      </w:r>
    </w:p>
    <w:p w:rsidR="00000000" w:rsidDel="00000000" w:rsidP="00000000" w:rsidRDefault="00000000" w:rsidRPr="00000000" w14:paraId="00000081">
      <w:pPr>
        <w:rPr>
          <w:b w:val="1"/>
        </w:rPr>
      </w:pPr>
      <w:r w:rsidDel="00000000" w:rsidR="00000000" w:rsidRPr="00000000">
        <w:rPr>
          <w:b w:val="1"/>
          <w:rtl w:val="0"/>
        </w:rPr>
        <w:t xml:space="preserve">Weakness</w:t>
      </w:r>
    </w:p>
    <w:p w:rsidR="00000000" w:rsidDel="00000000" w:rsidP="00000000" w:rsidRDefault="00000000" w:rsidRPr="00000000" w14:paraId="00000082">
      <w:pPr>
        <w:rPr/>
      </w:pPr>
      <w:r w:rsidDel="00000000" w:rsidR="00000000" w:rsidRPr="00000000">
        <w:rPr>
          <w:rtl w:val="0"/>
        </w:rPr>
        <w:t xml:space="preserve">The sharp declination of net profit margin during 2024 indicates rising operating costs and pressure on overall profitability performance.</w:t>
      </w:r>
    </w:p>
    <w:p w:rsidR="00000000" w:rsidDel="00000000" w:rsidP="00000000" w:rsidRDefault="00000000" w:rsidRPr="00000000" w14:paraId="00000083">
      <w:pPr>
        <w:pStyle w:val="Heading2"/>
        <w:rPr/>
      </w:pPr>
      <w:bookmarkStart w:colFirst="0" w:colLast="0" w:name="_26in1rg" w:id="13"/>
      <w:bookmarkEnd w:id="13"/>
      <w:r w:rsidDel="00000000" w:rsidR="00000000" w:rsidRPr="00000000">
        <w:rPr>
          <w:rtl w:val="0"/>
        </w:rPr>
        <w:t xml:space="preserve">1.5 Gearing Ratios</w:t>
      </w:r>
    </w:p>
    <w:p w:rsidR="00000000" w:rsidDel="00000000" w:rsidP="00000000" w:rsidRDefault="00000000" w:rsidRPr="00000000" w14:paraId="00000084">
      <w:pPr>
        <w:rPr/>
      </w:pPr>
      <w:r w:rsidDel="00000000" w:rsidR="00000000" w:rsidRPr="00000000">
        <w:rPr/>
        <w:drawing>
          <wp:inline distB="114300" distT="114300" distL="114300" distR="114300">
            <wp:extent cx="5943600" cy="1358900"/>
            <wp:effectExtent b="0" l="0" r="0" t="0"/>
            <wp:docPr id="27" name="image27.png"/>
            <a:graphic>
              <a:graphicData uri="http://schemas.openxmlformats.org/drawingml/2006/picture">
                <pic:pic>
                  <pic:nvPicPr>
                    <pic:cNvPr id="0" name="image27.png"/>
                    <pic:cNvPicPr preferRelativeResize="0"/>
                  </pic:nvPicPr>
                  <pic:blipFill>
                    <a:blip r:embed="rId15"/>
                    <a:srcRect b="0" l="0" r="0" t="0"/>
                    <a:stretch>
                      <a:fillRect/>
                    </a:stretch>
                  </pic:blipFill>
                  <pic:spPr>
                    <a:xfrm>
                      <a:off x="0" y="0"/>
                      <a:ext cx="5943600" cy="1358900"/>
                    </a:xfrm>
                    <a:prstGeom prst="rect"/>
                    <a:ln/>
                  </pic:spPr>
                </pic:pic>
              </a:graphicData>
            </a:graphic>
          </wp:inline>
        </w:drawing>
      </w:r>
      <w:r w:rsidDel="00000000" w:rsidR="00000000" w:rsidRPr="00000000">
        <w:rPr>
          <w:rtl w:val="0"/>
        </w:rPr>
      </w:r>
    </w:p>
    <w:p w:rsidR="00000000" w:rsidDel="00000000" w:rsidP="00000000" w:rsidRDefault="00000000" w:rsidRPr="00000000" w14:paraId="00000085">
      <w:pPr>
        <w:jc w:val="center"/>
        <w:rPr/>
      </w:pPr>
      <w:r w:rsidDel="00000000" w:rsidR="00000000" w:rsidRPr="00000000">
        <w:rPr/>
        <w:drawing>
          <wp:inline distB="114300" distT="114300" distL="114300" distR="114300">
            <wp:extent cx="4462463" cy="2367108"/>
            <wp:effectExtent b="0" l="0" r="0" t="0"/>
            <wp:docPr id="23" name="image23.png"/>
            <a:graphic>
              <a:graphicData uri="http://schemas.openxmlformats.org/drawingml/2006/picture">
                <pic:pic>
                  <pic:nvPicPr>
                    <pic:cNvPr id="0" name="image23.png"/>
                    <pic:cNvPicPr preferRelativeResize="0"/>
                  </pic:nvPicPr>
                  <pic:blipFill>
                    <a:blip r:embed="rId16"/>
                    <a:srcRect b="0" l="0" r="0" t="0"/>
                    <a:stretch>
                      <a:fillRect/>
                    </a:stretch>
                  </pic:blipFill>
                  <pic:spPr>
                    <a:xfrm>
                      <a:off x="0" y="0"/>
                      <a:ext cx="4462463" cy="2367108"/>
                    </a:xfrm>
                    <a:prstGeom prst="rect"/>
                    <a:ln/>
                  </pic:spPr>
                </pic:pic>
              </a:graphicData>
            </a:graphic>
          </wp:inline>
        </w:drawing>
      </w:r>
      <w:r w:rsidDel="00000000" w:rsidR="00000000" w:rsidRPr="00000000">
        <w:rPr>
          <w:rtl w:val="0"/>
        </w:rPr>
        <w:tab/>
      </w:r>
    </w:p>
    <w:p w:rsidR="00000000" w:rsidDel="00000000" w:rsidP="00000000" w:rsidRDefault="00000000" w:rsidRPr="00000000" w14:paraId="00000086">
      <w:pPr>
        <w:jc w:val="center"/>
        <w:rPr>
          <w:b w:val="1"/>
        </w:rPr>
      </w:pPr>
      <w:r w:rsidDel="00000000" w:rsidR="00000000" w:rsidRPr="00000000">
        <w:rPr>
          <w:b w:val="1"/>
          <w:rtl w:val="0"/>
        </w:rPr>
        <w:t xml:space="preserve">Figure 6: Gearing Ratios</w:t>
      </w:r>
    </w:p>
    <w:p w:rsidR="00000000" w:rsidDel="00000000" w:rsidP="00000000" w:rsidRDefault="00000000" w:rsidRPr="00000000" w14:paraId="00000087">
      <w:pPr>
        <w:jc w:val="center"/>
        <w:rPr/>
      </w:pPr>
      <w:r w:rsidDel="00000000" w:rsidR="00000000" w:rsidRPr="00000000">
        <w:rPr>
          <w:rtl w:val="0"/>
        </w:rPr>
        <w:t xml:space="preserve">(Source: Marriott, 2021; Marriott, 2023; Marriott, 2025)</w:t>
      </w:r>
    </w:p>
    <w:p w:rsidR="00000000" w:rsidDel="00000000" w:rsidP="00000000" w:rsidRDefault="00000000" w:rsidRPr="00000000" w14:paraId="00000088">
      <w:pPr>
        <w:rPr>
          <w:b w:val="1"/>
        </w:rPr>
      </w:pPr>
      <w:r w:rsidDel="00000000" w:rsidR="00000000" w:rsidRPr="00000000">
        <w:rPr>
          <w:b w:val="1"/>
          <w:rtl w:val="0"/>
        </w:rPr>
        <w:t xml:space="preserve">Identification of Trends</w:t>
      </w:r>
    </w:p>
    <w:p w:rsidR="00000000" w:rsidDel="00000000" w:rsidP="00000000" w:rsidRDefault="00000000" w:rsidRPr="00000000" w14:paraId="00000089">
      <w:pPr>
        <w:rPr/>
      </w:pPr>
      <w:r w:rsidDel="00000000" w:rsidR="00000000" w:rsidRPr="00000000">
        <w:rPr>
          <w:rtl w:val="0"/>
        </w:rPr>
        <w:t xml:space="preserve">Marriott International has improved its debt/capital value “Total Debts ÷ (Total Debts+Total Equity)” by 6.32% due to improvement in the internal investments in 2025. On the other hand, Marriott has also increased its debt/equity value to 9.98% due to high level risk in its management activities. In addition, the organisation has also increased its interest coverage ratios “Operating Income ÷ Interest Expense” to 4.20 due to enhancement in its net margins in 2025 (Marriott, 2025). Overall, the expansion of the internal capital has helped Marriott International in achieving financial stability.</w:t>
      </w:r>
    </w:p>
    <w:p w:rsidR="00000000" w:rsidDel="00000000" w:rsidP="00000000" w:rsidRDefault="00000000" w:rsidRPr="00000000" w14:paraId="0000008A">
      <w:pPr>
        <w:rPr>
          <w:b w:val="1"/>
        </w:rPr>
      </w:pPr>
      <w:r w:rsidDel="00000000" w:rsidR="00000000" w:rsidRPr="00000000">
        <w:rPr>
          <w:b w:val="1"/>
          <w:rtl w:val="0"/>
        </w:rPr>
        <w:t xml:space="preserve">Strength </w:t>
      </w:r>
    </w:p>
    <w:p w:rsidR="00000000" w:rsidDel="00000000" w:rsidP="00000000" w:rsidRDefault="00000000" w:rsidRPr="00000000" w14:paraId="0000008B">
      <w:pPr>
        <w:rPr/>
      </w:pPr>
      <w:r w:rsidDel="00000000" w:rsidR="00000000" w:rsidRPr="00000000">
        <w:rPr>
          <w:rtl w:val="0"/>
        </w:rPr>
        <w:t xml:space="preserve">The enhancement in the debt/capital value has strengthened the financial resources of the organisation and reduced market competition.</w:t>
      </w:r>
    </w:p>
    <w:p w:rsidR="00000000" w:rsidDel="00000000" w:rsidP="00000000" w:rsidRDefault="00000000" w:rsidRPr="00000000" w14:paraId="0000008C">
      <w:pPr>
        <w:rPr>
          <w:b w:val="1"/>
        </w:rPr>
      </w:pPr>
      <w:r w:rsidDel="00000000" w:rsidR="00000000" w:rsidRPr="00000000">
        <w:rPr>
          <w:b w:val="1"/>
          <w:rtl w:val="0"/>
        </w:rPr>
        <w:t xml:space="preserve">Weakness</w:t>
      </w:r>
    </w:p>
    <w:p w:rsidR="00000000" w:rsidDel="00000000" w:rsidP="00000000" w:rsidRDefault="00000000" w:rsidRPr="00000000" w14:paraId="0000008D">
      <w:pPr>
        <w:rPr/>
      </w:pPr>
      <w:r w:rsidDel="00000000" w:rsidR="00000000" w:rsidRPr="00000000">
        <w:rPr>
          <w:rtl w:val="0"/>
        </w:rPr>
        <w:t xml:space="preserve">The enhancement in the business risk levels has adversely influenced its trust level among the investors.</w:t>
      </w:r>
    </w:p>
    <w:p w:rsidR="00000000" w:rsidDel="00000000" w:rsidP="00000000" w:rsidRDefault="00000000" w:rsidRPr="00000000" w14:paraId="0000008E">
      <w:pPr>
        <w:pStyle w:val="Heading2"/>
        <w:rPr/>
      </w:pPr>
      <w:bookmarkStart w:colFirst="0" w:colLast="0" w:name="_lnxbz9" w:id="14"/>
      <w:bookmarkEnd w:id="14"/>
      <w:r w:rsidDel="00000000" w:rsidR="00000000" w:rsidRPr="00000000">
        <w:rPr>
          <w:rtl w:val="0"/>
        </w:rPr>
        <w:t xml:space="preserve">1.6 Investment Ratios</w:t>
      </w:r>
    </w:p>
    <w:p w:rsidR="00000000" w:rsidDel="00000000" w:rsidP="00000000" w:rsidRDefault="00000000" w:rsidRPr="00000000" w14:paraId="0000008F">
      <w:pPr>
        <w:rPr/>
      </w:pPr>
      <w:r w:rsidDel="00000000" w:rsidR="00000000" w:rsidRPr="00000000">
        <w:rPr/>
        <w:drawing>
          <wp:inline distB="114300" distT="114300" distL="114300" distR="114300">
            <wp:extent cx="5943600" cy="584200"/>
            <wp:effectExtent b="0" l="0" r="0" t="0"/>
            <wp:docPr id="25" name="image25.png"/>
            <a:graphic>
              <a:graphicData uri="http://schemas.openxmlformats.org/drawingml/2006/picture">
                <pic:pic>
                  <pic:nvPicPr>
                    <pic:cNvPr id="0" name="image25.png"/>
                    <pic:cNvPicPr preferRelativeResize="0"/>
                  </pic:nvPicPr>
                  <pic:blipFill>
                    <a:blip r:embed="rId17"/>
                    <a:srcRect b="0" l="0" r="0" t="0"/>
                    <a:stretch>
                      <a:fillRect/>
                    </a:stretch>
                  </pic:blipFill>
                  <pic:spPr>
                    <a:xfrm>
                      <a:off x="0" y="0"/>
                      <a:ext cx="5943600" cy="584200"/>
                    </a:xfrm>
                    <a:prstGeom prst="rect"/>
                    <a:ln/>
                  </pic:spPr>
                </pic:pic>
              </a:graphicData>
            </a:graphic>
          </wp:inline>
        </w:drawing>
      </w:r>
      <w:r w:rsidDel="00000000" w:rsidR="00000000" w:rsidRPr="00000000">
        <w:rPr>
          <w:rtl w:val="0"/>
        </w:rPr>
      </w:r>
    </w:p>
    <w:p w:rsidR="00000000" w:rsidDel="00000000" w:rsidP="00000000" w:rsidRDefault="00000000" w:rsidRPr="00000000" w14:paraId="00000090">
      <w:pPr>
        <w:jc w:val="center"/>
        <w:rPr/>
      </w:pPr>
      <w:r w:rsidDel="00000000" w:rsidR="00000000" w:rsidRPr="00000000">
        <w:rPr/>
        <w:drawing>
          <wp:inline distB="114300" distT="114300" distL="114300" distR="114300">
            <wp:extent cx="4129088" cy="2481423"/>
            <wp:effectExtent b="0" l="0" r="0" t="0"/>
            <wp:docPr id="28" name="image28.png"/>
            <a:graphic>
              <a:graphicData uri="http://schemas.openxmlformats.org/drawingml/2006/picture">
                <pic:pic>
                  <pic:nvPicPr>
                    <pic:cNvPr id="0" name="image28.png"/>
                    <pic:cNvPicPr preferRelativeResize="0"/>
                  </pic:nvPicPr>
                  <pic:blipFill>
                    <a:blip r:embed="rId18"/>
                    <a:srcRect b="0" l="0" r="0" t="0"/>
                    <a:stretch>
                      <a:fillRect/>
                    </a:stretch>
                  </pic:blipFill>
                  <pic:spPr>
                    <a:xfrm>
                      <a:off x="0" y="0"/>
                      <a:ext cx="4129088" cy="2481423"/>
                    </a:xfrm>
                    <a:prstGeom prst="rect"/>
                    <a:ln/>
                  </pic:spPr>
                </pic:pic>
              </a:graphicData>
            </a:graphic>
          </wp:inline>
        </w:drawing>
      </w:r>
      <w:r w:rsidDel="00000000" w:rsidR="00000000" w:rsidRPr="00000000">
        <w:rPr>
          <w:rtl w:val="0"/>
        </w:rPr>
      </w:r>
    </w:p>
    <w:p w:rsidR="00000000" w:rsidDel="00000000" w:rsidP="00000000" w:rsidRDefault="00000000" w:rsidRPr="00000000" w14:paraId="00000091">
      <w:pPr>
        <w:jc w:val="center"/>
        <w:rPr>
          <w:b w:val="1"/>
        </w:rPr>
      </w:pPr>
      <w:r w:rsidDel="00000000" w:rsidR="00000000" w:rsidRPr="00000000">
        <w:rPr>
          <w:b w:val="1"/>
          <w:rtl w:val="0"/>
        </w:rPr>
        <w:t xml:space="preserve">Figure 7: Investment Ratios</w:t>
      </w:r>
    </w:p>
    <w:p w:rsidR="00000000" w:rsidDel="00000000" w:rsidP="00000000" w:rsidRDefault="00000000" w:rsidRPr="00000000" w14:paraId="00000092">
      <w:pPr>
        <w:jc w:val="center"/>
        <w:rPr/>
      </w:pPr>
      <w:r w:rsidDel="00000000" w:rsidR="00000000" w:rsidRPr="00000000">
        <w:rPr>
          <w:rtl w:val="0"/>
        </w:rPr>
        <w:t xml:space="preserve">(Source: Marriott, 2021; Marriott, 2023; Marriott, 2025)</w:t>
      </w:r>
    </w:p>
    <w:p w:rsidR="00000000" w:rsidDel="00000000" w:rsidP="00000000" w:rsidRDefault="00000000" w:rsidRPr="00000000" w14:paraId="00000093">
      <w:pPr>
        <w:rPr>
          <w:b w:val="1"/>
        </w:rPr>
      </w:pPr>
      <w:r w:rsidDel="00000000" w:rsidR="00000000" w:rsidRPr="00000000">
        <w:rPr>
          <w:b w:val="1"/>
          <w:rtl w:val="0"/>
        </w:rPr>
        <w:t xml:space="preserve">Identification of trend </w:t>
      </w:r>
    </w:p>
    <w:p w:rsidR="00000000" w:rsidDel="00000000" w:rsidP="00000000" w:rsidRDefault="00000000" w:rsidRPr="00000000" w14:paraId="00000094">
      <w:pPr>
        <w:rPr/>
      </w:pPr>
      <w:r w:rsidDel="00000000" w:rsidR="00000000" w:rsidRPr="00000000">
        <w:rPr>
          <w:rtl w:val="0"/>
        </w:rPr>
        <w:t xml:space="preserve">The Investment Ratios help investors by their ability to manage the price of product through informed decisions in gathering cash returns. “Earnings per share” is calculated through “(Net Income ÷ Outstanding Shares)” which increased by about 181.60%</w:t>
      </w:r>
      <w:r w:rsidDel="00000000" w:rsidR="00000000" w:rsidRPr="00000000">
        <w:rPr>
          <w:color w:val="ff0000"/>
          <w:rtl w:val="0"/>
        </w:rPr>
        <w:t xml:space="preserve">.</w:t>
      </w:r>
      <w:r w:rsidDel="00000000" w:rsidR="00000000" w:rsidRPr="00000000">
        <w:rPr>
          <w:rtl w:val="0"/>
        </w:rPr>
        <w:t xml:space="preserve"> Increase in earnings per share is due to high rises of net income and repurchase of shares, which affect overall profitability. The company has the ability to repurchase about 2.1 million shares that have been addressed through "substantial cash flow” (Yahoo Finance, 2025). Thus, this led to rising demand of the RevPAR which is about 2%, by highlighting its demand and encountering business growth (Marriott, 2025). Marriott International has the ability to invest capital through “Quest loyalty programme,” and portfolio expansion leads to enhancing overall brand value. </w:t>
      </w:r>
    </w:p>
    <w:p w:rsidR="00000000" w:rsidDel="00000000" w:rsidP="00000000" w:rsidRDefault="00000000" w:rsidRPr="00000000" w14:paraId="00000095">
      <w:pPr>
        <w:rPr>
          <w:b w:val="1"/>
        </w:rPr>
      </w:pPr>
      <w:r w:rsidDel="00000000" w:rsidR="00000000" w:rsidRPr="00000000">
        <w:rPr>
          <w:b w:val="1"/>
          <w:rtl w:val="0"/>
        </w:rPr>
        <w:t xml:space="preserve">Strength </w:t>
      </w:r>
    </w:p>
    <w:p w:rsidR="00000000" w:rsidDel="00000000" w:rsidP="00000000" w:rsidRDefault="00000000" w:rsidRPr="00000000" w14:paraId="00000096">
      <w:pPr>
        <w:rPr/>
      </w:pPr>
      <w:r w:rsidDel="00000000" w:rsidR="00000000" w:rsidRPr="00000000">
        <w:rPr>
          <w:rtl w:val="0"/>
        </w:rPr>
        <w:t xml:space="preserve">Marriott International has its ability to increase “earnings per share” by continuing to boost luxury hotel demand through aggressive repurchasing of shares. </w:t>
      </w:r>
    </w:p>
    <w:p w:rsidR="00000000" w:rsidDel="00000000" w:rsidP="00000000" w:rsidRDefault="00000000" w:rsidRPr="00000000" w14:paraId="00000097">
      <w:pPr>
        <w:rPr>
          <w:b w:val="1"/>
        </w:rPr>
      </w:pPr>
      <w:r w:rsidDel="00000000" w:rsidR="00000000" w:rsidRPr="00000000">
        <w:rPr>
          <w:b w:val="1"/>
          <w:rtl w:val="0"/>
        </w:rPr>
        <w:t xml:space="preserve">Weakness </w:t>
      </w:r>
    </w:p>
    <w:p w:rsidR="00000000" w:rsidDel="00000000" w:rsidP="00000000" w:rsidRDefault="00000000" w:rsidRPr="00000000" w14:paraId="00000098">
      <w:pPr>
        <w:rPr/>
      </w:pPr>
      <w:r w:rsidDel="00000000" w:rsidR="00000000" w:rsidRPr="00000000">
        <w:rPr>
          <w:rtl w:val="0"/>
        </w:rPr>
        <w:t xml:space="preserve">Marriott International drives its "negative shareholder equity” that is addressed through the repurchasing of shares and tight liquidity.</w:t>
        <w:tab/>
      </w:r>
    </w:p>
    <w:p w:rsidR="00000000" w:rsidDel="00000000" w:rsidP="00000000" w:rsidRDefault="00000000" w:rsidRPr="00000000" w14:paraId="00000099">
      <w:pPr>
        <w:pStyle w:val="Heading2"/>
        <w:rPr/>
      </w:pPr>
      <w:bookmarkStart w:colFirst="0" w:colLast="0" w:name="_35nkun2" w:id="15"/>
      <w:bookmarkEnd w:id="15"/>
      <w:r w:rsidDel="00000000" w:rsidR="00000000" w:rsidRPr="00000000">
        <w:rPr>
          <w:rtl w:val="0"/>
        </w:rPr>
        <w:t xml:space="preserve">1.7 Cash Flow Ratios</w:t>
        <w:tab/>
      </w:r>
    </w:p>
    <w:p w:rsidR="00000000" w:rsidDel="00000000" w:rsidP="00000000" w:rsidRDefault="00000000" w:rsidRPr="00000000" w14:paraId="0000009A">
      <w:pPr>
        <w:rPr/>
      </w:pPr>
      <w:r w:rsidDel="00000000" w:rsidR="00000000" w:rsidRPr="00000000">
        <w:rPr/>
        <w:drawing>
          <wp:inline distB="114300" distT="114300" distL="114300" distR="114300">
            <wp:extent cx="5943600" cy="825500"/>
            <wp:effectExtent b="0" l="0" r="0" t="0"/>
            <wp:docPr id="30" name="image30.png"/>
            <a:graphic>
              <a:graphicData uri="http://schemas.openxmlformats.org/drawingml/2006/picture">
                <pic:pic>
                  <pic:nvPicPr>
                    <pic:cNvPr id="0" name="image30.png"/>
                    <pic:cNvPicPr preferRelativeResize="0"/>
                  </pic:nvPicPr>
                  <pic:blipFill>
                    <a:blip r:embed="rId19"/>
                    <a:srcRect b="0" l="0" r="0" t="0"/>
                    <a:stretch>
                      <a:fillRect/>
                    </a:stretch>
                  </pic:blipFill>
                  <pic:spPr>
                    <a:xfrm>
                      <a:off x="0" y="0"/>
                      <a:ext cx="5943600" cy="825500"/>
                    </a:xfrm>
                    <a:prstGeom prst="rect"/>
                    <a:ln/>
                  </pic:spPr>
                </pic:pic>
              </a:graphicData>
            </a:graphic>
          </wp:inline>
        </w:drawing>
      </w:r>
      <w:r w:rsidDel="00000000" w:rsidR="00000000" w:rsidRPr="00000000">
        <w:rPr>
          <w:rtl w:val="0"/>
        </w:rPr>
      </w:r>
    </w:p>
    <w:p w:rsidR="00000000" w:rsidDel="00000000" w:rsidP="00000000" w:rsidRDefault="00000000" w:rsidRPr="00000000" w14:paraId="0000009B">
      <w:pPr>
        <w:jc w:val="center"/>
        <w:rPr/>
      </w:pPr>
      <w:r w:rsidDel="00000000" w:rsidR="00000000" w:rsidRPr="00000000">
        <w:rPr/>
        <w:drawing>
          <wp:inline distB="114300" distT="114300" distL="114300" distR="114300">
            <wp:extent cx="3962400" cy="2382982"/>
            <wp:effectExtent b="0" l="0" r="0" t="0"/>
            <wp:docPr id="32" name="image32.png"/>
            <a:graphic>
              <a:graphicData uri="http://schemas.openxmlformats.org/drawingml/2006/picture">
                <pic:pic>
                  <pic:nvPicPr>
                    <pic:cNvPr id="0" name="image32.png"/>
                    <pic:cNvPicPr preferRelativeResize="0"/>
                  </pic:nvPicPr>
                  <pic:blipFill>
                    <a:blip r:embed="rId20"/>
                    <a:srcRect b="0" l="0" r="0" t="0"/>
                    <a:stretch>
                      <a:fillRect/>
                    </a:stretch>
                  </pic:blipFill>
                  <pic:spPr>
                    <a:xfrm>
                      <a:off x="0" y="0"/>
                      <a:ext cx="3962400" cy="2382982"/>
                    </a:xfrm>
                    <a:prstGeom prst="rect"/>
                    <a:ln/>
                  </pic:spPr>
                </pic:pic>
              </a:graphicData>
            </a:graphic>
          </wp:inline>
        </w:drawing>
      </w:r>
      <w:r w:rsidDel="00000000" w:rsidR="00000000" w:rsidRPr="00000000">
        <w:rPr>
          <w:rtl w:val="0"/>
        </w:rPr>
      </w:r>
    </w:p>
    <w:p w:rsidR="00000000" w:rsidDel="00000000" w:rsidP="00000000" w:rsidRDefault="00000000" w:rsidRPr="00000000" w14:paraId="0000009C">
      <w:pPr>
        <w:jc w:val="center"/>
        <w:rPr>
          <w:b w:val="1"/>
        </w:rPr>
      </w:pPr>
      <w:r w:rsidDel="00000000" w:rsidR="00000000" w:rsidRPr="00000000">
        <w:rPr>
          <w:b w:val="1"/>
          <w:rtl w:val="0"/>
        </w:rPr>
        <w:t xml:space="preserve">Figure 8: Cashflow Ratios</w:t>
      </w:r>
    </w:p>
    <w:p w:rsidR="00000000" w:rsidDel="00000000" w:rsidP="00000000" w:rsidRDefault="00000000" w:rsidRPr="00000000" w14:paraId="0000009D">
      <w:pPr>
        <w:jc w:val="center"/>
        <w:rPr/>
      </w:pPr>
      <w:r w:rsidDel="00000000" w:rsidR="00000000" w:rsidRPr="00000000">
        <w:rPr>
          <w:rtl w:val="0"/>
        </w:rPr>
        <w:t xml:space="preserve">(Source: Marriott, 2021; Marriott, 2023; Marriott, 2025)</w:t>
      </w:r>
    </w:p>
    <w:p w:rsidR="00000000" w:rsidDel="00000000" w:rsidP="00000000" w:rsidRDefault="00000000" w:rsidRPr="00000000" w14:paraId="0000009E">
      <w:pPr>
        <w:rPr/>
      </w:pPr>
      <w:r w:rsidDel="00000000" w:rsidR="00000000" w:rsidRPr="00000000">
        <w:rPr>
          <w:rtl w:val="0"/>
        </w:rPr>
        <w:t xml:space="preserve">The operating cash flow is generally measured by “Cash Flow from Operations ÷ Current Liabilities” that effectively illustrates the potentiality of an organization towards meeting short term obligations effectively. The ratio represented boat increasing 0.43 in 2021 with following declination 0.32 in 2024. However, it was recovered by 18.8% in 2025 due to stronger cash generation of approximately $3,212 million (Marriott, 2025).</w:t>
      </w:r>
    </w:p>
    <w:p w:rsidR="00000000" w:rsidDel="00000000" w:rsidP="00000000" w:rsidRDefault="00000000" w:rsidRPr="00000000" w14:paraId="0000009F">
      <w:pPr>
        <w:rPr/>
      </w:pPr>
      <w:r w:rsidDel="00000000" w:rsidR="00000000" w:rsidRPr="00000000">
        <w:rPr>
          <w:rtl w:val="0"/>
        </w:rPr>
        <w:t xml:space="preserve">On the other hand, management of operating cash potentiality is measured by “Cash Flow from Operations ÷ Total Assets” based on asset value of the organization. Thus, in this case successive enhancement will also be identified in 8.3% of 2024 to 7.7% in 2025. Hence, this operational management better assets utilization with triple the value of cash flow from $1,177 million to $3,212 million (Marriott, 2025).</w:t>
      </w:r>
    </w:p>
    <w:p w:rsidR="00000000" w:rsidDel="00000000" w:rsidP="00000000" w:rsidRDefault="00000000" w:rsidRPr="00000000" w14:paraId="000000A0">
      <w:pPr>
        <w:rPr>
          <w:b w:val="1"/>
        </w:rPr>
      </w:pPr>
      <w:r w:rsidDel="00000000" w:rsidR="00000000" w:rsidRPr="00000000">
        <w:rPr>
          <w:b w:val="1"/>
          <w:rtl w:val="0"/>
        </w:rPr>
        <w:t xml:space="preserve">Strength</w:t>
      </w:r>
    </w:p>
    <w:p w:rsidR="00000000" w:rsidDel="00000000" w:rsidP="00000000" w:rsidRDefault="00000000" w:rsidRPr="00000000" w14:paraId="000000A1">
      <w:pPr>
        <w:rPr/>
      </w:pPr>
      <w:r w:rsidDel="00000000" w:rsidR="00000000" w:rsidRPr="00000000">
        <w:rPr>
          <w:rtl w:val="0"/>
        </w:rPr>
        <w:t xml:space="preserve">The effective management of cash flow defined stronger cash generation capability, efficient asset utilisation, and enhanced liquidity.</w:t>
      </w:r>
    </w:p>
    <w:p w:rsidR="00000000" w:rsidDel="00000000" w:rsidP="00000000" w:rsidRDefault="00000000" w:rsidRPr="00000000" w14:paraId="000000A2">
      <w:pPr>
        <w:rPr>
          <w:b w:val="1"/>
        </w:rPr>
      </w:pPr>
      <w:r w:rsidDel="00000000" w:rsidR="00000000" w:rsidRPr="00000000">
        <w:rPr>
          <w:b w:val="1"/>
          <w:rtl w:val="0"/>
        </w:rPr>
        <w:t xml:space="preserve">Weakness</w:t>
      </w:r>
    </w:p>
    <w:p w:rsidR="00000000" w:rsidDel="00000000" w:rsidP="00000000" w:rsidRDefault="00000000" w:rsidRPr="00000000" w14:paraId="000000A3">
      <w:pPr>
        <w:rPr/>
      </w:pPr>
      <w:r w:rsidDel="00000000" w:rsidR="00000000" w:rsidRPr="00000000">
        <w:rPr>
          <w:rtl w:val="0"/>
        </w:rPr>
        <w:t xml:space="preserve">The cash flow below 1.0 also indicates insufficient cash to fully cover the current liabilities position of Marriott International.</w:t>
      </w:r>
    </w:p>
    <w:p w:rsidR="00000000" w:rsidDel="00000000" w:rsidP="00000000" w:rsidRDefault="00000000" w:rsidRPr="00000000" w14:paraId="000000A4">
      <w:pPr>
        <w:pStyle w:val="Heading2"/>
        <w:rPr/>
      </w:pPr>
      <w:bookmarkStart w:colFirst="0" w:colLast="0" w:name="_1ksv4uv" w:id="16"/>
      <w:bookmarkEnd w:id="16"/>
      <w:r w:rsidDel="00000000" w:rsidR="00000000" w:rsidRPr="00000000">
        <w:rPr>
          <w:rtl w:val="0"/>
        </w:rPr>
        <w:t xml:space="preserve">1.8 Liquidity Benchmarking Against Industry Standards </w:t>
        <w:tab/>
      </w:r>
    </w:p>
    <w:p w:rsidR="00000000" w:rsidDel="00000000" w:rsidP="00000000" w:rsidRDefault="00000000" w:rsidRPr="00000000" w14:paraId="000000A5">
      <w:pPr>
        <w:pStyle w:val="Heading3"/>
        <w:rPr/>
      </w:pPr>
      <w:bookmarkStart w:colFirst="0" w:colLast="0" w:name="_44sinio" w:id="17"/>
      <w:bookmarkEnd w:id="17"/>
      <w:r w:rsidDel="00000000" w:rsidR="00000000" w:rsidRPr="00000000">
        <w:rPr>
          <w:rtl w:val="0"/>
        </w:rPr>
        <w:t xml:space="preserve">1.8.1 Evaluation with Liquidity Industrial Benchmark</w:t>
      </w:r>
    </w:p>
    <w:p w:rsidR="00000000" w:rsidDel="00000000" w:rsidP="00000000" w:rsidRDefault="00000000" w:rsidRPr="00000000" w14:paraId="000000A6">
      <w:pPr>
        <w:rPr/>
      </w:pPr>
      <w:r w:rsidDel="00000000" w:rsidR="00000000" w:rsidRPr="00000000">
        <w:rPr>
          <w:rtl w:val="0"/>
        </w:rPr>
        <w:t xml:space="preserve">As per the financial performance, Marriott has reduced its liquidity ratio in comparison to the industry standard of 2.0 in 2025.The decline in the inventory management services has lowered the product popularity of the organisation among the customers. For instance, Marriott Internationals has reduced its operating income to $445m due to inferior quality services in 2025 (Marriott Group, 2026). The decline in the income has increased the market competition level for the company. Overall, the lowering of the liquidity value has hampered the financial stability of the company.</w:t>
      </w:r>
    </w:p>
    <w:p w:rsidR="00000000" w:rsidDel="00000000" w:rsidP="00000000" w:rsidRDefault="00000000" w:rsidRPr="00000000" w14:paraId="000000A7">
      <w:pPr>
        <w:pStyle w:val="Heading3"/>
        <w:rPr/>
      </w:pPr>
      <w:bookmarkStart w:colFirst="0" w:colLast="0" w:name="_2jxsxqh" w:id="18"/>
      <w:bookmarkEnd w:id="18"/>
      <w:r w:rsidDel="00000000" w:rsidR="00000000" w:rsidRPr="00000000">
        <w:rPr>
          <w:rtl w:val="0"/>
        </w:rPr>
        <w:t xml:space="preserve">1.8.2 Liquidity Comparison with benchmark reliable with sector</w:t>
      </w:r>
    </w:p>
    <w:p w:rsidR="00000000" w:rsidDel="00000000" w:rsidP="00000000" w:rsidRDefault="00000000" w:rsidRPr="00000000" w14:paraId="000000A8">
      <w:pPr>
        <w:rPr/>
      </w:pPr>
      <w:r w:rsidDel="00000000" w:rsidR="00000000" w:rsidRPr="00000000">
        <w:rPr>
          <w:rtl w:val="0"/>
        </w:rPr>
        <w:t xml:space="preserve">Liquidity benchmark of Marriott International is 2.0 which showcases “short-term liabilities” by ability to exceed its asset management. Marriott international manages its aggressive cash return through significant paying of dividend buyback share which leads to managing its standard liquidity. On the other hand, the UK hospitality industry constantly raises its standard hourly wages by 30% with an approximate value of $22.70 that enhances additional expanse cost for Marriott internationals (Vidakovic, 2025). Overall, this leads to rising operating loss apart from managing the short term position of the organisation. </w:t>
      </w:r>
    </w:p>
    <w:p w:rsidR="00000000" w:rsidDel="00000000" w:rsidP="00000000" w:rsidRDefault="00000000" w:rsidRPr="00000000" w14:paraId="000000A9">
      <w:pPr>
        <w:jc w:val="center"/>
        <w:rPr>
          <w:color w:val="ff0000"/>
        </w:rPr>
      </w:pPr>
      <w:r w:rsidDel="00000000" w:rsidR="00000000" w:rsidRPr="00000000">
        <w:rPr>
          <w:color w:val="ff0000"/>
        </w:rPr>
        <w:drawing>
          <wp:inline distB="114300" distT="114300" distL="114300" distR="114300">
            <wp:extent cx="5486400" cy="2921000"/>
            <wp:effectExtent b="0" l="0" r="0" t="0"/>
            <wp:docPr id="34" name="image34.png"/>
            <a:graphic>
              <a:graphicData uri="http://schemas.openxmlformats.org/drawingml/2006/picture">
                <pic:pic>
                  <pic:nvPicPr>
                    <pic:cNvPr id="0" name="image34.png"/>
                    <pic:cNvPicPr preferRelativeResize="0"/>
                  </pic:nvPicPr>
                  <pic:blipFill>
                    <a:blip r:embed="rId21"/>
                    <a:srcRect b="0" l="0" r="0" t="0"/>
                    <a:stretch>
                      <a:fillRect/>
                    </a:stretch>
                  </pic:blipFill>
                  <pic:spPr>
                    <a:xfrm>
                      <a:off x="0" y="0"/>
                      <a:ext cx="5486400" cy="2921000"/>
                    </a:xfrm>
                    <a:prstGeom prst="rect"/>
                    <a:ln/>
                  </pic:spPr>
                </pic:pic>
              </a:graphicData>
            </a:graphic>
          </wp:inline>
        </w:drawing>
      </w:r>
      <w:r w:rsidDel="00000000" w:rsidR="00000000" w:rsidRPr="00000000">
        <w:rPr>
          <w:rtl w:val="0"/>
        </w:rPr>
      </w:r>
    </w:p>
    <w:p w:rsidR="00000000" w:rsidDel="00000000" w:rsidP="00000000" w:rsidRDefault="00000000" w:rsidRPr="00000000" w14:paraId="000000AA">
      <w:pPr>
        <w:jc w:val="center"/>
        <w:rPr>
          <w:b w:val="1"/>
        </w:rPr>
      </w:pPr>
      <w:r w:rsidDel="00000000" w:rsidR="00000000" w:rsidRPr="00000000">
        <w:rPr>
          <w:b w:val="1"/>
          <w:rtl w:val="0"/>
        </w:rPr>
        <w:t xml:space="preserve">Figure 9: Hospitality wages</w:t>
      </w:r>
    </w:p>
    <w:p w:rsidR="00000000" w:rsidDel="00000000" w:rsidP="00000000" w:rsidRDefault="00000000" w:rsidRPr="00000000" w14:paraId="000000AB">
      <w:pPr>
        <w:jc w:val="center"/>
        <w:rPr/>
      </w:pPr>
      <w:r w:rsidDel="00000000" w:rsidR="00000000" w:rsidRPr="00000000">
        <w:rPr>
          <w:rtl w:val="0"/>
        </w:rPr>
        <w:t xml:space="preserve">(Source: Vidakovic, 2025)</w:t>
      </w:r>
      <w:r w:rsidDel="00000000" w:rsidR="00000000" w:rsidRPr="00000000">
        <w:br w:type="page"/>
      </w:r>
      <w:r w:rsidDel="00000000" w:rsidR="00000000" w:rsidRPr="00000000">
        <w:rPr>
          <w:rtl w:val="0"/>
        </w:rPr>
      </w:r>
    </w:p>
    <w:p w:rsidR="00000000" w:rsidDel="00000000" w:rsidP="00000000" w:rsidRDefault="00000000" w:rsidRPr="00000000" w14:paraId="000000AC">
      <w:pPr>
        <w:pStyle w:val="Heading1"/>
        <w:rPr/>
      </w:pPr>
      <w:bookmarkStart w:colFirst="0" w:colLast="0" w:name="_z337ya" w:id="19"/>
      <w:bookmarkEnd w:id="19"/>
      <w:r w:rsidDel="00000000" w:rsidR="00000000" w:rsidRPr="00000000">
        <w:rPr>
          <w:rtl w:val="0"/>
        </w:rPr>
        <w:t xml:space="preserve">2. Working Capital Management Analysis </w:t>
      </w:r>
    </w:p>
    <w:p w:rsidR="00000000" w:rsidDel="00000000" w:rsidP="00000000" w:rsidRDefault="00000000" w:rsidRPr="00000000" w14:paraId="000000AD">
      <w:pPr>
        <w:pStyle w:val="Heading2"/>
        <w:rPr/>
      </w:pPr>
      <w:bookmarkStart w:colFirst="0" w:colLast="0" w:name="_3j2qqm3" w:id="20"/>
      <w:bookmarkEnd w:id="20"/>
      <w:r w:rsidDel="00000000" w:rsidR="00000000" w:rsidRPr="00000000">
        <w:rPr>
          <w:rtl w:val="0"/>
        </w:rPr>
        <w:t xml:space="preserve">2.1 Cash Operating Cycle </w:t>
        <w:tab/>
      </w:r>
    </w:p>
    <w:p w:rsidR="00000000" w:rsidDel="00000000" w:rsidP="00000000" w:rsidRDefault="00000000" w:rsidRPr="00000000" w14:paraId="000000AE">
      <w:pPr>
        <w:pStyle w:val="Heading3"/>
        <w:rPr/>
      </w:pPr>
      <w:bookmarkStart w:colFirst="0" w:colLast="0" w:name="_1y810tw" w:id="21"/>
      <w:bookmarkEnd w:id="21"/>
      <w:r w:rsidDel="00000000" w:rsidR="00000000" w:rsidRPr="00000000">
        <w:rPr>
          <w:rtl w:val="0"/>
        </w:rPr>
        <w:t xml:space="preserve">2.1.1 Receivables Collection Period</w:t>
      </w:r>
    </w:p>
    <w:p w:rsidR="00000000" w:rsidDel="00000000" w:rsidP="00000000" w:rsidRDefault="00000000" w:rsidRPr="00000000" w14:paraId="000000AF">
      <w:pPr>
        <w:rPr/>
      </w:pPr>
      <w:bookmarkStart w:colFirst="0" w:colLast="0" w:name="_1x0gk37" w:id="22"/>
      <w:bookmarkEnd w:id="22"/>
      <w:r w:rsidDel="00000000" w:rsidR="00000000" w:rsidRPr="00000000">
        <w:rPr/>
        <w:drawing>
          <wp:inline distB="114300" distT="114300" distL="114300" distR="114300">
            <wp:extent cx="5943600" cy="723900"/>
            <wp:effectExtent b="0" l="0" r="0" t="0"/>
            <wp:docPr id="36" name="image36.png"/>
            <a:graphic>
              <a:graphicData uri="http://schemas.openxmlformats.org/drawingml/2006/picture">
                <pic:pic>
                  <pic:nvPicPr>
                    <pic:cNvPr id="0" name="image36.png"/>
                    <pic:cNvPicPr preferRelativeResize="0"/>
                  </pic:nvPicPr>
                  <pic:blipFill>
                    <a:blip r:embed="rId22"/>
                    <a:srcRect b="0" l="0" r="0" t="0"/>
                    <a:stretch>
                      <a:fillRect/>
                    </a:stretch>
                  </pic:blipFill>
                  <pic:spPr>
                    <a:xfrm>
                      <a:off x="0" y="0"/>
                      <a:ext cx="5943600" cy="723900"/>
                    </a:xfrm>
                    <a:prstGeom prst="rect"/>
                    <a:ln/>
                  </pic:spPr>
                </pic:pic>
              </a:graphicData>
            </a:graphic>
          </wp:inline>
        </w:drawing>
      </w:r>
      <w:r w:rsidDel="00000000" w:rsidR="00000000" w:rsidRPr="00000000">
        <w:rPr>
          <w:rtl w:val="0"/>
        </w:rPr>
      </w:r>
    </w:p>
    <w:p w:rsidR="00000000" w:rsidDel="00000000" w:rsidP="00000000" w:rsidRDefault="00000000" w:rsidRPr="00000000" w14:paraId="000000B0">
      <w:pPr>
        <w:jc w:val="center"/>
        <w:rPr>
          <w:b w:val="1"/>
        </w:rPr>
      </w:pPr>
      <w:r w:rsidDel="00000000" w:rsidR="00000000" w:rsidRPr="00000000">
        <w:rPr>
          <w:b w:val="1"/>
          <w:rtl w:val="0"/>
        </w:rPr>
        <w:t xml:space="preserve">Figure 10: Receivable Collection Period</w:t>
      </w:r>
    </w:p>
    <w:p w:rsidR="00000000" w:rsidDel="00000000" w:rsidP="00000000" w:rsidRDefault="00000000" w:rsidRPr="00000000" w14:paraId="000000B1">
      <w:pPr>
        <w:jc w:val="center"/>
        <w:rPr/>
      </w:pPr>
      <w:r w:rsidDel="00000000" w:rsidR="00000000" w:rsidRPr="00000000">
        <w:rPr>
          <w:rtl w:val="0"/>
        </w:rPr>
        <w:tab/>
        <w:t xml:space="preserve">(Source: Marriott, 2021; Marriott, 2023; Marriott, 2025)</w:t>
      </w:r>
    </w:p>
    <w:p w:rsidR="00000000" w:rsidDel="00000000" w:rsidP="00000000" w:rsidRDefault="00000000" w:rsidRPr="00000000" w14:paraId="000000B2">
      <w:pPr>
        <w:rPr/>
      </w:pPr>
      <w:r w:rsidDel="00000000" w:rsidR="00000000" w:rsidRPr="00000000">
        <w:rPr>
          <w:rtl w:val="0"/>
        </w:rPr>
        <w:t xml:space="preserve">Marriott Internationals has increased its receivable value to $2852m in 2025. In addition, the organisation has also achieved a revenue growth of 89.01% due to improvement in the service demand in 2025 (Marriott, 2025). Overall, the strengthening of the business income has helped Marriott Internationals in acquiring competitive advantage over other companies.</w:t>
      </w:r>
    </w:p>
    <w:p w:rsidR="00000000" w:rsidDel="00000000" w:rsidP="00000000" w:rsidRDefault="00000000" w:rsidRPr="00000000" w14:paraId="000000B3">
      <w:pPr>
        <w:pStyle w:val="Heading3"/>
        <w:rPr/>
      </w:pPr>
      <w:bookmarkStart w:colFirst="0" w:colLast="0" w:name="_4i7ojhp" w:id="23"/>
      <w:bookmarkEnd w:id="23"/>
      <w:r w:rsidDel="00000000" w:rsidR="00000000" w:rsidRPr="00000000">
        <w:rPr>
          <w:rtl w:val="0"/>
        </w:rPr>
        <w:t xml:space="preserve">2.1.2 Payables Deferral Period</w:t>
      </w:r>
    </w:p>
    <w:p w:rsidR="00000000" w:rsidDel="00000000" w:rsidP="00000000" w:rsidRDefault="00000000" w:rsidRPr="00000000" w14:paraId="000000B4">
      <w:pPr>
        <w:jc w:val="center"/>
        <w:rPr/>
      </w:pPr>
      <w:r w:rsidDel="00000000" w:rsidR="00000000" w:rsidRPr="00000000">
        <w:rPr/>
        <w:drawing>
          <wp:inline distB="114300" distT="114300" distL="114300" distR="114300">
            <wp:extent cx="5943600" cy="857250"/>
            <wp:effectExtent b="0" l="0" r="0" t="0"/>
            <wp:docPr id="38" name="image38.png"/>
            <a:graphic>
              <a:graphicData uri="http://schemas.openxmlformats.org/drawingml/2006/picture">
                <pic:pic>
                  <pic:nvPicPr>
                    <pic:cNvPr id="0" name="image38.png"/>
                    <pic:cNvPicPr preferRelativeResize="0"/>
                  </pic:nvPicPr>
                  <pic:blipFill>
                    <a:blip r:embed="rId23"/>
                    <a:srcRect b="0" l="0" r="0" t="0"/>
                    <a:stretch>
                      <a:fillRect/>
                    </a:stretch>
                  </pic:blipFill>
                  <pic:spPr>
                    <a:xfrm>
                      <a:off x="0" y="0"/>
                      <a:ext cx="5943600" cy="857250"/>
                    </a:xfrm>
                    <a:prstGeom prst="rect"/>
                    <a:ln/>
                  </pic:spPr>
                </pic:pic>
              </a:graphicData>
            </a:graphic>
          </wp:inline>
        </w:drawing>
      </w:r>
      <w:r w:rsidDel="00000000" w:rsidR="00000000" w:rsidRPr="00000000">
        <w:rPr>
          <w:rtl w:val="0"/>
        </w:rPr>
      </w:r>
    </w:p>
    <w:p w:rsidR="00000000" w:rsidDel="00000000" w:rsidP="00000000" w:rsidRDefault="00000000" w:rsidRPr="00000000" w14:paraId="000000B5">
      <w:pPr>
        <w:jc w:val="center"/>
        <w:rPr>
          <w:b w:val="1"/>
        </w:rPr>
      </w:pPr>
      <w:r w:rsidDel="00000000" w:rsidR="00000000" w:rsidRPr="00000000">
        <w:rPr>
          <w:b w:val="1"/>
          <w:rtl w:val="0"/>
        </w:rPr>
        <w:t xml:space="preserve">Figure 11: Payable deferral period</w:t>
      </w:r>
    </w:p>
    <w:p w:rsidR="00000000" w:rsidDel="00000000" w:rsidP="00000000" w:rsidRDefault="00000000" w:rsidRPr="00000000" w14:paraId="000000B6">
      <w:pPr>
        <w:jc w:val="center"/>
        <w:rPr/>
      </w:pPr>
      <w:r w:rsidDel="00000000" w:rsidR="00000000" w:rsidRPr="00000000">
        <w:rPr>
          <w:rtl w:val="0"/>
        </w:rPr>
        <w:t xml:space="preserve">(Source: Marriott, 2021; Marriott, 2023; Marriott, 2025)</w:t>
      </w:r>
    </w:p>
    <w:p w:rsidR="00000000" w:rsidDel="00000000" w:rsidP="00000000" w:rsidRDefault="00000000" w:rsidRPr="00000000" w14:paraId="000000B7">
      <w:pPr>
        <w:rPr/>
      </w:pPr>
      <w:r w:rsidDel="00000000" w:rsidR="00000000" w:rsidRPr="00000000">
        <w:rPr>
          <w:rtl w:val="0"/>
        </w:rPr>
        <w:t xml:space="preserve">The average number of paying premium terms among suppliers also raise more effectively with management debenture value associated with Marriott International. The declination of periodical value will also be reduced in 13 days and also be helpful towards more potentiality of reducing interest expected rate and managing better cash inflow of business (Marriott, 2025).</w:t>
        <w:tab/>
      </w:r>
    </w:p>
    <w:p w:rsidR="00000000" w:rsidDel="00000000" w:rsidP="00000000" w:rsidRDefault="00000000" w:rsidRPr="00000000" w14:paraId="000000B8">
      <w:pPr>
        <w:pStyle w:val="Heading3"/>
        <w:rPr/>
      </w:pPr>
      <w:bookmarkStart w:colFirst="0" w:colLast="0" w:name="_2xcytpi" w:id="24"/>
      <w:bookmarkEnd w:id="24"/>
      <w:r w:rsidDel="00000000" w:rsidR="00000000" w:rsidRPr="00000000">
        <w:rPr>
          <w:rtl w:val="0"/>
        </w:rPr>
        <w:t xml:space="preserve">2.1.3 Cash Operating Cycle Evaluation</w:t>
      </w:r>
    </w:p>
    <w:p w:rsidR="00000000" w:rsidDel="00000000" w:rsidP="00000000" w:rsidRDefault="00000000" w:rsidRPr="00000000" w14:paraId="000000B9">
      <w:pPr>
        <w:jc w:val="center"/>
        <w:rPr/>
      </w:pPr>
      <w:bookmarkStart w:colFirst="0" w:colLast="0" w:name="_4h042r0" w:id="25"/>
      <w:bookmarkEnd w:id="25"/>
      <w:r w:rsidDel="00000000" w:rsidR="00000000" w:rsidRPr="00000000">
        <w:rPr/>
        <w:drawing>
          <wp:inline distB="114300" distT="114300" distL="114300" distR="114300">
            <wp:extent cx="4648200" cy="847725"/>
            <wp:effectExtent b="0" l="0" r="0" t="0"/>
            <wp:docPr id="40" name="image40.png"/>
            <a:graphic>
              <a:graphicData uri="http://schemas.openxmlformats.org/drawingml/2006/picture">
                <pic:pic>
                  <pic:nvPicPr>
                    <pic:cNvPr id="0" name="image40.png"/>
                    <pic:cNvPicPr preferRelativeResize="0"/>
                  </pic:nvPicPr>
                  <pic:blipFill>
                    <a:blip r:embed="rId24"/>
                    <a:srcRect b="0" l="0" r="0" t="0"/>
                    <a:stretch>
                      <a:fillRect/>
                    </a:stretch>
                  </pic:blipFill>
                  <pic:spPr>
                    <a:xfrm>
                      <a:off x="0" y="0"/>
                      <a:ext cx="4648200" cy="847725"/>
                    </a:xfrm>
                    <a:prstGeom prst="rect"/>
                    <a:ln/>
                  </pic:spPr>
                </pic:pic>
              </a:graphicData>
            </a:graphic>
          </wp:inline>
        </w:drawing>
      </w:r>
      <w:r w:rsidDel="00000000" w:rsidR="00000000" w:rsidRPr="00000000">
        <w:rPr>
          <w:rtl w:val="0"/>
        </w:rPr>
      </w:r>
    </w:p>
    <w:p w:rsidR="00000000" w:rsidDel="00000000" w:rsidP="00000000" w:rsidRDefault="00000000" w:rsidRPr="00000000" w14:paraId="000000BA">
      <w:pPr>
        <w:jc w:val="center"/>
        <w:rPr>
          <w:b w:val="1"/>
        </w:rPr>
      </w:pPr>
      <w:r w:rsidDel="00000000" w:rsidR="00000000" w:rsidRPr="00000000">
        <w:rPr>
          <w:b w:val="1"/>
          <w:rtl w:val="0"/>
        </w:rPr>
        <w:t xml:space="preserve">Figure 12: Cash Operating Cycle</w:t>
      </w:r>
    </w:p>
    <w:p w:rsidR="00000000" w:rsidDel="00000000" w:rsidP="00000000" w:rsidRDefault="00000000" w:rsidRPr="00000000" w14:paraId="000000BB">
      <w:pPr>
        <w:jc w:val="center"/>
        <w:rPr/>
      </w:pPr>
      <w:r w:rsidDel="00000000" w:rsidR="00000000" w:rsidRPr="00000000">
        <w:rPr>
          <w:rtl w:val="0"/>
        </w:rPr>
        <w:t xml:space="preserve">(Source: Marriott, 2021; Marriott, 2023; Marriott, 2025)</w:t>
      </w:r>
    </w:p>
    <w:p w:rsidR="00000000" w:rsidDel="00000000" w:rsidP="00000000" w:rsidRDefault="00000000" w:rsidRPr="00000000" w14:paraId="000000BC">
      <w:pPr>
        <w:rPr/>
      </w:pPr>
      <w:r w:rsidDel="00000000" w:rsidR="00000000" w:rsidRPr="00000000">
        <w:rPr>
          <w:rtl w:val="0"/>
        </w:rPr>
        <w:t xml:space="preserve">Marriott Internationals has reduced its cash operating cycle to 40 days due to diversification of its business investments in 2025 (Marriott, 2025). Overall, the consistent supply of operational funds has helped the hotel company in ensuring timely completion of its projects. </w:t>
      </w:r>
    </w:p>
    <w:p w:rsidR="00000000" w:rsidDel="00000000" w:rsidP="00000000" w:rsidRDefault="00000000" w:rsidRPr="00000000" w14:paraId="000000BD">
      <w:pPr>
        <w:pStyle w:val="Heading2"/>
        <w:rPr/>
      </w:pPr>
      <w:bookmarkStart w:colFirst="0" w:colLast="0" w:name="_1ci93xb" w:id="26"/>
      <w:bookmarkEnd w:id="26"/>
      <w:r w:rsidDel="00000000" w:rsidR="00000000" w:rsidRPr="00000000">
        <w:rPr>
          <w:rtl w:val="0"/>
        </w:rPr>
        <w:t xml:space="preserve">2.2 Working Capital Challenges </w:t>
      </w:r>
    </w:p>
    <w:p w:rsidR="00000000" w:rsidDel="00000000" w:rsidP="00000000" w:rsidRDefault="00000000" w:rsidRPr="00000000" w14:paraId="000000BE">
      <w:pPr>
        <w:rPr/>
      </w:pPr>
      <w:r w:rsidDel="00000000" w:rsidR="00000000" w:rsidRPr="00000000">
        <w:rPr>
          <w:rtl w:val="0"/>
        </w:rPr>
        <w:t xml:space="preserve">The enhancement in the operational expenses is a critical issue for Marriott Internationals that has hampered its market stability. For example, the product cost of the company has increased to $5.96bn due to enhancement in its credit card fees in 2025 (Tripathy, 2026). In addition, Marriott Internationals has also observed a rise in the inflation value that has adversely influenced its service demand among customers. Overall, the availability of high inventory costs has hampered the operational efficiency of the hotel company.</w:t>
      </w:r>
    </w:p>
    <w:p w:rsidR="00000000" w:rsidDel="00000000" w:rsidP="00000000" w:rsidRDefault="00000000" w:rsidRPr="00000000" w14:paraId="000000BF">
      <w:pPr>
        <w:pStyle w:val="Heading2"/>
        <w:rPr/>
      </w:pPr>
      <w:bookmarkStart w:colFirst="0" w:colLast="0" w:name="_3whwml4" w:id="27"/>
      <w:bookmarkEnd w:id="27"/>
      <w:r w:rsidDel="00000000" w:rsidR="00000000" w:rsidRPr="00000000">
        <w:rPr>
          <w:rtl w:val="0"/>
        </w:rPr>
        <w:t xml:space="preserve">2.3 Recommendation to improve liquidity of working capital </w:t>
      </w:r>
    </w:p>
    <w:p w:rsidR="00000000" w:rsidDel="00000000" w:rsidP="00000000" w:rsidRDefault="00000000" w:rsidRPr="00000000" w14:paraId="000000C0">
      <w:pPr>
        <w:pStyle w:val="Heading3"/>
        <w:rPr/>
      </w:pPr>
      <w:bookmarkStart w:colFirst="0" w:colLast="0" w:name="_2bn6wsx" w:id="28"/>
      <w:bookmarkEnd w:id="28"/>
      <w:r w:rsidDel="00000000" w:rsidR="00000000" w:rsidRPr="00000000">
        <w:rPr>
          <w:rtl w:val="0"/>
        </w:rPr>
        <w:t xml:space="preserve">2.3.1 Management of Account Receivables</w:t>
      </w:r>
    </w:p>
    <w:p w:rsidR="00000000" w:rsidDel="00000000" w:rsidP="00000000" w:rsidRDefault="00000000" w:rsidRPr="00000000" w14:paraId="000000C1">
      <w:pPr>
        <w:rPr/>
      </w:pPr>
      <w:r w:rsidDel="00000000" w:rsidR="00000000" w:rsidRPr="00000000">
        <w:rPr>
          <w:rtl w:val="0"/>
        </w:rPr>
        <w:t xml:space="preserve">Marriott Internationals have focused on including a third party payment strategy for recovering debts from the customers. For example, the organisation has organised the “MAG Payment Conference" for adopting credit and debit card services in 2025 (Chargebacks, 2025). In addition, the seminar has also assisted the organisation in reducing its bad debts. Marriott Internationals has recovered around $14.4bn dues from the customers in 2025 (Marriott , 2026). </w:t>
        <w:tab/>
        <w:t xml:space="preserve">Hence, the infrastructural enhancement has helped the company in improving its brand image.</w:t>
      </w:r>
    </w:p>
    <w:p w:rsidR="00000000" w:rsidDel="00000000" w:rsidP="00000000" w:rsidRDefault="00000000" w:rsidRPr="00000000" w14:paraId="000000C2">
      <w:pPr>
        <w:pStyle w:val="Heading3"/>
        <w:rPr/>
      </w:pPr>
      <w:bookmarkStart w:colFirst="0" w:colLast="0" w:name="_qsh70q" w:id="29"/>
      <w:bookmarkEnd w:id="29"/>
      <w:r w:rsidDel="00000000" w:rsidR="00000000" w:rsidRPr="00000000">
        <w:rPr>
          <w:rtl w:val="0"/>
        </w:rPr>
        <w:t xml:space="preserve">2.3.2 Monitoring Account Payables</w:t>
      </w:r>
    </w:p>
    <w:p w:rsidR="00000000" w:rsidDel="00000000" w:rsidP="00000000" w:rsidRDefault="00000000" w:rsidRPr="00000000" w14:paraId="000000C3">
      <w:pPr>
        <w:rPr/>
      </w:pPr>
      <w:r w:rsidDel="00000000" w:rsidR="00000000" w:rsidRPr="00000000">
        <w:rPr>
          <w:rtl w:val="0"/>
        </w:rPr>
        <w:t xml:space="preserve">Marriott Internationals has also utilized digitalisation with an intent to monitor the requirements of its stakeholders. For example, the company has developed platforms such as “Supplier.io” that has helped in monitoring the payment requirements of its creditors in 2025 (Marriott Group, 2025). Thus, the adoption of the digital techniques has helped Marriott Internationals in improving its organisational harmony.</w:t>
        <w:tab/>
      </w:r>
    </w:p>
    <w:p w:rsidR="00000000" w:rsidDel="00000000" w:rsidP="00000000" w:rsidRDefault="00000000" w:rsidRPr="00000000" w14:paraId="000000C4">
      <w:pPr>
        <w:pStyle w:val="Heading3"/>
        <w:rPr/>
      </w:pPr>
      <w:bookmarkStart w:colFirst="0" w:colLast="0" w:name="_3as4poj" w:id="30"/>
      <w:bookmarkEnd w:id="30"/>
      <w:r w:rsidDel="00000000" w:rsidR="00000000" w:rsidRPr="00000000">
        <w:rPr>
          <w:rtl w:val="0"/>
        </w:rPr>
        <w:t xml:space="preserve">2.3.3 Cash Management Reforms</w:t>
      </w:r>
    </w:p>
    <w:p w:rsidR="00000000" w:rsidDel="00000000" w:rsidP="00000000" w:rsidRDefault="00000000" w:rsidRPr="00000000" w14:paraId="000000C5">
      <w:pPr>
        <w:rPr/>
      </w:pPr>
      <w:r w:rsidDel="00000000" w:rsidR="00000000" w:rsidRPr="00000000">
        <w:rPr>
          <w:rtl w:val="0"/>
        </w:rPr>
        <w:t xml:space="preserve">Marriott Internationals has also focused on improving its financial resources for meeting the expenses incurred in its business operations. For instance, the company has increased its gross profit margin by -95% in 2020 to 3% in 2025 (Agarwal, 2025). Hence, the improvement in the income has helped Marriott Internationals in strengthening its fund requirements significantly.</w:t>
      </w:r>
    </w:p>
    <w:p w:rsidR="00000000" w:rsidDel="00000000" w:rsidP="00000000" w:rsidRDefault="00000000" w:rsidRPr="00000000" w14:paraId="000000C6">
      <w:pPr>
        <w:jc w:val="center"/>
        <w:rPr>
          <w:b w:val="1"/>
        </w:rPr>
      </w:pPr>
      <w:r w:rsidDel="00000000" w:rsidR="00000000" w:rsidRPr="00000000">
        <w:rPr/>
        <w:drawing>
          <wp:inline distB="114300" distT="114300" distL="114300" distR="114300">
            <wp:extent cx="5943600" cy="2984500"/>
            <wp:effectExtent b="0" l="0" r="0" t="0"/>
            <wp:docPr id="41" name="image41.png"/>
            <a:graphic>
              <a:graphicData uri="http://schemas.openxmlformats.org/drawingml/2006/picture">
                <pic:pic>
                  <pic:nvPicPr>
                    <pic:cNvPr id="0" name="image41.png"/>
                    <pic:cNvPicPr preferRelativeResize="0"/>
                  </pic:nvPicPr>
                  <pic:blipFill>
                    <a:blip r:embed="rId25"/>
                    <a:srcRect b="0" l="0" r="0" t="0"/>
                    <a:stretch>
                      <a:fillRect/>
                    </a:stretch>
                  </pic:blipFill>
                  <pic:spPr>
                    <a:xfrm>
                      <a:off x="0" y="0"/>
                      <a:ext cx="5943600" cy="2984500"/>
                    </a:xfrm>
                    <a:prstGeom prst="rect"/>
                    <a:ln/>
                  </pic:spPr>
                </pic:pic>
              </a:graphicData>
            </a:graphic>
          </wp:inline>
        </w:drawing>
      </w:r>
      <w:r w:rsidDel="00000000" w:rsidR="00000000" w:rsidRPr="00000000">
        <w:rPr>
          <w:rtl w:val="0"/>
        </w:rPr>
        <w:tab/>
      </w:r>
      <w:r w:rsidDel="00000000" w:rsidR="00000000" w:rsidRPr="00000000">
        <w:rPr>
          <w:b w:val="1"/>
          <w:rtl w:val="0"/>
        </w:rPr>
        <w:t xml:space="preserve">Figure 13: Gross Profit Margin of Marriott</w:t>
      </w:r>
    </w:p>
    <w:p w:rsidR="00000000" w:rsidDel="00000000" w:rsidP="00000000" w:rsidRDefault="00000000" w:rsidRPr="00000000" w14:paraId="000000C7">
      <w:pPr>
        <w:jc w:val="center"/>
        <w:rPr/>
      </w:pPr>
      <w:r w:rsidDel="00000000" w:rsidR="00000000" w:rsidRPr="00000000">
        <w:rPr>
          <w:rtl w:val="0"/>
        </w:rPr>
        <w:t xml:space="preserve">(Source: Agarwal, 2025)</w:t>
      </w:r>
    </w:p>
    <w:p w:rsidR="00000000" w:rsidDel="00000000" w:rsidP="00000000" w:rsidRDefault="00000000" w:rsidRPr="00000000" w14:paraId="000000C8">
      <w:pPr>
        <w:pStyle w:val="Heading2"/>
        <w:rPr/>
      </w:pPr>
      <w:bookmarkStart w:colFirst="0" w:colLast="0" w:name="_1pxezwc" w:id="31"/>
      <w:bookmarkEnd w:id="31"/>
      <w:r w:rsidDel="00000000" w:rsidR="00000000" w:rsidRPr="00000000">
        <w:rPr>
          <w:rtl w:val="0"/>
        </w:rPr>
        <w:t xml:space="preserve">2.4 Comparison of financing option </w:t>
      </w:r>
    </w:p>
    <w:p w:rsidR="00000000" w:rsidDel="00000000" w:rsidP="00000000" w:rsidRDefault="00000000" w:rsidRPr="00000000" w14:paraId="000000C9">
      <w:pPr>
        <w:pStyle w:val="Heading3"/>
        <w:rPr/>
      </w:pPr>
      <w:bookmarkStart w:colFirst="0" w:colLast="0" w:name="_49x2ik5" w:id="32"/>
      <w:bookmarkEnd w:id="32"/>
      <w:r w:rsidDel="00000000" w:rsidR="00000000" w:rsidRPr="00000000">
        <w:rPr>
          <w:rtl w:val="0"/>
        </w:rPr>
        <w:t xml:space="preserve">2.4.1 Short-Term Financing Options</w:t>
        <w:tab/>
      </w:r>
    </w:p>
    <w:p w:rsidR="00000000" w:rsidDel="00000000" w:rsidP="00000000" w:rsidRDefault="00000000" w:rsidRPr="00000000" w14:paraId="000000CA">
      <w:pPr>
        <w:rPr/>
      </w:pPr>
      <w:r w:rsidDel="00000000" w:rsidR="00000000" w:rsidRPr="00000000">
        <w:rPr>
          <w:b w:val="1"/>
          <w:rtl w:val="0"/>
        </w:rPr>
        <w:t xml:space="preserve">Trade credit</w:t>
      </w:r>
      <w:r w:rsidDel="00000000" w:rsidR="00000000" w:rsidRPr="00000000">
        <w:rPr>
          <w:rtl w:val="0"/>
        </w:rPr>
        <w:t xml:space="preserve"> </w:t>
      </w:r>
    </w:p>
    <w:p w:rsidR="00000000" w:rsidDel="00000000" w:rsidP="00000000" w:rsidRDefault="00000000" w:rsidRPr="00000000" w14:paraId="000000CB">
      <w:pPr>
        <w:rPr/>
      </w:pPr>
      <w:r w:rsidDel="00000000" w:rsidR="00000000" w:rsidRPr="00000000">
        <w:rPr>
          <w:rtl w:val="0"/>
        </w:rPr>
        <w:t xml:space="preserve">Trade credit of Marriott International, which is about $763M by ability to deal with cash flow through reliable payment (Trading Economics, 2026). The trade credit boosted “short-term liquidity” by ability to deal with cash flow in managing “day-to-day operation”. </w:t>
      </w:r>
      <w:r w:rsidDel="00000000" w:rsidR="00000000" w:rsidRPr="00000000">
        <w:rPr>
          <w:color w:val="000000"/>
          <w:rtl w:val="0"/>
        </w:rPr>
        <w:t xml:space="preserve">Hence, the improvement in the payment services has helped Marriott International in strengthening its credit relationships and meeting business requirements.</w:t>
      </w:r>
      <w:r w:rsidDel="00000000" w:rsidR="00000000" w:rsidRPr="00000000">
        <w:rPr>
          <w:rtl w:val="0"/>
        </w:rPr>
        <w:t xml:space="preserve"> </w:t>
      </w:r>
    </w:p>
    <w:p w:rsidR="00000000" w:rsidDel="00000000" w:rsidP="00000000" w:rsidRDefault="00000000" w:rsidRPr="00000000" w14:paraId="000000CC">
      <w:pPr>
        <w:rPr/>
      </w:pPr>
      <w:r w:rsidDel="00000000" w:rsidR="00000000" w:rsidRPr="00000000">
        <w:rPr>
          <w:b w:val="1"/>
          <w:rtl w:val="0"/>
        </w:rPr>
        <w:t xml:space="preserve">Loans</w:t>
      </w:r>
      <w:r w:rsidDel="00000000" w:rsidR="00000000" w:rsidRPr="00000000">
        <w:rPr>
          <w:rtl w:val="0"/>
        </w:rPr>
        <w:t xml:space="preserve"> </w:t>
      </w:r>
    </w:p>
    <w:p w:rsidR="00000000" w:rsidDel="00000000" w:rsidP="00000000" w:rsidRDefault="00000000" w:rsidRPr="00000000" w14:paraId="000000CD">
      <w:pPr>
        <w:rPr/>
      </w:pPr>
      <w:r w:rsidDel="00000000" w:rsidR="00000000" w:rsidRPr="00000000">
        <w:rPr>
          <w:color w:val="000000"/>
          <w:rtl w:val="0"/>
        </w:rPr>
        <w:t xml:space="preserve">Marriott International has its ability to manage its loan through the “asset-light” model by showcasing its push towards debt maintenance. The company manages its loan capital about $15.32B address through backend notes and upgradation of credit facilities (Trading Economics, 2026). Apart from that, the company has its ability to minimize loans through resolving credit and corporate obligations.</w:t>
      </w:r>
      <w:r w:rsidDel="00000000" w:rsidR="00000000" w:rsidRPr="00000000">
        <w:rPr>
          <w:rtl w:val="0"/>
        </w:rPr>
        <w:tab/>
      </w:r>
    </w:p>
    <w:p w:rsidR="00000000" w:rsidDel="00000000" w:rsidP="00000000" w:rsidRDefault="00000000" w:rsidRPr="00000000" w14:paraId="000000CE">
      <w:pPr>
        <w:pStyle w:val="Heading3"/>
        <w:rPr/>
      </w:pPr>
      <w:bookmarkStart w:colFirst="0" w:colLast="0" w:name="_2p2csry" w:id="33"/>
      <w:bookmarkEnd w:id="33"/>
      <w:r w:rsidDel="00000000" w:rsidR="00000000" w:rsidRPr="00000000">
        <w:rPr>
          <w:rtl w:val="0"/>
        </w:rPr>
        <w:t xml:space="preserve">2.4.2 Long-Term Financing Options</w:t>
        <w:tab/>
      </w:r>
    </w:p>
    <w:p w:rsidR="00000000" w:rsidDel="00000000" w:rsidP="00000000" w:rsidRDefault="00000000" w:rsidRPr="00000000" w14:paraId="000000CF">
      <w:pPr>
        <w:rPr>
          <w:b w:val="1"/>
        </w:rPr>
      </w:pPr>
      <w:r w:rsidDel="00000000" w:rsidR="00000000" w:rsidRPr="00000000">
        <w:rPr>
          <w:b w:val="1"/>
          <w:rtl w:val="0"/>
        </w:rPr>
        <w:t xml:space="preserve">Equity Financing</w:t>
      </w:r>
    </w:p>
    <w:p w:rsidR="00000000" w:rsidDel="00000000" w:rsidP="00000000" w:rsidRDefault="00000000" w:rsidRPr="00000000" w14:paraId="000000D0">
      <w:pPr>
        <w:rPr/>
      </w:pPr>
      <w:r w:rsidDel="00000000" w:rsidR="00000000" w:rsidRPr="00000000">
        <w:rPr>
          <w:rtl w:val="0"/>
        </w:rPr>
        <w:t xml:space="preserve">Marriott International repurchased its shares by about 3.1 million, which boosts EPS leads to enhance investor confidence through demand of RevPAR (Marriott, 2026). Although, the company manages its shareholder return which is about $4.3billion through dividend maintenance and repurchasing of buyback shares. </w:t>
      </w:r>
      <w:r w:rsidDel="00000000" w:rsidR="00000000" w:rsidRPr="00000000">
        <w:rPr>
          <w:color w:val="000000"/>
          <w:rtl w:val="0"/>
        </w:rPr>
        <w:t xml:space="preserve">Overall, this financing also be helpful towards improving key capital raising potentiality of Marriott International with managed debenture value effectively.</w:t>
      </w:r>
      <w:r w:rsidDel="00000000" w:rsidR="00000000" w:rsidRPr="00000000">
        <w:rPr>
          <w:rtl w:val="0"/>
        </w:rPr>
        <w:t xml:space="preserve"> </w:t>
      </w:r>
    </w:p>
    <w:p w:rsidR="00000000" w:rsidDel="00000000" w:rsidP="00000000" w:rsidRDefault="00000000" w:rsidRPr="00000000" w14:paraId="000000D1">
      <w:pPr>
        <w:rPr>
          <w:b w:val="1"/>
        </w:rPr>
      </w:pPr>
      <w:r w:rsidDel="00000000" w:rsidR="00000000" w:rsidRPr="00000000">
        <w:rPr>
          <w:b w:val="1"/>
          <w:rtl w:val="0"/>
        </w:rPr>
        <w:t xml:space="preserve">Debt Financing</w:t>
      </w:r>
    </w:p>
    <w:p w:rsidR="00000000" w:rsidDel="00000000" w:rsidP="00000000" w:rsidRDefault="00000000" w:rsidRPr="00000000" w14:paraId="000000D2">
      <w:pPr>
        <w:rPr/>
      </w:pPr>
      <w:r w:rsidDel="00000000" w:rsidR="00000000" w:rsidRPr="00000000">
        <w:rPr>
          <w:rtl w:val="0"/>
        </w:rPr>
        <w:t xml:space="preserve">Marriott International manages its total debt of $16.53 which slightly increases due to robust operational maintenance and through cash equivalence (Trading Economics, 2024). </w:t>
      </w:r>
      <w:r w:rsidDel="00000000" w:rsidR="00000000" w:rsidRPr="00000000">
        <w:rPr>
          <w:color w:val="000000"/>
          <w:rtl w:val="0"/>
        </w:rPr>
        <w:t xml:space="preserve">This effective management of debenture value also raises a better management of short term liquidity position with supporting financial progression for attributed long term business opportunity.</w:t>
      </w:r>
      <w:r w:rsidDel="00000000" w:rsidR="00000000" w:rsidRPr="00000000">
        <w:rPr>
          <w:rtl w:val="0"/>
        </w:rPr>
        <w:t xml:space="preserve"> </w:t>
      </w:r>
    </w:p>
    <w:p w:rsidR="00000000" w:rsidDel="00000000" w:rsidP="00000000" w:rsidRDefault="00000000" w:rsidRPr="00000000" w14:paraId="000000D3">
      <w:pPr>
        <w:pStyle w:val="Heading3"/>
        <w:rPr/>
      </w:pPr>
      <w:bookmarkStart w:colFirst="0" w:colLast="0" w:name="_147n2zr" w:id="34"/>
      <w:bookmarkEnd w:id="34"/>
      <w:r w:rsidDel="00000000" w:rsidR="00000000" w:rsidRPr="00000000">
        <w:rPr>
          <w:rtl w:val="0"/>
        </w:rPr>
        <w:t xml:space="preserve">2.4.3 Comparative Analysis</w:t>
        <w:tab/>
      </w:r>
    </w:p>
    <w:p w:rsidR="00000000" w:rsidDel="00000000" w:rsidP="00000000" w:rsidRDefault="00000000" w:rsidRPr="00000000" w14:paraId="000000D4">
      <w:pPr>
        <w:rPr/>
      </w:pPr>
      <w:r w:rsidDel="00000000" w:rsidR="00000000" w:rsidRPr="00000000">
        <w:rPr>
          <w:rtl w:val="0"/>
        </w:rPr>
        <w:t xml:space="preserve">Marriott has its ability to manage liquidity addresses through resolving of credit terms which in term ensure overall interest rate of the business. However, the company repurchased its share address through strategic expansion of business in the market. </w:t>
      </w:r>
      <w:r w:rsidDel="00000000" w:rsidR="00000000" w:rsidRPr="00000000">
        <w:br w:type="page"/>
      </w:r>
      <w:r w:rsidDel="00000000" w:rsidR="00000000" w:rsidRPr="00000000">
        <w:rPr>
          <w:rtl w:val="0"/>
        </w:rPr>
      </w:r>
    </w:p>
    <w:p w:rsidR="00000000" w:rsidDel="00000000" w:rsidP="00000000" w:rsidRDefault="00000000" w:rsidRPr="00000000" w14:paraId="000000D5">
      <w:pPr>
        <w:pStyle w:val="Heading1"/>
        <w:rPr/>
      </w:pPr>
      <w:bookmarkStart w:colFirst="0" w:colLast="0" w:name="_3o7alnk" w:id="35"/>
      <w:bookmarkEnd w:id="35"/>
      <w:r w:rsidDel="00000000" w:rsidR="00000000" w:rsidRPr="00000000">
        <w:rPr>
          <w:rtl w:val="0"/>
        </w:rPr>
        <w:t xml:space="preserve">3. Strategic Financial Restructuring Plan </w:t>
      </w:r>
    </w:p>
    <w:p w:rsidR="00000000" w:rsidDel="00000000" w:rsidP="00000000" w:rsidRDefault="00000000" w:rsidRPr="00000000" w14:paraId="000000D6">
      <w:pPr>
        <w:pStyle w:val="Heading2"/>
        <w:rPr/>
      </w:pPr>
      <w:bookmarkStart w:colFirst="0" w:colLast="0" w:name="_23ckvvd" w:id="36"/>
      <w:bookmarkEnd w:id="36"/>
      <w:r w:rsidDel="00000000" w:rsidR="00000000" w:rsidRPr="00000000">
        <w:rPr>
          <w:rtl w:val="0"/>
        </w:rPr>
        <w:t xml:space="preserve">3.1 Challenges related to Financial Restructuring Option </w:t>
      </w:r>
    </w:p>
    <w:p w:rsidR="00000000" w:rsidDel="00000000" w:rsidP="00000000" w:rsidRDefault="00000000" w:rsidRPr="00000000" w14:paraId="000000D7">
      <w:pPr>
        <w:rPr/>
      </w:pPr>
      <w:r w:rsidDel="00000000" w:rsidR="00000000" w:rsidRPr="00000000">
        <w:rPr>
          <w:rtl w:val="0"/>
        </w:rPr>
        <w:t xml:space="preserve">Marriott International demonstrated its negative share price return about 11.3% with its shareholder return about 27.7% (Simply Wall, 2026). On the other hand, the company declined its net income about 3% which dropped about $648 million in 2025 leading to high rises of geopolitical conflicts and ability to respond with the volatility in the market. However, the company slowed down its revenue growth about 5.1%, leading to its digital transformation, access travel and accommodation demand, which affect revenue (Trading view, 2025) </w:t>
      </w:r>
    </w:p>
    <w:p w:rsidR="00000000" w:rsidDel="00000000" w:rsidP="00000000" w:rsidRDefault="00000000" w:rsidRPr="00000000" w14:paraId="000000D8">
      <w:pPr>
        <w:jc w:val="center"/>
        <w:rPr/>
      </w:pPr>
      <w:r w:rsidDel="00000000" w:rsidR="00000000" w:rsidRPr="00000000">
        <w:rPr/>
        <w:drawing>
          <wp:inline distB="114300" distT="114300" distL="114300" distR="114300">
            <wp:extent cx="4967288" cy="2794099"/>
            <wp:effectExtent b="0" l="0" r="0" t="0"/>
            <wp:docPr id="2" name="image2.png"/>
            <a:graphic>
              <a:graphicData uri="http://schemas.openxmlformats.org/drawingml/2006/picture">
                <pic:pic>
                  <pic:nvPicPr>
                    <pic:cNvPr id="0" name="image2.png"/>
                    <pic:cNvPicPr preferRelativeResize="0"/>
                  </pic:nvPicPr>
                  <pic:blipFill>
                    <a:blip r:embed="rId26"/>
                    <a:srcRect b="0" l="0" r="0" t="0"/>
                    <a:stretch>
                      <a:fillRect/>
                    </a:stretch>
                  </pic:blipFill>
                  <pic:spPr>
                    <a:xfrm>
                      <a:off x="0" y="0"/>
                      <a:ext cx="4967288" cy="2794099"/>
                    </a:xfrm>
                    <a:prstGeom prst="rect"/>
                    <a:ln/>
                  </pic:spPr>
                </pic:pic>
              </a:graphicData>
            </a:graphic>
          </wp:inline>
        </w:drawing>
      </w:r>
      <w:r w:rsidDel="00000000" w:rsidR="00000000" w:rsidRPr="00000000">
        <w:rPr>
          <w:rtl w:val="0"/>
        </w:rPr>
      </w:r>
    </w:p>
    <w:p w:rsidR="00000000" w:rsidDel="00000000" w:rsidP="00000000" w:rsidRDefault="00000000" w:rsidRPr="00000000" w14:paraId="000000D9">
      <w:pPr>
        <w:jc w:val="center"/>
        <w:rPr>
          <w:b w:val="1"/>
        </w:rPr>
      </w:pPr>
      <w:r w:rsidDel="00000000" w:rsidR="00000000" w:rsidRPr="00000000">
        <w:rPr>
          <w:b w:val="1"/>
          <w:rtl w:val="0"/>
        </w:rPr>
        <w:t xml:space="preserve"> Figure 14: Revenue growth of Marriott </w:t>
      </w:r>
    </w:p>
    <w:p w:rsidR="00000000" w:rsidDel="00000000" w:rsidP="00000000" w:rsidRDefault="00000000" w:rsidRPr="00000000" w14:paraId="000000DA">
      <w:pPr>
        <w:jc w:val="center"/>
        <w:rPr/>
      </w:pPr>
      <w:r w:rsidDel="00000000" w:rsidR="00000000" w:rsidRPr="00000000">
        <w:rPr>
          <w:rtl w:val="0"/>
        </w:rPr>
        <w:t xml:space="preserve">(Source: TradingView, 2025)</w:t>
        <w:tab/>
      </w:r>
    </w:p>
    <w:p w:rsidR="00000000" w:rsidDel="00000000" w:rsidP="00000000" w:rsidRDefault="00000000" w:rsidRPr="00000000" w14:paraId="000000DB">
      <w:pPr>
        <w:pStyle w:val="Heading2"/>
        <w:rPr/>
      </w:pPr>
      <w:bookmarkStart w:colFirst="0" w:colLast="0" w:name="_ihv636" w:id="37"/>
      <w:bookmarkEnd w:id="37"/>
      <w:r w:rsidDel="00000000" w:rsidR="00000000" w:rsidRPr="00000000">
        <w:rPr>
          <w:rtl w:val="0"/>
        </w:rPr>
        <w:t xml:space="preserve">3.2 Recommended Financial Restructuring Options</w:t>
        <w:tab/>
      </w:r>
    </w:p>
    <w:p w:rsidR="00000000" w:rsidDel="00000000" w:rsidP="00000000" w:rsidRDefault="00000000" w:rsidRPr="00000000" w14:paraId="000000DC">
      <w:pPr>
        <w:pStyle w:val="Heading3"/>
        <w:rPr/>
      </w:pPr>
      <w:bookmarkStart w:colFirst="0" w:colLast="0" w:name="_32hioqz" w:id="38"/>
      <w:bookmarkEnd w:id="38"/>
      <w:r w:rsidDel="00000000" w:rsidR="00000000" w:rsidRPr="00000000">
        <w:rPr>
          <w:rtl w:val="0"/>
        </w:rPr>
        <w:t xml:space="preserve">3.2.1 Divestiture of Non-Core Assets</w:t>
      </w:r>
    </w:p>
    <w:p w:rsidR="00000000" w:rsidDel="00000000" w:rsidP="00000000" w:rsidRDefault="00000000" w:rsidRPr="00000000" w14:paraId="000000DD">
      <w:pPr>
        <w:rPr/>
      </w:pPr>
      <w:r w:rsidDel="00000000" w:rsidR="00000000" w:rsidRPr="00000000">
        <w:rPr>
          <w:rtl w:val="0"/>
        </w:rPr>
        <w:t xml:space="preserve">Marriott International has adopted an asset sale strategy for enhancing its financial resources. For instance, the organisation has sold its Waterfront Seattle property to Braemar Hotels for $145m in 2025 (Braemar Hotels, 2025). In addition, the selling of the assets has also helped the hotel company in meeting its debt capital requirements effectively. Thus, the lowering of the business properties has helped Marriott Internationals in strengthening its productivity.</w:t>
      </w:r>
    </w:p>
    <w:p w:rsidR="00000000" w:rsidDel="00000000" w:rsidP="00000000" w:rsidRDefault="00000000" w:rsidRPr="00000000" w14:paraId="000000DE">
      <w:pPr>
        <w:pStyle w:val="Heading3"/>
        <w:rPr/>
      </w:pPr>
      <w:bookmarkStart w:colFirst="0" w:colLast="0" w:name="_1hmsyys" w:id="39"/>
      <w:bookmarkEnd w:id="39"/>
      <w:r w:rsidDel="00000000" w:rsidR="00000000" w:rsidRPr="00000000">
        <w:rPr>
          <w:rtl w:val="0"/>
        </w:rPr>
        <w:t xml:space="preserve">3.2.2 Equity Injection Strategy</w:t>
      </w:r>
    </w:p>
    <w:p w:rsidR="00000000" w:rsidDel="00000000" w:rsidP="00000000" w:rsidRDefault="00000000" w:rsidRPr="00000000" w14:paraId="000000DF">
      <w:pPr>
        <w:rPr/>
      </w:pPr>
      <w:r w:rsidDel="00000000" w:rsidR="00000000" w:rsidRPr="00000000">
        <w:rPr>
          <w:rtl w:val="0"/>
        </w:rPr>
        <w:t xml:space="preserve">The equity injection strategy has helped companies in strengthening its internal financial resources for meeting product requirements. Marriott has observed improvement in its market capitalization to $107.3bn in 2025(Marriott Group, 2025b). Hence, the availability of higher income has assisted the company in reducing market insolvency.</w:t>
      </w:r>
    </w:p>
    <w:p w:rsidR="00000000" w:rsidDel="00000000" w:rsidP="00000000" w:rsidRDefault="00000000" w:rsidRPr="00000000" w14:paraId="000000E0">
      <w:pPr>
        <w:jc w:val="center"/>
        <w:rPr/>
      </w:pPr>
      <w:r w:rsidDel="00000000" w:rsidR="00000000" w:rsidRPr="00000000">
        <w:rPr/>
        <w:drawing>
          <wp:inline distB="114300" distT="114300" distL="114300" distR="114300">
            <wp:extent cx="3614738" cy="4149248"/>
            <wp:effectExtent b="0" l="0" r="0" t="0"/>
            <wp:docPr id="3" name="image3.png"/>
            <a:graphic>
              <a:graphicData uri="http://schemas.openxmlformats.org/drawingml/2006/picture">
                <pic:pic>
                  <pic:nvPicPr>
                    <pic:cNvPr id="0" name="image3.png"/>
                    <pic:cNvPicPr preferRelativeResize="0"/>
                  </pic:nvPicPr>
                  <pic:blipFill>
                    <a:blip r:embed="rId27"/>
                    <a:srcRect b="8562" l="0" r="0" t="0"/>
                    <a:stretch>
                      <a:fillRect/>
                    </a:stretch>
                  </pic:blipFill>
                  <pic:spPr>
                    <a:xfrm>
                      <a:off x="0" y="0"/>
                      <a:ext cx="3614738" cy="4149248"/>
                    </a:xfrm>
                    <a:prstGeom prst="rect"/>
                    <a:ln/>
                  </pic:spPr>
                </pic:pic>
              </a:graphicData>
            </a:graphic>
          </wp:inline>
        </w:drawing>
      </w:r>
      <w:r w:rsidDel="00000000" w:rsidR="00000000" w:rsidRPr="00000000">
        <w:rPr>
          <w:rtl w:val="0"/>
        </w:rPr>
        <w:tab/>
      </w:r>
    </w:p>
    <w:p w:rsidR="00000000" w:rsidDel="00000000" w:rsidP="00000000" w:rsidRDefault="00000000" w:rsidRPr="00000000" w14:paraId="000000E1">
      <w:pPr>
        <w:jc w:val="center"/>
        <w:rPr>
          <w:b w:val="1"/>
        </w:rPr>
      </w:pPr>
      <w:r w:rsidDel="00000000" w:rsidR="00000000" w:rsidRPr="00000000">
        <w:rPr>
          <w:b w:val="1"/>
          <w:rtl w:val="0"/>
        </w:rPr>
        <w:t xml:space="preserve">Figure 15: Market Capital</w:t>
      </w:r>
    </w:p>
    <w:p w:rsidR="00000000" w:rsidDel="00000000" w:rsidP="00000000" w:rsidRDefault="00000000" w:rsidRPr="00000000" w14:paraId="000000E2">
      <w:pPr>
        <w:jc w:val="center"/>
        <w:rPr/>
      </w:pPr>
      <w:r w:rsidDel="00000000" w:rsidR="00000000" w:rsidRPr="00000000">
        <w:rPr>
          <w:rtl w:val="0"/>
        </w:rPr>
        <w:t xml:space="preserve">(Source: Marriott Group, 2025b)</w:t>
      </w:r>
    </w:p>
    <w:p w:rsidR="00000000" w:rsidDel="00000000" w:rsidP="00000000" w:rsidRDefault="00000000" w:rsidRPr="00000000" w14:paraId="000000E3">
      <w:pPr>
        <w:pStyle w:val="Heading3"/>
        <w:rPr/>
      </w:pPr>
      <w:bookmarkStart w:colFirst="0" w:colLast="0" w:name="_41mghml" w:id="40"/>
      <w:bookmarkEnd w:id="40"/>
      <w:r w:rsidDel="00000000" w:rsidR="00000000" w:rsidRPr="00000000">
        <w:rPr>
          <w:rtl w:val="0"/>
        </w:rPr>
        <w:t xml:space="preserve">3.2.3 Merger and Acquisition Opportunities</w:t>
        <w:tab/>
      </w:r>
    </w:p>
    <w:p w:rsidR="00000000" w:rsidDel="00000000" w:rsidP="00000000" w:rsidRDefault="00000000" w:rsidRPr="00000000" w14:paraId="000000E4">
      <w:pPr>
        <w:rPr/>
      </w:pPr>
      <w:r w:rsidDel="00000000" w:rsidR="00000000" w:rsidRPr="00000000">
        <w:rPr>
          <w:rtl w:val="0"/>
        </w:rPr>
        <w:t xml:space="preserve">The merger and acquisition techniques have helped Marriott Internationals in expanding its business operations. For instance, the company has acquired “CitizenM hotels” for $355bn with an intent to occupy its 37 properties in 2025. In addition, the acquisition has also helped Marriott in expanding its business united in 26 cities in the USA. Overall, the adoption of acquisition techniques has helped Marriott in improving its operational productivity. </w:t>
      </w:r>
    </w:p>
    <w:p w:rsidR="00000000" w:rsidDel="00000000" w:rsidP="00000000" w:rsidRDefault="00000000" w:rsidRPr="00000000" w14:paraId="000000E5">
      <w:pPr>
        <w:pStyle w:val="Heading2"/>
        <w:rPr/>
      </w:pPr>
      <w:bookmarkStart w:colFirst="0" w:colLast="0" w:name="_2grqrue" w:id="41"/>
      <w:bookmarkEnd w:id="41"/>
      <w:r w:rsidDel="00000000" w:rsidR="00000000" w:rsidRPr="00000000">
        <w:rPr>
          <w:rtl w:val="0"/>
        </w:rPr>
        <w:t xml:space="preserve">3.3 Impact on financial restructuring </w:t>
      </w:r>
    </w:p>
    <w:p w:rsidR="00000000" w:rsidDel="00000000" w:rsidP="00000000" w:rsidRDefault="00000000" w:rsidRPr="00000000" w14:paraId="000000E6">
      <w:pPr>
        <w:pStyle w:val="Heading3"/>
        <w:rPr/>
      </w:pPr>
      <w:bookmarkStart w:colFirst="0" w:colLast="0" w:name="_vx1227" w:id="42"/>
      <w:bookmarkEnd w:id="42"/>
      <w:r w:rsidDel="00000000" w:rsidR="00000000" w:rsidRPr="00000000">
        <w:rPr>
          <w:rtl w:val="0"/>
        </w:rPr>
        <w:t xml:space="preserve">3.3.1 Significance on Shareholder Value</w:t>
      </w:r>
    </w:p>
    <w:p w:rsidR="00000000" w:rsidDel="00000000" w:rsidP="00000000" w:rsidRDefault="00000000" w:rsidRPr="00000000" w14:paraId="000000E7">
      <w:pPr>
        <w:rPr/>
      </w:pPr>
      <w:r w:rsidDel="00000000" w:rsidR="00000000" w:rsidRPr="00000000">
        <w:rPr>
          <w:rtl w:val="0"/>
        </w:rPr>
        <w:t xml:space="preserve">Marriott international has its ability to enhance shareholder value through “asset driven transition" which leads to enhanced operational earning. The company has the ability to generate its cash flow which is about $3.1 billion for managing shareholder return through buyback of shares (Marriott, 2026). The company showcases its capital return through maximizing its equity value with long term growth. </w:t>
        <w:tab/>
      </w:r>
    </w:p>
    <w:p w:rsidR="00000000" w:rsidDel="00000000" w:rsidP="00000000" w:rsidRDefault="00000000" w:rsidRPr="00000000" w14:paraId="000000E8">
      <w:pPr>
        <w:pStyle w:val="Heading3"/>
        <w:rPr/>
      </w:pPr>
      <w:bookmarkStart w:colFirst="0" w:colLast="0" w:name="_3fwokq0" w:id="43"/>
      <w:bookmarkEnd w:id="43"/>
      <w:r w:rsidDel="00000000" w:rsidR="00000000" w:rsidRPr="00000000">
        <w:rPr>
          <w:rtl w:val="0"/>
        </w:rPr>
        <w:t xml:space="preserve">3.3.2 Significance on Debt Structure</w:t>
        <w:tab/>
      </w:r>
    </w:p>
    <w:p w:rsidR="00000000" w:rsidDel="00000000" w:rsidP="00000000" w:rsidRDefault="00000000" w:rsidRPr="00000000" w14:paraId="000000E9">
      <w:pPr>
        <w:rPr/>
      </w:pPr>
      <w:r w:rsidDel="00000000" w:rsidR="00000000" w:rsidRPr="00000000">
        <w:rPr>
          <w:rtl w:val="0"/>
        </w:rPr>
        <w:t xml:space="preserve">Marriott international has its ability to manage its debt structure through revolving credit facilities and is dominated due to unsecured notes. On the other hand, the company issued $1.45billion for unsecured notes that leads to rises 4.5% by 2033 (News, 2026). Thus, this helps the company showcase its strategic realignment by reduction of administrative cost and acquisition which in term showcases stable liquidity. </w:t>
      </w:r>
    </w:p>
    <w:p w:rsidR="00000000" w:rsidDel="00000000" w:rsidP="00000000" w:rsidRDefault="00000000" w:rsidRPr="00000000" w14:paraId="000000EA">
      <w:pPr>
        <w:pStyle w:val="Heading3"/>
        <w:rPr/>
      </w:pPr>
      <w:bookmarkStart w:colFirst="0" w:colLast="0" w:name="_1v1yuxt" w:id="44"/>
      <w:bookmarkEnd w:id="44"/>
      <w:r w:rsidDel="00000000" w:rsidR="00000000" w:rsidRPr="00000000">
        <w:rPr>
          <w:rtl w:val="0"/>
        </w:rPr>
        <w:t xml:space="preserve">3.3.3 Significance on Operational Flexibility</w:t>
        <w:tab/>
      </w:r>
    </w:p>
    <w:p w:rsidR="00000000" w:rsidDel="00000000" w:rsidP="00000000" w:rsidRDefault="00000000" w:rsidRPr="00000000" w14:paraId="000000EB">
      <w:pPr>
        <w:rPr/>
      </w:pPr>
      <w:r w:rsidDel="00000000" w:rsidR="00000000" w:rsidRPr="00000000">
        <w:rPr>
          <w:rtl w:val="0"/>
        </w:rPr>
        <w:t xml:space="preserve">The free cash flow at Marriott International is about $2,258 that is due to shareholder returns and recurring revenue which is more reliable in managing capital cost (Beren, 2026). On the other hand, the company showcases its operational flexibility through performance-based conservation and flexible workflow which leads to enhanced overall revenue.</w:t>
      </w:r>
    </w:p>
    <w:p w:rsidR="00000000" w:rsidDel="00000000" w:rsidP="00000000" w:rsidRDefault="00000000" w:rsidRPr="00000000" w14:paraId="000000EC">
      <w:pPr>
        <w:jc w:val="center"/>
        <w:rPr>
          <w:b w:val="1"/>
        </w:rPr>
      </w:pPr>
      <w:r w:rsidDel="00000000" w:rsidR="00000000" w:rsidRPr="00000000">
        <w:rPr>
          <w:b w:val="1"/>
        </w:rPr>
        <w:drawing>
          <wp:inline distB="114300" distT="114300" distL="114300" distR="114300">
            <wp:extent cx="4884120" cy="3210169"/>
            <wp:effectExtent b="0" l="0" r="0" t="0"/>
            <wp:docPr id="4" name="image4.png"/>
            <a:graphic>
              <a:graphicData uri="http://schemas.openxmlformats.org/drawingml/2006/picture">
                <pic:pic>
                  <pic:nvPicPr>
                    <pic:cNvPr id="0" name="image4.png"/>
                    <pic:cNvPicPr preferRelativeResize="0"/>
                  </pic:nvPicPr>
                  <pic:blipFill>
                    <a:blip r:embed="rId28"/>
                    <a:srcRect b="0" l="0" r="0" t="0"/>
                    <a:stretch>
                      <a:fillRect/>
                    </a:stretch>
                  </pic:blipFill>
                  <pic:spPr>
                    <a:xfrm>
                      <a:off x="0" y="0"/>
                      <a:ext cx="4884120" cy="3210169"/>
                    </a:xfrm>
                    <a:prstGeom prst="rect"/>
                    <a:ln/>
                  </pic:spPr>
                </pic:pic>
              </a:graphicData>
            </a:graphic>
          </wp:inline>
        </w:drawing>
      </w:r>
      <w:r w:rsidDel="00000000" w:rsidR="00000000" w:rsidRPr="00000000">
        <w:rPr>
          <w:rtl w:val="0"/>
        </w:rPr>
      </w:r>
    </w:p>
    <w:p w:rsidR="00000000" w:rsidDel="00000000" w:rsidP="00000000" w:rsidRDefault="00000000" w:rsidRPr="00000000" w14:paraId="000000ED">
      <w:pPr>
        <w:jc w:val="center"/>
        <w:rPr>
          <w:b w:val="1"/>
        </w:rPr>
      </w:pPr>
      <w:r w:rsidDel="00000000" w:rsidR="00000000" w:rsidRPr="00000000">
        <w:rPr>
          <w:b w:val="1"/>
          <w:rtl w:val="0"/>
        </w:rPr>
        <w:t xml:space="preserve"> Figure 16: Free cash flow at Marriott International </w:t>
      </w:r>
    </w:p>
    <w:p w:rsidR="00000000" w:rsidDel="00000000" w:rsidP="00000000" w:rsidRDefault="00000000" w:rsidRPr="00000000" w14:paraId="000000EE">
      <w:pPr>
        <w:jc w:val="center"/>
        <w:rPr/>
      </w:pPr>
      <w:r w:rsidDel="00000000" w:rsidR="00000000" w:rsidRPr="00000000">
        <w:rPr>
          <w:rtl w:val="0"/>
        </w:rPr>
        <w:t xml:space="preserve">(Source: Beren, 2026)</w:t>
      </w:r>
    </w:p>
    <w:p w:rsidR="00000000" w:rsidDel="00000000" w:rsidP="00000000" w:rsidRDefault="00000000" w:rsidRPr="00000000" w14:paraId="000000EF">
      <w:pPr>
        <w:pStyle w:val="Heading2"/>
        <w:rPr/>
      </w:pPr>
      <w:bookmarkStart w:colFirst="0" w:colLast="0" w:name="_4f1mdlm" w:id="45"/>
      <w:bookmarkEnd w:id="45"/>
      <w:r w:rsidDel="00000000" w:rsidR="00000000" w:rsidRPr="00000000">
        <w:rPr>
          <w:rtl w:val="0"/>
        </w:rPr>
        <w:t xml:space="preserve">3.4 International Financial Considerations </w:t>
        <w:tab/>
      </w:r>
    </w:p>
    <w:p w:rsidR="00000000" w:rsidDel="00000000" w:rsidP="00000000" w:rsidRDefault="00000000" w:rsidRPr="00000000" w14:paraId="000000F0">
      <w:pPr>
        <w:pStyle w:val="Heading3"/>
        <w:rPr/>
      </w:pPr>
      <w:bookmarkStart w:colFirst="0" w:colLast="0" w:name="_2u6wntf" w:id="46"/>
      <w:bookmarkEnd w:id="46"/>
      <w:r w:rsidDel="00000000" w:rsidR="00000000" w:rsidRPr="00000000">
        <w:rPr>
          <w:rtl w:val="0"/>
        </w:rPr>
        <w:t xml:space="preserve">3.4.1 Taxation Considerations</w:t>
      </w:r>
    </w:p>
    <w:p w:rsidR="00000000" w:rsidDel="00000000" w:rsidP="00000000" w:rsidRDefault="00000000" w:rsidRPr="00000000" w14:paraId="000000F1">
      <w:pPr>
        <w:rPr/>
      </w:pPr>
      <w:r w:rsidDel="00000000" w:rsidR="00000000" w:rsidRPr="00000000">
        <w:rPr>
          <w:rtl w:val="0"/>
        </w:rPr>
        <w:t xml:space="preserve">The existence of high taxes has also lowered the financial stability of hotels such as Marriott Internationals. For instance, the company has increased the value of its legal expenses to $3.57bn in 2025 (Yahoo Finance, 2025b). Thus, the enhancement in the statutory cost has reduced the operational efficiency of the organisation. </w:t>
      </w:r>
    </w:p>
    <w:p w:rsidR="00000000" w:rsidDel="00000000" w:rsidP="00000000" w:rsidRDefault="00000000" w:rsidRPr="00000000" w14:paraId="000000F2">
      <w:pPr>
        <w:jc w:val="center"/>
        <w:rPr/>
      </w:pPr>
      <w:r w:rsidDel="00000000" w:rsidR="00000000" w:rsidRPr="00000000">
        <w:rPr/>
        <w:drawing>
          <wp:inline distB="114300" distT="114300" distL="114300" distR="114300">
            <wp:extent cx="4766642" cy="2949592"/>
            <wp:effectExtent b="0" l="0" r="0" t="0"/>
            <wp:docPr id="5" name="image5.png"/>
            <a:graphic>
              <a:graphicData uri="http://schemas.openxmlformats.org/drawingml/2006/picture">
                <pic:pic>
                  <pic:nvPicPr>
                    <pic:cNvPr id="0" name="image5.png"/>
                    <pic:cNvPicPr preferRelativeResize="0"/>
                  </pic:nvPicPr>
                  <pic:blipFill>
                    <a:blip r:embed="rId29"/>
                    <a:srcRect b="0" l="0" r="0" t="0"/>
                    <a:stretch>
                      <a:fillRect/>
                    </a:stretch>
                  </pic:blipFill>
                  <pic:spPr>
                    <a:xfrm>
                      <a:off x="0" y="0"/>
                      <a:ext cx="4766642" cy="2949592"/>
                    </a:xfrm>
                    <a:prstGeom prst="rect"/>
                    <a:ln/>
                  </pic:spPr>
                </pic:pic>
              </a:graphicData>
            </a:graphic>
          </wp:inline>
        </w:drawing>
      </w:r>
      <w:r w:rsidDel="00000000" w:rsidR="00000000" w:rsidRPr="00000000">
        <w:rPr>
          <w:rtl w:val="0"/>
        </w:rPr>
      </w:r>
    </w:p>
    <w:p w:rsidR="00000000" w:rsidDel="00000000" w:rsidP="00000000" w:rsidRDefault="00000000" w:rsidRPr="00000000" w14:paraId="000000F3">
      <w:pPr>
        <w:jc w:val="center"/>
        <w:rPr>
          <w:b w:val="1"/>
        </w:rPr>
      </w:pPr>
      <w:r w:rsidDel="00000000" w:rsidR="00000000" w:rsidRPr="00000000">
        <w:rPr>
          <w:b w:val="1"/>
          <w:rtl w:val="0"/>
        </w:rPr>
        <w:t xml:space="preserve">Figure 17: Financial Results of Marriott Internationals</w:t>
      </w:r>
    </w:p>
    <w:p w:rsidR="00000000" w:rsidDel="00000000" w:rsidP="00000000" w:rsidRDefault="00000000" w:rsidRPr="00000000" w14:paraId="000000F4">
      <w:pPr>
        <w:jc w:val="center"/>
        <w:rPr/>
      </w:pPr>
      <w:r w:rsidDel="00000000" w:rsidR="00000000" w:rsidRPr="00000000">
        <w:rPr>
          <w:rtl w:val="0"/>
        </w:rPr>
        <w:t xml:space="preserve">(Source: Yahoo Finance, 2025b)</w:t>
      </w:r>
    </w:p>
    <w:p w:rsidR="00000000" w:rsidDel="00000000" w:rsidP="00000000" w:rsidRDefault="00000000" w:rsidRPr="00000000" w14:paraId="000000F5">
      <w:pPr>
        <w:pStyle w:val="Heading3"/>
        <w:rPr/>
      </w:pPr>
      <w:bookmarkStart w:colFirst="0" w:colLast="0" w:name="_19c6y18" w:id="47"/>
      <w:bookmarkEnd w:id="47"/>
      <w:r w:rsidDel="00000000" w:rsidR="00000000" w:rsidRPr="00000000">
        <w:rPr>
          <w:rtl w:val="0"/>
        </w:rPr>
        <w:t xml:space="preserve">3.4.2 Currency Risk</w:t>
      </w:r>
    </w:p>
    <w:p w:rsidR="00000000" w:rsidDel="00000000" w:rsidP="00000000" w:rsidRDefault="00000000" w:rsidRPr="00000000" w14:paraId="000000F6">
      <w:pPr>
        <w:rPr/>
      </w:pPr>
      <w:r w:rsidDel="00000000" w:rsidR="00000000" w:rsidRPr="00000000">
        <w:rPr>
          <w:rtl w:val="0"/>
        </w:rPr>
        <w:t xml:space="preserve">The existence of currency risks has also reduced the service demand of Marriott Internationals among the customers. For example, the value of US Dollar to Euro has reduced by €0.8 in 2025 (Statista, 2026). Thus, the existence of high volatility in the currency value has increased the service expenses of Marriott Internationals. </w:t>
      </w:r>
    </w:p>
    <w:p w:rsidR="00000000" w:rsidDel="00000000" w:rsidP="00000000" w:rsidRDefault="00000000" w:rsidRPr="00000000" w14:paraId="000000F7">
      <w:pPr>
        <w:jc w:val="center"/>
        <w:rPr/>
      </w:pPr>
      <w:r w:rsidDel="00000000" w:rsidR="00000000" w:rsidRPr="00000000">
        <w:rPr/>
        <w:drawing>
          <wp:inline distB="114300" distT="114300" distL="114300" distR="114300">
            <wp:extent cx="3714750" cy="3524250"/>
            <wp:effectExtent b="0" l="0" r="0" t="0"/>
            <wp:docPr id="6" name="image6.png"/>
            <a:graphic>
              <a:graphicData uri="http://schemas.openxmlformats.org/drawingml/2006/picture">
                <pic:pic>
                  <pic:nvPicPr>
                    <pic:cNvPr id="0" name="image6.png"/>
                    <pic:cNvPicPr preferRelativeResize="0"/>
                  </pic:nvPicPr>
                  <pic:blipFill>
                    <a:blip r:embed="rId30"/>
                    <a:srcRect b="0" l="0" r="0" t="0"/>
                    <a:stretch>
                      <a:fillRect/>
                    </a:stretch>
                  </pic:blipFill>
                  <pic:spPr>
                    <a:xfrm>
                      <a:off x="0" y="0"/>
                      <a:ext cx="3714750" cy="3524250"/>
                    </a:xfrm>
                    <a:prstGeom prst="rect"/>
                    <a:ln/>
                  </pic:spPr>
                </pic:pic>
              </a:graphicData>
            </a:graphic>
          </wp:inline>
        </w:drawing>
      </w:r>
      <w:r w:rsidDel="00000000" w:rsidR="00000000" w:rsidRPr="00000000">
        <w:rPr>
          <w:rtl w:val="0"/>
        </w:rPr>
      </w:r>
    </w:p>
    <w:p w:rsidR="00000000" w:rsidDel="00000000" w:rsidP="00000000" w:rsidRDefault="00000000" w:rsidRPr="00000000" w14:paraId="000000F8">
      <w:pPr>
        <w:jc w:val="center"/>
        <w:rPr>
          <w:b w:val="1"/>
        </w:rPr>
      </w:pPr>
      <w:r w:rsidDel="00000000" w:rsidR="00000000" w:rsidRPr="00000000">
        <w:rPr>
          <w:b w:val="1"/>
          <w:rtl w:val="0"/>
        </w:rPr>
        <w:t xml:space="preserve">Figure 18: Currency Rate</w:t>
      </w:r>
    </w:p>
    <w:p w:rsidR="00000000" w:rsidDel="00000000" w:rsidP="00000000" w:rsidRDefault="00000000" w:rsidRPr="00000000" w14:paraId="000000F9">
      <w:pPr>
        <w:jc w:val="center"/>
        <w:rPr/>
      </w:pPr>
      <w:r w:rsidDel="00000000" w:rsidR="00000000" w:rsidRPr="00000000">
        <w:rPr>
          <w:rtl w:val="0"/>
        </w:rPr>
        <w:t xml:space="preserve">(Source: Statista, 2026)</w:t>
      </w:r>
    </w:p>
    <w:p w:rsidR="00000000" w:rsidDel="00000000" w:rsidP="00000000" w:rsidRDefault="00000000" w:rsidRPr="00000000" w14:paraId="000000FA">
      <w:pPr>
        <w:pStyle w:val="Heading3"/>
        <w:rPr/>
      </w:pPr>
      <w:bookmarkStart w:colFirst="0" w:colLast="0" w:name="_3tbugp1" w:id="48"/>
      <w:bookmarkEnd w:id="48"/>
      <w:r w:rsidDel="00000000" w:rsidR="00000000" w:rsidRPr="00000000">
        <w:rPr>
          <w:rtl w:val="0"/>
        </w:rPr>
        <w:t xml:space="preserve">3.4.3 Inflation Risk</w:t>
      </w:r>
    </w:p>
    <w:p w:rsidR="00000000" w:rsidDel="00000000" w:rsidP="00000000" w:rsidRDefault="00000000" w:rsidRPr="00000000" w14:paraId="000000FB">
      <w:pPr>
        <w:rPr/>
      </w:pPr>
      <w:r w:rsidDel="00000000" w:rsidR="00000000" w:rsidRPr="00000000">
        <w:rPr>
          <w:rtl w:val="0"/>
        </w:rPr>
        <w:t xml:space="preserve">The USA inflation rate has declined from 8% in 2022 to around 2.8% in 2025 (Iacurci, 2025). Hence, the enhancement in the cost of living index has reduced the service demand of luxury hotels such as Marriott Internationals among customers.</w:t>
      </w:r>
    </w:p>
    <w:p w:rsidR="00000000" w:rsidDel="00000000" w:rsidP="00000000" w:rsidRDefault="00000000" w:rsidRPr="00000000" w14:paraId="000000FC">
      <w:pPr>
        <w:jc w:val="center"/>
        <w:rPr/>
      </w:pPr>
      <w:r w:rsidDel="00000000" w:rsidR="00000000" w:rsidRPr="00000000">
        <w:rPr/>
        <w:drawing>
          <wp:inline distB="114300" distT="114300" distL="114300" distR="114300">
            <wp:extent cx="4148138" cy="3781599"/>
            <wp:effectExtent b="0" l="0" r="0" t="0"/>
            <wp:docPr id="7" name="image7.png"/>
            <a:graphic>
              <a:graphicData uri="http://schemas.openxmlformats.org/drawingml/2006/picture">
                <pic:pic>
                  <pic:nvPicPr>
                    <pic:cNvPr id="0" name="image7.png"/>
                    <pic:cNvPicPr preferRelativeResize="0"/>
                  </pic:nvPicPr>
                  <pic:blipFill>
                    <a:blip r:embed="rId31"/>
                    <a:srcRect b="0" l="0" r="0" t="0"/>
                    <a:stretch>
                      <a:fillRect/>
                    </a:stretch>
                  </pic:blipFill>
                  <pic:spPr>
                    <a:xfrm>
                      <a:off x="0" y="0"/>
                      <a:ext cx="4148138" cy="3781599"/>
                    </a:xfrm>
                    <a:prstGeom prst="rect"/>
                    <a:ln/>
                  </pic:spPr>
                </pic:pic>
              </a:graphicData>
            </a:graphic>
          </wp:inline>
        </w:drawing>
      </w:r>
      <w:r w:rsidDel="00000000" w:rsidR="00000000" w:rsidRPr="00000000">
        <w:rPr>
          <w:rtl w:val="0"/>
        </w:rPr>
        <w:tab/>
      </w:r>
    </w:p>
    <w:p w:rsidR="00000000" w:rsidDel="00000000" w:rsidP="00000000" w:rsidRDefault="00000000" w:rsidRPr="00000000" w14:paraId="000000FD">
      <w:pPr>
        <w:jc w:val="center"/>
        <w:rPr>
          <w:b w:val="1"/>
        </w:rPr>
      </w:pPr>
      <w:r w:rsidDel="00000000" w:rsidR="00000000" w:rsidRPr="00000000">
        <w:rPr>
          <w:b w:val="1"/>
          <w:rtl w:val="0"/>
        </w:rPr>
        <w:t xml:space="preserve">Figure 19: CPI Rate</w:t>
      </w:r>
    </w:p>
    <w:p w:rsidR="00000000" w:rsidDel="00000000" w:rsidP="00000000" w:rsidRDefault="00000000" w:rsidRPr="00000000" w14:paraId="000000FE">
      <w:pPr>
        <w:jc w:val="center"/>
        <w:rPr/>
      </w:pPr>
      <w:r w:rsidDel="00000000" w:rsidR="00000000" w:rsidRPr="00000000">
        <w:rPr>
          <w:rtl w:val="0"/>
        </w:rPr>
        <w:t xml:space="preserve">(Source: Iacurci, 2025)</w:t>
      </w:r>
    </w:p>
    <w:p w:rsidR="00000000" w:rsidDel="00000000" w:rsidP="00000000" w:rsidRDefault="00000000" w:rsidRPr="00000000" w14:paraId="000000FF">
      <w:pPr>
        <w:pStyle w:val="Heading2"/>
        <w:rPr/>
      </w:pPr>
      <w:bookmarkStart w:colFirst="0" w:colLast="0" w:name="_28h4qwu" w:id="49"/>
      <w:bookmarkEnd w:id="49"/>
      <w:r w:rsidDel="00000000" w:rsidR="00000000" w:rsidRPr="00000000">
        <w:rPr>
          <w:rtl w:val="0"/>
        </w:rPr>
        <w:t xml:space="preserve">3.5 Discussion on the Ethical and ESG Operations </w:t>
        <w:tab/>
      </w:r>
    </w:p>
    <w:p w:rsidR="00000000" w:rsidDel="00000000" w:rsidP="00000000" w:rsidRDefault="00000000" w:rsidRPr="00000000" w14:paraId="00000100">
      <w:pPr>
        <w:pStyle w:val="Heading3"/>
        <w:rPr/>
      </w:pPr>
      <w:bookmarkStart w:colFirst="0" w:colLast="0" w:name="_nmf14n" w:id="50"/>
      <w:bookmarkEnd w:id="50"/>
      <w:r w:rsidDel="00000000" w:rsidR="00000000" w:rsidRPr="00000000">
        <w:rPr>
          <w:rtl w:val="0"/>
        </w:rPr>
        <w:t xml:space="preserve">3.5.1 Corporate Social Responsibility</w:t>
      </w:r>
    </w:p>
    <w:p w:rsidR="00000000" w:rsidDel="00000000" w:rsidP="00000000" w:rsidRDefault="00000000" w:rsidRPr="00000000" w14:paraId="00000101">
      <w:pPr>
        <w:rPr/>
      </w:pPr>
      <w:r w:rsidDel="00000000" w:rsidR="00000000" w:rsidRPr="00000000">
        <w:rPr>
          <w:rtl w:val="0"/>
        </w:rPr>
        <w:t xml:space="preserve">The CSR activities have provided opportunities for the company to improve its goodwill among the local communities. Marriott has reduced its waste generation by 35% through the adoption of the “Waste Water Initiative” in 2024 (Dudovskiy, 2023). Thus, the monitoring of the water consumption has helped Marriott International in improving its goodwill among communities.</w:t>
      </w:r>
    </w:p>
    <w:p w:rsidR="00000000" w:rsidDel="00000000" w:rsidP="00000000" w:rsidRDefault="00000000" w:rsidRPr="00000000" w14:paraId="00000102">
      <w:pPr>
        <w:pStyle w:val="Heading3"/>
        <w:rPr/>
      </w:pPr>
      <w:bookmarkStart w:colFirst="0" w:colLast="0" w:name="_37m2jsg" w:id="51"/>
      <w:bookmarkEnd w:id="51"/>
      <w:r w:rsidDel="00000000" w:rsidR="00000000" w:rsidRPr="00000000">
        <w:rPr>
          <w:rtl w:val="0"/>
        </w:rPr>
        <w:t xml:space="preserve">3.5.2 Environmental Sustainability</w:t>
      </w:r>
    </w:p>
    <w:p w:rsidR="00000000" w:rsidDel="00000000" w:rsidP="00000000" w:rsidRDefault="00000000" w:rsidRPr="00000000" w14:paraId="00000103">
      <w:pPr>
        <w:rPr/>
      </w:pPr>
      <w:r w:rsidDel="00000000" w:rsidR="00000000" w:rsidRPr="00000000">
        <w:rPr>
          <w:rtl w:val="0"/>
        </w:rPr>
        <w:t xml:space="preserve">Marriott International drives its environmental sustainability by serving "green building” certification achievement in 2026. Although, the company achieves its “net zero carbon emissions” through significant uses of energy usage which have a positive impact in achieving sustainability (Nicholls, 2024). Thus, this helps Marriott by significantly investing in renewable energy and adoption of circular economic models which enhance improvement in the hospitality value chain. </w:t>
      </w:r>
    </w:p>
    <w:p w:rsidR="00000000" w:rsidDel="00000000" w:rsidP="00000000" w:rsidRDefault="00000000" w:rsidRPr="00000000" w14:paraId="00000104">
      <w:pPr>
        <w:pStyle w:val="Heading3"/>
        <w:rPr/>
      </w:pPr>
      <w:bookmarkStart w:colFirst="0" w:colLast="0" w:name="_1mrcu09" w:id="52"/>
      <w:bookmarkEnd w:id="52"/>
      <w:r w:rsidDel="00000000" w:rsidR="00000000" w:rsidRPr="00000000">
        <w:rPr>
          <w:rtl w:val="0"/>
        </w:rPr>
        <w:t xml:space="preserve">3.5.3 ESG Performance and Reporting</w:t>
      </w:r>
    </w:p>
    <w:p w:rsidR="00000000" w:rsidDel="00000000" w:rsidP="00000000" w:rsidRDefault="00000000" w:rsidRPr="00000000" w14:paraId="00000105">
      <w:pPr>
        <w:rPr/>
      </w:pPr>
      <w:r w:rsidDel="00000000" w:rsidR="00000000" w:rsidRPr="00000000">
        <w:rPr>
          <w:rtl w:val="0"/>
        </w:rPr>
        <w:t xml:space="preserve">Marriott follows ESG disclosure by its ability to achieve its sustainability goals, which enhances improvement in business operations. The company, through adoption of the “Serve 360 platform,” showcases its significant progress in highlighting ESG protocols, which in turn outline overall business performance (Marriott International, 2024). Although the company showcases its operational resilience by adopting the "Climate action programme” which is more reliable to achieve decarbonisation.</w:t>
      </w:r>
    </w:p>
    <w:p w:rsidR="00000000" w:rsidDel="00000000" w:rsidP="00000000" w:rsidRDefault="00000000" w:rsidRPr="00000000" w14:paraId="00000106">
      <w:pPr>
        <w:rPr/>
      </w:pPr>
      <w:r w:rsidDel="00000000" w:rsidR="00000000" w:rsidRPr="00000000">
        <w:rPr>
          <w:rtl w:val="0"/>
        </w:rPr>
      </w:r>
    </w:p>
    <w:p w:rsidR="00000000" w:rsidDel="00000000" w:rsidP="00000000" w:rsidRDefault="00000000" w:rsidRPr="00000000" w14:paraId="00000107">
      <w:pPr>
        <w:rPr/>
      </w:pPr>
      <w:r w:rsidDel="00000000" w:rsidR="00000000" w:rsidRPr="00000000">
        <w:br w:type="page"/>
      </w:r>
      <w:r w:rsidDel="00000000" w:rsidR="00000000" w:rsidRPr="00000000">
        <w:rPr>
          <w:rtl w:val="0"/>
        </w:rPr>
      </w:r>
    </w:p>
    <w:p w:rsidR="00000000" w:rsidDel="00000000" w:rsidP="00000000" w:rsidRDefault="00000000" w:rsidRPr="00000000" w14:paraId="00000108">
      <w:pPr>
        <w:pStyle w:val="Heading1"/>
        <w:rPr/>
      </w:pPr>
      <w:bookmarkStart w:colFirst="0" w:colLast="0" w:name="_46r0co2" w:id="53"/>
      <w:bookmarkEnd w:id="53"/>
      <w:r w:rsidDel="00000000" w:rsidR="00000000" w:rsidRPr="00000000">
        <w:rPr>
          <w:rtl w:val="0"/>
        </w:rPr>
        <w:t xml:space="preserve">4. Investment Appraisal and Capital Budgeting</w:t>
      </w:r>
    </w:p>
    <w:p w:rsidR="00000000" w:rsidDel="00000000" w:rsidP="00000000" w:rsidRDefault="00000000" w:rsidRPr="00000000" w14:paraId="00000109">
      <w:pPr>
        <w:pStyle w:val="Heading2"/>
        <w:rPr/>
      </w:pPr>
      <w:bookmarkStart w:colFirst="0" w:colLast="0" w:name="_2lwamvv" w:id="54"/>
      <w:bookmarkEnd w:id="54"/>
      <w:r w:rsidDel="00000000" w:rsidR="00000000" w:rsidRPr="00000000">
        <w:rPr>
          <w:rtl w:val="0"/>
        </w:rPr>
        <w:t xml:space="preserve">4.1 Project Overview</w:t>
        <w:tab/>
      </w:r>
    </w:p>
    <w:p w:rsidR="00000000" w:rsidDel="00000000" w:rsidP="00000000" w:rsidRDefault="00000000" w:rsidRPr="00000000" w14:paraId="0000010A">
      <w:pPr>
        <w:rPr/>
      </w:pPr>
      <w:r w:rsidDel="00000000" w:rsidR="00000000" w:rsidRPr="00000000">
        <w:rPr>
          <w:rtl w:val="0"/>
        </w:rPr>
        <w:t xml:space="preserve">According to Kaoma, Mwanaumo and Nsefu (2025), the investment appraisal is the most significant technique that measures future cashflow flow potentiality of a business with adopted fixed discounting rate. The application of investment appraisal techniques for three different projects considered such as project A, B and C that effectively need support to better improve the business potential of Marriott International. Thus, a key consideration for the discounting rate for all projects is to acknowledge a future cash flow rate of 8%. The initial investment in case of project A is generally £50 million with a stipulated time period of five years. Hence, five different cashflow forecasts predict a volatility in periodical inflow. On the other hand, the Project will also be considered as the same capital raise of £50 million following a time period of five years. In this case a difference can also be modified due to stable management of cashflow orientation throughout the whole time period. Hence, annual cash inflows of £11 million also be raised every year without any fluctuation for project B. Also, project C also be considered an initial investment of £50 million about back loaded cash flow pattern in five years’ time period. A major volatility in generating cash flow originated that produced more risk factors associated with this project in adhering completion in an effective manner.</w:t>
      </w:r>
    </w:p>
    <w:p w:rsidR="00000000" w:rsidDel="00000000" w:rsidP="00000000" w:rsidRDefault="00000000" w:rsidRPr="00000000" w14:paraId="0000010B">
      <w:pPr>
        <w:pStyle w:val="Heading2"/>
        <w:rPr/>
      </w:pPr>
      <w:bookmarkStart w:colFirst="0" w:colLast="0" w:name="_111kx3o" w:id="55"/>
      <w:bookmarkEnd w:id="55"/>
      <w:r w:rsidDel="00000000" w:rsidR="00000000" w:rsidRPr="00000000">
        <w:rPr>
          <w:rtl w:val="0"/>
        </w:rPr>
        <w:t xml:space="preserve">4.2 Discuss About Project Viability</w:t>
        <w:tab/>
      </w:r>
    </w:p>
    <w:p w:rsidR="00000000" w:rsidDel="00000000" w:rsidP="00000000" w:rsidRDefault="00000000" w:rsidRPr="00000000" w14:paraId="0000010C">
      <w:pPr>
        <w:pStyle w:val="Heading3"/>
        <w:rPr/>
      </w:pPr>
      <w:bookmarkStart w:colFirst="0" w:colLast="0" w:name="_3l18frh" w:id="56"/>
      <w:bookmarkEnd w:id="56"/>
      <w:r w:rsidDel="00000000" w:rsidR="00000000" w:rsidRPr="00000000">
        <w:rPr>
          <w:rtl w:val="0"/>
        </w:rPr>
        <w:t xml:space="preserve">4.2.1 Project A Appraisal</w:t>
        <w:tab/>
      </w:r>
    </w:p>
    <w:p w:rsidR="00000000" w:rsidDel="00000000" w:rsidP="00000000" w:rsidRDefault="00000000" w:rsidRPr="00000000" w14:paraId="0000010D">
      <w:pPr>
        <w:rPr/>
      </w:pPr>
      <w:r w:rsidDel="00000000" w:rsidR="00000000" w:rsidRPr="00000000">
        <w:rPr/>
        <w:drawing>
          <wp:inline distB="114300" distT="114300" distL="114300" distR="114300">
            <wp:extent cx="5943600" cy="2286000"/>
            <wp:effectExtent b="0" l="0" r="0" t="0"/>
            <wp:docPr id="8" name="image8.png"/>
            <a:graphic>
              <a:graphicData uri="http://schemas.openxmlformats.org/drawingml/2006/picture">
                <pic:pic>
                  <pic:nvPicPr>
                    <pic:cNvPr id="0" name="image8.png"/>
                    <pic:cNvPicPr preferRelativeResize="0"/>
                  </pic:nvPicPr>
                  <pic:blipFill>
                    <a:blip r:embed="rId32"/>
                    <a:srcRect b="0" l="0" r="0" t="0"/>
                    <a:stretch>
                      <a:fillRect/>
                    </a:stretch>
                  </pic:blipFill>
                  <pic:spPr>
                    <a:xfrm>
                      <a:off x="0" y="0"/>
                      <a:ext cx="5943600" cy="2286000"/>
                    </a:xfrm>
                    <a:prstGeom prst="rect"/>
                    <a:ln/>
                  </pic:spPr>
                </pic:pic>
              </a:graphicData>
            </a:graphic>
          </wp:inline>
        </w:drawing>
      </w:r>
      <w:r w:rsidDel="00000000" w:rsidR="00000000" w:rsidRPr="00000000">
        <w:rPr>
          <w:rtl w:val="0"/>
        </w:rPr>
      </w:r>
    </w:p>
    <w:p w:rsidR="00000000" w:rsidDel="00000000" w:rsidP="00000000" w:rsidRDefault="00000000" w:rsidRPr="00000000" w14:paraId="0000010E">
      <w:pPr>
        <w:jc w:val="center"/>
        <w:rPr>
          <w:b w:val="1"/>
        </w:rPr>
      </w:pPr>
      <w:r w:rsidDel="00000000" w:rsidR="00000000" w:rsidRPr="00000000">
        <w:rPr>
          <w:b w:val="1"/>
          <w:rtl w:val="0"/>
        </w:rPr>
        <w:t xml:space="preserve">Figure 20: PBP</w:t>
      </w:r>
    </w:p>
    <w:p w:rsidR="00000000" w:rsidDel="00000000" w:rsidP="00000000" w:rsidRDefault="00000000" w:rsidRPr="00000000" w14:paraId="0000010F">
      <w:pPr>
        <w:jc w:val="center"/>
        <w:rPr/>
      </w:pPr>
      <w:r w:rsidDel="00000000" w:rsidR="00000000" w:rsidRPr="00000000">
        <w:rPr>
          <w:rtl w:val="0"/>
        </w:rPr>
        <w:t xml:space="preserve">(Source: Self-developed)</w:t>
      </w:r>
    </w:p>
    <w:p w:rsidR="00000000" w:rsidDel="00000000" w:rsidP="00000000" w:rsidRDefault="00000000" w:rsidRPr="00000000" w14:paraId="00000110">
      <w:pPr>
        <w:rPr/>
      </w:pPr>
      <w:r w:rsidDel="00000000" w:rsidR="00000000" w:rsidRPr="00000000">
        <w:rPr>
          <w:rtl w:val="0"/>
        </w:rPr>
        <w:t xml:space="preserve">The PBP is most significant to identify the recovery time of the actual investment value of investors (Kagan, 2026). The recovery period of initial invested £50 million for project A is approximately 4.50 years. Thus, in this case recovery of £46 million by the end of four years and remaining £4 million covered in the third quarter of the fifth consecutive year.</w:t>
      </w:r>
    </w:p>
    <w:p w:rsidR="00000000" w:rsidDel="00000000" w:rsidP="00000000" w:rsidRDefault="00000000" w:rsidRPr="00000000" w14:paraId="00000111">
      <w:pPr>
        <w:jc w:val="center"/>
        <w:rPr/>
      </w:pPr>
      <w:r w:rsidDel="00000000" w:rsidR="00000000" w:rsidRPr="00000000">
        <w:rPr/>
        <w:drawing>
          <wp:inline distB="114300" distT="114300" distL="114300" distR="114300">
            <wp:extent cx="5943600" cy="1257300"/>
            <wp:effectExtent b="0" l="0" r="0" t="0"/>
            <wp:docPr id="9" name="image9.png"/>
            <a:graphic>
              <a:graphicData uri="http://schemas.openxmlformats.org/drawingml/2006/picture">
                <pic:pic>
                  <pic:nvPicPr>
                    <pic:cNvPr id="0" name="image9.png"/>
                    <pic:cNvPicPr preferRelativeResize="0"/>
                  </pic:nvPicPr>
                  <pic:blipFill>
                    <a:blip r:embed="rId33"/>
                    <a:srcRect b="0" l="0" r="0" t="0"/>
                    <a:stretch>
                      <a:fillRect/>
                    </a:stretch>
                  </pic:blipFill>
                  <pic:spPr>
                    <a:xfrm>
                      <a:off x="0" y="0"/>
                      <a:ext cx="5943600" cy="1257300"/>
                    </a:xfrm>
                    <a:prstGeom prst="rect"/>
                    <a:ln/>
                  </pic:spPr>
                </pic:pic>
              </a:graphicData>
            </a:graphic>
          </wp:inline>
        </w:drawing>
      </w:r>
      <w:r w:rsidDel="00000000" w:rsidR="00000000" w:rsidRPr="00000000">
        <w:rPr>
          <w:rtl w:val="0"/>
        </w:rPr>
      </w:r>
    </w:p>
    <w:p w:rsidR="00000000" w:rsidDel="00000000" w:rsidP="00000000" w:rsidRDefault="00000000" w:rsidRPr="00000000" w14:paraId="00000112">
      <w:pPr>
        <w:jc w:val="center"/>
        <w:rPr>
          <w:b w:val="1"/>
        </w:rPr>
      </w:pPr>
      <w:r w:rsidDel="00000000" w:rsidR="00000000" w:rsidRPr="00000000">
        <w:rPr>
          <w:b w:val="1"/>
          <w:rtl w:val="0"/>
        </w:rPr>
        <w:t xml:space="preserve">Figure 21: ARR</w:t>
      </w:r>
    </w:p>
    <w:p w:rsidR="00000000" w:rsidDel="00000000" w:rsidP="00000000" w:rsidRDefault="00000000" w:rsidRPr="00000000" w14:paraId="00000113">
      <w:pPr>
        <w:jc w:val="center"/>
        <w:rPr/>
      </w:pPr>
      <w:r w:rsidDel="00000000" w:rsidR="00000000" w:rsidRPr="00000000">
        <w:rPr>
          <w:rtl w:val="0"/>
        </w:rPr>
        <w:t xml:space="preserve">(Source: Self-developed)</w:t>
      </w:r>
    </w:p>
    <w:p w:rsidR="00000000" w:rsidDel="00000000" w:rsidP="00000000" w:rsidRDefault="00000000" w:rsidRPr="00000000" w14:paraId="00000114">
      <w:pPr>
        <w:rPr/>
      </w:pPr>
      <w:r w:rsidDel="00000000" w:rsidR="00000000" w:rsidRPr="00000000">
        <w:rPr>
          <w:rtl w:val="0"/>
        </w:rPr>
        <w:t xml:space="preserve">The key average profit from investors is also calculated by shareholders for analysis of its risk adherence for the long term (Fernando, 2026b). Thus, in this case total cash flow generated from project A is approximately £54 million. Hence, excluding initial investment profitability aspect £4 million and cover average annual value £0.8 million. Overall, ARR 3.20% also indicated low return value from the project.</w:t>
      </w:r>
    </w:p>
    <w:p w:rsidR="00000000" w:rsidDel="00000000" w:rsidP="00000000" w:rsidRDefault="00000000" w:rsidRPr="00000000" w14:paraId="00000115">
      <w:pPr>
        <w:jc w:val="center"/>
        <w:rPr/>
      </w:pPr>
      <w:r w:rsidDel="00000000" w:rsidR="00000000" w:rsidRPr="00000000">
        <w:rPr/>
        <w:drawing>
          <wp:inline distB="114300" distT="114300" distL="114300" distR="114300">
            <wp:extent cx="5943600" cy="2057400"/>
            <wp:effectExtent b="0" l="0" r="0" t="0"/>
            <wp:docPr id="10" name="image10.png"/>
            <a:graphic>
              <a:graphicData uri="http://schemas.openxmlformats.org/drawingml/2006/picture">
                <pic:pic>
                  <pic:nvPicPr>
                    <pic:cNvPr id="0" name="image10.png"/>
                    <pic:cNvPicPr preferRelativeResize="0"/>
                  </pic:nvPicPr>
                  <pic:blipFill>
                    <a:blip r:embed="rId34"/>
                    <a:srcRect b="0" l="0" r="0" t="0"/>
                    <a:stretch>
                      <a:fillRect/>
                    </a:stretch>
                  </pic:blipFill>
                  <pic:spPr>
                    <a:xfrm>
                      <a:off x="0" y="0"/>
                      <a:ext cx="5943600" cy="2057400"/>
                    </a:xfrm>
                    <a:prstGeom prst="rect"/>
                    <a:ln/>
                  </pic:spPr>
                </pic:pic>
              </a:graphicData>
            </a:graphic>
          </wp:inline>
        </w:drawing>
      </w:r>
      <w:r w:rsidDel="00000000" w:rsidR="00000000" w:rsidRPr="00000000">
        <w:rPr>
          <w:rtl w:val="0"/>
        </w:rPr>
      </w:r>
    </w:p>
    <w:p w:rsidR="00000000" w:rsidDel="00000000" w:rsidP="00000000" w:rsidRDefault="00000000" w:rsidRPr="00000000" w14:paraId="00000116">
      <w:pPr>
        <w:jc w:val="center"/>
        <w:rPr>
          <w:b w:val="1"/>
        </w:rPr>
      </w:pPr>
      <w:r w:rsidDel="00000000" w:rsidR="00000000" w:rsidRPr="00000000">
        <w:rPr>
          <w:b w:val="1"/>
          <w:rtl w:val="0"/>
        </w:rPr>
        <w:t xml:space="preserve">Figure 22: NPV and PI</w:t>
      </w:r>
    </w:p>
    <w:p w:rsidR="00000000" w:rsidDel="00000000" w:rsidP="00000000" w:rsidRDefault="00000000" w:rsidRPr="00000000" w14:paraId="00000117">
      <w:pPr>
        <w:jc w:val="center"/>
        <w:rPr/>
      </w:pPr>
      <w:r w:rsidDel="00000000" w:rsidR="00000000" w:rsidRPr="00000000">
        <w:rPr>
          <w:rtl w:val="0"/>
        </w:rPr>
        <w:t xml:space="preserve">(Source: Self-developed)</w:t>
      </w:r>
    </w:p>
    <w:p w:rsidR="00000000" w:rsidDel="00000000" w:rsidP="00000000" w:rsidRDefault="00000000" w:rsidRPr="00000000" w14:paraId="00000118">
      <w:pPr>
        <w:rPr/>
      </w:pPr>
      <w:r w:rsidDel="00000000" w:rsidR="00000000" w:rsidRPr="00000000">
        <w:rPr>
          <w:rtl w:val="0"/>
        </w:rPr>
        <w:t xml:space="preserve">The NPV also illustrates discounted cash flow prediction against selected time period completion of projects (Fernando, 2024). Hence, consolidated present value accumulated of project A about £43.47 million. As it is also indicated negative NPV £6.53 million reduce shareholders interest with generating below 1.0 industrial standard of 0.87.</w:t>
      </w:r>
    </w:p>
    <w:p w:rsidR="00000000" w:rsidDel="00000000" w:rsidP="00000000" w:rsidRDefault="00000000" w:rsidRPr="00000000" w14:paraId="00000119">
      <w:pPr>
        <w:jc w:val="center"/>
        <w:rPr/>
      </w:pPr>
      <w:r w:rsidDel="00000000" w:rsidR="00000000" w:rsidRPr="00000000">
        <w:rPr/>
        <w:drawing>
          <wp:inline distB="114300" distT="114300" distL="114300" distR="114300">
            <wp:extent cx="5943600" cy="3390900"/>
            <wp:effectExtent b="0" l="0" r="0" t="0"/>
            <wp:docPr id="11" name="image11.png"/>
            <a:graphic>
              <a:graphicData uri="http://schemas.openxmlformats.org/drawingml/2006/picture">
                <pic:pic>
                  <pic:nvPicPr>
                    <pic:cNvPr id="0" name="image11.png"/>
                    <pic:cNvPicPr preferRelativeResize="0"/>
                  </pic:nvPicPr>
                  <pic:blipFill>
                    <a:blip r:embed="rId35"/>
                    <a:srcRect b="0" l="0" r="0" t="0"/>
                    <a:stretch>
                      <a:fillRect/>
                    </a:stretch>
                  </pic:blipFill>
                  <pic:spPr>
                    <a:xfrm>
                      <a:off x="0" y="0"/>
                      <a:ext cx="5943600" cy="3390900"/>
                    </a:xfrm>
                    <a:prstGeom prst="rect"/>
                    <a:ln/>
                  </pic:spPr>
                </pic:pic>
              </a:graphicData>
            </a:graphic>
          </wp:inline>
        </w:drawing>
      </w:r>
      <w:r w:rsidDel="00000000" w:rsidR="00000000" w:rsidRPr="00000000">
        <w:rPr>
          <w:rtl w:val="0"/>
        </w:rPr>
      </w:r>
    </w:p>
    <w:p w:rsidR="00000000" w:rsidDel="00000000" w:rsidP="00000000" w:rsidRDefault="00000000" w:rsidRPr="00000000" w14:paraId="0000011A">
      <w:pPr>
        <w:jc w:val="center"/>
        <w:rPr>
          <w:b w:val="1"/>
        </w:rPr>
      </w:pPr>
      <w:r w:rsidDel="00000000" w:rsidR="00000000" w:rsidRPr="00000000">
        <w:rPr>
          <w:b w:val="1"/>
          <w:rtl w:val="0"/>
        </w:rPr>
        <w:t xml:space="preserve">Figure 23: IRR</w:t>
      </w:r>
    </w:p>
    <w:p w:rsidR="00000000" w:rsidDel="00000000" w:rsidP="00000000" w:rsidRDefault="00000000" w:rsidRPr="00000000" w14:paraId="0000011B">
      <w:pPr>
        <w:jc w:val="center"/>
        <w:rPr/>
      </w:pPr>
      <w:r w:rsidDel="00000000" w:rsidR="00000000" w:rsidRPr="00000000">
        <w:rPr>
          <w:rtl w:val="0"/>
        </w:rPr>
        <w:t xml:space="preserve">(Source: Self-developed)</w:t>
      </w:r>
    </w:p>
    <w:p w:rsidR="00000000" w:rsidDel="00000000" w:rsidP="00000000" w:rsidRDefault="00000000" w:rsidRPr="00000000" w14:paraId="0000011C">
      <w:pPr>
        <w:rPr/>
      </w:pPr>
      <w:r w:rsidDel="00000000" w:rsidR="00000000" w:rsidRPr="00000000">
        <w:rPr>
          <w:rtl w:val="0"/>
        </w:rPr>
        <w:t xml:space="preserve">The reason for IRR proclamation measure NPV must be zero with diluted risk factor associated capital investment (Fernando, 2026). Thus, two different discount factors are also assumed as 0% and 8% for proper analysis IRR that also raise 3.04% through the year. As IRR value of 8% also be lower compared to required rate for maximise flow of return. </w:t>
      </w:r>
    </w:p>
    <w:p w:rsidR="00000000" w:rsidDel="00000000" w:rsidP="00000000" w:rsidRDefault="00000000" w:rsidRPr="00000000" w14:paraId="0000011D">
      <w:pPr>
        <w:pStyle w:val="Heading3"/>
        <w:rPr/>
      </w:pPr>
      <w:bookmarkStart w:colFirst="0" w:colLast="0" w:name="_206ipza" w:id="57"/>
      <w:bookmarkEnd w:id="57"/>
      <w:r w:rsidDel="00000000" w:rsidR="00000000" w:rsidRPr="00000000">
        <w:rPr>
          <w:rtl w:val="0"/>
        </w:rPr>
        <w:t xml:space="preserve">4.2.2 Project B Appraisal</w:t>
        <w:tab/>
      </w:r>
    </w:p>
    <w:p w:rsidR="00000000" w:rsidDel="00000000" w:rsidP="00000000" w:rsidRDefault="00000000" w:rsidRPr="00000000" w14:paraId="0000011E">
      <w:pPr>
        <w:rPr/>
      </w:pPr>
      <w:r w:rsidDel="00000000" w:rsidR="00000000" w:rsidRPr="00000000">
        <w:rPr/>
        <w:drawing>
          <wp:inline distB="114300" distT="114300" distL="114300" distR="114300">
            <wp:extent cx="5943600" cy="2298700"/>
            <wp:effectExtent b="0" l="0" r="0" t="0"/>
            <wp:docPr id="19" name="image19.png"/>
            <a:graphic>
              <a:graphicData uri="http://schemas.openxmlformats.org/drawingml/2006/picture">
                <pic:pic>
                  <pic:nvPicPr>
                    <pic:cNvPr id="0" name="image19.png"/>
                    <pic:cNvPicPr preferRelativeResize="0"/>
                  </pic:nvPicPr>
                  <pic:blipFill>
                    <a:blip r:embed="rId36"/>
                    <a:srcRect b="0" l="0" r="0" t="0"/>
                    <a:stretch>
                      <a:fillRect/>
                    </a:stretch>
                  </pic:blipFill>
                  <pic:spPr>
                    <a:xfrm>
                      <a:off x="0" y="0"/>
                      <a:ext cx="5943600" cy="2298700"/>
                    </a:xfrm>
                    <a:prstGeom prst="rect"/>
                    <a:ln/>
                  </pic:spPr>
                </pic:pic>
              </a:graphicData>
            </a:graphic>
          </wp:inline>
        </w:drawing>
      </w:r>
      <w:r w:rsidDel="00000000" w:rsidR="00000000" w:rsidRPr="00000000">
        <w:rPr>
          <w:rtl w:val="0"/>
        </w:rPr>
      </w:r>
    </w:p>
    <w:p w:rsidR="00000000" w:rsidDel="00000000" w:rsidP="00000000" w:rsidRDefault="00000000" w:rsidRPr="00000000" w14:paraId="0000011F">
      <w:pPr>
        <w:jc w:val="center"/>
        <w:rPr>
          <w:b w:val="1"/>
        </w:rPr>
      </w:pPr>
      <w:r w:rsidDel="00000000" w:rsidR="00000000" w:rsidRPr="00000000">
        <w:rPr>
          <w:b w:val="1"/>
          <w:rtl w:val="0"/>
        </w:rPr>
        <w:t xml:space="preserve">Figure 24: PBP</w:t>
      </w:r>
    </w:p>
    <w:p w:rsidR="00000000" w:rsidDel="00000000" w:rsidP="00000000" w:rsidRDefault="00000000" w:rsidRPr="00000000" w14:paraId="00000120">
      <w:pPr>
        <w:jc w:val="center"/>
        <w:rPr/>
      </w:pPr>
      <w:r w:rsidDel="00000000" w:rsidR="00000000" w:rsidRPr="00000000">
        <w:rPr>
          <w:rtl w:val="0"/>
        </w:rPr>
        <w:t xml:space="preserve">(Source: Self-developed)</w:t>
      </w:r>
    </w:p>
    <w:p w:rsidR="00000000" w:rsidDel="00000000" w:rsidP="00000000" w:rsidRDefault="00000000" w:rsidRPr="00000000" w14:paraId="00000121">
      <w:pPr>
        <w:rPr/>
      </w:pPr>
      <w:r w:rsidDel="00000000" w:rsidR="00000000" w:rsidRPr="00000000">
        <w:rPr>
          <w:rtl w:val="0"/>
        </w:rPr>
        <w:t xml:space="preserve">In case of project B the PBP value will also be raised 4.55 years for covering all initial investment value for gaining revenue potential. Thus, cumulative cash flow also predictably returns an approximately value of £44 million by Year 4. However, remaining £6 million needs to be covered with additional acquired two specific quarters in the fifth consecutive year.</w:t>
      </w:r>
    </w:p>
    <w:p w:rsidR="00000000" w:rsidDel="00000000" w:rsidP="00000000" w:rsidRDefault="00000000" w:rsidRPr="00000000" w14:paraId="00000122">
      <w:pPr>
        <w:rPr/>
      </w:pPr>
      <w:r w:rsidDel="00000000" w:rsidR="00000000" w:rsidRPr="00000000">
        <w:rPr/>
        <w:drawing>
          <wp:inline distB="114300" distT="114300" distL="114300" distR="114300">
            <wp:extent cx="5943600" cy="1257300"/>
            <wp:effectExtent b="0" l="0" r="0" t="0"/>
            <wp:docPr id="21" name="image21.png"/>
            <a:graphic>
              <a:graphicData uri="http://schemas.openxmlformats.org/drawingml/2006/picture">
                <pic:pic>
                  <pic:nvPicPr>
                    <pic:cNvPr id="0" name="image21.png"/>
                    <pic:cNvPicPr preferRelativeResize="0"/>
                  </pic:nvPicPr>
                  <pic:blipFill>
                    <a:blip r:embed="rId37"/>
                    <a:srcRect b="0" l="0" r="0" t="0"/>
                    <a:stretch>
                      <a:fillRect/>
                    </a:stretch>
                  </pic:blipFill>
                  <pic:spPr>
                    <a:xfrm>
                      <a:off x="0" y="0"/>
                      <a:ext cx="5943600" cy="1257300"/>
                    </a:xfrm>
                    <a:prstGeom prst="rect"/>
                    <a:ln/>
                  </pic:spPr>
                </pic:pic>
              </a:graphicData>
            </a:graphic>
          </wp:inline>
        </w:drawing>
      </w:r>
      <w:r w:rsidDel="00000000" w:rsidR="00000000" w:rsidRPr="00000000">
        <w:rPr>
          <w:rtl w:val="0"/>
        </w:rPr>
      </w:r>
    </w:p>
    <w:p w:rsidR="00000000" w:rsidDel="00000000" w:rsidP="00000000" w:rsidRDefault="00000000" w:rsidRPr="00000000" w14:paraId="00000123">
      <w:pPr>
        <w:jc w:val="center"/>
        <w:rPr>
          <w:b w:val="1"/>
        </w:rPr>
      </w:pPr>
      <w:r w:rsidDel="00000000" w:rsidR="00000000" w:rsidRPr="00000000">
        <w:rPr>
          <w:b w:val="1"/>
          <w:rtl w:val="0"/>
        </w:rPr>
        <w:t xml:space="preserve">Figure 25: ARR</w:t>
      </w:r>
    </w:p>
    <w:p w:rsidR="00000000" w:rsidDel="00000000" w:rsidP="00000000" w:rsidRDefault="00000000" w:rsidRPr="00000000" w14:paraId="00000124">
      <w:pPr>
        <w:jc w:val="center"/>
        <w:rPr/>
      </w:pPr>
      <w:r w:rsidDel="00000000" w:rsidR="00000000" w:rsidRPr="00000000">
        <w:rPr>
          <w:rtl w:val="0"/>
        </w:rPr>
        <w:t xml:space="preserve">(Source: Self-developed)</w:t>
      </w:r>
    </w:p>
    <w:p w:rsidR="00000000" w:rsidDel="00000000" w:rsidP="00000000" w:rsidRDefault="00000000" w:rsidRPr="00000000" w14:paraId="00000125">
      <w:pPr>
        <w:rPr/>
      </w:pPr>
      <w:r w:rsidDel="00000000" w:rsidR="00000000" w:rsidRPr="00000000">
        <w:rPr>
          <w:rtl w:val="0"/>
        </w:rPr>
        <w:t xml:space="preserve">The ARR is generally illustrated with a positive return value against cash inflow of £55 million effectively generating a return potential of £5. Thus, based on this calculated annual average profit also raised £1 million. Due to this ARR value also calculated as 4.00% assured better standardized benchmark of profit for organisation.</w:t>
      </w:r>
    </w:p>
    <w:p w:rsidR="00000000" w:rsidDel="00000000" w:rsidP="00000000" w:rsidRDefault="00000000" w:rsidRPr="00000000" w14:paraId="00000126">
      <w:pPr>
        <w:rPr/>
      </w:pPr>
      <w:r w:rsidDel="00000000" w:rsidR="00000000" w:rsidRPr="00000000">
        <w:rPr/>
        <w:drawing>
          <wp:inline distB="114300" distT="114300" distL="114300" distR="114300">
            <wp:extent cx="5943600" cy="2032000"/>
            <wp:effectExtent b="0" l="0" r="0" t="0"/>
            <wp:docPr id="24" name="image24.png"/>
            <a:graphic>
              <a:graphicData uri="http://schemas.openxmlformats.org/drawingml/2006/picture">
                <pic:pic>
                  <pic:nvPicPr>
                    <pic:cNvPr id="0" name="image24.png"/>
                    <pic:cNvPicPr preferRelativeResize="0"/>
                  </pic:nvPicPr>
                  <pic:blipFill>
                    <a:blip r:embed="rId38"/>
                    <a:srcRect b="0" l="0" r="0" t="0"/>
                    <a:stretch>
                      <a:fillRect/>
                    </a:stretch>
                  </pic:blipFill>
                  <pic:spPr>
                    <a:xfrm>
                      <a:off x="0" y="0"/>
                      <a:ext cx="5943600" cy="2032000"/>
                    </a:xfrm>
                    <a:prstGeom prst="rect"/>
                    <a:ln/>
                  </pic:spPr>
                </pic:pic>
              </a:graphicData>
            </a:graphic>
          </wp:inline>
        </w:drawing>
      </w:r>
      <w:r w:rsidDel="00000000" w:rsidR="00000000" w:rsidRPr="00000000">
        <w:rPr>
          <w:rtl w:val="0"/>
        </w:rPr>
      </w:r>
    </w:p>
    <w:p w:rsidR="00000000" w:rsidDel="00000000" w:rsidP="00000000" w:rsidRDefault="00000000" w:rsidRPr="00000000" w14:paraId="00000127">
      <w:pPr>
        <w:jc w:val="center"/>
        <w:rPr>
          <w:b w:val="1"/>
        </w:rPr>
      </w:pPr>
      <w:r w:rsidDel="00000000" w:rsidR="00000000" w:rsidRPr="00000000">
        <w:rPr>
          <w:b w:val="1"/>
          <w:rtl w:val="0"/>
        </w:rPr>
        <w:t xml:space="preserve">Figure 26: NPV and PI</w:t>
      </w:r>
    </w:p>
    <w:p w:rsidR="00000000" w:rsidDel="00000000" w:rsidP="00000000" w:rsidRDefault="00000000" w:rsidRPr="00000000" w14:paraId="00000128">
      <w:pPr>
        <w:jc w:val="center"/>
        <w:rPr/>
      </w:pPr>
      <w:r w:rsidDel="00000000" w:rsidR="00000000" w:rsidRPr="00000000">
        <w:rPr>
          <w:rtl w:val="0"/>
        </w:rPr>
        <w:t xml:space="preserve">(Source: Self-developed)</w:t>
      </w:r>
    </w:p>
    <w:p w:rsidR="00000000" w:rsidDel="00000000" w:rsidP="00000000" w:rsidRDefault="00000000" w:rsidRPr="00000000" w14:paraId="00000129">
      <w:pPr>
        <w:rPr/>
      </w:pPr>
      <w:r w:rsidDel="00000000" w:rsidR="00000000" w:rsidRPr="00000000">
        <w:rPr>
          <w:rtl w:val="0"/>
        </w:rPr>
        <w:t xml:space="preserve">The value of NPV also illustrates the present value of cash flow within an 8% discounting rate about £43.93 million. As a result, it positions a negative NPV of £6.07 million after excluding all of the initial investment criteria of £50 million. Also, PI value less than 1 indicated less attractiveness for investors.</w:t>
      </w:r>
    </w:p>
    <w:p w:rsidR="00000000" w:rsidDel="00000000" w:rsidP="00000000" w:rsidRDefault="00000000" w:rsidRPr="00000000" w14:paraId="0000012A">
      <w:pPr>
        <w:rPr/>
      </w:pPr>
      <w:r w:rsidDel="00000000" w:rsidR="00000000" w:rsidRPr="00000000">
        <w:rPr/>
        <w:drawing>
          <wp:inline distB="114300" distT="114300" distL="114300" distR="114300">
            <wp:extent cx="5943600" cy="3594100"/>
            <wp:effectExtent b="0" l="0" r="0" t="0"/>
            <wp:docPr id="26" name="image26.png"/>
            <a:graphic>
              <a:graphicData uri="http://schemas.openxmlformats.org/drawingml/2006/picture">
                <pic:pic>
                  <pic:nvPicPr>
                    <pic:cNvPr id="0" name="image26.png"/>
                    <pic:cNvPicPr preferRelativeResize="0"/>
                  </pic:nvPicPr>
                  <pic:blipFill>
                    <a:blip r:embed="rId39"/>
                    <a:srcRect b="0" l="0" r="0" t="0"/>
                    <a:stretch>
                      <a:fillRect/>
                    </a:stretch>
                  </pic:blipFill>
                  <pic:spPr>
                    <a:xfrm>
                      <a:off x="0" y="0"/>
                      <a:ext cx="5943600" cy="3594100"/>
                    </a:xfrm>
                    <a:prstGeom prst="rect"/>
                    <a:ln/>
                  </pic:spPr>
                </pic:pic>
              </a:graphicData>
            </a:graphic>
          </wp:inline>
        </w:drawing>
      </w:r>
      <w:r w:rsidDel="00000000" w:rsidR="00000000" w:rsidRPr="00000000">
        <w:rPr>
          <w:rtl w:val="0"/>
        </w:rPr>
      </w:r>
    </w:p>
    <w:p w:rsidR="00000000" w:rsidDel="00000000" w:rsidP="00000000" w:rsidRDefault="00000000" w:rsidRPr="00000000" w14:paraId="0000012B">
      <w:pPr>
        <w:jc w:val="center"/>
        <w:rPr>
          <w:b w:val="1"/>
        </w:rPr>
      </w:pPr>
      <w:r w:rsidDel="00000000" w:rsidR="00000000" w:rsidRPr="00000000">
        <w:rPr>
          <w:b w:val="1"/>
          <w:rtl w:val="0"/>
        </w:rPr>
        <w:t xml:space="preserve">Figure 27: IRR</w:t>
      </w:r>
    </w:p>
    <w:p w:rsidR="00000000" w:rsidDel="00000000" w:rsidP="00000000" w:rsidRDefault="00000000" w:rsidRPr="00000000" w14:paraId="0000012C">
      <w:pPr>
        <w:jc w:val="center"/>
        <w:rPr/>
      </w:pPr>
      <w:r w:rsidDel="00000000" w:rsidR="00000000" w:rsidRPr="00000000">
        <w:rPr>
          <w:rtl w:val="0"/>
        </w:rPr>
        <w:t xml:space="preserve">(Source: Self-developed)</w:t>
      </w:r>
    </w:p>
    <w:p w:rsidR="00000000" w:rsidDel="00000000" w:rsidP="00000000" w:rsidRDefault="00000000" w:rsidRPr="00000000" w14:paraId="0000012D">
      <w:pPr>
        <w:rPr/>
      </w:pPr>
      <w:r w:rsidDel="00000000" w:rsidR="00000000" w:rsidRPr="00000000">
        <w:rPr>
          <w:rtl w:val="0"/>
        </w:rPr>
        <w:t xml:space="preserve">In case of project B calculated IRR value will also be raised 3.61% by conjugation of two different discounting factors such as 0% and 8%. Hence, an 8% cost of capital also raises lower return values that are less viable and high risk for investors.</w:t>
      </w:r>
    </w:p>
    <w:p w:rsidR="00000000" w:rsidDel="00000000" w:rsidP="00000000" w:rsidRDefault="00000000" w:rsidRPr="00000000" w14:paraId="0000012E">
      <w:pPr>
        <w:pStyle w:val="Heading3"/>
        <w:rPr/>
      </w:pPr>
      <w:bookmarkStart w:colFirst="0" w:colLast="0" w:name="_4k668n3" w:id="58"/>
      <w:bookmarkEnd w:id="58"/>
      <w:r w:rsidDel="00000000" w:rsidR="00000000" w:rsidRPr="00000000">
        <w:rPr>
          <w:rtl w:val="0"/>
        </w:rPr>
        <w:t xml:space="preserve">4.2.3 Project C Appraisal</w:t>
        <w:tab/>
      </w:r>
    </w:p>
    <w:p w:rsidR="00000000" w:rsidDel="00000000" w:rsidP="00000000" w:rsidRDefault="00000000" w:rsidRPr="00000000" w14:paraId="0000012F">
      <w:pPr>
        <w:rPr/>
      </w:pPr>
      <w:r w:rsidDel="00000000" w:rsidR="00000000" w:rsidRPr="00000000">
        <w:rPr/>
        <w:drawing>
          <wp:inline distB="114300" distT="114300" distL="114300" distR="114300">
            <wp:extent cx="5943600" cy="2311400"/>
            <wp:effectExtent b="0" l="0" r="0" t="0"/>
            <wp:docPr id="29" name="image29.png"/>
            <a:graphic>
              <a:graphicData uri="http://schemas.openxmlformats.org/drawingml/2006/picture">
                <pic:pic>
                  <pic:nvPicPr>
                    <pic:cNvPr id="0" name="image29.png"/>
                    <pic:cNvPicPr preferRelativeResize="0"/>
                  </pic:nvPicPr>
                  <pic:blipFill>
                    <a:blip r:embed="rId40"/>
                    <a:srcRect b="0" l="0" r="0" t="0"/>
                    <a:stretch>
                      <a:fillRect/>
                    </a:stretch>
                  </pic:blipFill>
                  <pic:spPr>
                    <a:xfrm>
                      <a:off x="0" y="0"/>
                      <a:ext cx="5943600" cy="2311400"/>
                    </a:xfrm>
                    <a:prstGeom prst="rect"/>
                    <a:ln/>
                  </pic:spPr>
                </pic:pic>
              </a:graphicData>
            </a:graphic>
          </wp:inline>
        </w:drawing>
      </w:r>
      <w:r w:rsidDel="00000000" w:rsidR="00000000" w:rsidRPr="00000000">
        <w:rPr>
          <w:rtl w:val="0"/>
        </w:rPr>
      </w:r>
    </w:p>
    <w:p w:rsidR="00000000" w:rsidDel="00000000" w:rsidP="00000000" w:rsidRDefault="00000000" w:rsidRPr="00000000" w14:paraId="00000130">
      <w:pPr>
        <w:jc w:val="center"/>
        <w:rPr>
          <w:b w:val="1"/>
        </w:rPr>
      </w:pPr>
      <w:r w:rsidDel="00000000" w:rsidR="00000000" w:rsidRPr="00000000">
        <w:rPr>
          <w:b w:val="1"/>
          <w:rtl w:val="0"/>
        </w:rPr>
        <w:t xml:space="preserve">Figure 28: PBP</w:t>
      </w:r>
    </w:p>
    <w:p w:rsidR="00000000" w:rsidDel="00000000" w:rsidP="00000000" w:rsidRDefault="00000000" w:rsidRPr="00000000" w14:paraId="00000131">
      <w:pPr>
        <w:jc w:val="center"/>
        <w:rPr/>
      </w:pPr>
      <w:r w:rsidDel="00000000" w:rsidR="00000000" w:rsidRPr="00000000">
        <w:rPr>
          <w:rtl w:val="0"/>
        </w:rPr>
        <w:t xml:space="preserve">(Source: Self-developed)</w:t>
      </w:r>
    </w:p>
    <w:p w:rsidR="00000000" w:rsidDel="00000000" w:rsidP="00000000" w:rsidRDefault="00000000" w:rsidRPr="00000000" w14:paraId="00000132">
      <w:pPr>
        <w:rPr/>
      </w:pPr>
      <w:r w:rsidDel="00000000" w:rsidR="00000000" w:rsidRPr="00000000">
        <w:rPr>
          <w:rtl w:val="0"/>
        </w:rPr>
        <w:t xml:space="preserve">In the case of a project, the invested value of £50 million can also be recovered more quickly with a raised time period of 3.60 years. Hence, almost 75% of initial investment of about £35 million recovered by the end of the third year and remained £3 million second quarter of fourth consecutive years.</w:t>
      </w:r>
    </w:p>
    <w:p w:rsidR="00000000" w:rsidDel="00000000" w:rsidP="00000000" w:rsidRDefault="00000000" w:rsidRPr="00000000" w14:paraId="00000133">
      <w:pPr>
        <w:rPr/>
      </w:pPr>
      <w:r w:rsidDel="00000000" w:rsidR="00000000" w:rsidRPr="00000000">
        <w:rPr/>
        <w:drawing>
          <wp:inline distB="114300" distT="114300" distL="114300" distR="114300">
            <wp:extent cx="5943600" cy="1231900"/>
            <wp:effectExtent b="0" l="0" r="0" t="0"/>
            <wp:docPr id="31" name="image31.png"/>
            <a:graphic>
              <a:graphicData uri="http://schemas.openxmlformats.org/drawingml/2006/picture">
                <pic:pic>
                  <pic:nvPicPr>
                    <pic:cNvPr id="0" name="image31.png"/>
                    <pic:cNvPicPr preferRelativeResize="0"/>
                  </pic:nvPicPr>
                  <pic:blipFill>
                    <a:blip r:embed="rId41"/>
                    <a:srcRect b="0" l="0" r="0" t="0"/>
                    <a:stretch>
                      <a:fillRect/>
                    </a:stretch>
                  </pic:blipFill>
                  <pic:spPr>
                    <a:xfrm>
                      <a:off x="0" y="0"/>
                      <a:ext cx="5943600" cy="1231900"/>
                    </a:xfrm>
                    <a:prstGeom prst="rect"/>
                    <a:ln/>
                  </pic:spPr>
                </pic:pic>
              </a:graphicData>
            </a:graphic>
          </wp:inline>
        </w:drawing>
      </w:r>
      <w:r w:rsidDel="00000000" w:rsidR="00000000" w:rsidRPr="00000000">
        <w:rPr>
          <w:rtl w:val="0"/>
        </w:rPr>
      </w:r>
    </w:p>
    <w:p w:rsidR="00000000" w:rsidDel="00000000" w:rsidP="00000000" w:rsidRDefault="00000000" w:rsidRPr="00000000" w14:paraId="00000134">
      <w:pPr>
        <w:jc w:val="center"/>
        <w:rPr>
          <w:b w:val="1"/>
        </w:rPr>
      </w:pPr>
      <w:r w:rsidDel="00000000" w:rsidR="00000000" w:rsidRPr="00000000">
        <w:rPr>
          <w:b w:val="1"/>
          <w:rtl w:val="0"/>
        </w:rPr>
        <w:t xml:space="preserve">Figure 29: ARR</w:t>
      </w:r>
    </w:p>
    <w:p w:rsidR="00000000" w:rsidDel="00000000" w:rsidP="00000000" w:rsidRDefault="00000000" w:rsidRPr="00000000" w14:paraId="00000135">
      <w:pPr>
        <w:jc w:val="center"/>
        <w:rPr/>
      </w:pPr>
      <w:r w:rsidDel="00000000" w:rsidR="00000000" w:rsidRPr="00000000">
        <w:rPr>
          <w:rtl w:val="0"/>
        </w:rPr>
        <w:t xml:space="preserve">(Source: Self-developed)</w:t>
      </w:r>
    </w:p>
    <w:p w:rsidR="00000000" w:rsidDel="00000000" w:rsidP="00000000" w:rsidRDefault="00000000" w:rsidRPr="00000000" w14:paraId="00000136">
      <w:pPr>
        <w:rPr/>
      </w:pPr>
      <w:r w:rsidDel="00000000" w:rsidR="00000000" w:rsidRPr="00000000">
        <w:rPr>
          <w:rtl w:val="0"/>
        </w:rPr>
        <w:t xml:space="preserve">The cash inflow pattern in case of project C also be higher with capture £65 million that also generated profitability value of £15 million. As a result, it generated average profit in the year £3 million with captured ARR value of 12%.</w:t>
      </w:r>
    </w:p>
    <w:p w:rsidR="00000000" w:rsidDel="00000000" w:rsidP="00000000" w:rsidRDefault="00000000" w:rsidRPr="00000000" w14:paraId="00000137">
      <w:pPr>
        <w:rPr/>
      </w:pPr>
      <w:r w:rsidDel="00000000" w:rsidR="00000000" w:rsidRPr="00000000">
        <w:rPr/>
        <w:drawing>
          <wp:inline distB="114300" distT="114300" distL="114300" distR="114300">
            <wp:extent cx="5943600" cy="2070100"/>
            <wp:effectExtent b="0" l="0" r="0" t="0"/>
            <wp:docPr id="33" name="image33.png"/>
            <a:graphic>
              <a:graphicData uri="http://schemas.openxmlformats.org/drawingml/2006/picture">
                <pic:pic>
                  <pic:nvPicPr>
                    <pic:cNvPr id="0" name="image33.png"/>
                    <pic:cNvPicPr preferRelativeResize="0"/>
                  </pic:nvPicPr>
                  <pic:blipFill>
                    <a:blip r:embed="rId42"/>
                    <a:srcRect b="0" l="0" r="0" t="0"/>
                    <a:stretch>
                      <a:fillRect/>
                    </a:stretch>
                  </pic:blipFill>
                  <pic:spPr>
                    <a:xfrm>
                      <a:off x="0" y="0"/>
                      <a:ext cx="5943600" cy="2070100"/>
                    </a:xfrm>
                    <a:prstGeom prst="rect"/>
                    <a:ln/>
                  </pic:spPr>
                </pic:pic>
              </a:graphicData>
            </a:graphic>
          </wp:inline>
        </w:drawing>
      </w:r>
      <w:r w:rsidDel="00000000" w:rsidR="00000000" w:rsidRPr="00000000">
        <w:rPr>
          <w:rtl w:val="0"/>
        </w:rPr>
      </w:r>
    </w:p>
    <w:p w:rsidR="00000000" w:rsidDel="00000000" w:rsidP="00000000" w:rsidRDefault="00000000" w:rsidRPr="00000000" w14:paraId="00000138">
      <w:pPr>
        <w:jc w:val="center"/>
        <w:rPr>
          <w:b w:val="1"/>
        </w:rPr>
      </w:pPr>
      <w:r w:rsidDel="00000000" w:rsidR="00000000" w:rsidRPr="00000000">
        <w:rPr>
          <w:b w:val="1"/>
          <w:rtl w:val="0"/>
        </w:rPr>
        <w:t xml:space="preserve">Figure 30: NPV and PI</w:t>
      </w:r>
    </w:p>
    <w:p w:rsidR="00000000" w:rsidDel="00000000" w:rsidP="00000000" w:rsidRDefault="00000000" w:rsidRPr="00000000" w14:paraId="00000139">
      <w:pPr>
        <w:jc w:val="center"/>
        <w:rPr/>
      </w:pPr>
      <w:r w:rsidDel="00000000" w:rsidR="00000000" w:rsidRPr="00000000">
        <w:rPr>
          <w:rtl w:val="0"/>
        </w:rPr>
        <w:t xml:space="preserve">(Source: Self-developed)</w:t>
      </w:r>
    </w:p>
    <w:p w:rsidR="00000000" w:rsidDel="00000000" w:rsidP="00000000" w:rsidRDefault="00000000" w:rsidRPr="00000000" w14:paraId="0000013A">
      <w:pPr>
        <w:rPr/>
      </w:pPr>
      <w:r w:rsidDel="00000000" w:rsidR="00000000" w:rsidRPr="00000000">
        <w:rPr>
          <w:rtl w:val="0"/>
        </w:rPr>
        <w:t xml:space="preserve">The project C also captured a total present value of £50.86 million that also generated a positive NPV rate of £0.86 million with all initial investment. Also, PI value above industry benchmark 1 indicated a more sustainable return from the investment of project C.</w:t>
      </w:r>
    </w:p>
    <w:p w:rsidR="00000000" w:rsidDel="00000000" w:rsidP="00000000" w:rsidRDefault="00000000" w:rsidRPr="00000000" w14:paraId="0000013B">
      <w:pPr>
        <w:rPr/>
      </w:pPr>
      <w:r w:rsidDel="00000000" w:rsidR="00000000" w:rsidRPr="00000000">
        <w:rPr/>
        <w:drawing>
          <wp:inline distB="114300" distT="114300" distL="114300" distR="114300">
            <wp:extent cx="5943600" cy="3390900"/>
            <wp:effectExtent b="0" l="0" r="0" t="0"/>
            <wp:docPr id="35" name="image35.png"/>
            <a:graphic>
              <a:graphicData uri="http://schemas.openxmlformats.org/drawingml/2006/picture">
                <pic:pic>
                  <pic:nvPicPr>
                    <pic:cNvPr id="0" name="image35.png"/>
                    <pic:cNvPicPr preferRelativeResize="0"/>
                  </pic:nvPicPr>
                  <pic:blipFill>
                    <a:blip r:embed="rId43"/>
                    <a:srcRect b="0" l="0" r="0" t="0"/>
                    <a:stretch>
                      <a:fillRect/>
                    </a:stretch>
                  </pic:blipFill>
                  <pic:spPr>
                    <a:xfrm>
                      <a:off x="0" y="0"/>
                      <a:ext cx="5943600" cy="3390900"/>
                    </a:xfrm>
                    <a:prstGeom prst="rect"/>
                    <a:ln/>
                  </pic:spPr>
                </pic:pic>
              </a:graphicData>
            </a:graphic>
          </wp:inline>
        </w:drawing>
      </w:r>
      <w:r w:rsidDel="00000000" w:rsidR="00000000" w:rsidRPr="00000000">
        <w:rPr>
          <w:rtl w:val="0"/>
        </w:rPr>
      </w:r>
    </w:p>
    <w:p w:rsidR="00000000" w:rsidDel="00000000" w:rsidP="00000000" w:rsidRDefault="00000000" w:rsidRPr="00000000" w14:paraId="0000013C">
      <w:pPr>
        <w:jc w:val="center"/>
        <w:rPr>
          <w:b w:val="1"/>
        </w:rPr>
      </w:pPr>
      <w:r w:rsidDel="00000000" w:rsidR="00000000" w:rsidRPr="00000000">
        <w:rPr>
          <w:b w:val="1"/>
          <w:rtl w:val="0"/>
        </w:rPr>
        <w:t xml:space="preserve">Figure 31: IRR</w:t>
      </w:r>
    </w:p>
    <w:p w:rsidR="00000000" w:rsidDel="00000000" w:rsidP="00000000" w:rsidRDefault="00000000" w:rsidRPr="00000000" w14:paraId="0000013D">
      <w:pPr>
        <w:jc w:val="center"/>
        <w:rPr/>
      </w:pPr>
      <w:r w:rsidDel="00000000" w:rsidR="00000000" w:rsidRPr="00000000">
        <w:rPr>
          <w:rtl w:val="0"/>
        </w:rPr>
        <w:t xml:space="preserve">(Source: Self-developed)</w:t>
      </w:r>
    </w:p>
    <w:p w:rsidR="00000000" w:rsidDel="00000000" w:rsidP="00000000" w:rsidRDefault="00000000" w:rsidRPr="00000000" w14:paraId="0000013E">
      <w:pPr>
        <w:rPr/>
      </w:pPr>
      <w:r w:rsidDel="00000000" w:rsidR="00000000" w:rsidRPr="00000000">
        <w:rPr>
          <w:rtl w:val="0"/>
        </w:rPr>
        <w:t xml:space="preserve">The use of interpolation with an adopted discounting rate of 8% and 10% indicated IRR value of 8.61%. Hence, this value also exceeds organization return potential to make more attractive investors to enable risk free return. </w:t>
      </w:r>
    </w:p>
    <w:p w:rsidR="00000000" w:rsidDel="00000000" w:rsidP="00000000" w:rsidRDefault="00000000" w:rsidRPr="00000000" w14:paraId="0000013F">
      <w:pPr>
        <w:pStyle w:val="Heading2"/>
        <w:rPr/>
      </w:pPr>
      <w:bookmarkStart w:colFirst="0" w:colLast="0" w:name="_2zbgiuw" w:id="59"/>
      <w:bookmarkEnd w:id="59"/>
      <w:r w:rsidDel="00000000" w:rsidR="00000000" w:rsidRPr="00000000">
        <w:rPr>
          <w:rtl w:val="0"/>
        </w:rPr>
        <w:t xml:space="preserve">4.3 Recommendation based on company's financial performance </w:t>
        <w:tab/>
      </w:r>
    </w:p>
    <w:p w:rsidR="00000000" w:rsidDel="00000000" w:rsidP="00000000" w:rsidRDefault="00000000" w:rsidRPr="00000000" w14:paraId="00000140">
      <w:pPr>
        <w:pStyle w:val="Heading3"/>
        <w:rPr/>
      </w:pPr>
      <w:bookmarkStart w:colFirst="0" w:colLast="0" w:name="_1egqt2p" w:id="60"/>
      <w:bookmarkEnd w:id="60"/>
      <w:r w:rsidDel="00000000" w:rsidR="00000000" w:rsidRPr="00000000">
        <w:rPr>
          <w:rtl w:val="0"/>
        </w:rPr>
        <w:t xml:space="preserve">4.3.1 Selection of project</w:t>
        <w:tab/>
      </w:r>
    </w:p>
    <w:p w:rsidR="00000000" w:rsidDel="00000000" w:rsidP="00000000" w:rsidRDefault="00000000" w:rsidRPr="00000000" w14:paraId="00000141">
      <w:pPr>
        <w:rPr/>
      </w:pPr>
      <w:r w:rsidDel="00000000" w:rsidR="00000000" w:rsidRPr="00000000">
        <w:rPr>
          <w:rtl w:val="0"/>
        </w:rPr>
        <w:t xml:space="preserve">Project C has its investment option that is based on positive NPV and capital cost which leads to enhancing the overall value of firms. On the other hand, Project C addresses its efficiency through IRR and ARR which in term maximises its profitability. Thus, the Project has the ability to showcase shareholder return through future cash inflow.</w:t>
      </w:r>
    </w:p>
    <w:p w:rsidR="00000000" w:rsidDel="00000000" w:rsidP="00000000" w:rsidRDefault="00000000" w:rsidRPr="00000000" w14:paraId="00000142">
      <w:pPr>
        <w:pStyle w:val="Heading3"/>
        <w:rPr/>
      </w:pPr>
      <w:bookmarkStart w:colFirst="0" w:colLast="0" w:name="_3ygebqi" w:id="61"/>
      <w:bookmarkEnd w:id="61"/>
      <w:r w:rsidDel="00000000" w:rsidR="00000000" w:rsidRPr="00000000">
        <w:rPr>
          <w:rtl w:val="0"/>
        </w:rPr>
        <w:t xml:space="preserve">4.3.2 Financial Justification</w:t>
        <w:tab/>
      </w:r>
    </w:p>
    <w:p w:rsidR="00000000" w:rsidDel="00000000" w:rsidP="00000000" w:rsidRDefault="00000000" w:rsidRPr="00000000" w14:paraId="00000143">
      <w:pPr>
        <w:rPr/>
      </w:pPr>
      <w:r w:rsidDel="00000000" w:rsidR="00000000" w:rsidRPr="00000000">
        <w:rPr>
          <w:rtl w:val="0"/>
        </w:rPr>
        <w:t xml:space="preserve">Marriott International prioritized Project C for its ability to expand its operating margin, which delivered overall profit. The company showcases its profit with adjusted EBITDA 9% leading to high demand of “Revenue Per Available Room” (Marriott, 2025b). This company serves Project C to manage its high-rise accounting with its high ARR of about 12%. This leads to enhancing the overall shareholder wealth address through significant cash flow adoption. Project C showcases a payback period of about 3.6 years, achieved through improved liquidity via long-term asset exposure. The company manages its short-term liabilities through steady cash flow which leads to enhanced shareholder return (Bishwas and Hossain, 2025). However, the company manages its liquidity demand through reducing cash flow volatility and encountering recovery in managing working capital. </w:t>
      </w:r>
    </w:p>
    <w:p w:rsidR="00000000" w:rsidDel="00000000" w:rsidP="00000000" w:rsidRDefault="00000000" w:rsidRPr="00000000" w14:paraId="00000144">
      <w:pPr>
        <w:pStyle w:val="Heading3"/>
        <w:rPr/>
      </w:pPr>
      <w:bookmarkStart w:colFirst="0" w:colLast="0" w:name="_2dlolyb" w:id="62"/>
      <w:bookmarkEnd w:id="62"/>
      <w:r w:rsidDel="00000000" w:rsidR="00000000" w:rsidRPr="00000000">
        <w:rPr>
          <w:rtl w:val="0"/>
        </w:rPr>
        <w:t xml:space="preserve">4.3.3 Non-Financial Risk Assessment</w:t>
        <w:tab/>
      </w:r>
    </w:p>
    <w:p w:rsidR="00000000" w:rsidDel="00000000" w:rsidP="00000000" w:rsidRDefault="00000000" w:rsidRPr="00000000" w14:paraId="00000145">
      <w:pPr>
        <w:rPr/>
      </w:pPr>
      <w:r w:rsidDel="00000000" w:rsidR="00000000" w:rsidRPr="00000000">
        <w:rPr>
          <w:rtl w:val="0"/>
        </w:rPr>
        <w:t xml:space="preserve">Project C showcases its political risk leading to unexpected changes in taxation and government policy which in term affect overall cash flow of business. </w:t>
      </w:r>
      <w:r w:rsidDel="00000000" w:rsidR="00000000" w:rsidRPr="00000000">
        <w:rPr>
          <w:highlight w:val="white"/>
          <w:rtl w:val="0"/>
        </w:rPr>
        <w:t xml:space="preserve">For example, the UK hospitality industry faced political pressure due to a 20% to 10% VAT rate which enhanced operating loss of business (Davies, 2026). </w:t>
      </w:r>
      <w:r w:rsidDel="00000000" w:rsidR="00000000" w:rsidRPr="00000000">
        <w:rPr>
          <w:rtl w:val="0"/>
        </w:rPr>
        <w:t xml:space="preserve">On the other hand, this project addressed its initial higher cash flow by highlighting its long term invested capitalised value about £50 million that have been made volatile with decline in stock price. </w:t>
      </w:r>
    </w:p>
    <w:p w:rsidR="00000000" w:rsidDel="00000000" w:rsidP="00000000" w:rsidRDefault="00000000" w:rsidRPr="00000000" w14:paraId="00000146">
      <w:pPr>
        <w:rPr>
          <w:b w:val="1"/>
        </w:rPr>
      </w:pPr>
      <w:r w:rsidDel="00000000" w:rsidR="00000000" w:rsidRPr="00000000">
        <w:rPr>
          <w:b w:val="1"/>
          <w:rtl w:val="0"/>
        </w:rPr>
        <w:t xml:space="preserve">Customer loyalty</w:t>
      </w:r>
    </w:p>
    <w:p w:rsidR="00000000" w:rsidDel="00000000" w:rsidP="00000000" w:rsidRDefault="00000000" w:rsidRPr="00000000" w14:paraId="00000147">
      <w:pPr>
        <w:rPr>
          <w:b w:val="1"/>
        </w:rPr>
      </w:pPr>
      <w:r w:rsidDel="00000000" w:rsidR="00000000" w:rsidRPr="00000000">
        <w:rPr>
          <w:rtl w:val="0"/>
        </w:rPr>
        <w:t xml:space="preserve">Project C demonstrates its cash inflow through robust customer retention and responds to market needs. Marriott significantly lowered its customer rate 50% for “revenue per available room growth,” showcasing its cautious environment in Canada and in the US (Wroten, 2025). On the other hand, the consumer reduces its customer acquisition cost from the "Marriott Bonvoy programme” which is due to high rises of internal friction of business. </w:t>
      </w:r>
      <w:r w:rsidDel="00000000" w:rsidR="00000000" w:rsidRPr="00000000">
        <w:rPr>
          <w:rtl w:val="0"/>
        </w:rPr>
      </w:r>
    </w:p>
    <w:p w:rsidR="00000000" w:rsidDel="00000000" w:rsidP="00000000" w:rsidRDefault="00000000" w:rsidRPr="00000000" w14:paraId="00000148">
      <w:pPr>
        <w:pStyle w:val="Heading2"/>
        <w:rPr/>
      </w:pPr>
      <w:bookmarkStart w:colFirst="0" w:colLast="0" w:name="_sqyw64" w:id="63"/>
      <w:bookmarkEnd w:id="63"/>
      <w:r w:rsidDel="00000000" w:rsidR="00000000" w:rsidRPr="00000000">
        <w:rPr>
          <w:rtl w:val="0"/>
        </w:rPr>
        <w:t xml:space="preserve">4.4 Capital Rationing Analysis (£100 Million Limit) </w:t>
      </w:r>
    </w:p>
    <w:p w:rsidR="00000000" w:rsidDel="00000000" w:rsidP="00000000" w:rsidRDefault="00000000" w:rsidRPr="00000000" w14:paraId="00000149">
      <w:pPr>
        <w:jc w:val="center"/>
        <w:rPr/>
      </w:pPr>
      <w:r w:rsidDel="00000000" w:rsidR="00000000" w:rsidRPr="00000000">
        <w:rPr/>
        <w:drawing>
          <wp:inline distB="114300" distT="114300" distL="114300" distR="114300">
            <wp:extent cx="5943600" cy="863600"/>
            <wp:effectExtent b="0" l="0" r="0" t="0"/>
            <wp:docPr id="37" name="image37.png"/>
            <a:graphic>
              <a:graphicData uri="http://schemas.openxmlformats.org/drawingml/2006/picture">
                <pic:pic>
                  <pic:nvPicPr>
                    <pic:cNvPr id="0" name="image37.png"/>
                    <pic:cNvPicPr preferRelativeResize="0"/>
                  </pic:nvPicPr>
                  <pic:blipFill>
                    <a:blip r:embed="rId44"/>
                    <a:srcRect b="0" l="0" r="0" t="0"/>
                    <a:stretch>
                      <a:fillRect/>
                    </a:stretch>
                  </pic:blipFill>
                  <pic:spPr>
                    <a:xfrm>
                      <a:off x="0" y="0"/>
                      <a:ext cx="5943600" cy="863600"/>
                    </a:xfrm>
                    <a:prstGeom prst="rect"/>
                    <a:ln/>
                  </pic:spPr>
                </pic:pic>
              </a:graphicData>
            </a:graphic>
          </wp:inline>
        </w:drawing>
      </w:r>
      <w:r w:rsidDel="00000000" w:rsidR="00000000" w:rsidRPr="00000000">
        <w:rPr>
          <w:rtl w:val="0"/>
        </w:rPr>
      </w:r>
    </w:p>
    <w:p w:rsidR="00000000" w:rsidDel="00000000" w:rsidP="00000000" w:rsidRDefault="00000000" w:rsidRPr="00000000" w14:paraId="0000014A">
      <w:pPr>
        <w:jc w:val="center"/>
        <w:rPr>
          <w:b w:val="1"/>
        </w:rPr>
      </w:pPr>
      <w:r w:rsidDel="00000000" w:rsidR="00000000" w:rsidRPr="00000000">
        <w:rPr>
          <w:b w:val="1"/>
          <w:rtl w:val="0"/>
        </w:rPr>
        <w:t xml:space="preserve">Figure 32: Capital rationing</w:t>
      </w:r>
    </w:p>
    <w:p w:rsidR="00000000" w:rsidDel="00000000" w:rsidP="00000000" w:rsidRDefault="00000000" w:rsidRPr="00000000" w14:paraId="0000014B">
      <w:pPr>
        <w:jc w:val="center"/>
        <w:rPr/>
      </w:pPr>
      <w:r w:rsidDel="00000000" w:rsidR="00000000" w:rsidRPr="00000000">
        <w:rPr>
          <w:rtl w:val="0"/>
        </w:rPr>
        <w:t xml:space="preserve"> (Source: Self-developed)</w:t>
        <w:tab/>
      </w:r>
    </w:p>
    <w:p w:rsidR="00000000" w:rsidDel="00000000" w:rsidP="00000000" w:rsidRDefault="00000000" w:rsidRPr="00000000" w14:paraId="0000014C">
      <w:pPr>
        <w:rPr/>
      </w:pPr>
      <w:r w:rsidDel="00000000" w:rsidR="00000000" w:rsidRPr="00000000">
        <w:rPr>
          <w:rtl w:val="0"/>
        </w:rPr>
        <w:t xml:space="preserve">The use of capital rationing is the most significant method that ensures smooth choice of fund raise minimal capital invested towards diluted risk factor (Hayes, 2026). Hence, in this case Project B and Project C are most effective due to combining the highest PI value of 1.90. On another hand, it is also assured less negative NPV –£5.21 million as compared –£5.67 million for project A and C. Overall, project B has stable cash flow of £11 million and project C IRR 8.61% most attractive towards diluted risk factor for organisation.</w:t>
      </w:r>
    </w:p>
    <w:p w:rsidR="00000000" w:rsidDel="00000000" w:rsidP="00000000" w:rsidRDefault="00000000" w:rsidRPr="00000000" w14:paraId="0000014D">
      <w:pPr>
        <w:rPr/>
      </w:pPr>
      <w:r w:rsidDel="00000000" w:rsidR="00000000" w:rsidRPr="00000000">
        <w:br w:type="page"/>
      </w:r>
      <w:r w:rsidDel="00000000" w:rsidR="00000000" w:rsidRPr="00000000">
        <w:rPr>
          <w:rtl w:val="0"/>
        </w:rPr>
      </w:r>
    </w:p>
    <w:p w:rsidR="00000000" w:rsidDel="00000000" w:rsidP="00000000" w:rsidRDefault="00000000" w:rsidRPr="00000000" w14:paraId="0000014E">
      <w:pPr>
        <w:pStyle w:val="Heading1"/>
        <w:rPr/>
      </w:pPr>
      <w:bookmarkStart w:colFirst="0" w:colLast="0" w:name="_3cqmetx" w:id="64"/>
      <w:bookmarkEnd w:id="64"/>
      <w:r w:rsidDel="00000000" w:rsidR="00000000" w:rsidRPr="00000000">
        <w:rPr>
          <w:rtl w:val="0"/>
        </w:rPr>
        <w:t xml:space="preserve">5. Critical Reflection on Artificial Intelligence Usage </w:t>
        <w:tab/>
      </w:r>
    </w:p>
    <w:p w:rsidR="00000000" w:rsidDel="00000000" w:rsidP="00000000" w:rsidRDefault="00000000" w:rsidRPr="00000000" w14:paraId="0000014F">
      <w:pPr>
        <w:pStyle w:val="Heading2"/>
        <w:rPr/>
      </w:pPr>
      <w:bookmarkStart w:colFirst="0" w:colLast="0" w:name="_1rvwp1q" w:id="65"/>
      <w:bookmarkEnd w:id="65"/>
      <w:r w:rsidDel="00000000" w:rsidR="00000000" w:rsidRPr="00000000">
        <w:rPr>
          <w:rtl w:val="0"/>
        </w:rPr>
        <w:t xml:space="preserve">5.1 Identification of AI tools and Acknowledgement</w:t>
      </w:r>
    </w:p>
    <w:p w:rsidR="00000000" w:rsidDel="00000000" w:rsidP="00000000" w:rsidRDefault="00000000" w:rsidRPr="00000000" w14:paraId="00000150">
      <w:pPr>
        <w:rPr/>
      </w:pPr>
      <w:r w:rsidDel="00000000" w:rsidR="00000000" w:rsidRPr="00000000">
        <w:rPr>
          <w:rtl w:val="0"/>
        </w:rPr>
        <w:t xml:space="preserve">The report has involved the application of diversified AI tools such as “Google Gemini” that has helped me in improving the quality of the investigation process. In addition, the tool has also provided me with opportunities of developing a flexible structure associated with the topic. As stated by Masalkhi et al., (2024), the inclusion of Google Gemini also helps in reducing delays in the accumulation of data associated with the company, which increases the quality of the investigation process. On the other hand, I have also used the “Paperpal tools” for improving the grammatical quality of my report. The inclusion of the technique mentioned above has helped in carrying out a critical analysis on the operational activities of the hotel company. Overall, the availability of diversified AI tools has assisted me in improving the quality of my investigation process.</w:t>
      </w:r>
    </w:p>
    <w:p w:rsidR="00000000" w:rsidDel="00000000" w:rsidP="00000000" w:rsidRDefault="00000000" w:rsidRPr="00000000" w14:paraId="00000151">
      <w:pPr>
        <w:pStyle w:val="Heading2"/>
        <w:rPr/>
      </w:pPr>
      <w:bookmarkStart w:colFirst="0" w:colLast="0" w:name="_4bvk7pj" w:id="66"/>
      <w:bookmarkEnd w:id="66"/>
      <w:r w:rsidDel="00000000" w:rsidR="00000000" w:rsidRPr="00000000">
        <w:rPr>
          <w:rtl w:val="0"/>
        </w:rPr>
        <w:t xml:space="preserve">5.2 Verification of AI Outputs</w:t>
        <w:tab/>
      </w:r>
    </w:p>
    <w:p w:rsidR="00000000" w:rsidDel="00000000" w:rsidP="00000000" w:rsidRDefault="00000000" w:rsidRPr="00000000" w14:paraId="00000152">
      <w:pPr>
        <w:rPr/>
      </w:pPr>
      <w:r w:rsidDel="00000000" w:rsidR="00000000" w:rsidRPr="00000000">
        <w:rPr>
          <w:rtl w:val="0"/>
        </w:rPr>
        <w:t xml:space="preserve">Managing accuracy in financial interpretation through AI has been addressed through source tracking, human oversight to prevalent analytical errors (Celestin, 2023). This has been addressed through ”multi-layered verification ability to showcase traceability of the source to draw out significant conclusions. The primary sources used for "cross referencing” are SEC filing and checking of errors addressed through mathematical recalculation. The generation of ratio through uses of AI serves different output addresses through a reliable auditing process. Uses of traceability citation is more reliable to manage systematic workflow to verify financial statements through uses of audit logic. Identification of “logical errors” and hallucinations in financing addressed through “strict grounding” and programmatic validation which in turn draw out financial conclusions. On the other hand, Financial analysts through use of AI showcases its significant alignment by ability to respond with currency fluctuation and dealing with market trends to respond with market assumption.</w:t>
      </w:r>
    </w:p>
    <w:p w:rsidR="00000000" w:rsidDel="00000000" w:rsidP="00000000" w:rsidRDefault="00000000" w:rsidRPr="00000000" w14:paraId="00000153">
      <w:pPr>
        <w:pStyle w:val="Heading2"/>
        <w:rPr/>
      </w:pPr>
      <w:bookmarkStart w:colFirst="0" w:colLast="0" w:name="_2r0uhxc" w:id="67"/>
      <w:bookmarkEnd w:id="67"/>
      <w:r w:rsidDel="00000000" w:rsidR="00000000" w:rsidRPr="00000000">
        <w:rPr>
          <w:rtl w:val="0"/>
        </w:rPr>
        <w:t xml:space="preserve">5.3 Contribution Analysis</w:t>
        <w:tab/>
      </w:r>
    </w:p>
    <w:p w:rsidR="00000000" w:rsidDel="00000000" w:rsidP="00000000" w:rsidRDefault="00000000" w:rsidRPr="00000000" w14:paraId="00000154">
      <w:pPr>
        <w:pStyle w:val="Heading3"/>
        <w:rPr/>
      </w:pPr>
      <w:bookmarkStart w:colFirst="0" w:colLast="0" w:name="_1664s55" w:id="68"/>
      <w:bookmarkEnd w:id="68"/>
      <w:r w:rsidDel="00000000" w:rsidR="00000000" w:rsidRPr="00000000">
        <w:rPr>
          <w:rtl w:val="0"/>
        </w:rPr>
        <w:t xml:space="preserve">5.3.1 AI-Generated Contributions</w:t>
      </w:r>
    </w:p>
    <w:p w:rsidR="00000000" w:rsidDel="00000000" w:rsidP="00000000" w:rsidRDefault="00000000" w:rsidRPr="00000000" w14:paraId="00000155">
      <w:pPr>
        <w:rPr/>
      </w:pPr>
      <w:r w:rsidDel="00000000" w:rsidR="00000000" w:rsidRPr="00000000">
        <w:rPr>
          <w:rtl w:val="0"/>
        </w:rPr>
        <w:t xml:space="preserve">The adoption of AI tools such as “Google Gemini” and “Paperpal” for improving the layout of my report. As stated by Do, (2025), the inclusion of the digital techniques mentioned above has helped in improving the presentation quality of the investigation process. Thus, the availability of the AI tools has helped me in ensuring the timely completion of my report. </w:t>
      </w:r>
    </w:p>
    <w:p w:rsidR="00000000" w:rsidDel="00000000" w:rsidP="00000000" w:rsidRDefault="00000000" w:rsidRPr="00000000" w14:paraId="00000156">
      <w:pPr>
        <w:pStyle w:val="Heading3"/>
        <w:rPr/>
      </w:pPr>
      <w:bookmarkStart w:colFirst="0" w:colLast="0" w:name="_3q5sasy" w:id="69"/>
      <w:bookmarkEnd w:id="69"/>
      <w:r w:rsidDel="00000000" w:rsidR="00000000" w:rsidRPr="00000000">
        <w:rPr>
          <w:rtl w:val="0"/>
        </w:rPr>
        <w:t xml:space="preserve">5.3.2 Independent Critical Analysis</w:t>
      </w:r>
    </w:p>
    <w:p w:rsidR="00000000" w:rsidDel="00000000" w:rsidP="00000000" w:rsidRDefault="00000000" w:rsidRPr="00000000" w14:paraId="00000157">
      <w:pPr>
        <w:rPr/>
      </w:pPr>
      <w:r w:rsidDel="00000000" w:rsidR="00000000" w:rsidRPr="00000000">
        <w:rPr>
          <w:rtl w:val="0"/>
        </w:rPr>
        <w:t xml:space="preserve">As per my experience from the report, I utilized tools such as ratio analysis for evaluating the financial performance of Marriott Internationals. As stated by Costello (2025), the inclusion of ratio methods assist in acquiring accurate knowledge regarding the internal and external management operations of the organisations. On the other hand, I also executed graphical representations for improving the efficiency of my investigation process.</w:t>
        <w:tab/>
      </w:r>
    </w:p>
    <w:p w:rsidR="00000000" w:rsidDel="00000000" w:rsidP="00000000" w:rsidRDefault="00000000" w:rsidRPr="00000000" w14:paraId="00000158">
      <w:pPr>
        <w:pStyle w:val="Heading2"/>
        <w:rPr/>
      </w:pPr>
      <w:bookmarkStart w:colFirst="0" w:colLast="0" w:name="_25b2l0r" w:id="70"/>
      <w:bookmarkEnd w:id="70"/>
      <w:r w:rsidDel="00000000" w:rsidR="00000000" w:rsidRPr="00000000">
        <w:rPr>
          <w:rtl w:val="0"/>
        </w:rPr>
        <w:t xml:space="preserve">5.4 Ethical and Professional Reflection</w:t>
      </w:r>
    </w:p>
    <w:p w:rsidR="00000000" w:rsidDel="00000000" w:rsidP="00000000" w:rsidRDefault="00000000" w:rsidRPr="00000000" w14:paraId="00000159">
      <w:pPr>
        <w:rPr/>
      </w:pPr>
      <w:r w:rsidDel="00000000" w:rsidR="00000000" w:rsidRPr="00000000">
        <w:rPr>
          <w:rtl w:val="0"/>
        </w:rPr>
        <w:t xml:space="preserve">The adoption of AI in financial roles profoundly significant risk leading to adoption of the “Black-box” algorithm, over-resilience of AI and Data privacy. Navigating these challenges have been addressed through uses of a "robust governance framework" which in term showcases its accountability in the market (Byrne, 2024). Adoption of loan underwriting and credit scoring is more reliable for continuous evaluation of algorithms by showcasing its fairness in the market. The financial institution faced significant risk due to lack of consent in collecting data and data aggregation in managing transaction histories. On the other hand, AI-generated recommendations have been addressed through managing organizational culture and dealing with unexpected changes which in term align with overall ethical goals of business. The decision making tool in handling financial analysis addresses through valid assumption and significant checking of calculation which leads to enhancing overall productivity of business.</w:t>
      </w:r>
    </w:p>
    <w:p w:rsidR="00000000" w:rsidDel="00000000" w:rsidP="00000000" w:rsidRDefault="00000000" w:rsidRPr="00000000" w14:paraId="0000015A">
      <w:pPr>
        <w:rPr/>
      </w:pPr>
      <w:r w:rsidDel="00000000" w:rsidR="00000000" w:rsidRPr="00000000">
        <w:br w:type="page"/>
      </w:r>
      <w:r w:rsidDel="00000000" w:rsidR="00000000" w:rsidRPr="00000000">
        <w:rPr>
          <w:rtl w:val="0"/>
        </w:rPr>
      </w:r>
    </w:p>
    <w:p w:rsidR="00000000" w:rsidDel="00000000" w:rsidP="00000000" w:rsidRDefault="00000000" w:rsidRPr="00000000" w14:paraId="0000015B">
      <w:pPr>
        <w:pStyle w:val="Heading1"/>
        <w:rPr/>
      </w:pPr>
      <w:bookmarkStart w:colFirst="0" w:colLast="0" w:name="_kgcv8k" w:id="71"/>
      <w:bookmarkEnd w:id="71"/>
      <w:r w:rsidDel="00000000" w:rsidR="00000000" w:rsidRPr="00000000">
        <w:rPr>
          <w:rtl w:val="0"/>
        </w:rPr>
        <w:t xml:space="preserve">References</w:t>
      </w:r>
    </w:p>
    <w:p w:rsidR="00000000" w:rsidDel="00000000" w:rsidP="00000000" w:rsidRDefault="00000000" w:rsidRPr="00000000" w14:paraId="0000015C">
      <w:pPr>
        <w:spacing w:after="240" w:lineRule="auto"/>
        <w:rPr/>
      </w:pPr>
      <w:r w:rsidDel="00000000" w:rsidR="00000000" w:rsidRPr="00000000">
        <w:rPr>
          <w:rtl w:val="0"/>
        </w:rPr>
        <w:t xml:space="preserve">Agarwal, P. (2025). </w:t>
      </w:r>
      <w:r w:rsidDel="00000000" w:rsidR="00000000" w:rsidRPr="00000000">
        <w:rPr>
          <w:i w:val="1"/>
          <w:rtl w:val="0"/>
        </w:rPr>
        <w:t xml:space="preserve">This Marriott Metric Points to Profit Pressure</w:t>
      </w:r>
      <w:r w:rsidDel="00000000" w:rsidR="00000000" w:rsidRPr="00000000">
        <w:rPr>
          <w:rtl w:val="0"/>
        </w:rPr>
        <w:t xml:space="preserve">. [online] Skift. Available at: https://skift.com/2025/11/03/what-marriotts-incentive-management-fees-tell-us-about-a-u-s-recession-threat/.</w:t>
      </w:r>
    </w:p>
    <w:p w:rsidR="00000000" w:rsidDel="00000000" w:rsidP="00000000" w:rsidRDefault="00000000" w:rsidRPr="00000000" w14:paraId="0000015D">
      <w:pPr>
        <w:spacing w:after="240" w:lineRule="auto"/>
        <w:rPr/>
      </w:pPr>
      <w:r w:rsidDel="00000000" w:rsidR="00000000" w:rsidRPr="00000000">
        <w:rPr>
          <w:rtl w:val="0"/>
        </w:rPr>
        <w:t xml:space="preserve">Beren, D. (2026). Marriott Keeps Delivering Strong Results. At $350, the Valuation Model Says Most of the Good News Is Already Priced In. [online] TIKR.com. Available at: https://www.tikr.com/blog/marriott-keeps-delivering-strong-results-at-350-the-valuation-model-says-most-of-the-good-news-is-already-priced-in.</w:t>
      </w:r>
    </w:p>
    <w:p w:rsidR="00000000" w:rsidDel="00000000" w:rsidP="00000000" w:rsidRDefault="00000000" w:rsidRPr="00000000" w14:paraId="0000015E">
      <w:pPr>
        <w:spacing w:after="240" w:lineRule="auto"/>
        <w:rPr/>
      </w:pPr>
      <w:r w:rsidDel="00000000" w:rsidR="00000000" w:rsidRPr="00000000">
        <w:rPr>
          <w:rtl w:val="0"/>
        </w:rPr>
        <w:t xml:space="preserve">Braemar Hotels (2025). Available at: https://braemar.q4ir.com/investor/news-events/press-releases/news-details/2025/BRAEMAR-HOTELS--RESORTS-ANNOUNCES-SALE-OF-MARRIOTT-SEATTLE-WATERFRONT/default.aspx.</w:t>
      </w:r>
    </w:p>
    <w:p w:rsidR="00000000" w:rsidDel="00000000" w:rsidP="00000000" w:rsidRDefault="00000000" w:rsidRPr="00000000" w14:paraId="0000015F">
      <w:pPr>
        <w:spacing w:after="240" w:lineRule="auto"/>
        <w:rPr/>
      </w:pPr>
      <w:r w:rsidDel="00000000" w:rsidR="00000000" w:rsidRPr="00000000">
        <w:rPr>
          <w:rtl w:val="0"/>
        </w:rPr>
        <w:t xml:space="preserve">Byrne, A. (2024). NAVIGATING THE DIGITAL EVOLUTION: UNCOVERING GOVERNANCE CHALLENGES AND STRATEGIES FOR SUCCESSFUL TRANSFORMATION. </w:t>
      </w:r>
      <w:r w:rsidDel="00000000" w:rsidR="00000000" w:rsidRPr="00000000">
        <w:rPr>
          <w:i w:val="1"/>
          <w:rtl w:val="0"/>
        </w:rPr>
        <w:t xml:space="preserve">EDPACS: The EDP Audit, Control, and Security Newsletter Online</w:t>
      </w:r>
      <w:r w:rsidDel="00000000" w:rsidR="00000000" w:rsidRPr="00000000">
        <w:rPr>
          <w:rtl w:val="0"/>
        </w:rPr>
        <w:t xml:space="preserve">, pp.1–7. doi:https://doi.org/10.1080/07366981.2024.2325010.</w:t>
      </w:r>
    </w:p>
    <w:p w:rsidR="00000000" w:rsidDel="00000000" w:rsidP="00000000" w:rsidRDefault="00000000" w:rsidRPr="00000000" w14:paraId="00000160">
      <w:pPr>
        <w:spacing w:after="240" w:lineRule="auto"/>
        <w:rPr/>
      </w:pPr>
      <w:r w:rsidDel="00000000" w:rsidR="00000000" w:rsidRPr="00000000">
        <w:rPr>
          <w:rtl w:val="0"/>
        </w:rPr>
        <w:t xml:space="preserve">Celestin, M. (2023). AI-DRIVEN FINANCIAL REPORTING: ENHANCING ACCURACY AND REDUCING HUMAN ERRORS IN RWANDA. [online] 7(2), pp.108–117. Available at: https://www.researchgate.net/publication/390099469_AI-DRIVEN_FINANCIAL_REPORTING_ENHANCING_ACCURACY_AND_REDUCING_HUMAN_ERRORS_IN_RWANDA.</w:t>
      </w:r>
    </w:p>
    <w:p w:rsidR="00000000" w:rsidDel="00000000" w:rsidP="00000000" w:rsidRDefault="00000000" w:rsidRPr="00000000" w14:paraId="00000161">
      <w:pPr>
        <w:spacing w:after="240" w:lineRule="auto"/>
        <w:rPr/>
      </w:pPr>
      <w:r w:rsidDel="00000000" w:rsidR="00000000" w:rsidRPr="00000000">
        <w:rPr>
          <w:rtl w:val="0"/>
        </w:rPr>
        <w:t xml:space="preserve">Chargebacks (2025). Available at: https://chargebacks911.com/event/mag-payments-conference-2025/.</w:t>
      </w:r>
    </w:p>
    <w:p w:rsidR="00000000" w:rsidDel="00000000" w:rsidP="00000000" w:rsidRDefault="00000000" w:rsidRPr="00000000" w14:paraId="00000162">
      <w:pPr>
        <w:spacing w:after="240" w:lineRule="auto"/>
        <w:rPr/>
      </w:pPr>
      <w:r w:rsidDel="00000000" w:rsidR="00000000" w:rsidRPr="00000000">
        <w:rPr>
          <w:rtl w:val="0"/>
        </w:rPr>
        <w:t xml:space="preserve">Costello, M.R. (2025). From numbers to insights: Applying financial ratios in competitive intelligence research. </w:t>
      </w:r>
      <w:r w:rsidDel="00000000" w:rsidR="00000000" w:rsidRPr="00000000">
        <w:rPr>
          <w:i w:val="1"/>
          <w:rtl w:val="0"/>
        </w:rPr>
        <w:t xml:space="preserve">Journal of Business &amp; Finance Librarianship</w:t>
      </w:r>
      <w:r w:rsidDel="00000000" w:rsidR="00000000" w:rsidRPr="00000000">
        <w:rPr>
          <w:rtl w:val="0"/>
        </w:rPr>
        <w:t xml:space="preserve">, pp.1–23. doi:https://doi.org/10.1080/08963568.2025.2488695.</w:t>
      </w:r>
    </w:p>
    <w:p w:rsidR="00000000" w:rsidDel="00000000" w:rsidP="00000000" w:rsidRDefault="00000000" w:rsidRPr="00000000" w14:paraId="00000163">
      <w:pPr>
        <w:spacing w:after="240" w:lineRule="auto"/>
        <w:rPr/>
      </w:pPr>
      <w:r w:rsidDel="00000000" w:rsidR="00000000" w:rsidRPr="00000000">
        <w:rPr>
          <w:rtl w:val="0"/>
        </w:rPr>
        <w:t xml:space="preserve">Davies, R. (2026). </w:t>
      </w:r>
      <w:r w:rsidDel="00000000" w:rsidR="00000000" w:rsidRPr="00000000">
        <w:rPr>
          <w:i w:val="1"/>
          <w:rtl w:val="0"/>
        </w:rPr>
        <w:t xml:space="preserve">Hospitality VAT cut: can it help the sector and at what cost to UK taxpayers?</w:t>
      </w:r>
      <w:r w:rsidDel="00000000" w:rsidR="00000000" w:rsidRPr="00000000">
        <w:rPr>
          <w:rtl w:val="0"/>
        </w:rPr>
        <w:t xml:space="preserve"> [online] the Guardian. Available at: https://www.theguardian.com/business/2026/jun/30/hospitality-vat-cut-can-it-help-sector-what-cost-to-uk-taxpayer </w:t>
      </w:r>
    </w:p>
    <w:p w:rsidR="00000000" w:rsidDel="00000000" w:rsidP="00000000" w:rsidRDefault="00000000" w:rsidRPr="00000000" w14:paraId="00000164">
      <w:pPr>
        <w:spacing w:after="240" w:lineRule="auto"/>
        <w:rPr/>
      </w:pPr>
      <w:r w:rsidDel="00000000" w:rsidR="00000000" w:rsidRPr="00000000">
        <w:rPr>
          <w:rtl w:val="0"/>
        </w:rPr>
        <w:t xml:space="preserve">Do, H.M. (2025). Potentials and pitfalls of Google Gemini in writing: Implications for educators. </w:t>
      </w:r>
      <w:r w:rsidDel="00000000" w:rsidR="00000000" w:rsidRPr="00000000">
        <w:rPr>
          <w:i w:val="1"/>
          <w:rtl w:val="0"/>
        </w:rPr>
        <w:t xml:space="preserve">Assessing Writing</w:t>
      </w:r>
      <w:r w:rsidDel="00000000" w:rsidR="00000000" w:rsidRPr="00000000">
        <w:rPr>
          <w:rtl w:val="0"/>
        </w:rPr>
        <w:t xml:space="preserve">, [online] 65, p.100955. doi:https://doi.org/10.1016/j.asw.2025.100955.</w:t>
      </w:r>
    </w:p>
    <w:p w:rsidR="00000000" w:rsidDel="00000000" w:rsidP="00000000" w:rsidRDefault="00000000" w:rsidRPr="00000000" w14:paraId="00000165">
      <w:pPr>
        <w:spacing w:after="240" w:lineRule="auto"/>
        <w:rPr/>
      </w:pPr>
      <w:r w:rsidDel="00000000" w:rsidR="00000000" w:rsidRPr="00000000">
        <w:rPr>
          <w:rtl w:val="0"/>
        </w:rPr>
        <w:t xml:space="preserve">Dudovskiy, J. (2023). </w:t>
      </w:r>
      <w:r w:rsidDel="00000000" w:rsidR="00000000" w:rsidRPr="00000000">
        <w:rPr>
          <w:i w:val="1"/>
          <w:rtl w:val="0"/>
        </w:rPr>
        <w:t xml:space="preserve">Marriott CSR: a brief overview</w:t>
      </w:r>
      <w:r w:rsidDel="00000000" w:rsidR="00000000" w:rsidRPr="00000000">
        <w:rPr>
          <w:rtl w:val="0"/>
        </w:rPr>
        <w:t xml:space="preserve">. [online] Research-Methodology. Available at: https://research-methodology.net/marriott-csr-a-brief-overview/.</w:t>
      </w:r>
    </w:p>
    <w:p w:rsidR="00000000" w:rsidDel="00000000" w:rsidP="00000000" w:rsidRDefault="00000000" w:rsidRPr="00000000" w14:paraId="00000166">
      <w:pPr>
        <w:spacing w:after="240" w:lineRule="auto"/>
        <w:rPr/>
      </w:pPr>
      <w:r w:rsidDel="00000000" w:rsidR="00000000" w:rsidRPr="00000000">
        <w:rPr>
          <w:rtl w:val="0"/>
        </w:rPr>
        <w:t xml:space="preserve">Fernando, J. (2024). </w:t>
      </w:r>
      <w:r w:rsidDel="00000000" w:rsidR="00000000" w:rsidRPr="00000000">
        <w:rPr>
          <w:i w:val="1"/>
          <w:rtl w:val="0"/>
        </w:rPr>
        <w:t xml:space="preserve">Net present value (NPV): What it Means and Steps to Calculate It</w:t>
      </w:r>
      <w:r w:rsidDel="00000000" w:rsidR="00000000" w:rsidRPr="00000000">
        <w:rPr>
          <w:rtl w:val="0"/>
        </w:rPr>
        <w:t xml:space="preserve">. [online] Investopedia. Available at: https://www.investopedia.com/terms/n/npv.asp.</w:t>
      </w:r>
    </w:p>
    <w:p w:rsidR="00000000" w:rsidDel="00000000" w:rsidP="00000000" w:rsidRDefault="00000000" w:rsidRPr="00000000" w14:paraId="00000167">
      <w:pPr>
        <w:spacing w:after="240" w:lineRule="auto"/>
        <w:rPr/>
      </w:pPr>
      <w:r w:rsidDel="00000000" w:rsidR="00000000" w:rsidRPr="00000000">
        <w:rPr>
          <w:rtl w:val="0"/>
        </w:rPr>
        <w:t xml:space="preserve">Fernando, J. (2026a). </w:t>
      </w:r>
      <w:r w:rsidDel="00000000" w:rsidR="00000000" w:rsidRPr="00000000">
        <w:rPr>
          <w:i w:val="1"/>
          <w:rtl w:val="0"/>
        </w:rPr>
        <w:t xml:space="preserve">Internal Rate of Return (IRR): Formula and Examples</w:t>
      </w:r>
      <w:r w:rsidDel="00000000" w:rsidR="00000000" w:rsidRPr="00000000">
        <w:rPr>
          <w:rtl w:val="0"/>
        </w:rPr>
        <w:t xml:space="preserve">. [online] Investopedia. Available at: https://www.investopedia.com/terms/i/irr.asp.</w:t>
      </w:r>
    </w:p>
    <w:p w:rsidR="00000000" w:rsidDel="00000000" w:rsidP="00000000" w:rsidRDefault="00000000" w:rsidRPr="00000000" w14:paraId="00000168">
      <w:pPr>
        <w:spacing w:after="240" w:lineRule="auto"/>
        <w:rPr/>
      </w:pPr>
      <w:r w:rsidDel="00000000" w:rsidR="00000000" w:rsidRPr="00000000">
        <w:rPr>
          <w:rtl w:val="0"/>
        </w:rPr>
        <w:t xml:space="preserve">Fernando, J. (2026b). </w:t>
      </w:r>
      <w:r w:rsidDel="00000000" w:rsidR="00000000" w:rsidRPr="00000000">
        <w:rPr>
          <w:i w:val="1"/>
          <w:rtl w:val="0"/>
        </w:rPr>
        <w:t xml:space="preserve">What Is Return on Investment (ROI) and How to Calculate It</w:t>
      </w:r>
      <w:r w:rsidDel="00000000" w:rsidR="00000000" w:rsidRPr="00000000">
        <w:rPr>
          <w:rtl w:val="0"/>
        </w:rPr>
        <w:t xml:space="preserve">. [online] Investopedia. Available at: https://www.investopedia.com/terms/r/returnoninvestment.asp.</w:t>
      </w:r>
    </w:p>
    <w:p w:rsidR="00000000" w:rsidDel="00000000" w:rsidP="00000000" w:rsidRDefault="00000000" w:rsidRPr="00000000" w14:paraId="00000169">
      <w:pPr>
        <w:spacing w:after="240" w:lineRule="auto"/>
        <w:rPr/>
      </w:pPr>
      <w:r w:rsidDel="00000000" w:rsidR="00000000" w:rsidRPr="00000000">
        <w:rPr>
          <w:rtl w:val="0"/>
        </w:rPr>
        <w:t xml:space="preserve">Hayes, A. (2026). </w:t>
      </w:r>
      <w:r w:rsidDel="00000000" w:rsidR="00000000" w:rsidRPr="00000000">
        <w:rPr>
          <w:i w:val="1"/>
          <w:rtl w:val="0"/>
        </w:rPr>
        <w:t xml:space="preserve">Introduction to Capital Rationing</w:t>
      </w:r>
      <w:r w:rsidDel="00000000" w:rsidR="00000000" w:rsidRPr="00000000">
        <w:rPr>
          <w:rtl w:val="0"/>
        </w:rPr>
        <w:t xml:space="preserve">. [online] Investopedia. Available at: https://www.investopedia.com/terms/c/capitalrationing.asp.</w:t>
      </w:r>
    </w:p>
    <w:p w:rsidR="00000000" w:rsidDel="00000000" w:rsidP="00000000" w:rsidRDefault="00000000" w:rsidRPr="00000000" w14:paraId="0000016A">
      <w:pPr>
        <w:spacing w:after="240" w:lineRule="auto"/>
        <w:rPr/>
      </w:pPr>
      <w:r w:rsidDel="00000000" w:rsidR="00000000" w:rsidRPr="00000000">
        <w:rPr>
          <w:rtl w:val="0"/>
        </w:rPr>
        <w:t xml:space="preserve">Iacurci, G. (2025). </w:t>
      </w:r>
      <w:r w:rsidDel="00000000" w:rsidR="00000000" w:rsidRPr="00000000">
        <w:rPr>
          <w:i w:val="1"/>
          <w:rtl w:val="0"/>
        </w:rPr>
        <w:t xml:space="preserve">Here’s the inflation breakdown for May 2025 — in one chart</w:t>
      </w:r>
      <w:r w:rsidDel="00000000" w:rsidR="00000000" w:rsidRPr="00000000">
        <w:rPr>
          <w:rtl w:val="0"/>
        </w:rPr>
        <w:t xml:space="preserve">. [online] CNBC. Available at: https://www.cnbc.com/2025/06/11/heres-the-inflation-breakdown-for-may-2025-in-one-chart.html.</w:t>
      </w:r>
    </w:p>
    <w:p w:rsidR="00000000" w:rsidDel="00000000" w:rsidP="00000000" w:rsidRDefault="00000000" w:rsidRPr="00000000" w14:paraId="0000016B">
      <w:pPr>
        <w:spacing w:after="240" w:lineRule="auto"/>
        <w:rPr/>
      </w:pPr>
      <w:r w:rsidDel="00000000" w:rsidR="00000000" w:rsidRPr="00000000">
        <w:rPr>
          <w:rtl w:val="0"/>
        </w:rPr>
        <w:t xml:space="preserve">Kagan, J. (2026). </w:t>
      </w:r>
      <w:r w:rsidDel="00000000" w:rsidR="00000000" w:rsidRPr="00000000">
        <w:rPr>
          <w:i w:val="1"/>
          <w:rtl w:val="0"/>
        </w:rPr>
        <w:t xml:space="preserve">Payback period: Definition, formula, and calculation</w:t>
      </w:r>
      <w:r w:rsidDel="00000000" w:rsidR="00000000" w:rsidRPr="00000000">
        <w:rPr>
          <w:rtl w:val="0"/>
        </w:rPr>
        <w:t xml:space="preserve">. [online] Investopedia. Available at: https://www.investopedia.com/terms/p/paybackperiod.asp.</w:t>
      </w:r>
    </w:p>
    <w:p w:rsidR="00000000" w:rsidDel="00000000" w:rsidP="00000000" w:rsidRDefault="00000000" w:rsidRPr="00000000" w14:paraId="0000016C">
      <w:pPr>
        <w:spacing w:after="240" w:lineRule="auto"/>
        <w:rPr/>
      </w:pPr>
      <w:r w:rsidDel="00000000" w:rsidR="00000000" w:rsidRPr="00000000">
        <w:rPr>
          <w:rtl w:val="0"/>
        </w:rPr>
        <w:t xml:space="preserve">Kaoma, M., Mwanaumo, E. and Nsefu, M.K. (2025). The Role of Investment Appraisal Techniques in Enhancing Financial Sustainability of Small and Medium Enterprises in Solwezi, Zambia. </w:t>
      </w:r>
      <w:r w:rsidDel="00000000" w:rsidR="00000000" w:rsidRPr="00000000">
        <w:rPr>
          <w:i w:val="1"/>
          <w:rtl w:val="0"/>
        </w:rPr>
        <w:t xml:space="preserve">African Journal of Commercial Studies</w:t>
      </w:r>
      <w:r w:rsidDel="00000000" w:rsidR="00000000" w:rsidRPr="00000000">
        <w:rPr>
          <w:rtl w:val="0"/>
        </w:rPr>
        <w:t xml:space="preserve">, [online] 6(6), pp.200–212. doi:https://doi.org/10.59413/ajocs/v6.i6.17.</w:t>
      </w:r>
    </w:p>
    <w:p w:rsidR="00000000" w:rsidDel="00000000" w:rsidP="00000000" w:rsidRDefault="00000000" w:rsidRPr="00000000" w14:paraId="0000016D">
      <w:pPr>
        <w:spacing w:after="240" w:lineRule="auto"/>
        <w:rPr/>
      </w:pPr>
      <w:r w:rsidDel="00000000" w:rsidR="00000000" w:rsidRPr="00000000">
        <w:rPr>
          <w:rtl w:val="0"/>
        </w:rPr>
        <w:t xml:space="preserve">Kitterman, T. (2025). </w:t>
      </w:r>
      <w:r w:rsidDel="00000000" w:rsidR="00000000" w:rsidRPr="00000000">
        <w:rPr>
          <w:i w:val="1"/>
          <w:rtl w:val="0"/>
        </w:rPr>
        <w:t xml:space="preserve">How Marriott International Makes Training Accessible for a Global Frontline Workforce</w:t>
      </w:r>
      <w:r w:rsidDel="00000000" w:rsidR="00000000" w:rsidRPr="00000000">
        <w:rPr>
          <w:rtl w:val="0"/>
        </w:rPr>
        <w:t xml:space="preserve">. [online] Great Place To Work®. Available at: https://www.greatplacetowork.com/resources/blog/how-marriott-international-makes-training-accessible-frontline-workforce.</w:t>
      </w:r>
    </w:p>
    <w:p w:rsidR="00000000" w:rsidDel="00000000" w:rsidP="00000000" w:rsidRDefault="00000000" w:rsidRPr="00000000" w14:paraId="0000016E">
      <w:pPr>
        <w:spacing w:after="240" w:lineRule="auto"/>
        <w:rPr/>
      </w:pPr>
      <w:r w:rsidDel="00000000" w:rsidR="00000000" w:rsidRPr="00000000">
        <w:rPr>
          <w:rtl w:val="0"/>
        </w:rPr>
        <w:t xml:space="preserve">Marriott (2021). Available at: https://marriott.gcs-web.com/static-files/33ba0a19-8a68-4f3f-9f73-fef2c458c22e.</w:t>
      </w:r>
    </w:p>
    <w:p w:rsidR="00000000" w:rsidDel="00000000" w:rsidP="00000000" w:rsidRDefault="00000000" w:rsidRPr="00000000" w14:paraId="0000016F">
      <w:pPr>
        <w:spacing w:after="240" w:lineRule="auto"/>
        <w:rPr/>
      </w:pPr>
      <w:r w:rsidDel="00000000" w:rsidR="00000000" w:rsidRPr="00000000">
        <w:rPr>
          <w:rtl w:val="0"/>
        </w:rPr>
        <w:t xml:space="preserve">Marriott (2023). </w:t>
      </w:r>
      <w:r w:rsidDel="00000000" w:rsidR="00000000" w:rsidRPr="00000000">
        <w:rPr>
          <w:i w:val="1"/>
          <w:rtl w:val="0"/>
        </w:rPr>
        <w:t xml:space="preserve">2 0 2 3 A N U A L R E P O R T</w:t>
      </w:r>
      <w:r w:rsidDel="00000000" w:rsidR="00000000" w:rsidRPr="00000000">
        <w:rPr>
          <w:rtl w:val="0"/>
        </w:rPr>
        <w:t xml:space="preserve">. [online] Available at: https://marriott.gcs-web.com/static-files/bb2be39e-790e-49c3-b247-3ce75f0e3ee8.</w:t>
      </w:r>
    </w:p>
    <w:p w:rsidR="00000000" w:rsidDel="00000000" w:rsidP="00000000" w:rsidRDefault="00000000" w:rsidRPr="00000000" w14:paraId="00000170">
      <w:pPr>
        <w:spacing w:after="240" w:lineRule="auto"/>
        <w:rPr/>
      </w:pPr>
      <w:r w:rsidDel="00000000" w:rsidR="00000000" w:rsidRPr="00000000">
        <w:rPr>
          <w:rtl w:val="0"/>
        </w:rPr>
        <w:t xml:space="preserve">Marriott (2025). Available at: </w:t>
      </w:r>
      <w:hyperlink r:id="rId45">
        <w:r w:rsidDel="00000000" w:rsidR="00000000" w:rsidRPr="00000000">
          <w:rPr>
            <w:rtl w:val="0"/>
          </w:rPr>
          <w:t xml:space="preserve">https://marriott.gcs-web.com/static-files/9cf0e9b0-bbfa-48a6-9e21-ffbdbc4b2d78</w:t>
        </w:r>
      </w:hyperlink>
      <w:r w:rsidDel="00000000" w:rsidR="00000000" w:rsidRPr="00000000">
        <w:rPr>
          <w:rtl w:val="0"/>
        </w:rPr>
        <w:t xml:space="preserve">.</w:t>
      </w:r>
    </w:p>
    <w:p w:rsidR="00000000" w:rsidDel="00000000" w:rsidP="00000000" w:rsidRDefault="00000000" w:rsidRPr="00000000" w14:paraId="00000171">
      <w:pPr>
        <w:spacing w:after="240" w:lineRule="auto"/>
        <w:rPr/>
      </w:pPr>
      <w:r w:rsidDel="00000000" w:rsidR="00000000" w:rsidRPr="00000000">
        <w:rPr>
          <w:rtl w:val="0"/>
        </w:rPr>
        <w:t xml:space="preserve">Marriott (2025a). </w:t>
      </w:r>
      <w:r w:rsidDel="00000000" w:rsidR="00000000" w:rsidRPr="00000000">
        <w:rPr>
          <w:i w:val="1"/>
          <w:rtl w:val="0"/>
        </w:rPr>
        <w:t xml:space="preserve">Marriott International 2025 Annual Report</w:t>
      </w:r>
      <w:r w:rsidDel="00000000" w:rsidR="00000000" w:rsidRPr="00000000">
        <w:rPr>
          <w:rtl w:val="0"/>
        </w:rPr>
        <w:t xml:space="preserve">. [online] Available at: https://marriott.gcs-web.com/static-files/9cf0e9b0-bbfa-48a6-9e21-ffbdbc4b2d78.</w:t>
      </w:r>
    </w:p>
    <w:p w:rsidR="00000000" w:rsidDel="00000000" w:rsidP="00000000" w:rsidRDefault="00000000" w:rsidRPr="00000000" w14:paraId="00000172">
      <w:pPr>
        <w:spacing w:after="240" w:lineRule="auto"/>
        <w:rPr/>
      </w:pPr>
      <w:r w:rsidDel="00000000" w:rsidR="00000000" w:rsidRPr="00000000">
        <w:rPr>
          <w:rtl w:val="0"/>
        </w:rPr>
        <w:t xml:space="preserve">Marriott (2025b). </w:t>
      </w:r>
      <w:r w:rsidDel="00000000" w:rsidR="00000000" w:rsidRPr="00000000">
        <w:rPr>
          <w:i w:val="1"/>
          <w:rtl w:val="0"/>
        </w:rPr>
        <w:t xml:space="preserve">Marriott International Reports Fourth Quarter and Full Year 2025 Results | Marriott International</w:t>
      </w:r>
      <w:r w:rsidDel="00000000" w:rsidR="00000000" w:rsidRPr="00000000">
        <w:rPr>
          <w:rtl w:val="0"/>
        </w:rPr>
        <w:t xml:space="preserve">. [online] Marriott International. Available at: https://marriott.gcs-web.com/news-releases/news-release-details/marriott-international-reports-fourth-quarter-and-full-year-2025.</w:t>
      </w:r>
    </w:p>
    <w:p w:rsidR="00000000" w:rsidDel="00000000" w:rsidP="00000000" w:rsidRDefault="00000000" w:rsidRPr="00000000" w14:paraId="00000173">
      <w:pPr>
        <w:spacing w:after="240" w:lineRule="auto"/>
        <w:rPr/>
      </w:pPr>
      <w:r w:rsidDel="00000000" w:rsidR="00000000" w:rsidRPr="00000000">
        <w:rPr>
          <w:rtl w:val="0"/>
        </w:rPr>
        <w:t xml:space="preserve">Marriott (2026). </w:t>
      </w:r>
      <w:r w:rsidDel="00000000" w:rsidR="00000000" w:rsidRPr="00000000">
        <w:rPr>
          <w:i w:val="1"/>
          <w:rtl w:val="0"/>
        </w:rPr>
        <w:t xml:space="preserve">MAR-2025.Q3-EX99Earnings Release</w:t>
      </w:r>
      <w:r w:rsidDel="00000000" w:rsidR="00000000" w:rsidRPr="00000000">
        <w:rPr>
          <w:rtl w:val="0"/>
        </w:rPr>
        <w:t xml:space="preserve">. [online] Available at: https://marriott.gcs-web.com/static-files/f7342c28-9d94-4455-a26d-37bf2d27ae6c.</w:t>
      </w:r>
    </w:p>
    <w:p w:rsidR="00000000" w:rsidDel="00000000" w:rsidP="00000000" w:rsidRDefault="00000000" w:rsidRPr="00000000" w14:paraId="00000174">
      <w:pPr>
        <w:spacing w:after="240" w:lineRule="auto"/>
        <w:rPr/>
      </w:pPr>
      <w:r w:rsidDel="00000000" w:rsidR="00000000" w:rsidRPr="00000000">
        <w:rPr>
          <w:rtl w:val="0"/>
        </w:rPr>
        <w:t xml:space="preserve">Marriott (2026). Marriott International Reports First Quarter 2026 Results | Marriott International. [online] Marriott International. Available at: https://marriott.gcs-web.com/news-releases/news-release-details/marriott-international-reports-first-quarter-2026-results.</w:t>
      </w:r>
    </w:p>
    <w:p w:rsidR="00000000" w:rsidDel="00000000" w:rsidP="00000000" w:rsidRDefault="00000000" w:rsidRPr="00000000" w14:paraId="00000175">
      <w:pPr>
        <w:spacing w:after="240" w:lineRule="auto"/>
        <w:rPr/>
      </w:pPr>
      <w:r w:rsidDel="00000000" w:rsidR="00000000" w:rsidRPr="00000000">
        <w:rPr>
          <w:rtl w:val="0"/>
        </w:rPr>
        <w:t xml:space="preserve">Marriott Group (2025a). </w:t>
      </w:r>
      <w:r w:rsidDel="00000000" w:rsidR="00000000" w:rsidRPr="00000000">
        <w:rPr>
          <w:i w:val="1"/>
          <w:rtl w:val="0"/>
        </w:rPr>
        <w:t xml:space="preserve">Sustain responsible operations</w:t>
      </w:r>
      <w:r w:rsidDel="00000000" w:rsidR="00000000" w:rsidRPr="00000000">
        <w:rPr>
          <w:rtl w:val="0"/>
        </w:rPr>
        <w:t xml:space="preserve">. [online] csr-marriott. Available at: https://serve360.marriott.com/sustain/.</w:t>
      </w:r>
    </w:p>
    <w:p w:rsidR="00000000" w:rsidDel="00000000" w:rsidP="00000000" w:rsidRDefault="00000000" w:rsidRPr="00000000" w14:paraId="00000176">
      <w:pPr>
        <w:spacing w:after="240" w:lineRule="auto"/>
        <w:rPr/>
      </w:pPr>
      <w:r w:rsidDel="00000000" w:rsidR="00000000" w:rsidRPr="00000000">
        <w:rPr>
          <w:rtl w:val="0"/>
        </w:rPr>
        <w:t xml:space="preserve">Marriott Group (2025b). Available at: https://www.threads.com/@india_ipo1/post/DZh_lGzASmO/marriott-international-leads-the-worlds-largest-hotel-companies-with-a-b-market/.</w:t>
      </w:r>
    </w:p>
    <w:p w:rsidR="00000000" w:rsidDel="00000000" w:rsidP="00000000" w:rsidRDefault="00000000" w:rsidRPr="00000000" w14:paraId="00000177">
      <w:pPr>
        <w:spacing w:after="240" w:lineRule="auto"/>
        <w:rPr/>
      </w:pPr>
      <w:r w:rsidDel="00000000" w:rsidR="00000000" w:rsidRPr="00000000">
        <w:rPr>
          <w:rtl w:val="0"/>
        </w:rPr>
        <w:t xml:space="preserve">Marriott International (2024). </w:t>
      </w:r>
      <w:r w:rsidDel="00000000" w:rsidR="00000000" w:rsidRPr="00000000">
        <w:rPr>
          <w:i w:val="1"/>
          <w:rtl w:val="0"/>
        </w:rPr>
        <w:t xml:space="preserve">csr-marriott</w:t>
      </w:r>
      <w:r w:rsidDel="00000000" w:rsidR="00000000" w:rsidRPr="00000000">
        <w:rPr>
          <w:rtl w:val="0"/>
        </w:rPr>
        <w:t xml:space="preserve">. [online] csr-marriott. Available at: https://serve360.marriott.com/.</w:t>
      </w:r>
    </w:p>
    <w:p w:rsidR="00000000" w:rsidDel="00000000" w:rsidP="00000000" w:rsidRDefault="00000000" w:rsidRPr="00000000" w14:paraId="00000178">
      <w:pPr>
        <w:spacing w:after="240" w:lineRule="auto"/>
        <w:rPr/>
      </w:pPr>
      <w:r w:rsidDel="00000000" w:rsidR="00000000" w:rsidRPr="00000000">
        <w:rPr>
          <w:rtl w:val="0"/>
        </w:rPr>
        <w:t xml:space="preserve">Marriott International (2025). </w:t>
      </w:r>
      <w:r w:rsidDel="00000000" w:rsidR="00000000" w:rsidRPr="00000000">
        <w:rPr>
          <w:i w:val="1"/>
          <w:rtl w:val="0"/>
        </w:rPr>
        <w:t xml:space="preserve">About Marriott International | Corporate Information</w:t>
      </w:r>
      <w:r w:rsidDel="00000000" w:rsidR="00000000" w:rsidRPr="00000000">
        <w:rPr>
          <w:rtl w:val="0"/>
        </w:rPr>
        <w:t xml:space="preserve">. [online] marriott. Available at: https://www.marriott.com/marriott/aboutmarriott.mi.</w:t>
      </w:r>
    </w:p>
    <w:p w:rsidR="00000000" w:rsidDel="00000000" w:rsidP="00000000" w:rsidRDefault="00000000" w:rsidRPr="00000000" w14:paraId="00000179">
      <w:pPr>
        <w:spacing w:after="240" w:lineRule="auto"/>
        <w:rPr/>
      </w:pPr>
      <w:r w:rsidDel="00000000" w:rsidR="00000000" w:rsidRPr="00000000">
        <w:rPr>
          <w:rtl w:val="0"/>
        </w:rPr>
        <w:t xml:space="preserve">Masalkhi, M., Ong, J., Waisberg, E. and Lee, A.G. (2024). Google DeepMind’s gemini AI versus ChatGPT: a comparative analysis in ophthalmology. </w:t>
      </w:r>
      <w:r w:rsidDel="00000000" w:rsidR="00000000" w:rsidRPr="00000000">
        <w:rPr>
          <w:i w:val="1"/>
          <w:rtl w:val="0"/>
        </w:rPr>
        <w:t xml:space="preserve">Eye</w:t>
      </w:r>
      <w:r w:rsidDel="00000000" w:rsidR="00000000" w:rsidRPr="00000000">
        <w:rPr>
          <w:rtl w:val="0"/>
        </w:rPr>
        <w:t xml:space="preserve">, [online] pp.1–6. doi:https://doi.org/10.1038/s41433-024-02958-w.</w:t>
      </w:r>
    </w:p>
    <w:p w:rsidR="00000000" w:rsidDel="00000000" w:rsidP="00000000" w:rsidRDefault="00000000" w:rsidRPr="00000000" w14:paraId="0000017A">
      <w:pPr>
        <w:spacing w:after="240" w:lineRule="auto"/>
        <w:rPr/>
      </w:pPr>
      <w:r w:rsidDel="00000000" w:rsidR="00000000" w:rsidRPr="00000000">
        <w:rPr>
          <w:rtl w:val="0"/>
        </w:rPr>
        <w:t xml:space="preserve">News, G. (2026). Marriott International (MAR) Announces $1.45 Billion Notes Offering. [online] Gurufocus.com. Available at: https://www.gurufocus.com/news/8638128/marriott-international-mar-announces-145-billion-notes-offering?mobile=true </w:t>
      </w:r>
    </w:p>
    <w:p w:rsidR="00000000" w:rsidDel="00000000" w:rsidP="00000000" w:rsidRDefault="00000000" w:rsidRPr="00000000" w14:paraId="0000017B">
      <w:pPr>
        <w:spacing w:after="240" w:lineRule="auto"/>
        <w:rPr/>
      </w:pPr>
      <w:r w:rsidDel="00000000" w:rsidR="00000000" w:rsidRPr="00000000">
        <w:rPr>
          <w:rtl w:val="0"/>
        </w:rPr>
        <w:t xml:space="preserve">Nicholls, C. (2024). </w:t>
      </w:r>
      <w:r w:rsidDel="00000000" w:rsidR="00000000" w:rsidRPr="00000000">
        <w:rPr>
          <w:i w:val="1"/>
          <w:rtl w:val="0"/>
        </w:rPr>
        <w:t xml:space="preserve">Marriott’s carbon-reduction goals: from rooftop greenhouses in Heathrow to coffee fertiliser</w:t>
      </w:r>
      <w:r w:rsidDel="00000000" w:rsidR="00000000" w:rsidRPr="00000000">
        <w:rPr>
          <w:rtl w:val="0"/>
        </w:rPr>
        <w:t xml:space="preserve">. [online] The Caterer. Available at: </w:t>
      </w:r>
      <w:hyperlink r:id="rId46">
        <w:r w:rsidDel="00000000" w:rsidR="00000000" w:rsidRPr="00000000">
          <w:rPr>
            <w:rtl w:val="0"/>
          </w:rPr>
          <w:t xml:space="preserve">https://www.thecaterer.com/indepth/how-marriott-is-meeting-its-carbon-reduction-goals</w:t>
        </w:r>
      </w:hyperlink>
      <w:r w:rsidDel="00000000" w:rsidR="00000000" w:rsidRPr="00000000">
        <w:rPr>
          <w:rtl w:val="0"/>
        </w:rPr>
        <w:t xml:space="preserve">.</w:t>
      </w:r>
    </w:p>
    <w:p w:rsidR="00000000" w:rsidDel="00000000" w:rsidP="00000000" w:rsidRDefault="00000000" w:rsidRPr="00000000" w14:paraId="0000017C">
      <w:pPr>
        <w:spacing w:after="240" w:lineRule="auto"/>
        <w:rPr/>
      </w:pPr>
      <w:r w:rsidDel="00000000" w:rsidR="00000000" w:rsidRPr="00000000">
        <w:rPr>
          <w:rtl w:val="0"/>
        </w:rPr>
        <w:t xml:space="preserve">OCBC (2026). Available at: https://www.ocbc.com/group/media/release/2025/12000-marriott-international-suppliers-in-sg-my-and-indo-to-get-same-day-invoice-financing-by-ocbc.</w:t>
      </w:r>
    </w:p>
    <w:p w:rsidR="00000000" w:rsidDel="00000000" w:rsidP="00000000" w:rsidRDefault="00000000" w:rsidRPr="00000000" w14:paraId="0000017D">
      <w:pPr>
        <w:spacing w:after="240" w:lineRule="auto"/>
        <w:rPr/>
      </w:pPr>
      <w:r w:rsidDel="00000000" w:rsidR="00000000" w:rsidRPr="00000000">
        <w:rPr>
          <w:rtl w:val="0"/>
        </w:rPr>
        <w:t xml:space="preserve">Simply Wall (2026). </w:t>
      </w:r>
      <w:r w:rsidDel="00000000" w:rsidR="00000000" w:rsidRPr="00000000">
        <w:rPr>
          <w:i w:val="1"/>
          <w:rtl w:val="0"/>
        </w:rPr>
        <w:t xml:space="preserve">Assessing Marriott International (MAR) Valuation After Recent Share Price Weakness</w:t>
      </w:r>
      <w:r w:rsidDel="00000000" w:rsidR="00000000" w:rsidRPr="00000000">
        <w:rPr>
          <w:rtl w:val="0"/>
        </w:rPr>
        <w:t xml:space="preserve">. [online] Available at: https://finance.yahoo.com/news/assessing-marriott-international-mar-valuation-071030969.html.</w:t>
      </w:r>
    </w:p>
    <w:p w:rsidR="00000000" w:rsidDel="00000000" w:rsidP="00000000" w:rsidRDefault="00000000" w:rsidRPr="00000000" w14:paraId="0000017E">
      <w:pPr>
        <w:spacing w:after="240" w:lineRule="auto"/>
        <w:rPr/>
      </w:pPr>
      <w:r w:rsidDel="00000000" w:rsidR="00000000" w:rsidRPr="00000000">
        <w:rPr>
          <w:rtl w:val="0"/>
        </w:rPr>
        <w:t xml:space="preserve">Statista (2026). [online] Statcdn.com. Available at: https://cdn.statcdn.com/Infographic/images/normal/35764.jpeg.</w:t>
      </w:r>
    </w:p>
    <w:p w:rsidR="00000000" w:rsidDel="00000000" w:rsidP="00000000" w:rsidRDefault="00000000" w:rsidRPr="00000000" w14:paraId="0000017F">
      <w:pPr>
        <w:spacing w:after="240" w:lineRule="auto"/>
        <w:rPr/>
      </w:pPr>
      <w:r w:rsidDel="00000000" w:rsidR="00000000" w:rsidRPr="00000000">
        <w:rPr>
          <w:rtl w:val="0"/>
        </w:rPr>
        <w:t xml:space="preserve">Trading economics (2024). </w:t>
      </w:r>
      <w:r w:rsidDel="00000000" w:rsidR="00000000" w:rsidRPr="00000000">
        <w:rPr>
          <w:i w:val="1"/>
          <w:rtl w:val="0"/>
        </w:rPr>
        <w:t xml:space="preserve">Marriott International | MAR - Debt</w:t>
      </w:r>
      <w:r w:rsidDel="00000000" w:rsidR="00000000" w:rsidRPr="00000000">
        <w:rPr>
          <w:rtl w:val="0"/>
        </w:rPr>
        <w:t xml:space="preserve">. [online] Tradingeconomics.com. Available at: https://tradingeconomics.com/mar:us:debt.</w:t>
      </w:r>
    </w:p>
    <w:p w:rsidR="00000000" w:rsidDel="00000000" w:rsidP="00000000" w:rsidRDefault="00000000" w:rsidRPr="00000000" w14:paraId="00000180">
      <w:pPr>
        <w:spacing w:after="240" w:lineRule="auto"/>
        <w:rPr/>
      </w:pPr>
      <w:r w:rsidDel="00000000" w:rsidR="00000000" w:rsidRPr="00000000">
        <w:rPr>
          <w:color w:val="000000"/>
          <w:rtl w:val="0"/>
        </w:rPr>
        <w:t xml:space="preserve">Trading Economics (2026). </w:t>
      </w:r>
      <w:r w:rsidDel="00000000" w:rsidR="00000000" w:rsidRPr="00000000">
        <w:rPr>
          <w:i w:val="1"/>
          <w:color w:val="000000"/>
          <w:rtl w:val="0"/>
        </w:rPr>
        <w:t xml:space="preserve">Marriott International | MAR - Loan Capital</w:t>
      </w:r>
      <w:r w:rsidDel="00000000" w:rsidR="00000000" w:rsidRPr="00000000">
        <w:rPr>
          <w:color w:val="000000"/>
          <w:rtl w:val="0"/>
        </w:rPr>
        <w:t xml:space="preserve">. [online] Available at: https://tradingeconomics.com/mar:us:loan-capital.</w:t>
      </w:r>
      <w:r w:rsidDel="00000000" w:rsidR="00000000" w:rsidRPr="00000000">
        <w:rPr>
          <w:rtl w:val="0"/>
        </w:rPr>
      </w:r>
    </w:p>
    <w:p w:rsidR="00000000" w:rsidDel="00000000" w:rsidP="00000000" w:rsidRDefault="00000000" w:rsidRPr="00000000" w14:paraId="00000181">
      <w:pPr>
        <w:spacing w:after="240" w:lineRule="auto"/>
        <w:rPr/>
      </w:pPr>
      <w:r w:rsidDel="00000000" w:rsidR="00000000" w:rsidRPr="00000000">
        <w:rPr>
          <w:rtl w:val="0"/>
        </w:rPr>
        <w:t xml:space="preserve">Trading economics (2026). </w:t>
      </w:r>
      <w:r w:rsidDel="00000000" w:rsidR="00000000" w:rsidRPr="00000000">
        <w:rPr>
          <w:i w:val="1"/>
          <w:rtl w:val="0"/>
        </w:rPr>
        <w:t xml:space="preserve">Marriott International | MAR - Trade Creditors</w:t>
      </w:r>
      <w:r w:rsidDel="00000000" w:rsidR="00000000" w:rsidRPr="00000000">
        <w:rPr>
          <w:rtl w:val="0"/>
        </w:rPr>
        <w:t xml:space="preserve">. [online] tradingeconomics.com. Available at: https://tradingeconomics.com/mar:us:trade-creditors.</w:t>
      </w:r>
    </w:p>
    <w:p w:rsidR="00000000" w:rsidDel="00000000" w:rsidP="00000000" w:rsidRDefault="00000000" w:rsidRPr="00000000" w14:paraId="00000182">
      <w:pPr>
        <w:spacing w:after="240" w:lineRule="auto"/>
        <w:rPr/>
      </w:pPr>
      <w:r w:rsidDel="00000000" w:rsidR="00000000" w:rsidRPr="00000000">
        <w:rPr>
          <w:rtl w:val="0"/>
        </w:rPr>
        <w:t xml:space="preserve">Trading view (2025). </w:t>
      </w:r>
      <w:r w:rsidDel="00000000" w:rsidR="00000000" w:rsidRPr="00000000">
        <w:rPr>
          <w:i w:val="1"/>
          <w:rtl w:val="0"/>
        </w:rPr>
        <w:t xml:space="preserve">Marriott (NASDAQ:MAR) Posts Q4 CY2025 Sales In Line With Estimates</w:t>
      </w:r>
      <w:r w:rsidDel="00000000" w:rsidR="00000000" w:rsidRPr="00000000">
        <w:rPr>
          <w:rtl w:val="0"/>
        </w:rPr>
        <w:t xml:space="preserve">. [online] Available at: https://www.tradingview.com/news/stockstory:0a97a51a7094b:0-marriott-nasdaq-mar-posts-q4-cy2025-sales-in-line-with-estimates/.</w:t>
      </w:r>
    </w:p>
    <w:p w:rsidR="00000000" w:rsidDel="00000000" w:rsidP="00000000" w:rsidRDefault="00000000" w:rsidRPr="00000000" w14:paraId="00000183">
      <w:pPr>
        <w:spacing w:after="240" w:lineRule="auto"/>
        <w:rPr/>
      </w:pPr>
      <w:r w:rsidDel="00000000" w:rsidR="00000000" w:rsidRPr="00000000">
        <w:rPr>
          <w:rtl w:val="0"/>
        </w:rPr>
        <w:t xml:space="preserve">Tripathy, A. (2026). Marriott sees jump in co-branded card fees on ‘insatiable’ luxury travel demand. </w:t>
      </w:r>
      <w:r w:rsidDel="00000000" w:rsidR="00000000" w:rsidRPr="00000000">
        <w:rPr>
          <w:i w:val="1"/>
          <w:rtl w:val="0"/>
        </w:rPr>
        <w:t xml:space="preserve">Reuters</w:t>
      </w:r>
      <w:r w:rsidDel="00000000" w:rsidR="00000000" w:rsidRPr="00000000">
        <w:rPr>
          <w:rtl w:val="0"/>
        </w:rPr>
        <w:t xml:space="preserve">. [online] 10 Feb. Available at: </w:t>
      </w:r>
      <w:hyperlink r:id="rId47">
        <w:r w:rsidDel="00000000" w:rsidR="00000000" w:rsidRPr="00000000">
          <w:rPr>
            <w:rtl w:val="0"/>
          </w:rPr>
          <w:t xml:space="preserve">https://www.reuters.com/business/marriott-forecasts-in-line-annual-profit-amid-uneven-us-travel-demand-2026-02-10/</w:t>
        </w:r>
      </w:hyperlink>
      <w:r w:rsidDel="00000000" w:rsidR="00000000" w:rsidRPr="00000000">
        <w:rPr>
          <w:rtl w:val="0"/>
        </w:rPr>
        <w:t xml:space="preserve">.</w:t>
      </w:r>
    </w:p>
    <w:p w:rsidR="00000000" w:rsidDel="00000000" w:rsidP="00000000" w:rsidRDefault="00000000" w:rsidRPr="00000000" w14:paraId="00000184">
      <w:pPr>
        <w:spacing w:after="240" w:lineRule="auto"/>
        <w:rPr/>
      </w:pPr>
      <w:r w:rsidDel="00000000" w:rsidR="00000000" w:rsidRPr="00000000">
        <w:rPr>
          <w:rtl w:val="0"/>
        </w:rPr>
        <w:t xml:space="preserve">Vidakovic, S. (2025). </w:t>
      </w:r>
      <w:r w:rsidDel="00000000" w:rsidR="00000000" w:rsidRPr="00000000">
        <w:rPr>
          <w:i w:val="1"/>
          <w:rtl w:val="0"/>
        </w:rPr>
        <w:t xml:space="preserve">Hospitality Wages &amp; Salaries: 2025 Data and Trends</w:t>
      </w:r>
      <w:r w:rsidDel="00000000" w:rsidR="00000000" w:rsidRPr="00000000">
        <w:rPr>
          <w:rtl w:val="0"/>
        </w:rPr>
        <w:t xml:space="preserve">. [online] Oysterlink.com. Available at: https://oysterlink.com/spotlight/hospitality-wages-2025/.</w:t>
      </w:r>
    </w:p>
    <w:p w:rsidR="00000000" w:rsidDel="00000000" w:rsidP="00000000" w:rsidRDefault="00000000" w:rsidRPr="00000000" w14:paraId="00000185">
      <w:pPr>
        <w:spacing w:after="240" w:lineRule="auto"/>
        <w:rPr/>
      </w:pPr>
      <w:r w:rsidDel="00000000" w:rsidR="00000000" w:rsidRPr="00000000">
        <w:rPr>
          <w:rtl w:val="0"/>
        </w:rPr>
        <w:t xml:space="preserve">Wroten, B. (2025). </w:t>
      </w:r>
      <w:r w:rsidDel="00000000" w:rsidR="00000000" w:rsidRPr="00000000">
        <w:rPr>
          <w:i w:val="1"/>
          <w:rtl w:val="0"/>
        </w:rPr>
        <w:t xml:space="preserve">Marriott lowers its full-year outlook slightly over softening hotel demand concerns</w:t>
      </w:r>
      <w:r w:rsidDel="00000000" w:rsidR="00000000" w:rsidRPr="00000000">
        <w:rPr>
          <w:rtl w:val="0"/>
        </w:rPr>
        <w:t xml:space="preserve">. [online] CoStar. Available at: https://www.costar.com/article/1245585563/marriott-lowers-its-full-year-outlook-slightly-over-softening-hotel-demand-concerns.</w:t>
      </w:r>
    </w:p>
    <w:p w:rsidR="00000000" w:rsidDel="00000000" w:rsidP="00000000" w:rsidRDefault="00000000" w:rsidRPr="00000000" w14:paraId="00000186">
      <w:pPr>
        <w:spacing w:after="240" w:lineRule="auto"/>
        <w:rPr/>
      </w:pPr>
      <w:r w:rsidDel="00000000" w:rsidR="00000000" w:rsidRPr="00000000">
        <w:rPr>
          <w:rtl w:val="0"/>
        </w:rPr>
        <w:t xml:space="preserve">Yahoo Finance (2025a). </w:t>
      </w:r>
      <w:r w:rsidDel="00000000" w:rsidR="00000000" w:rsidRPr="00000000">
        <w:rPr>
          <w:i w:val="1"/>
          <w:rtl w:val="0"/>
        </w:rPr>
        <w:t xml:space="preserve">Marriott International (MAR) Income Statement - Yahoo Finance</w:t>
      </w:r>
      <w:r w:rsidDel="00000000" w:rsidR="00000000" w:rsidRPr="00000000">
        <w:rPr>
          <w:rtl w:val="0"/>
        </w:rPr>
        <w:t xml:space="preserve">. [online] finance.yahoo.com. Available at: https://finance.yahoo.com/quote/MAR/financials/.</w:t>
      </w:r>
    </w:p>
    <w:p w:rsidR="00000000" w:rsidDel="00000000" w:rsidP="00000000" w:rsidRDefault="00000000" w:rsidRPr="00000000" w14:paraId="00000187">
      <w:pPr>
        <w:spacing w:after="240" w:lineRule="auto"/>
        <w:rPr/>
      </w:pPr>
      <w:r w:rsidDel="00000000" w:rsidR="00000000" w:rsidRPr="00000000">
        <w:rPr>
          <w:rtl w:val="0"/>
        </w:rPr>
        <w:t xml:space="preserve">Yahoo Finance (2025b). Available at: https://finance.yahoo.com/news/marriott-international-full-2024-earnings-132658437.html?guccounter=1&amp;guce_referrer=aHR0cHM6Ly93d3cuZ29vZ2xlLmNvbS8&amp;guce_referrer_sig=AQAAAHSlTJtnVz2STuYmxY9Ui_uZNGT3k4tigtOT_hiGmdnD2aWybE8_kk0UOjUq7G7Hk2qpX1Dmago9FMuDrWiScr215KComjwrqLWcqinEFGwJr-sxrdusmkCBqYoMCZP4UlJd19I0CCn2ZJBO03_w7M-Zl8IDdVtYCuT46zw26iGg.</w:t>
      </w:r>
    </w:p>
    <w:p w:rsidR="00000000" w:rsidDel="00000000" w:rsidP="00000000" w:rsidRDefault="00000000" w:rsidRPr="00000000" w14:paraId="00000188">
      <w:pPr>
        <w:spacing w:after="240" w:lineRule="auto"/>
        <w:rPr/>
      </w:pPr>
      <w:r w:rsidDel="00000000" w:rsidR="00000000" w:rsidRPr="00000000">
        <w:rPr>
          <w:rtl w:val="0"/>
        </w:rPr>
        <w:t xml:space="preserve">Yahoo Finance (2026). </w:t>
      </w:r>
      <w:r w:rsidDel="00000000" w:rsidR="00000000" w:rsidRPr="00000000">
        <w:rPr>
          <w:i w:val="1"/>
          <w:rtl w:val="0"/>
        </w:rPr>
        <w:t xml:space="preserve">Marriott (NASDAQ:MAR) Posts Q4 CY2025 Sales In Line With Estimates</w:t>
      </w:r>
      <w:r w:rsidDel="00000000" w:rsidR="00000000" w:rsidRPr="00000000">
        <w:rPr>
          <w:rtl w:val="0"/>
        </w:rPr>
        <w:t xml:space="preserve">. [online] Yahoo Finance. Available at: </w:t>
      </w:r>
      <w:hyperlink r:id="rId48">
        <w:r w:rsidDel="00000000" w:rsidR="00000000" w:rsidRPr="00000000">
          <w:rPr>
            <w:rtl w:val="0"/>
          </w:rPr>
          <w:t xml:space="preserve">https://finance.yahoo.com/news/marriott-nasdaq-mar-posts-q4-124807462.html</w:t>
        </w:r>
      </w:hyperlink>
      <w:r w:rsidDel="00000000" w:rsidR="00000000" w:rsidRPr="00000000">
        <w:rPr>
          <w:rtl w:val="0"/>
        </w:rPr>
        <w:t xml:space="preserve">.</w:t>
      </w:r>
    </w:p>
    <w:p w:rsidR="00000000" w:rsidDel="00000000" w:rsidP="00000000" w:rsidRDefault="00000000" w:rsidRPr="00000000" w14:paraId="00000189">
      <w:pPr>
        <w:rPr>
          <w:color w:val="ff0000"/>
        </w:rPr>
      </w:pPr>
      <w:bookmarkStart w:colFirst="0" w:colLast="0" w:name="_2w5ecyt" w:id="72"/>
      <w:bookmarkEnd w:id="72"/>
      <w:r w:rsidDel="00000000" w:rsidR="00000000" w:rsidRPr="00000000">
        <w:rPr>
          <w:color w:val="ff0000"/>
          <w:rtl w:val="0"/>
        </w:rPr>
        <w:tab/>
      </w:r>
      <w:r w:rsidDel="00000000" w:rsidR="00000000" w:rsidRPr="00000000">
        <w:br w:type="page"/>
      </w:r>
      <w:r w:rsidDel="00000000" w:rsidR="00000000" w:rsidRPr="00000000">
        <w:rPr>
          <w:rtl w:val="0"/>
        </w:rPr>
      </w:r>
    </w:p>
    <w:p w:rsidR="00000000" w:rsidDel="00000000" w:rsidP="00000000" w:rsidRDefault="00000000" w:rsidRPr="00000000" w14:paraId="0000018A">
      <w:pPr>
        <w:pStyle w:val="Heading1"/>
        <w:rPr/>
      </w:pPr>
      <w:bookmarkStart w:colFirst="0" w:colLast="0" w:name="_34g0dwd" w:id="73"/>
      <w:bookmarkEnd w:id="73"/>
      <w:r w:rsidDel="00000000" w:rsidR="00000000" w:rsidRPr="00000000">
        <w:rPr>
          <w:rtl w:val="0"/>
        </w:rPr>
        <w:t xml:space="preserve">Appendices</w:t>
        <w:tab/>
      </w:r>
    </w:p>
    <w:p w:rsidR="00000000" w:rsidDel="00000000" w:rsidP="00000000" w:rsidRDefault="00000000" w:rsidRPr="00000000" w14:paraId="0000018B">
      <w:pPr>
        <w:pStyle w:val="Heading2"/>
        <w:rPr/>
      </w:pPr>
      <w:bookmarkStart w:colFirst="0" w:colLast="0" w:name="_1jlao46" w:id="74"/>
      <w:bookmarkEnd w:id="74"/>
      <w:r w:rsidDel="00000000" w:rsidR="00000000" w:rsidRPr="00000000">
        <w:rPr>
          <w:rtl w:val="0"/>
        </w:rPr>
        <w:t xml:space="preserve">Appendix 1: Ratio analysis</w:t>
        <w:tab/>
      </w:r>
    </w:p>
    <w:tbl>
      <w:tblPr>
        <w:tblStyle w:val="Table1"/>
        <w:tblW w:w="93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793"/>
        <w:gridCol w:w="816"/>
        <w:gridCol w:w="1120"/>
        <w:gridCol w:w="1120"/>
        <w:gridCol w:w="1120"/>
        <w:gridCol w:w="1271"/>
        <w:gridCol w:w="1120"/>
        <w:tblGridChange w:id="0">
          <w:tblGrid>
            <w:gridCol w:w="2793"/>
            <w:gridCol w:w="816"/>
            <w:gridCol w:w="1120"/>
            <w:gridCol w:w="1120"/>
            <w:gridCol w:w="1120"/>
            <w:gridCol w:w="1271"/>
            <w:gridCol w:w="1120"/>
          </w:tblGrid>
        </w:tblGridChange>
      </w:tblGrid>
      <w:tr>
        <w:trPr>
          <w:cantSplit w:val="0"/>
          <w:trHeight w:val="300" w:hRule="atLeast"/>
          <w:tblHeader w:val="0"/>
        </w:trPr>
        <w:tc>
          <w:tcPr>
            <w:gridSpan w:val="7"/>
            <w:tcBorders>
              <w:top w:color="cccccc" w:space="0" w:sz="6" w:val="single"/>
              <w:left w:color="cccccc" w:space="0" w:sz="6" w:val="single"/>
              <w:bottom w:color="000000"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8C">
            <w:pPr>
              <w:jc w:val="center"/>
              <w:rPr>
                <w:rFonts w:ascii="Calibri" w:cs="Calibri" w:eastAsia="Calibri" w:hAnsi="Calibri"/>
                <w:sz w:val="22"/>
                <w:szCs w:val="22"/>
              </w:rPr>
            </w:pPr>
            <w:r w:rsidDel="00000000" w:rsidR="00000000" w:rsidRPr="00000000">
              <w:rPr>
                <w:b w:val="1"/>
                <w:rtl w:val="0"/>
              </w:rPr>
              <w:t xml:space="preserve">Profitability Ratios:</w:t>
            </w:r>
            <w:r w:rsidDel="00000000" w:rsidR="00000000" w:rsidRPr="00000000">
              <w:rPr>
                <w:rtl w:val="0"/>
              </w:rPr>
            </w:r>
          </w:p>
        </w:tc>
      </w:tr>
      <w:tr>
        <w:trPr>
          <w:cantSplit w:val="0"/>
          <w:trHeight w:val="300" w:hRule="atLeast"/>
          <w:tblHeader w:val="0"/>
        </w:trPr>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93">
            <w:pPr>
              <w:jc w:val="center"/>
              <w:rPr>
                <w:rFonts w:ascii="Calibri" w:cs="Calibri" w:eastAsia="Calibri" w:hAnsi="Calibri"/>
                <w:sz w:val="22"/>
                <w:szCs w:val="22"/>
              </w:rPr>
            </w:pPr>
            <w:r w:rsidDel="00000000" w:rsidR="00000000" w:rsidRPr="00000000">
              <w:rPr>
                <w:b w:val="1"/>
                <w:rtl w:val="0"/>
              </w:rPr>
              <w:t xml:space="preserve">Particulars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94">
            <w:pPr>
              <w:jc w:val="center"/>
              <w:rPr>
                <w:rFonts w:ascii="Calibri" w:cs="Calibri" w:eastAsia="Calibri" w:hAnsi="Calibri"/>
                <w:sz w:val="22"/>
                <w:szCs w:val="22"/>
              </w:rPr>
            </w:pPr>
            <w:r w:rsidDel="00000000" w:rsidR="00000000" w:rsidRPr="00000000">
              <w:rPr>
                <w:b w:val="1"/>
                <w:rtl w:val="0"/>
              </w:rPr>
              <w:t xml:space="preserve">Details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95">
            <w:pPr>
              <w:jc w:val="center"/>
              <w:rPr>
                <w:rFonts w:ascii="Calibri" w:cs="Calibri" w:eastAsia="Calibri" w:hAnsi="Calibri"/>
                <w:sz w:val="22"/>
                <w:szCs w:val="22"/>
              </w:rPr>
            </w:pPr>
            <w:r w:rsidDel="00000000" w:rsidR="00000000" w:rsidRPr="00000000">
              <w:rPr>
                <w:b w:val="1"/>
                <w:rtl w:val="0"/>
              </w:rPr>
              <w:t xml:space="preserve">2021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96">
            <w:pPr>
              <w:jc w:val="center"/>
              <w:rPr>
                <w:rFonts w:ascii="Calibri" w:cs="Calibri" w:eastAsia="Calibri" w:hAnsi="Calibri"/>
                <w:sz w:val="22"/>
                <w:szCs w:val="22"/>
              </w:rPr>
            </w:pPr>
            <w:r w:rsidDel="00000000" w:rsidR="00000000" w:rsidRPr="00000000">
              <w:rPr>
                <w:b w:val="1"/>
                <w:rtl w:val="0"/>
              </w:rPr>
              <w:t xml:space="preserve">2022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97">
            <w:pPr>
              <w:jc w:val="center"/>
              <w:rPr>
                <w:rFonts w:ascii="Calibri" w:cs="Calibri" w:eastAsia="Calibri" w:hAnsi="Calibri"/>
                <w:sz w:val="22"/>
                <w:szCs w:val="22"/>
              </w:rPr>
            </w:pPr>
            <w:r w:rsidDel="00000000" w:rsidR="00000000" w:rsidRPr="00000000">
              <w:rPr>
                <w:b w:val="1"/>
                <w:rtl w:val="0"/>
              </w:rPr>
              <w:t xml:space="preserve">2023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98">
            <w:pPr>
              <w:jc w:val="center"/>
              <w:rPr>
                <w:rFonts w:ascii="Calibri" w:cs="Calibri" w:eastAsia="Calibri" w:hAnsi="Calibri"/>
                <w:sz w:val="22"/>
                <w:szCs w:val="22"/>
              </w:rPr>
            </w:pPr>
            <w:r w:rsidDel="00000000" w:rsidR="00000000" w:rsidRPr="00000000">
              <w:rPr>
                <w:b w:val="1"/>
                <w:rtl w:val="0"/>
              </w:rPr>
              <w:t xml:space="preserve">2024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99">
            <w:pPr>
              <w:jc w:val="center"/>
              <w:rPr>
                <w:rFonts w:ascii="Calibri" w:cs="Calibri" w:eastAsia="Calibri" w:hAnsi="Calibri"/>
                <w:sz w:val="22"/>
                <w:szCs w:val="22"/>
              </w:rPr>
            </w:pPr>
            <w:r w:rsidDel="00000000" w:rsidR="00000000" w:rsidRPr="00000000">
              <w:rPr>
                <w:b w:val="1"/>
                <w:rtl w:val="0"/>
              </w:rPr>
              <w:t xml:space="preserve">2025</w:t>
            </w:r>
            <w:r w:rsidDel="00000000" w:rsidR="00000000" w:rsidRPr="00000000">
              <w:rPr>
                <w:rtl w:val="0"/>
              </w:rPr>
            </w:r>
          </w:p>
        </w:tc>
      </w:tr>
      <w:tr>
        <w:trPr>
          <w:cantSplit w:val="0"/>
          <w:trHeight w:val="300" w:hRule="atLeast"/>
          <w:tblHeader w:val="0"/>
        </w:trPr>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9A">
            <w:pPr>
              <w:jc w:val="center"/>
              <w:rPr>
                <w:rFonts w:ascii="Calibri" w:cs="Calibri" w:eastAsia="Calibri" w:hAnsi="Calibri"/>
                <w:sz w:val="22"/>
                <w:szCs w:val="22"/>
              </w:rPr>
            </w:pPr>
            <w:r w:rsidDel="00000000" w:rsidR="00000000" w:rsidRPr="00000000">
              <w:rPr>
                <w:rtl w:val="0"/>
              </w:rPr>
              <w:t xml:space="preserve">Revenue ($m)</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9B">
            <w:pPr>
              <w:jc w:val="center"/>
              <w:rPr>
                <w:rFonts w:ascii="Calibri" w:cs="Calibri" w:eastAsia="Calibri" w:hAnsi="Calibri"/>
                <w:sz w:val="22"/>
                <w:szCs w:val="22"/>
              </w:rPr>
            </w:pPr>
            <w:r w:rsidDel="00000000" w:rsidR="00000000" w:rsidRPr="00000000">
              <w:rPr>
                <w:rtl w:val="0"/>
              </w:rPr>
              <w:t xml:space="preserve">A</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9C">
            <w:pPr>
              <w:jc w:val="center"/>
              <w:rPr>
                <w:rFonts w:ascii="Calibri" w:cs="Calibri" w:eastAsia="Calibri" w:hAnsi="Calibri"/>
                <w:sz w:val="22"/>
                <w:szCs w:val="22"/>
              </w:rPr>
            </w:pPr>
            <w:r w:rsidDel="00000000" w:rsidR="00000000" w:rsidRPr="00000000">
              <w:rPr>
                <w:rtl w:val="0"/>
              </w:rPr>
              <w:t xml:space="preserve">13,857.00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9D">
            <w:pPr>
              <w:jc w:val="center"/>
              <w:rPr>
                <w:rFonts w:ascii="Calibri" w:cs="Calibri" w:eastAsia="Calibri" w:hAnsi="Calibri"/>
                <w:sz w:val="22"/>
                <w:szCs w:val="22"/>
              </w:rPr>
            </w:pPr>
            <w:r w:rsidDel="00000000" w:rsidR="00000000" w:rsidRPr="00000000">
              <w:rPr>
                <w:rtl w:val="0"/>
              </w:rPr>
              <w:t xml:space="preserve">20,773.00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9E">
            <w:pPr>
              <w:jc w:val="center"/>
              <w:rPr>
                <w:rFonts w:ascii="Calibri" w:cs="Calibri" w:eastAsia="Calibri" w:hAnsi="Calibri"/>
                <w:sz w:val="22"/>
                <w:szCs w:val="22"/>
              </w:rPr>
            </w:pPr>
            <w:r w:rsidDel="00000000" w:rsidR="00000000" w:rsidRPr="00000000">
              <w:rPr>
                <w:rtl w:val="0"/>
              </w:rPr>
              <w:t xml:space="preserve">23,713.00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9F">
            <w:pPr>
              <w:jc w:val="center"/>
              <w:rPr>
                <w:rFonts w:ascii="Calibri" w:cs="Calibri" w:eastAsia="Calibri" w:hAnsi="Calibri"/>
                <w:sz w:val="22"/>
                <w:szCs w:val="22"/>
              </w:rPr>
            </w:pPr>
            <w:r w:rsidDel="00000000" w:rsidR="00000000" w:rsidRPr="00000000">
              <w:rPr>
                <w:rtl w:val="0"/>
              </w:rPr>
              <w:t xml:space="preserve">25,100.00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A0">
            <w:pPr>
              <w:jc w:val="center"/>
              <w:rPr>
                <w:rFonts w:ascii="Calibri" w:cs="Calibri" w:eastAsia="Calibri" w:hAnsi="Calibri"/>
                <w:sz w:val="22"/>
                <w:szCs w:val="22"/>
              </w:rPr>
            </w:pPr>
            <w:r w:rsidDel="00000000" w:rsidR="00000000" w:rsidRPr="00000000">
              <w:rPr>
                <w:rtl w:val="0"/>
              </w:rPr>
              <w:t xml:space="preserve">26,186.00</w:t>
            </w:r>
            <w:r w:rsidDel="00000000" w:rsidR="00000000" w:rsidRPr="00000000">
              <w:rPr>
                <w:rtl w:val="0"/>
              </w:rPr>
            </w:r>
          </w:p>
        </w:tc>
      </w:tr>
      <w:tr>
        <w:trPr>
          <w:cantSplit w:val="0"/>
          <w:trHeight w:val="300" w:hRule="atLeast"/>
          <w:tblHeader w:val="0"/>
        </w:trPr>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A1">
            <w:pPr>
              <w:jc w:val="center"/>
              <w:rPr>
                <w:rFonts w:ascii="Calibri" w:cs="Calibri" w:eastAsia="Calibri" w:hAnsi="Calibri"/>
                <w:sz w:val="22"/>
                <w:szCs w:val="22"/>
              </w:rPr>
            </w:pPr>
            <w:r w:rsidDel="00000000" w:rsidR="00000000" w:rsidRPr="00000000">
              <w:rPr>
                <w:rtl w:val="0"/>
              </w:rPr>
              <w:t xml:space="preserve">Operating Profit/(Loss) ($m)</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A2">
            <w:pPr>
              <w:jc w:val="center"/>
              <w:rPr>
                <w:rFonts w:ascii="Calibri" w:cs="Calibri" w:eastAsia="Calibri" w:hAnsi="Calibri"/>
                <w:sz w:val="22"/>
                <w:szCs w:val="22"/>
              </w:rPr>
            </w:pPr>
            <w:r w:rsidDel="00000000" w:rsidR="00000000" w:rsidRPr="00000000">
              <w:rPr>
                <w:rtl w:val="0"/>
              </w:rPr>
              <w:t xml:space="preserve">B</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A3">
            <w:pPr>
              <w:jc w:val="center"/>
              <w:rPr>
                <w:rFonts w:ascii="Calibri" w:cs="Calibri" w:eastAsia="Calibri" w:hAnsi="Calibri"/>
                <w:sz w:val="22"/>
                <w:szCs w:val="22"/>
              </w:rPr>
            </w:pPr>
            <w:r w:rsidDel="00000000" w:rsidR="00000000" w:rsidRPr="00000000">
              <w:rPr>
                <w:rtl w:val="0"/>
              </w:rPr>
              <w:t xml:space="preserve">1,750.00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A4">
            <w:pPr>
              <w:jc w:val="center"/>
              <w:rPr>
                <w:rFonts w:ascii="Calibri" w:cs="Calibri" w:eastAsia="Calibri" w:hAnsi="Calibri"/>
                <w:sz w:val="22"/>
                <w:szCs w:val="22"/>
              </w:rPr>
            </w:pPr>
            <w:r w:rsidDel="00000000" w:rsidR="00000000" w:rsidRPr="00000000">
              <w:rPr>
                <w:rtl w:val="0"/>
              </w:rPr>
              <w:t xml:space="preserve">3,114.00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A5">
            <w:pPr>
              <w:jc w:val="center"/>
              <w:rPr>
                <w:rFonts w:ascii="Calibri" w:cs="Calibri" w:eastAsia="Calibri" w:hAnsi="Calibri"/>
                <w:sz w:val="22"/>
                <w:szCs w:val="22"/>
              </w:rPr>
            </w:pPr>
            <w:r w:rsidDel="00000000" w:rsidR="00000000" w:rsidRPr="00000000">
              <w:rPr>
                <w:rtl w:val="0"/>
              </w:rPr>
              <w:t xml:space="preserve">3,378.00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A6">
            <w:pPr>
              <w:jc w:val="center"/>
              <w:rPr>
                <w:rFonts w:ascii="Calibri" w:cs="Calibri" w:eastAsia="Calibri" w:hAnsi="Calibri"/>
                <w:sz w:val="22"/>
                <w:szCs w:val="22"/>
              </w:rPr>
            </w:pPr>
            <w:r w:rsidDel="00000000" w:rsidR="00000000" w:rsidRPr="00000000">
              <w:rPr>
                <w:rtl w:val="0"/>
              </w:rPr>
              <w:t xml:space="preserve">3,151.00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A7">
            <w:pPr>
              <w:jc w:val="center"/>
              <w:rPr>
                <w:rFonts w:ascii="Calibri" w:cs="Calibri" w:eastAsia="Calibri" w:hAnsi="Calibri"/>
                <w:sz w:val="22"/>
                <w:szCs w:val="22"/>
              </w:rPr>
            </w:pPr>
            <w:r w:rsidDel="00000000" w:rsidR="00000000" w:rsidRPr="00000000">
              <w:rPr>
                <w:rtl w:val="0"/>
              </w:rPr>
              <w:t xml:space="preserve">3,394.00</w:t>
            </w:r>
            <w:r w:rsidDel="00000000" w:rsidR="00000000" w:rsidRPr="00000000">
              <w:rPr>
                <w:rtl w:val="0"/>
              </w:rPr>
            </w:r>
          </w:p>
        </w:tc>
      </w:tr>
      <w:tr>
        <w:trPr>
          <w:cantSplit w:val="0"/>
          <w:trHeight w:val="300" w:hRule="atLeast"/>
          <w:tblHeader w:val="0"/>
        </w:trPr>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A8">
            <w:pPr>
              <w:jc w:val="center"/>
              <w:rPr>
                <w:rFonts w:ascii="Calibri" w:cs="Calibri" w:eastAsia="Calibri" w:hAnsi="Calibri"/>
                <w:sz w:val="22"/>
                <w:szCs w:val="22"/>
              </w:rPr>
            </w:pPr>
            <w:r w:rsidDel="00000000" w:rsidR="00000000" w:rsidRPr="00000000">
              <w:rPr>
                <w:rtl w:val="0"/>
              </w:rPr>
              <w:t xml:space="preserve">Net Profit/(Loss) ($m)</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A9">
            <w:pPr>
              <w:jc w:val="center"/>
              <w:rPr>
                <w:rFonts w:ascii="Calibri" w:cs="Calibri" w:eastAsia="Calibri" w:hAnsi="Calibri"/>
                <w:sz w:val="22"/>
                <w:szCs w:val="22"/>
              </w:rPr>
            </w:pPr>
            <w:r w:rsidDel="00000000" w:rsidR="00000000" w:rsidRPr="00000000">
              <w:rPr>
                <w:rtl w:val="0"/>
              </w:rPr>
              <w:t xml:space="preserve">C</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AA">
            <w:pPr>
              <w:jc w:val="center"/>
              <w:rPr>
                <w:rFonts w:ascii="Calibri" w:cs="Calibri" w:eastAsia="Calibri" w:hAnsi="Calibri"/>
                <w:sz w:val="22"/>
                <w:szCs w:val="22"/>
              </w:rPr>
            </w:pPr>
            <w:r w:rsidDel="00000000" w:rsidR="00000000" w:rsidRPr="00000000">
              <w:rPr>
                <w:rtl w:val="0"/>
              </w:rPr>
              <w:t xml:space="preserve">1,099.00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AB">
            <w:pPr>
              <w:jc w:val="center"/>
              <w:rPr>
                <w:rFonts w:ascii="Calibri" w:cs="Calibri" w:eastAsia="Calibri" w:hAnsi="Calibri"/>
                <w:sz w:val="22"/>
                <w:szCs w:val="22"/>
              </w:rPr>
            </w:pPr>
            <w:r w:rsidDel="00000000" w:rsidR="00000000" w:rsidRPr="00000000">
              <w:rPr>
                <w:rtl w:val="0"/>
              </w:rPr>
              <w:t xml:space="preserve">2,358.00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AC">
            <w:pPr>
              <w:jc w:val="center"/>
              <w:rPr>
                <w:rFonts w:ascii="Calibri" w:cs="Calibri" w:eastAsia="Calibri" w:hAnsi="Calibri"/>
                <w:sz w:val="22"/>
                <w:szCs w:val="22"/>
              </w:rPr>
            </w:pPr>
            <w:r w:rsidDel="00000000" w:rsidR="00000000" w:rsidRPr="00000000">
              <w:rPr>
                <w:rtl w:val="0"/>
              </w:rPr>
              <w:t xml:space="preserve">3,083.00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AD">
            <w:pPr>
              <w:jc w:val="center"/>
              <w:rPr>
                <w:rFonts w:ascii="Calibri" w:cs="Calibri" w:eastAsia="Calibri" w:hAnsi="Calibri"/>
                <w:sz w:val="22"/>
                <w:szCs w:val="22"/>
              </w:rPr>
            </w:pPr>
            <w:r w:rsidDel="00000000" w:rsidR="00000000" w:rsidRPr="00000000">
              <w:rPr>
                <w:rtl w:val="0"/>
              </w:rPr>
              <w:t xml:space="preserve">2,375.00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AE">
            <w:pPr>
              <w:jc w:val="center"/>
              <w:rPr>
                <w:rFonts w:ascii="Calibri" w:cs="Calibri" w:eastAsia="Calibri" w:hAnsi="Calibri"/>
                <w:sz w:val="22"/>
                <w:szCs w:val="22"/>
              </w:rPr>
            </w:pPr>
            <w:r w:rsidDel="00000000" w:rsidR="00000000" w:rsidRPr="00000000">
              <w:rPr>
                <w:rtl w:val="0"/>
              </w:rPr>
              <w:t xml:space="preserve">2,601.00</w:t>
            </w:r>
            <w:r w:rsidDel="00000000" w:rsidR="00000000" w:rsidRPr="00000000">
              <w:rPr>
                <w:rtl w:val="0"/>
              </w:rPr>
            </w:r>
          </w:p>
        </w:tc>
      </w:tr>
      <w:tr>
        <w:trPr>
          <w:cantSplit w:val="0"/>
          <w:trHeight w:val="300" w:hRule="atLeast"/>
          <w:tblHeader w:val="0"/>
        </w:trPr>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AF">
            <w:pPr>
              <w:jc w:val="center"/>
              <w:rPr>
                <w:rFonts w:ascii="Calibri" w:cs="Calibri" w:eastAsia="Calibri" w:hAnsi="Calibri"/>
                <w:sz w:val="22"/>
                <w:szCs w:val="22"/>
              </w:rPr>
            </w:pPr>
            <w:r w:rsidDel="00000000" w:rsidR="00000000" w:rsidRPr="00000000">
              <w:rPr>
                <w:rtl w:val="0"/>
              </w:rPr>
              <w:t xml:space="preserve">Total Assets ($m)</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B0">
            <w:pPr>
              <w:jc w:val="center"/>
              <w:rPr>
                <w:rFonts w:ascii="Calibri" w:cs="Calibri" w:eastAsia="Calibri" w:hAnsi="Calibri"/>
                <w:sz w:val="22"/>
                <w:szCs w:val="22"/>
              </w:rPr>
            </w:pPr>
            <w:r w:rsidDel="00000000" w:rsidR="00000000" w:rsidRPr="00000000">
              <w:rPr>
                <w:rtl w:val="0"/>
              </w:rPr>
              <w:t xml:space="preserve">D</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B1">
            <w:pPr>
              <w:jc w:val="center"/>
              <w:rPr>
                <w:rFonts w:ascii="Calibri" w:cs="Calibri" w:eastAsia="Calibri" w:hAnsi="Calibri"/>
                <w:sz w:val="22"/>
                <w:szCs w:val="22"/>
              </w:rPr>
            </w:pPr>
            <w:r w:rsidDel="00000000" w:rsidR="00000000" w:rsidRPr="00000000">
              <w:rPr>
                <w:rtl w:val="0"/>
              </w:rPr>
              <w:t xml:space="preserve">25,553.00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B2">
            <w:pPr>
              <w:jc w:val="center"/>
              <w:rPr>
                <w:rFonts w:ascii="Calibri" w:cs="Calibri" w:eastAsia="Calibri" w:hAnsi="Calibri"/>
                <w:sz w:val="22"/>
                <w:szCs w:val="22"/>
              </w:rPr>
            </w:pPr>
            <w:r w:rsidDel="00000000" w:rsidR="00000000" w:rsidRPr="00000000">
              <w:rPr>
                <w:rtl w:val="0"/>
              </w:rPr>
              <w:t xml:space="preserve">24,815.00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B3">
            <w:pPr>
              <w:jc w:val="center"/>
              <w:rPr>
                <w:rFonts w:ascii="Calibri" w:cs="Calibri" w:eastAsia="Calibri" w:hAnsi="Calibri"/>
                <w:sz w:val="22"/>
                <w:szCs w:val="22"/>
              </w:rPr>
            </w:pPr>
            <w:r w:rsidDel="00000000" w:rsidR="00000000" w:rsidRPr="00000000">
              <w:rPr>
                <w:rtl w:val="0"/>
              </w:rPr>
              <w:t xml:space="preserve">25,674.00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B4">
            <w:pPr>
              <w:jc w:val="center"/>
              <w:rPr>
                <w:rFonts w:ascii="Calibri" w:cs="Calibri" w:eastAsia="Calibri" w:hAnsi="Calibri"/>
                <w:sz w:val="22"/>
                <w:szCs w:val="22"/>
              </w:rPr>
            </w:pPr>
            <w:r w:rsidDel="00000000" w:rsidR="00000000" w:rsidRPr="00000000">
              <w:rPr>
                <w:rtl w:val="0"/>
              </w:rPr>
              <w:t xml:space="preserve">21,704.00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B5">
            <w:pPr>
              <w:jc w:val="center"/>
              <w:rPr>
                <w:rFonts w:ascii="Calibri" w:cs="Calibri" w:eastAsia="Calibri" w:hAnsi="Calibri"/>
                <w:sz w:val="22"/>
                <w:szCs w:val="22"/>
              </w:rPr>
            </w:pPr>
            <w:r w:rsidDel="00000000" w:rsidR="00000000" w:rsidRPr="00000000">
              <w:rPr>
                <w:rtl w:val="0"/>
              </w:rPr>
              <w:t xml:space="preserve">22,827.00</w:t>
            </w:r>
            <w:r w:rsidDel="00000000" w:rsidR="00000000" w:rsidRPr="00000000">
              <w:rPr>
                <w:rtl w:val="0"/>
              </w:rPr>
            </w:r>
          </w:p>
        </w:tc>
      </w:tr>
      <w:tr>
        <w:trPr>
          <w:cantSplit w:val="0"/>
          <w:trHeight w:val="300" w:hRule="atLeast"/>
          <w:tblHeader w:val="0"/>
        </w:trPr>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B6">
            <w:pPr>
              <w:jc w:val="center"/>
              <w:rPr>
                <w:rFonts w:ascii="Calibri" w:cs="Calibri" w:eastAsia="Calibri" w:hAnsi="Calibri"/>
                <w:sz w:val="22"/>
                <w:szCs w:val="22"/>
              </w:rPr>
            </w:pPr>
            <w:r w:rsidDel="00000000" w:rsidR="00000000" w:rsidRPr="00000000">
              <w:rPr>
                <w:rtl w:val="0"/>
              </w:rPr>
              <w:t xml:space="preserve">Current Liabilities ($m)</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B7">
            <w:pPr>
              <w:jc w:val="center"/>
              <w:rPr>
                <w:rFonts w:ascii="Calibri" w:cs="Calibri" w:eastAsia="Calibri" w:hAnsi="Calibri"/>
                <w:sz w:val="22"/>
                <w:szCs w:val="22"/>
              </w:rPr>
            </w:pPr>
            <w:r w:rsidDel="00000000" w:rsidR="00000000" w:rsidRPr="00000000">
              <w:rPr>
                <w:rtl w:val="0"/>
              </w:rPr>
              <w:t xml:space="preserve">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B8">
            <w:pPr>
              <w:jc w:val="center"/>
              <w:rPr>
                <w:rFonts w:ascii="Calibri" w:cs="Calibri" w:eastAsia="Calibri" w:hAnsi="Calibri"/>
                <w:sz w:val="22"/>
                <w:szCs w:val="22"/>
              </w:rPr>
            </w:pPr>
            <w:r w:rsidDel="00000000" w:rsidR="00000000" w:rsidRPr="00000000">
              <w:rPr>
                <w:rtl w:val="0"/>
              </w:rPr>
              <w:t xml:space="preserve">6,407.00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B9">
            <w:pPr>
              <w:jc w:val="center"/>
              <w:rPr>
                <w:rFonts w:ascii="Calibri" w:cs="Calibri" w:eastAsia="Calibri" w:hAnsi="Calibri"/>
                <w:sz w:val="22"/>
                <w:szCs w:val="22"/>
              </w:rPr>
            </w:pPr>
            <w:r w:rsidDel="00000000" w:rsidR="00000000" w:rsidRPr="00000000">
              <w:rPr>
                <w:rtl w:val="0"/>
              </w:rPr>
              <w:t xml:space="preserve">7,339.00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BA">
            <w:pPr>
              <w:jc w:val="center"/>
              <w:rPr>
                <w:rFonts w:ascii="Calibri" w:cs="Calibri" w:eastAsia="Calibri" w:hAnsi="Calibri"/>
                <w:sz w:val="22"/>
                <w:szCs w:val="22"/>
              </w:rPr>
            </w:pPr>
            <w:r w:rsidDel="00000000" w:rsidR="00000000" w:rsidRPr="00000000">
              <w:rPr>
                <w:rtl w:val="0"/>
              </w:rPr>
              <w:t xml:space="preserve">7,762.00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BB">
            <w:pPr>
              <w:jc w:val="center"/>
              <w:rPr>
                <w:rFonts w:ascii="Calibri" w:cs="Calibri" w:eastAsia="Calibri" w:hAnsi="Calibri"/>
                <w:sz w:val="22"/>
                <w:szCs w:val="22"/>
              </w:rPr>
            </w:pPr>
            <w:r w:rsidDel="00000000" w:rsidR="00000000" w:rsidRPr="00000000">
              <w:rPr>
                <w:rtl w:val="0"/>
              </w:rPr>
              <w:t xml:space="preserve">8,649.00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BC">
            <w:pPr>
              <w:jc w:val="center"/>
              <w:rPr>
                <w:rFonts w:ascii="Calibri" w:cs="Calibri" w:eastAsia="Calibri" w:hAnsi="Calibri"/>
                <w:sz w:val="22"/>
                <w:szCs w:val="22"/>
              </w:rPr>
            </w:pPr>
            <w:r w:rsidDel="00000000" w:rsidR="00000000" w:rsidRPr="00000000">
              <w:rPr>
                <w:rtl w:val="0"/>
              </w:rPr>
              <w:t xml:space="preserve">8,398.00</w:t>
            </w:r>
            <w:r w:rsidDel="00000000" w:rsidR="00000000" w:rsidRPr="00000000">
              <w:rPr>
                <w:rtl w:val="0"/>
              </w:rPr>
            </w:r>
          </w:p>
        </w:tc>
      </w:tr>
      <w:tr>
        <w:trPr>
          <w:cantSplit w:val="0"/>
          <w:trHeight w:val="300" w:hRule="atLeast"/>
          <w:tblHeader w:val="0"/>
        </w:trPr>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BD">
            <w:pPr>
              <w:jc w:val="center"/>
              <w:rPr>
                <w:rFonts w:ascii="Calibri" w:cs="Calibri" w:eastAsia="Calibri" w:hAnsi="Calibri"/>
                <w:sz w:val="22"/>
                <w:szCs w:val="22"/>
              </w:rPr>
            </w:pPr>
            <w:r w:rsidDel="00000000" w:rsidR="00000000" w:rsidRPr="00000000">
              <w:rPr>
                <w:rtl w:val="0"/>
              </w:rPr>
              <w:t xml:space="preserve">Equity ($m)</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BE">
            <w:pPr>
              <w:jc w:val="center"/>
              <w:rPr>
                <w:rFonts w:ascii="Calibri" w:cs="Calibri" w:eastAsia="Calibri" w:hAnsi="Calibri"/>
                <w:sz w:val="22"/>
                <w:szCs w:val="22"/>
              </w:rPr>
            </w:pPr>
            <w:r w:rsidDel="00000000" w:rsidR="00000000" w:rsidRPr="00000000">
              <w:rPr>
                <w:rtl w:val="0"/>
              </w:rPr>
              <w:t xml:space="preserve">F</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BF">
            <w:pPr>
              <w:jc w:val="center"/>
              <w:rPr>
                <w:rFonts w:ascii="Calibri" w:cs="Calibri" w:eastAsia="Calibri" w:hAnsi="Calibri"/>
                <w:sz w:val="22"/>
                <w:szCs w:val="22"/>
              </w:rPr>
            </w:pPr>
            <w:r w:rsidDel="00000000" w:rsidR="00000000" w:rsidRPr="00000000">
              <w:rPr>
                <w:rtl w:val="0"/>
              </w:rPr>
              <w:t xml:space="preserve">2,425.00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C0">
            <w:pPr>
              <w:jc w:val="center"/>
              <w:rPr>
                <w:rFonts w:ascii="Calibri" w:cs="Calibri" w:eastAsia="Calibri" w:hAnsi="Calibri"/>
                <w:sz w:val="22"/>
                <w:szCs w:val="22"/>
              </w:rPr>
            </w:pPr>
            <w:r w:rsidDel="00000000" w:rsidR="00000000" w:rsidRPr="00000000">
              <w:rPr>
                <w:rtl w:val="0"/>
              </w:rPr>
              <w:t xml:space="preserve">2,298.00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C1">
            <w:pPr>
              <w:jc w:val="center"/>
              <w:rPr>
                <w:rFonts w:ascii="Calibri" w:cs="Calibri" w:eastAsia="Calibri" w:hAnsi="Calibri"/>
                <w:sz w:val="22"/>
                <w:szCs w:val="22"/>
              </w:rPr>
            </w:pPr>
            <w:r w:rsidDel="00000000" w:rsidR="00000000" w:rsidRPr="00000000">
              <w:rPr>
                <w:rtl w:val="0"/>
              </w:rPr>
              <w:t xml:space="preserve">2,706.00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C2">
            <w:pPr>
              <w:jc w:val="center"/>
              <w:rPr>
                <w:rFonts w:ascii="Calibri" w:cs="Calibri" w:eastAsia="Calibri" w:hAnsi="Calibri"/>
                <w:sz w:val="22"/>
                <w:szCs w:val="22"/>
              </w:rPr>
            </w:pPr>
            <w:r w:rsidDel="00000000" w:rsidR="00000000" w:rsidRPr="00000000">
              <w:rPr>
                <w:rtl w:val="0"/>
              </w:rPr>
              <w:t xml:space="preserve">2,645.00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C3">
            <w:pPr>
              <w:jc w:val="center"/>
              <w:rPr>
                <w:rFonts w:ascii="Calibri" w:cs="Calibri" w:eastAsia="Calibri" w:hAnsi="Calibri"/>
                <w:sz w:val="22"/>
                <w:szCs w:val="22"/>
              </w:rPr>
            </w:pPr>
            <w:r w:rsidDel="00000000" w:rsidR="00000000" w:rsidRPr="00000000">
              <w:rPr>
                <w:rtl w:val="0"/>
              </w:rPr>
              <w:t xml:space="preserve">2,759.00</w:t>
            </w:r>
            <w:r w:rsidDel="00000000" w:rsidR="00000000" w:rsidRPr="00000000">
              <w:rPr>
                <w:rtl w:val="0"/>
              </w:rPr>
            </w:r>
          </w:p>
        </w:tc>
      </w:tr>
      <w:tr>
        <w:trPr>
          <w:cantSplit w:val="0"/>
          <w:trHeight w:val="300" w:hRule="atLeast"/>
          <w:tblHeader w:val="0"/>
        </w:trPr>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C4">
            <w:pPr>
              <w:jc w:val="center"/>
              <w:rPr>
                <w:rFonts w:ascii="Calibri" w:cs="Calibri" w:eastAsia="Calibri" w:hAnsi="Calibri"/>
                <w:sz w:val="22"/>
                <w:szCs w:val="22"/>
              </w:rPr>
            </w:pPr>
            <w:r w:rsidDel="00000000" w:rsidR="00000000" w:rsidRPr="00000000">
              <w:rPr>
                <w:b w:val="1"/>
                <w:rtl w:val="0"/>
              </w:rPr>
              <w:t xml:space="preserve">Net Margin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C5">
            <w:pPr>
              <w:jc w:val="center"/>
              <w:rPr>
                <w:rFonts w:ascii="Calibri" w:cs="Calibri" w:eastAsia="Calibri" w:hAnsi="Calibri"/>
                <w:sz w:val="22"/>
                <w:szCs w:val="22"/>
              </w:rPr>
            </w:pPr>
            <w:r w:rsidDel="00000000" w:rsidR="00000000" w:rsidRPr="00000000">
              <w:rPr>
                <w:b w:val="1"/>
                <w:rtl w:val="0"/>
              </w:rPr>
              <w:t xml:space="preserve">C/A</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C6">
            <w:pPr>
              <w:jc w:val="center"/>
              <w:rPr>
                <w:rFonts w:ascii="Calibri" w:cs="Calibri" w:eastAsia="Calibri" w:hAnsi="Calibri"/>
                <w:sz w:val="22"/>
                <w:szCs w:val="22"/>
              </w:rPr>
            </w:pPr>
            <w:r w:rsidDel="00000000" w:rsidR="00000000" w:rsidRPr="00000000">
              <w:rPr>
                <w:b w:val="1"/>
                <w:rtl w:val="0"/>
              </w:rPr>
              <w:t xml:space="preserve">7.93%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C7">
            <w:pPr>
              <w:jc w:val="center"/>
              <w:rPr>
                <w:rFonts w:ascii="Calibri" w:cs="Calibri" w:eastAsia="Calibri" w:hAnsi="Calibri"/>
                <w:sz w:val="22"/>
                <w:szCs w:val="22"/>
              </w:rPr>
            </w:pPr>
            <w:r w:rsidDel="00000000" w:rsidR="00000000" w:rsidRPr="00000000">
              <w:rPr>
                <w:b w:val="1"/>
                <w:rtl w:val="0"/>
              </w:rPr>
              <w:t xml:space="preserve">11.35%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C8">
            <w:pPr>
              <w:jc w:val="center"/>
              <w:rPr>
                <w:rFonts w:ascii="Calibri" w:cs="Calibri" w:eastAsia="Calibri" w:hAnsi="Calibri"/>
                <w:sz w:val="22"/>
                <w:szCs w:val="22"/>
              </w:rPr>
            </w:pPr>
            <w:r w:rsidDel="00000000" w:rsidR="00000000" w:rsidRPr="00000000">
              <w:rPr>
                <w:b w:val="1"/>
                <w:rtl w:val="0"/>
              </w:rPr>
              <w:t xml:space="preserve">13.00%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C9">
            <w:pPr>
              <w:jc w:val="center"/>
              <w:rPr>
                <w:rFonts w:ascii="Calibri" w:cs="Calibri" w:eastAsia="Calibri" w:hAnsi="Calibri"/>
                <w:sz w:val="22"/>
                <w:szCs w:val="22"/>
              </w:rPr>
            </w:pPr>
            <w:r w:rsidDel="00000000" w:rsidR="00000000" w:rsidRPr="00000000">
              <w:rPr>
                <w:b w:val="1"/>
                <w:rtl w:val="0"/>
              </w:rPr>
              <w:t xml:space="preserve">9.46%</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CA">
            <w:pPr>
              <w:jc w:val="center"/>
              <w:rPr>
                <w:rFonts w:ascii="Calibri" w:cs="Calibri" w:eastAsia="Calibri" w:hAnsi="Calibri"/>
                <w:sz w:val="22"/>
                <w:szCs w:val="22"/>
              </w:rPr>
            </w:pPr>
            <w:r w:rsidDel="00000000" w:rsidR="00000000" w:rsidRPr="00000000">
              <w:rPr>
                <w:b w:val="1"/>
                <w:rtl w:val="0"/>
              </w:rPr>
              <w:t xml:space="preserve">9.93%</w:t>
            </w:r>
            <w:r w:rsidDel="00000000" w:rsidR="00000000" w:rsidRPr="00000000">
              <w:rPr>
                <w:rtl w:val="0"/>
              </w:rPr>
            </w:r>
          </w:p>
        </w:tc>
      </w:tr>
      <w:tr>
        <w:trPr>
          <w:cantSplit w:val="0"/>
          <w:trHeight w:val="555" w:hRule="atLeast"/>
          <w:tblHeader w:val="0"/>
        </w:trPr>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CB">
            <w:pPr>
              <w:jc w:val="center"/>
              <w:rPr>
                <w:rFonts w:ascii="Calibri" w:cs="Calibri" w:eastAsia="Calibri" w:hAnsi="Calibri"/>
                <w:sz w:val="22"/>
                <w:szCs w:val="22"/>
              </w:rPr>
            </w:pPr>
            <w:r w:rsidDel="00000000" w:rsidR="00000000" w:rsidRPr="00000000">
              <w:rPr>
                <w:b w:val="1"/>
                <w:rtl w:val="0"/>
              </w:rPr>
              <w:t xml:space="preserve">Return on Capital Employed (ROCE)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CC">
            <w:pPr>
              <w:jc w:val="center"/>
              <w:rPr>
                <w:rFonts w:ascii="Calibri" w:cs="Calibri" w:eastAsia="Calibri" w:hAnsi="Calibri"/>
                <w:sz w:val="22"/>
                <w:szCs w:val="22"/>
              </w:rPr>
            </w:pPr>
            <w:r w:rsidDel="00000000" w:rsidR="00000000" w:rsidRPr="00000000">
              <w:rPr>
                <w:b w:val="1"/>
                <w:rtl w:val="0"/>
              </w:rPr>
              <w:t xml:space="preserve">B/(D-E)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CD">
            <w:pPr>
              <w:jc w:val="center"/>
              <w:rPr>
                <w:rFonts w:ascii="Calibri" w:cs="Calibri" w:eastAsia="Calibri" w:hAnsi="Calibri"/>
                <w:sz w:val="22"/>
                <w:szCs w:val="22"/>
              </w:rPr>
            </w:pPr>
            <w:r w:rsidDel="00000000" w:rsidR="00000000" w:rsidRPr="00000000">
              <w:rPr>
                <w:b w:val="1"/>
                <w:rtl w:val="0"/>
              </w:rPr>
              <w:t xml:space="preserve">9.14%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CE">
            <w:pPr>
              <w:jc w:val="center"/>
              <w:rPr>
                <w:rFonts w:ascii="Calibri" w:cs="Calibri" w:eastAsia="Calibri" w:hAnsi="Calibri"/>
                <w:sz w:val="22"/>
                <w:szCs w:val="22"/>
              </w:rPr>
            </w:pPr>
            <w:r w:rsidDel="00000000" w:rsidR="00000000" w:rsidRPr="00000000">
              <w:rPr>
                <w:b w:val="1"/>
                <w:rtl w:val="0"/>
              </w:rPr>
              <w:t xml:space="preserve">17.82%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CF">
            <w:pPr>
              <w:jc w:val="center"/>
              <w:rPr>
                <w:rFonts w:ascii="Calibri" w:cs="Calibri" w:eastAsia="Calibri" w:hAnsi="Calibri"/>
                <w:sz w:val="22"/>
                <w:szCs w:val="22"/>
              </w:rPr>
            </w:pPr>
            <w:r w:rsidDel="00000000" w:rsidR="00000000" w:rsidRPr="00000000">
              <w:rPr>
                <w:b w:val="1"/>
                <w:rtl w:val="0"/>
              </w:rPr>
              <w:t xml:space="preserve">18.86%</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D0">
            <w:pPr>
              <w:jc w:val="center"/>
              <w:rPr>
                <w:rFonts w:ascii="Calibri" w:cs="Calibri" w:eastAsia="Calibri" w:hAnsi="Calibri"/>
                <w:sz w:val="22"/>
                <w:szCs w:val="22"/>
              </w:rPr>
            </w:pPr>
            <w:r w:rsidDel="00000000" w:rsidR="00000000" w:rsidRPr="00000000">
              <w:rPr>
                <w:b w:val="1"/>
                <w:rtl w:val="0"/>
              </w:rPr>
              <w:t xml:space="preserve">24.14%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D1">
            <w:pPr>
              <w:jc w:val="center"/>
              <w:rPr>
                <w:rFonts w:ascii="Calibri" w:cs="Calibri" w:eastAsia="Calibri" w:hAnsi="Calibri"/>
                <w:sz w:val="22"/>
                <w:szCs w:val="22"/>
              </w:rPr>
            </w:pPr>
            <w:r w:rsidDel="00000000" w:rsidR="00000000" w:rsidRPr="00000000">
              <w:rPr>
                <w:b w:val="1"/>
                <w:rtl w:val="0"/>
              </w:rPr>
              <w:t xml:space="preserve">23.52%</w:t>
            </w:r>
            <w:r w:rsidDel="00000000" w:rsidR="00000000" w:rsidRPr="00000000">
              <w:rPr>
                <w:rtl w:val="0"/>
              </w:rPr>
            </w:r>
          </w:p>
        </w:tc>
      </w:tr>
      <w:tr>
        <w:trPr>
          <w:cantSplit w:val="0"/>
          <w:trHeight w:val="300" w:hRule="atLeast"/>
          <w:tblHeader w:val="0"/>
        </w:trPr>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D2">
            <w:pPr>
              <w:jc w:val="center"/>
              <w:rPr>
                <w:rFonts w:ascii="Calibri" w:cs="Calibri" w:eastAsia="Calibri" w:hAnsi="Calibri"/>
                <w:sz w:val="22"/>
                <w:szCs w:val="22"/>
              </w:rPr>
            </w:pPr>
            <w:r w:rsidDel="00000000" w:rsidR="00000000" w:rsidRPr="00000000">
              <w:rPr>
                <w:b w:val="1"/>
                <w:rtl w:val="0"/>
              </w:rPr>
              <w:t xml:space="preserve">Return on Equity (ROE)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D3">
            <w:pPr>
              <w:jc w:val="center"/>
              <w:rPr>
                <w:rFonts w:ascii="Calibri" w:cs="Calibri" w:eastAsia="Calibri" w:hAnsi="Calibri"/>
                <w:sz w:val="22"/>
                <w:szCs w:val="22"/>
              </w:rPr>
            </w:pPr>
            <w:r w:rsidDel="00000000" w:rsidR="00000000" w:rsidRPr="00000000">
              <w:rPr>
                <w:b w:val="1"/>
                <w:rtl w:val="0"/>
              </w:rPr>
              <w:t xml:space="preserve">C/F</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D4">
            <w:pPr>
              <w:jc w:val="center"/>
              <w:rPr>
                <w:rFonts w:ascii="Calibri" w:cs="Calibri" w:eastAsia="Calibri" w:hAnsi="Calibri"/>
                <w:sz w:val="22"/>
                <w:szCs w:val="22"/>
              </w:rPr>
            </w:pPr>
            <w:r w:rsidDel="00000000" w:rsidR="00000000" w:rsidRPr="00000000">
              <w:rPr>
                <w:b w:val="1"/>
                <w:rtl w:val="0"/>
              </w:rPr>
              <w:t xml:space="preserve">45.32%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D5">
            <w:pPr>
              <w:jc w:val="center"/>
              <w:rPr>
                <w:rFonts w:ascii="Calibri" w:cs="Calibri" w:eastAsia="Calibri" w:hAnsi="Calibri"/>
                <w:sz w:val="22"/>
                <w:szCs w:val="22"/>
              </w:rPr>
            </w:pPr>
            <w:r w:rsidDel="00000000" w:rsidR="00000000" w:rsidRPr="00000000">
              <w:rPr>
                <w:b w:val="1"/>
                <w:rtl w:val="0"/>
              </w:rPr>
              <w:t xml:space="preserve">102.61%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D6">
            <w:pPr>
              <w:jc w:val="center"/>
              <w:rPr>
                <w:rFonts w:ascii="Calibri" w:cs="Calibri" w:eastAsia="Calibri" w:hAnsi="Calibri"/>
                <w:sz w:val="22"/>
                <w:szCs w:val="22"/>
              </w:rPr>
            </w:pPr>
            <w:r w:rsidDel="00000000" w:rsidR="00000000" w:rsidRPr="00000000">
              <w:rPr>
                <w:b w:val="1"/>
                <w:rtl w:val="0"/>
              </w:rPr>
              <w:t xml:space="preserve">113.93%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D7">
            <w:pPr>
              <w:jc w:val="center"/>
              <w:rPr>
                <w:rFonts w:ascii="Calibri" w:cs="Calibri" w:eastAsia="Calibri" w:hAnsi="Calibri"/>
                <w:sz w:val="22"/>
                <w:szCs w:val="22"/>
              </w:rPr>
            </w:pPr>
            <w:r w:rsidDel="00000000" w:rsidR="00000000" w:rsidRPr="00000000">
              <w:rPr>
                <w:b w:val="1"/>
                <w:rtl w:val="0"/>
              </w:rPr>
              <w:t xml:space="preserve">89.79%</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D8">
            <w:pPr>
              <w:jc w:val="center"/>
              <w:rPr>
                <w:rFonts w:ascii="Calibri" w:cs="Calibri" w:eastAsia="Calibri" w:hAnsi="Calibri"/>
                <w:sz w:val="22"/>
                <w:szCs w:val="22"/>
              </w:rPr>
            </w:pPr>
            <w:r w:rsidDel="00000000" w:rsidR="00000000" w:rsidRPr="00000000">
              <w:rPr>
                <w:b w:val="1"/>
                <w:rtl w:val="0"/>
              </w:rPr>
              <w:t xml:space="preserve">94.27%</w:t>
            </w:r>
            <w:r w:rsidDel="00000000" w:rsidR="00000000" w:rsidRPr="00000000">
              <w:rPr>
                <w:rtl w:val="0"/>
              </w:rPr>
            </w:r>
          </w:p>
        </w:tc>
      </w:tr>
      <w:tr>
        <w:trPr>
          <w:cantSplit w:val="0"/>
          <w:trHeight w:val="300" w:hRule="atLeast"/>
          <w:tblHeader w:val="0"/>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D9">
            <w:pPr>
              <w:rPr>
                <w:rFonts w:ascii="Calibri" w:cs="Calibri" w:eastAsia="Calibri" w:hAnsi="Calibri"/>
                <w:sz w:val="22"/>
                <w:szCs w:val="22"/>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DA">
            <w:pPr>
              <w:rPr>
                <w:rFonts w:ascii="Calibri" w:cs="Calibri" w:eastAsia="Calibri" w:hAnsi="Calibri"/>
                <w:sz w:val="22"/>
                <w:szCs w:val="22"/>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DB">
            <w:pPr>
              <w:rPr>
                <w:rFonts w:ascii="Calibri" w:cs="Calibri" w:eastAsia="Calibri" w:hAnsi="Calibri"/>
                <w:sz w:val="22"/>
                <w:szCs w:val="22"/>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DC">
            <w:pPr>
              <w:rPr>
                <w:rFonts w:ascii="Calibri" w:cs="Calibri" w:eastAsia="Calibri" w:hAnsi="Calibri"/>
                <w:sz w:val="22"/>
                <w:szCs w:val="22"/>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DD">
            <w:pPr>
              <w:rPr>
                <w:rFonts w:ascii="Calibri" w:cs="Calibri" w:eastAsia="Calibri" w:hAnsi="Calibri"/>
                <w:sz w:val="22"/>
                <w:szCs w:val="22"/>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DE">
            <w:pPr>
              <w:rPr>
                <w:rFonts w:ascii="Calibri" w:cs="Calibri" w:eastAsia="Calibri" w:hAnsi="Calibri"/>
                <w:sz w:val="22"/>
                <w:szCs w:val="22"/>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DF">
            <w:pPr>
              <w:rPr>
                <w:rFonts w:ascii="Calibri" w:cs="Calibri" w:eastAsia="Calibri" w:hAnsi="Calibri"/>
                <w:sz w:val="22"/>
                <w:szCs w:val="22"/>
              </w:rPr>
            </w:pPr>
            <w:r w:rsidDel="00000000" w:rsidR="00000000" w:rsidRPr="00000000">
              <w:rPr>
                <w:rtl w:val="0"/>
              </w:rPr>
            </w:r>
          </w:p>
        </w:tc>
      </w:tr>
      <w:tr>
        <w:trPr>
          <w:cantSplit w:val="0"/>
          <w:trHeight w:val="300" w:hRule="atLeast"/>
          <w:tblHeader w:val="0"/>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E0">
            <w:pPr>
              <w:rPr>
                <w:rFonts w:ascii="Calibri" w:cs="Calibri" w:eastAsia="Calibri" w:hAnsi="Calibri"/>
                <w:sz w:val="22"/>
                <w:szCs w:val="22"/>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E1">
            <w:pPr>
              <w:rPr>
                <w:rFonts w:ascii="Calibri" w:cs="Calibri" w:eastAsia="Calibri" w:hAnsi="Calibri"/>
                <w:sz w:val="22"/>
                <w:szCs w:val="22"/>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E2">
            <w:pPr>
              <w:rPr>
                <w:rFonts w:ascii="Calibri" w:cs="Calibri" w:eastAsia="Calibri" w:hAnsi="Calibri"/>
                <w:sz w:val="22"/>
                <w:szCs w:val="22"/>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E3">
            <w:pPr>
              <w:rPr>
                <w:rFonts w:ascii="Calibri" w:cs="Calibri" w:eastAsia="Calibri" w:hAnsi="Calibri"/>
                <w:sz w:val="22"/>
                <w:szCs w:val="22"/>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E4">
            <w:pPr>
              <w:rPr>
                <w:rFonts w:ascii="Calibri" w:cs="Calibri" w:eastAsia="Calibri" w:hAnsi="Calibri"/>
                <w:sz w:val="22"/>
                <w:szCs w:val="22"/>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E5">
            <w:pPr>
              <w:rPr>
                <w:rFonts w:ascii="Calibri" w:cs="Calibri" w:eastAsia="Calibri" w:hAnsi="Calibri"/>
                <w:sz w:val="22"/>
                <w:szCs w:val="22"/>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E6">
            <w:pPr>
              <w:rPr>
                <w:rFonts w:ascii="Calibri" w:cs="Calibri" w:eastAsia="Calibri" w:hAnsi="Calibri"/>
                <w:sz w:val="22"/>
                <w:szCs w:val="22"/>
              </w:rPr>
            </w:pPr>
            <w:r w:rsidDel="00000000" w:rsidR="00000000" w:rsidRPr="00000000">
              <w:rPr>
                <w:rtl w:val="0"/>
              </w:rPr>
            </w:r>
          </w:p>
        </w:tc>
      </w:tr>
      <w:tr>
        <w:trPr>
          <w:cantSplit w:val="0"/>
          <w:trHeight w:val="300" w:hRule="atLeast"/>
          <w:tblHeader w:val="0"/>
        </w:trPr>
        <w:tc>
          <w:tcPr>
            <w:gridSpan w:val="7"/>
            <w:tcBorders>
              <w:top w:color="cccccc" w:space="0" w:sz="6" w:val="single"/>
              <w:left w:color="cccccc" w:space="0" w:sz="6" w:val="single"/>
              <w:bottom w:color="000000"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E7">
            <w:pPr>
              <w:jc w:val="center"/>
              <w:rPr>
                <w:rFonts w:ascii="Calibri" w:cs="Calibri" w:eastAsia="Calibri" w:hAnsi="Calibri"/>
                <w:sz w:val="22"/>
                <w:szCs w:val="22"/>
              </w:rPr>
            </w:pPr>
            <w:r w:rsidDel="00000000" w:rsidR="00000000" w:rsidRPr="00000000">
              <w:rPr>
                <w:b w:val="1"/>
                <w:rtl w:val="0"/>
              </w:rPr>
              <w:t xml:space="preserve">Liquidity Ratios:-</w:t>
            </w:r>
            <w:r w:rsidDel="00000000" w:rsidR="00000000" w:rsidRPr="00000000">
              <w:rPr>
                <w:rtl w:val="0"/>
              </w:rPr>
            </w:r>
          </w:p>
        </w:tc>
      </w:tr>
      <w:tr>
        <w:trPr>
          <w:cantSplit w:val="0"/>
          <w:trHeight w:val="300" w:hRule="atLeast"/>
          <w:tblHeader w:val="0"/>
        </w:trPr>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EE">
            <w:pPr>
              <w:jc w:val="center"/>
              <w:rPr>
                <w:rFonts w:ascii="Calibri" w:cs="Calibri" w:eastAsia="Calibri" w:hAnsi="Calibri"/>
                <w:sz w:val="22"/>
                <w:szCs w:val="22"/>
              </w:rPr>
            </w:pPr>
            <w:r w:rsidDel="00000000" w:rsidR="00000000" w:rsidRPr="00000000">
              <w:rPr>
                <w:b w:val="1"/>
                <w:rtl w:val="0"/>
              </w:rPr>
              <w:t xml:space="preserve">Particulars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EF">
            <w:pPr>
              <w:jc w:val="center"/>
              <w:rPr>
                <w:rFonts w:ascii="Calibri" w:cs="Calibri" w:eastAsia="Calibri" w:hAnsi="Calibri"/>
                <w:sz w:val="22"/>
                <w:szCs w:val="22"/>
              </w:rPr>
            </w:pPr>
            <w:r w:rsidDel="00000000" w:rsidR="00000000" w:rsidRPr="00000000">
              <w:rPr>
                <w:b w:val="1"/>
                <w:rtl w:val="0"/>
              </w:rPr>
              <w:t xml:space="preserve">Details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F0">
            <w:pPr>
              <w:jc w:val="center"/>
              <w:rPr>
                <w:rFonts w:ascii="Calibri" w:cs="Calibri" w:eastAsia="Calibri" w:hAnsi="Calibri"/>
                <w:sz w:val="22"/>
                <w:szCs w:val="22"/>
              </w:rPr>
            </w:pPr>
            <w:r w:rsidDel="00000000" w:rsidR="00000000" w:rsidRPr="00000000">
              <w:rPr>
                <w:b w:val="1"/>
                <w:rtl w:val="0"/>
              </w:rPr>
              <w:t xml:space="preserve">2021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F1">
            <w:pPr>
              <w:jc w:val="center"/>
              <w:rPr>
                <w:rFonts w:ascii="Calibri" w:cs="Calibri" w:eastAsia="Calibri" w:hAnsi="Calibri"/>
                <w:sz w:val="22"/>
                <w:szCs w:val="22"/>
              </w:rPr>
            </w:pPr>
            <w:r w:rsidDel="00000000" w:rsidR="00000000" w:rsidRPr="00000000">
              <w:rPr>
                <w:b w:val="1"/>
                <w:rtl w:val="0"/>
              </w:rPr>
              <w:t xml:space="preserve">2022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F2">
            <w:pPr>
              <w:jc w:val="center"/>
              <w:rPr>
                <w:rFonts w:ascii="Calibri" w:cs="Calibri" w:eastAsia="Calibri" w:hAnsi="Calibri"/>
                <w:sz w:val="22"/>
                <w:szCs w:val="22"/>
              </w:rPr>
            </w:pPr>
            <w:r w:rsidDel="00000000" w:rsidR="00000000" w:rsidRPr="00000000">
              <w:rPr>
                <w:b w:val="1"/>
                <w:rtl w:val="0"/>
              </w:rPr>
              <w:t xml:space="preserve">2023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F3">
            <w:pPr>
              <w:jc w:val="center"/>
              <w:rPr>
                <w:rFonts w:ascii="Calibri" w:cs="Calibri" w:eastAsia="Calibri" w:hAnsi="Calibri"/>
                <w:sz w:val="22"/>
                <w:szCs w:val="22"/>
              </w:rPr>
            </w:pPr>
            <w:r w:rsidDel="00000000" w:rsidR="00000000" w:rsidRPr="00000000">
              <w:rPr>
                <w:b w:val="1"/>
                <w:rtl w:val="0"/>
              </w:rPr>
              <w:t xml:space="preserve">2024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F4">
            <w:pPr>
              <w:jc w:val="center"/>
              <w:rPr>
                <w:rFonts w:ascii="Calibri" w:cs="Calibri" w:eastAsia="Calibri" w:hAnsi="Calibri"/>
                <w:sz w:val="22"/>
                <w:szCs w:val="22"/>
              </w:rPr>
            </w:pPr>
            <w:r w:rsidDel="00000000" w:rsidR="00000000" w:rsidRPr="00000000">
              <w:rPr>
                <w:b w:val="1"/>
                <w:rtl w:val="0"/>
              </w:rPr>
              <w:t xml:space="preserve">2025</w:t>
            </w:r>
            <w:r w:rsidDel="00000000" w:rsidR="00000000" w:rsidRPr="00000000">
              <w:rPr>
                <w:rtl w:val="0"/>
              </w:rPr>
            </w:r>
          </w:p>
        </w:tc>
      </w:tr>
      <w:tr>
        <w:trPr>
          <w:cantSplit w:val="0"/>
          <w:trHeight w:val="300" w:hRule="atLeast"/>
          <w:tblHeader w:val="0"/>
        </w:trPr>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F5">
            <w:pPr>
              <w:jc w:val="center"/>
              <w:rPr>
                <w:rFonts w:ascii="Calibri" w:cs="Calibri" w:eastAsia="Calibri" w:hAnsi="Calibri"/>
                <w:sz w:val="22"/>
                <w:szCs w:val="22"/>
              </w:rPr>
            </w:pPr>
            <w:r w:rsidDel="00000000" w:rsidR="00000000" w:rsidRPr="00000000">
              <w:rPr>
                <w:rtl w:val="0"/>
              </w:rPr>
              <w:t xml:space="preserve">Current Assets ($m)</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F6">
            <w:pPr>
              <w:jc w:val="center"/>
              <w:rPr>
                <w:rFonts w:ascii="Calibri" w:cs="Calibri" w:eastAsia="Calibri" w:hAnsi="Calibri"/>
                <w:sz w:val="22"/>
                <w:szCs w:val="22"/>
              </w:rPr>
            </w:pPr>
            <w:r w:rsidDel="00000000" w:rsidR="00000000" w:rsidRPr="00000000">
              <w:rPr>
                <w:rtl w:val="0"/>
              </w:rPr>
              <w:t xml:space="preserve">A</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F7">
            <w:pPr>
              <w:jc w:val="center"/>
              <w:rPr>
                <w:rFonts w:ascii="Calibri" w:cs="Calibri" w:eastAsia="Calibri" w:hAnsi="Calibri"/>
                <w:sz w:val="22"/>
                <w:szCs w:val="22"/>
              </w:rPr>
            </w:pPr>
            <w:r w:rsidDel="00000000" w:rsidR="00000000" w:rsidRPr="00000000">
              <w:rPr>
                <w:rtl w:val="0"/>
              </w:rPr>
              <w:t xml:space="preserve">3,626.00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F8">
            <w:pPr>
              <w:jc w:val="center"/>
              <w:rPr>
                <w:rFonts w:ascii="Calibri" w:cs="Calibri" w:eastAsia="Calibri" w:hAnsi="Calibri"/>
                <w:sz w:val="22"/>
                <w:szCs w:val="22"/>
              </w:rPr>
            </w:pPr>
            <w:r w:rsidDel="00000000" w:rsidR="00000000" w:rsidRPr="00000000">
              <w:rPr>
                <w:rtl w:val="0"/>
              </w:rPr>
              <w:t xml:space="preserve">3,313.00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F9">
            <w:pPr>
              <w:jc w:val="center"/>
              <w:rPr>
                <w:rFonts w:ascii="Calibri" w:cs="Calibri" w:eastAsia="Calibri" w:hAnsi="Calibri"/>
                <w:sz w:val="22"/>
                <w:szCs w:val="22"/>
              </w:rPr>
            </w:pPr>
            <w:r w:rsidDel="00000000" w:rsidR="00000000" w:rsidRPr="00000000">
              <w:rPr>
                <w:rtl w:val="0"/>
              </w:rPr>
              <w:t xml:space="preserve">3,311.00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FA">
            <w:pPr>
              <w:jc w:val="center"/>
              <w:rPr>
                <w:rFonts w:ascii="Calibri" w:cs="Calibri" w:eastAsia="Calibri" w:hAnsi="Calibri"/>
                <w:sz w:val="22"/>
                <w:szCs w:val="22"/>
              </w:rPr>
            </w:pPr>
            <w:r w:rsidDel="00000000" w:rsidR="00000000" w:rsidRPr="00000000">
              <w:rPr>
                <w:rtl w:val="0"/>
              </w:rPr>
              <w:t xml:space="preserve">3,485.00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FB">
            <w:pPr>
              <w:jc w:val="center"/>
              <w:rPr>
                <w:rFonts w:ascii="Calibri" w:cs="Calibri" w:eastAsia="Calibri" w:hAnsi="Calibri"/>
                <w:sz w:val="22"/>
                <w:szCs w:val="22"/>
              </w:rPr>
            </w:pPr>
            <w:r w:rsidDel="00000000" w:rsidR="00000000" w:rsidRPr="00000000">
              <w:rPr>
                <w:rtl w:val="0"/>
              </w:rPr>
              <w:t xml:space="preserve">3,584.00</w:t>
            </w:r>
            <w:r w:rsidDel="00000000" w:rsidR="00000000" w:rsidRPr="00000000">
              <w:rPr>
                <w:rtl w:val="0"/>
              </w:rPr>
            </w:r>
          </w:p>
        </w:tc>
      </w:tr>
      <w:tr>
        <w:trPr>
          <w:cantSplit w:val="0"/>
          <w:trHeight w:val="300" w:hRule="atLeast"/>
          <w:tblHeader w:val="0"/>
        </w:trPr>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FC">
            <w:pPr>
              <w:jc w:val="center"/>
              <w:rPr>
                <w:rFonts w:ascii="Calibri" w:cs="Calibri" w:eastAsia="Calibri" w:hAnsi="Calibri"/>
                <w:sz w:val="22"/>
                <w:szCs w:val="22"/>
              </w:rPr>
            </w:pPr>
            <w:r w:rsidDel="00000000" w:rsidR="00000000" w:rsidRPr="00000000">
              <w:rPr>
                <w:rtl w:val="0"/>
              </w:rPr>
              <w:t xml:space="preserve">Inventories ($m)</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FD">
            <w:pPr>
              <w:jc w:val="center"/>
              <w:rPr>
                <w:rFonts w:ascii="Calibri" w:cs="Calibri" w:eastAsia="Calibri" w:hAnsi="Calibri"/>
                <w:sz w:val="22"/>
                <w:szCs w:val="22"/>
              </w:rPr>
            </w:pPr>
            <w:r w:rsidDel="00000000" w:rsidR="00000000" w:rsidRPr="00000000">
              <w:rPr>
                <w:rtl w:val="0"/>
              </w:rPr>
              <w:t xml:space="preserve">B</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FE">
            <w:pPr>
              <w:jc w:val="center"/>
              <w:rPr>
                <w:rFonts w:ascii="Calibri" w:cs="Calibri" w:eastAsia="Calibri" w:hAnsi="Calibri"/>
                <w:sz w:val="22"/>
                <w:szCs w:val="22"/>
              </w:rPr>
            </w:pPr>
            <w:r w:rsidDel="00000000" w:rsidR="00000000" w:rsidRPr="00000000">
              <w:rPr>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FF">
            <w:pPr>
              <w:jc w:val="center"/>
              <w:rPr>
                <w:rFonts w:ascii="Calibri" w:cs="Calibri" w:eastAsia="Calibri" w:hAnsi="Calibri"/>
                <w:sz w:val="22"/>
                <w:szCs w:val="22"/>
              </w:rPr>
            </w:pPr>
            <w:r w:rsidDel="00000000" w:rsidR="00000000" w:rsidRPr="00000000">
              <w:rPr>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00">
            <w:pPr>
              <w:jc w:val="center"/>
              <w:rPr>
                <w:rFonts w:ascii="Calibri" w:cs="Calibri" w:eastAsia="Calibri" w:hAnsi="Calibri"/>
                <w:sz w:val="22"/>
                <w:szCs w:val="22"/>
              </w:rPr>
            </w:pPr>
            <w:r w:rsidDel="00000000" w:rsidR="00000000" w:rsidRPr="00000000">
              <w:rPr>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01">
            <w:pPr>
              <w:jc w:val="center"/>
              <w:rPr>
                <w:rFonts w:ascii="Calibri" w:cs="Calibri" w:eastAsia="Calibri" w:hAnsi="Calibri"/>
                <w:sz w:val="22"/>
                <w:szCs w:val="22"/>
              </w:rPr>
            </w:pPr>
            <w:r w:rsidDel="00000000" w:rsidR="00000000" w:rsidRPr="00000000">
              <w:rPr>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02">
            <w:pPr>
              <w:jc w:val="center"/>
              <w:rPr>
                <w:rFonts w:ascii="Calibri" w:cs="Calibri" w:eastAsia="Calibri" w:hAnsi="Calibri"/>
                <w:sz w:val="22"/>
                <w:szCs w:val="22"/>
              </w:rPr>
            </w:pPr>
            <w:r w:rsidDel="00000000" w:rsidR="00000000" w:rsidRPr="00000000">
              <w:rPr>
                <w:rtl w:val="0"/>
              </w:rPr>
              <w:t xml:space="preserve">-</w:t>
            </w:r>
            <w:r w:rsidDel="00000000" w:rsidR="00000000" w:rsidRPr="00000000">
              <w:rPr>
                <w:rtl w:val="0"/>
              </w:rPr>
            </w:r>
          </w:p>
        </w:tc>
      </w:tr>
      <w:tr>
        <w:trPr>
          <w:cantSplit w:val="0"/>
          <w:trHeight w:val="300" w:hRule="atLeast"/>
          <w:tblHeader w:val="0"/>
        </w:trPr>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03">
            <w:pPr>
              <w:jc w:val="center"/>
              <w:rPr>
                <w:rFonts w:ascii="Calibri" w:cs="Calibri" w:eastAsia="Calibri" w:hAnsi="Calibri"/>
                <w:sz w:val="22"/>
                <w:szCs w:val="22"/>
              </w:rPr>
            </w:pPr>
            <w:r w:rsidDel="00000000" w:rsidR="00000000" w:rsidRPr="00000000">
              <w:rPr>
                <w:rtl w:val="0"/>
              </w:rPr>
              <w:t xml:space="preserve">Current Liabilities ($m)</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04">
            <w:pPr>
              <w:jc w:val="center"/>
              <w:rPr>
                <w:rFonts w:ascii="Calibri" w:cs="Calibri" w:eastAsia="Calibri" w:hAnsi="Calibri"/>
                <w:sz w:val="22"/>
                <w:szCs w:val="22"/>
              </w:rPr>
            </w:pPr>
            <w:r w:rsidDel="00000000" w:rsidR="00000000" w:rsidRPr="00000000">
              <w:rPr>
                <w:rtl w:val="0"/>
              </w:rPr>
              <w:t xml:space="preserve">C</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05">
            <w:pPr>
              <w:jc w:val="center"/>
              <w:rPr>
                <w:rFonts w:ascii="Calibri" w:cs="Calibri" w:eastAsia="Calibri" w:hAnsi="Calibri"/>
                <w:sz w:val="22"/>
                <w:szCs w:val="22"/>
              </w:rPr>
            </w:pPr>
            <w:r w:rsidDel="00000000" w:rsidR="00000000" w:rsidRPr="00000000">
              <w:rPr>
                <w:rtl w:val="0"/>
              </w:rPr>
              <w:t xml:space="preserve">6,407.00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06">
            <w:pPr>
              <w:jc w:val="center"/>
              <w:rPr>
                <w:rFonts w:ascii="Calibri" w:cs="Calibri" w:eastAsia="Calibri" w:hAnsi="Calibri"/>
                <w:sz w:val="22"/>
                <w:szCs w:val="22"/>
              </w:rPr>
            </w:pPr>
            <w:r w:rsidDel="00000000" w:rsidR="00000000" w:rsidRPr="00000000">
              <w:rPr>
                <w:rtl w:val="0"/>
              </w:rPr>
              <w:t xml:space="preserve">7,339.00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07">
            <w:pPr>
              <w:jc w:val="center"/>
              <w:rPr>
                <w:rFonts w:ascii="Calibri" w:cs="Calibri" w:eastAsia="Calibri" w:hAnsi="Calibri"/>
                <w:sz w:val="22"/>
                <w:szCs w:val="22"/>
              </w:rPr>
            </w:pPr>
            <w:r w:rsidDel="00000000" w:rsidR="00000000" w:rsidRPr="00000000">
              <w:rPr>
                <w:rtl w:val="0"/>
              </w:rPr>
              <w:t xml:space="preserve">7,762.00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08">
            <w:pPr>
              <w:jc w:val="center"/>
              <w:rPr>
                <w:rFonts w:ascii="Calibri" w:cs="Calibri" w:eastAsia="Calibri" w:hAnsi="Calibri"/>
                <w:sz w:val="22"/>
                <w:szCs w:val="22"/>
              </w:rPr>
            </w:pPr>
            <w:r w:rsidDel="00000000" w:rsidR="00000000" w:rsidRPr="00000000">
              <w:rPr>
                <w:rtl w:val="0"/>
              </w:rPr>
              <w:t xml:space="preserve">8,649.00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09">
            <w:pPr>
              <w:jc w:val="center"/>
              <w:rPr>
                <w:rFonts w:ascii="Calibri" w:cs="Calibri" w:eastAsia="Calibri" w:hAnsi="Calibri"/>
                <w:sz w:val="22"/>
                <w:szCs w:val="22"/>
              </w:rPr>
            </w:pPr>
            <w:r w:rsidDel="00000000" w:rsidR="00000000" w:rsidRPr="00000000">
              <w:rPr>
                <w:rtl w:val="0"/>
              </w:rPr>
              <w:t xml:space="preserve">8,398.00</w:t>
            </w:r>
            <w:r w:rsidDel="00000000" w:rsidR="00000000" w:rsidRPr="00000000">
              <w:rPr>
                <w:rtl w:val="0"/>
              </w:rPr>
            </w:r>
          </w:p>
        </w:tc>
      </w:tr>
      <w:tr>
        <w:trPr>
          <w:cantSplit w:val="0"/>
          <w:trHeight w:val="300" w:hRule="atLeast"/>
          <w:tblHeader w:val="0"/>
        </w:trPr>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0A">
            <w:pPr>
              <w:jc w:val="center"/>
              <w:rPr>
                <w:rFonts w:ascii="Calibri" w:cs="Calibri" w:eastAsia="Calibri" w:hAnsi="Calibri"/>
                <w:sz w:val="22"/>
                <w:szCs w:val="22"/>
              </w:rPr>
            </w:pPr>
            <w:r w:rsidDel="00000000" w:rsidR="00000000" w:rsidRPr="00000000">
              <w:rPr>
                <w:rtl w:val="0"/>
              </w:rPr>
              <w:t xml:space="preserve">Cash ($m)</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0B">
            <w:pPr>
              <w:jc w:val="center"/>
              <w:rPr>
                <w:rFonts w:ascii="Calibri" w:cs="Calibri" w:eastAsia="Calibri" w:hAnsi="Calibri"/>
                <w:sz w:val="22"/>
                <w:szCs w:val="22"/>
              </w:rPr>
            </w:pPr>
            <w:r w:rsidDel="00000000" w:rsidR="00000000" w:rsidRPr="00000000">
              <w:rPr>
                <w:rtl w:val="0"/>
              </w:rPr>
              <w:t xml:space="preserve">D</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0C">
            <w:pPr>
              <w:jc w:val="center"/>
              <w:rPr>
                <w:rFonts w:ascii="Calibri" w:cs="Calibri" w:eastAsia="Calibri" w:hAnsi="Calibri"/>
                <w:sz w:val="22"/>
                <w:szCs w:val="22"/>
              </w:rPr>
            </w:pPr>
            <w:r w:rsidDel="00000000" w:rsidR="00000000" w:rsidRPr="00000000">
              <w:rPr>
                <w:rtl w:val="0"/>
              </w:rPr>
              <w:t xml:space="preserve">1,393.00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0D">
            <w:pPr>
              <w:jc w:val="center"/>
              <w:rPr>
                <w:rFonts w:ascii="Calibri" w:cs="Calibri" w:eastAsia="Calibri" w:hAnsi="Calibri"/>
                <w:sz w:val="22"/>
                <w:szCs w:val="22"/>
              </w:rPr>
            </w:pPr>
            <w:r w:rsidDel="00000000" w:rsidR="00000000" w:rsidRPr="00000000">
              <w:rPr>
                <w:rtl w:val="0"/>
              </w:rPr>
              <w:t xml:space="preserve">507.00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0E">
            <w:pPr>
              <w:jc w:val="center"/>
              <w:rPr>
                <w:rFonts w:ascii="Calibri" w:cs="Calibri" w:eastAsia="Calibri" w:hAnsi="Calibri"/>
                <w:sz w:val="22"/>
                <w:szCs w:val="22"/>
              </w:rPr>
            </w:pPr>
            <w:r w:rsidDel="00000000" w:rsidR="00000000" w:rsidRPr="00000000">
              <w:rPr>
                <w:rtl w:val="0"/>
              </w:rPr>
              <w:t xml:space="preserve">338.00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0F">
            <w:pPr>
              <w:jc w:val="center"/>
              <w:rPr>
                <w:rFonts w:ascii="Calibri" w:cs="Calibri" w:eastAsia="Calibri" w:hAnsi="Calibri"/>
                <w:sz w:val="22"/>
                <w:szCs w:val="22"/>
              </w:rPr>
            </w:pPr>
            <w:r w:rsidDel="00000000" w:rsidR="00000000" w:rsidRPr="00000000">
              <w:rPr>
                <w:rtl w:val="0"/>
              </w:rPr>
              <w:t xml:space="preserve">396.00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10">
            <w:pPr>
              <w:jc w:val="center"/>
              <w:rPr>
                <w:rFonts w:ascii="Calibri" w:cs="Calibri" w:eastAsia="Calibri" w:hAnsi="Calibri"/>
                <w:sz w:val="22"/>
                <w:szCs w:val="22"/>
              </w:rPr>
            </w:pPr>
            <w:r w:rsidDel="00000000" w:rsidR="00000000" w:rsidRPr="00000000">
              <w:rPr>
                <w:rtl w:val="0"/>
              </w:rPr>
              <w:t xml:space="preserve">358.00</w:t>
            </w:r>
            <w:r w:rsidDel="00000000" w:rsidR="00000000" w:rsidRPr="00000000">
              <w:rPr>
                <w:rtl w:val="0"/>
              </w:rPr>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11">
            <w:pPr>
              <w:jc w:val="center"/>
              <w:rPr>
                <w:rFonts w:ascii="Calibri" w:cs="Calibri" w:eastAsia="Calibri" w:hAnsi="Calibri"/>
                <w:sz w:val="22"/>
                <w:szCs w:val="22"/>
              </w:rPr>
            </w:pPr>
            <w:r w:rsidDel="00000000" w:rsidR="00000000" w:rsidRPr="00000000">
              <w:rPr>
                <w:b w:val="1"/>
                <w:rtl w:val="0"/>
              </w:rPr>
              <w:t xml:space="preserve">Current Ratio</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12">
            <w:pPr>
              <w:jc w:val="center"/>
              <w:rPr>
                <w:rFonts w:ascii="Calibri" w:cs="Calibri" w:eastAsia="Calibri" w:hAnsi="Calibri"/>
                <w:sz w:val="22"/>
                <w:szCs w:val="22"/>
              </w:rPr>
            </w:pPr>
            <w:r w:rsidDel="00000000" w:rsidR="00000000" w:rsidRPr="00000000">
              <w:rPr>
                <w:b w:val="1"/>
                <w:rtl w:val="0"/>
              </w:rPr>
              <w:t xml:space="preserve">A/C</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13">
            <w:pPr>
              <w:jc w:val="center"/>
              <w:rPr>
                <w:rFonts w:ascii="Calibri" w:cs="Calibri" w:eastAsia="Calibri" w:hAnsi="Calibri"/>
                <w:sz w:val="22"/>
                <w:szCs w:val="22"/>
              </w:rPr>
            </w:pPr>
            <w:r w:rsidDel="00000000" w:rsidR="00000000" w:rsidRPr="00000000">
              <w:rPr>
                <w:b w:val="1"/>
                <w:rtl w:val="0"/>
              </w:rPr>
              <w:t xml:space="preserve">0.57</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14">
            <w:pPr>
              <w:jc w:val="center"/>
              <w:rPr>
                <w:rFonts w:ascii="Calibri" w:cs="Calibri" w:eastAsia="Calibri" w:hAnsi="Calibri"/>
                <w:sz w:val="22"/>
                <w:szCs w:val="22"/>
              </w:rPr>
            </w:pPr>
            <w:r w:rsidDel="00000000" w:rsidR="00000000" w:rsidRPr="00000000">
              <w:rPr>
                <w:b w:val="1"/>
                <w:rtl w:val="0"/>
              </w:rPr>
              <w:t xml:space="preserve">0.45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15">
            <w:pPr>
              <w:jc w:val="center"/>
              <w:rPr>
                <w:rFonts w:ascii="Calibri" w:cs="Calibri" w:eastAsia="Calibri" w:hAnsi="Calibri"/>
                <w:sz w:val="22"/>
                <w:szCs w:val="22"/>
              </w:rPr>
            </w:pPr>
            <w:r w:rsidDel="00000000" w:rsidR="00000000" w:rsidRPr="00000000">
              <w:rPr>
                <w:b w:val="1"/>
                <w:rtl w:val="0"/>
              </w:rPr>
              <w:t xml:space="preserve">0.43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16">
            <w:pPr>
              <w:jc w:val="center"/>
              <w:rPr>
                <w:rFonts w:ascii="Calibri" w:cs="Calibri" w:eastAsia="Calibri" w:hAnsi="Calibri"/>
                <w:sz w:val="22"/>
                <w:szCs w:val="22"/>
              </w:rPr>
            </w:pPr>
            <w:r w:rsidDel="00000000" w:rsidR="00000000" w:rsidRPr="00000000">
              <w:rPr>
                <w:b w:val="1"/>
                <w:rtl w:val="0"/>
              </w:rPr>
              <w:t xml:space="preserve">0.40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17">
            <w:pPr>
              <w:jc w:val="center"/>
              <w:rPr>
                <w:rFonts w:ascii="Calibri" w:cs="Calibri" w:eastAsia="Calibri" w:hAnsi="Calibri"/>
                <w:sz w:val="22"/>
                <w:szCs w:val="22"/>
              </w:rPr>
            </w:pPr>
            <w:r w:rsidDel="00000000" w:rsidR="00000000" w:rsidRPr="00000000">
              <w:rPr>
                <w:b w:val="1"/>
                <w:rtl w:val="0"/>
              </w:rPr>
              <w:t xml:space="preserve">0.43</w:t>
            </w:r>
            <w:r w:rsidDel="00000000" w:rsidR="00000000" w:rsidRPr="00000000">
              <w:rPr>
                <w:rtl w:val="0"/>
              </w:rPr>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18">
            <w:pPr>
              <w:jc w:val="center"/>
              <w:rPr>
                <w:rFonts w:ascii="Calibri" w:cs="Calibri" w:eastAsia="Calibri" w:hAnsi="Calibri"/>
                <w:sz w:val="22"/>
                <w:szCs w:val="22"/>
              </w:rPr>
            </w:pPr>
            <w:r w:rsidDel="00000000" w:rsidR="00000000" w:rsidRPr="00000000">
              <w:rPr>
                <w:b w:val="1"/>
                <w:rtl w:val="0"/>
              </w:rPr>
              <w:t xml:space="preserve">Quick Ratio</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19">
            <w:pPr>
              <w:jc w:val="center"/>
              <w:rPr>
                <w:rFonts w:ascii="Calibri" w:cs="Calibri" w:eastAsia="Calibri" w:hAnsi="Calibri"/>
                <w:sz w:val="22"/>
                <w:szCs w:val="22"/>
              </w:rPr>
            </w:pPr>
            <w:r w:rsidDel="00000000" w:rsidR="00000000" w:rsidRPr="00000000">
              <w:rPr>
                <w:b w:val="1"/>
                <w:rtl w:val="0"/>
              </w:rPr>
              <w:t xml:space="preserve">(A-B)/C</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1A">
            <w:pPr>
              <w:jc w:val="center"/>
              <w:rPr>
                <w:rFonts w:ascii="Calibri" w:cs="Calibri" w:eastAsia="Calibri" w:hAnsi="Calibri"/>
                <w:sz w:val="22"/>
                <w:szCs w:val="22"/>
              </w:rPr>
            </w:pPr>
            <w:r w:rsidDel="00000000" w:rsidR="00000000" w:rsidRPr="00000000">
              <w:rPr>
                <w:b w:val="1"/>
                <w:rtl w:val="0"/>
              </w:rPr>
              <w:t xml:space="preserve">0.57</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1B">
            <w:pPr>
              <w:jc w:val="center"/>
              <w:rPr>
                <w:rFonts w:ascii="Calibri" w:cs="Calibri" w:eastAsia="Calibri" w:hAnsi="Calibri"/>
                <w:sz w:val="22"/>
                <w:szCs w:val="22"/>
              </w:rPr>
            </w:pPr>
            <w:r w:rsidDel="00000000" w:rsidR="00000000" w:rsidRPr="00000000">
              <w:rPr>
                <w:b w:val="1"/>
                <w:rtl w:val="0"/>
              </w:rPr>
              <w:t xml:space="preserve">0.45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1C">
            <w:pPr>
              <w:jc w:val="center"/>
              <w:rPr>
                <w:rFonts w:ascii="Calibri" w:cs="Calibri" w:eastAsia="Calibri" w:hAnsi="Calibri"/>
                <w:sz w:val="22"/>
                <w:szCs w:val="22"/>
              </w:rPr>
            </w:pPr>
            <w:r w:rsidDel="00000000" w:rsidR="00000000" w:rsidRPr="00000000">
              <w:rPr>
                <w:b w:val="1"/>
                <w:rtl w:val="0"/>
              </w:rPr>
              <w:t xml:space="preserve">0.43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1D">
            <w:pPr>
              <w:jc w:val="center"/>
              <w:rPr>
                <w:rFonts w:ascii="Calibri" w:cs="Calibri" w:eastAsia="Calibri" w:hAnsi="Calibri"/>
                <w:sz w:val="22"/>
                <w:szCs w:val="22"/>
              </w:rPr>
            </w:pPr>
            <w:r w:rsidDel="00000000" w:rsidR="00000000" w:rsidRPr="00000000">
              <w:rPr>
                <w:b w:val="1"/>
                <w:rtl w:val="0"/>
              </w:rPr>
              <w:t xml:space="preserve">0.40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1E">
            <w:pPr>
              <w:jc w:val="center"/>
              <w:rPr>
                <w:rFonts w:ascii="Calibri" w:cs="Calibri" w:eastAsia="Calibri" w:hAnsi="Calibri"/>
                <w:sz w:val="22"/>
                <w:szCs w:val="22"/>
              </w:rPr>
            </w:pPr>
            <w:r w:rsidDel="00000000" w:rsidR="00000000" w:rsidRPr="00000000">
              <w:rPr>
                <w:b w:val="1"/>
                <w:rtl w:val="0"/>
              </w:rPr>
              <w:t xml:space="preserve">0.43</w:t>
            </w:r>
            <w:r w:rsidDel="00000000" w:rsidR="00000000" w:rsidRPr="00000000">
              <w:rPr>
                <w:rtl w:val="0"/>
              </w:rPr>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1F">
            <w:pPr>
              <w:jc w:val="center"/>
              <w:rPr>
                <w:rFonts w:ascii="Calibri" w:cs="Calibri" w:eastAsia="Calibri" w:hAnsi="Calibri"/>
                <w:sz w:val="22"/>
                <w:szCs w:val="22"/>
              </w:rPr>
            </w:pPr>
            <w:r w:rsidDel="00000000" w:rsidR="00000000" w:rsidRPr="00000000">
              <w:rPr>
                <w:b w:val="1"/>
                <w:rtl w:val="0"/>
              </w:rPr>
              <w:t xml:space="preserve">Cash Ratio</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20">
            <w:pPr>
              <w:jc w:val="center"/>
              <w:rPr>
                <w:rFonts w:ascii="Calibri" w:cs="Calibri" w:eastAsia="Calibri" w:hAnsi="Calibri"/>
                <w:sz w:val="22"/>
                <w:szCs w:val="22"/>
              </w:rPr>
            </w:pPr>
            <w:r w:rsidDel="00000000" w:rsidR="00000000" w:rsidRPr="00000000">
              <w:rPr>
                <w:b w:val="1"/>
                <w:rtl w:val="0"/>
              </w:rPr>
              <w:t xml:space="preserve">D/C</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21">
            <w:pPr>
              <w:jc w:val="center"/>
              <w:rPr>
                <w:rFonts w:ascii="Calibri" w:cs="Calibri" w:eastAsia="Calibri" w:hAnsi="Calibri"/>
                <w:sz w:val="22"/>
                <w:szCs w:val="22"/>
              </w:rPr>
            </w:pPr>
            <w:r w:rsidDel="00000000" w:rsidR="00000000" w:rsidRPr="00000000">
              <w:rPr>
                <w:b w:val="1"/>
                <w:rtl w:val="0"/>
              </w:rPr>
              <w:t xml:space="preserve">0.22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22">
            <w:pPr>
              <w:jc w:val="center"/>
              <w:rPr>
                <w:rFonts w:ascii="Calibri" w:cs="Calibri" w:eastAsia="Calibri" w:hAnsi="Calibri"/>
                <w:sz w:val="22"/>
                <w:szCs w:val="22"/>
              </w:rPr>
            </w:pPr>
            <w:r w:rsidDel="00000000" w:rsidR="00000000" w:rsidRPr="00000000">
              <w:rPr>
                <w:b w:val="1"/>
                <w:rtl w:val="0"/>
              </w:rPr>
              <w:t xml:space="preserve">0.07</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23">
            <w:pPr>
              <w:jc w:val="center"/>
              <w:rPr>
                <w:rFonts w:ascii="Calibri" w:cs="Calibri" w:eastAsia="Calibri" w:hAnsi="Calibri"/>
                <w:sz w:val="22"/>
                <w:szCs w:val="22"/>
              </w:rPr>
            </w:pPr>
            <w:r w:rsidDel="00000000" w:rsidR="00000000" w:rsidRPr="00000000">
              <w:rPr>
                <w:b w:val="1"/>
                <w:rtl w:val="0"/>
              </w:rPr>
              <w:t xml:space="preserve">0.04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24">
            <w:pPr>
              <w:jc w:val="center"/>
              <w:rPr>
                <w:rFonts w:ascii="Calibri" w:cs="Calibri" w:eastAsia="Calibri" w:hAnsi="Calibri"/>
                <w:sz w:val="22"/>
                <w:szCs w:val="22"/>
              </w:rPr>
            </w:pPr>
            <w:r w:rsidDel="00000000" w:rsidR="00000000" w:rsidRPr="00000000">
              <w:rPr>
                <w:b w:val="1"/>
                <w:rtl w:val="0"/>
              </w:rPr>
              <w:t xml:space="preserve">0.05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25">
            <w:pPr>
              <w:jc w:val="center"/>
              <w:rPr>
                <w:rFonts w:ascii="Calibri" w:cs="Calibri" w:eastAsia="Calibri" w:hAnsi="Calibri"/>
                <w:sz w:val="22"/>
                <w:szCs w:val="22"/>
              </w:rPr>
            </w:pPr>
            <w:r w:rsidDel="00000000" w:rsidR="00000000" w:rsidRPr="00000000">
              <w:rPr>
                <w:b w:val="1"/>
                <w:rtl w:val="0"/>
              </w:rPr>
              <w:t xml:space="preserve">0.04</w:t>
            </w:r>
            <w:r w:rsidDel="00000000" w:rsidR="00000000" w:rsidRPr="00000000">
              <w:rPr>
                <w:rtl w:val="0"/>
              </w:rPr>
            </w:r>
          </w:p>
        </w:tc>
      </w:tr>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226">
            <w:pPr>
              <w:rPr>
                <w:rFonts w:ascii="Calibri" w:cs="Calibri" w:eastAsia="Calibri" w:hAnsi="Calibri"/>
                <w:sz w:val="22"/>
                <w:szCs w:val="22"/>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227">
            <w:pPr>
              <w:rPr>
                <w:rFonts w:ascii="Calibri" w:cs="Calibri" w:eastAsia="Calibri" w:hAnsi="Calibri"/>
                <w:sz w:val="22"/>
                <w:szCs w:val="22"/>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228">
            <w:pPr>
              <w:rPr>
                <w:rFonts w:ascii="Calibri" w:cs="Calibri" w:eastAsia="Calibri" w:hAnsi="Calibri"/>
                <w:sz w:val="22"/>
                <w:szCs w:val="22"/>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229">
            <w:pPr>
              <w:rPr>
                <w:rFonts w:ascii="Calibri" w:cs="Calibri" w:eastAsia="Calibri" w:hAnsi="Calibri"/>
                <w:sz w:val="22"/>
                <w:szCs w:val="22"/>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22A">
            <w:pPr>
              <w:rPr>
                <w:rFonts w:ascii="Calibri" w:cs="Calibri" w:eastAsia="Calibri" w:hAnsi="Calibri"/>
                <w:sz w:val="22"/>
                <w:szCs w:val="22"/>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22B">
            <w:pPr>
              <w:rPr>
                <w:rFonts w:ascii="Calibri" w:cs="Calibri" w:eastAsia="Calibri" w:hAnsi="Calibri"/>
                <w:sz w:val="22"/>
                <w:szCs w:val="22"/>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22C">
            <w:pPr>
              <w:rPr>
                <w:rFonts w:ascii="Calibri" w:cs="Calibri" w:eastAsia="Calibri" w:hAnsi="Calibri"/>
                <w:sz w:val="22"/>
                <w:szCs w:val="22"/>
              </w:rPr>
            </w:pPr>
            <w:r w:rsidDel="00000000" w:rsidR="00000000" w:rsidRPr="00000000">
              <w:rPr>
                <w:rtl w:val="0"/>
              </w:rPr>
            </w:r>
          </w:p>
        </w:tc>
      </w:tr>
      <w:tr>
        <w:trPr>
          <w:cantSplit w:val="0"/>
          <w:trHeight w:val="315" w:hRule="atLeast"/>
          <w:tblHeader w:val="0"/>
        </w:trPr>
        <w:tc>
          <w:tcPr>
            <w:gridSpan w:val="7"/>
            <w:tcBorders>
              <w:top w:color="cccccc" w:space="0" w:sz="6" w:val="single"/>
              <w:left w:color="cccccc" w:space="0" w:sz="6" w:val="single"/>
              <w:bottom w:color="000000"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22D">
            <w:pPr>
              <w:jc w:val="center"/>
              <w:rPr>
                <w:rFonts w:ascii="Calibri" w:cs="Calibri" w:eastAsia="Calibri" w:hAnsi="Calibri"/>
                <w:sz w:val="22"/>
                <w:szCs w:val="22"/>
              </w:rPr>
            </w:pPr>
            <w:r w:rsidDel="00000000" w:rsidR="00000000" w:rsidRPr="00000000">
              <w:rPr>
                <w:b w:val="1"/>
                <w:rtl w:val="0"/>
              </w:rPr>
              <w:t xml:space="preserve">Gearing Ratios:-</w:t>
            </w:r>
            <w:r w:rsidDel="00000000" w:rsidR="00000000" w:rsidRPr="00000000">
              <w:rPr>
                <w:rtl w:val="0"/>
              </w:rPr>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34">
            <w:pPr>
              <w:jc w:val="center"/>
              <w:rPr>
                <w:rFonts w:ascii="Calibri" w:cs="Calibri" w:eastAsia="Calibri" w:hAnsi="Calibri"/>
                <w:sz w:val="22"/>
                <w:szCs w:val="22"/>
              </w:rPr>
            </w:pPr>
            <w:r w:rsidDel="00000000" w:rsidR="00000000" w:rsidRPr="00000000">
              <w:rPr>
                <w:b w:val="1"/>
                <w:rtl w:val="0"/>
              </w:rPr>
              <w:t xml:space="preserve">Particulars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35">
            <w:pPr>
              <w:jc w:val="center"/>
              <w:rPr>
                <w:rFonts w:ascii="Calibri" w:cs="Calibri" w:eastAsia="Calibri" w:hAnsi="Calibri"/>
                <w:sz w:val="22"/>
                <w:szCs w:val="22"/>
              </w:rPr>
            </w:pPr>
            <w:r w:rsidDel="00000000" w:rsidR="00000000" w:rsidRPr="00000000">
              <w:rPr>
                <w:b w:val="1"/>
                <w:rtl w:val="0"/>
              </w:rPr>
              <w:t xml:space="preserve">Details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36">
            <w:pPr>
              <w:jc w:val="center"/>
              <w:rPr>
                <w:rFonts w:ascii="Calibri" w:cs="Calibri" w:eastAsia="Calibri" w:hAnsi="Calibri"/>
                <w:sz w:val="22"/>
                <w:szCs w:val="22"/>
              </w:rPr>
            </w:pPr>
            <w:r w:rsidDel="00000000" w:rsidR="00000000" w:rsidRPr="00000000">
              <w:rPr>
                <w:b w:val="1"/>
                <w:rtl w:val="0"/>
              </w:rPr>
              <w:t xml:space="preserve">2021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37">
            <w:pPr>
              <w:jc w:val="center"/>
              <w:rPr>
                <w:rFonts w:ascii="Calibri" w:cs="Calibri" w:eastAsia="Calibri" w:hAnsi="Calibri"/>
                <w:sz w:val="22"/>
                <w:szCs w:val="22"/>
              </w:rPr>
            </w:pPr>
            <w:r w:rsidDel="00000000" w:rsidR="00000000" w:rsidRPr="00000000">
              <w:rPr>
                <w:b w:val="1"/>
                <w:rtl w:val="0"/>
              </w:rPr>
              <w:t xml:space="preserve">2022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38">
            <w:pPr>
              <w:jc w:val="center"/>
              <w:rPr>
                <w:rFonts w:ascii="Calibri" w:cs="Calibri" w:eastAsia="Calibri" w:hAnsi="Calibri"/>
                <w:sz w:val="22"/>
                <w:szCs w:val="22"/>
              </w:rPr>
            </w:pPr>
            <w:r w:rsidDel="00000000" w:rsidR="00000000" w:rsidRPr="00000000">
              <w:rPr>
                <w:b w:val="1"/>
                <w:rtl w:val="0"/>
              </w:rPr>
              <w:t xml:space="preserve">2023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39">
            <w:pPr>
              <w:jc w:val="center"/>
              <w:rPr>
                <w:rFonts w:ascii="Calibri" w:cs="Calibri" w:eastAsia="Calibri" w:hAnsi="Calibri"/>
                <w:sz w:val="22"/>
                <w:szCs w:val="22"/>
              </w:rPr>
            </w:pPr>
            <w:r w:rsidDel="00000000" w:rsidR="00000000" w:rsidRPr="00000000">
              <w:rPr>
                <w:b w:val="1"/>
                <w:rtl w:val="0"/>
              </w:rPr>
              <w:t xml:space="preserve">2024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3A">
            <w:pPr>
              <w:jc w:val="center"/>
              <w:rPr>
                <w:rFonts w:ascii="Calibri" w:cs="Calibri" w:eastAsia="Calibri" w:hAnsi="Calibri"/>
                <w:sz w:val="22"/>
                <w:szCs w:val="22"/>
              </w:rPr>
            </w:pPr>
            <w:r w:rsidDel="00000000" w:rsidR="00000000" w:rsidRPr="00000000">
              <w:rPr>
                <w:b w:val="1"/>
                <w:rtl w:val="0"/>
              </w:rPr>
              <w:t xml:space="preserve">2025</w:t>
            </w:r>
            <w:r w:rsidDel="00000000" w:rsidR="00000000" w:rsidRPr="00000000">
              <w:rPr>
                <w:rtl w:val="0"/>
              </w:rPr>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3B">
            <w:pPr>
              <w:jc w:val="center"/>
              <w:rPr>
                <w:rFonts w:ascii="Calibri" w:cs="Calibri" w:eastAsia="Calibri" w:hAnsi="Calibri"/>
                <w:sz w:val="22"/>
                <w:szCs w:val="22"/>
              </w:rPr>
            </w:pPr>
            <w:r w:rsidDel="00000000" w:rsidR="00000000" w:rsidRPr="00000000">
              <w:rPr>
                <w:rtl w:val="0"/>
              </w:rPr>
              <w:t xml:space="preserve">Total Liabilities ($m)</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3C">
            <w:pPr>
              <w:jc w:val="center"/>
              <w:rPr>
                <w:rFonts w:ascii="Calibri" w:cs="Calibri" w:eastAsia="Calibri" w:hAnsi="Calibri"/>
                <w:sz w:val="22"/>
                <w:szCs w:val="22"/>
              </w:rPr>
            </w:pPr>
            <w:r w:rsidDel="00000000" w:rsidR="00000000" w:rsidRPr="00000000">
              <w:rPr>
                <w:rtl w:val="0"/>
              </w:rPr>
              <w:t xml:space="preserve">A</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3D">
            <w:pPr>
              <w:jc w:val="center"/>
              <w:rPr>
                <w:rFonts w:ascii="Calibri" w:cs="Calibri" w:eastAsia="Calibri" w:hAnsi="Calibri"/>
                <w:sz w:val="22"/>
                <w:szCs w:val="22"/>
              </w:rPr>
            </w:pPr>
            <w:r w:rsidDel="00000000" w:rsidR="00000000" w:rsidRPr="00000000">
              <w:rPr>
                <w:rtl w:val="0"/>
              </w:rPr>
              <w:t xml:space="preserve">14,446.00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3E">
            <w:pPr>
              <w:jc w:val="center"/>
              <w:rPr>
                <w:rFonts w:ascii="Calibri" w:cs="Calibri" w:eastAsia="Calibri" w:hAnsi="Calibri"/>
                <w:sz w:val="22"/>
                <w:szCs w:val="22"/>
              </w:rPr>
            </w:pPr>
            <w:r w:rsidDel="00000000" w:rsidR="00000000" w:rsidRPr="00000000">
              <w:rPr>
                <w:rtl w:val="0"/>
              </w:rPr>
              <w:t xml:space="preserve">17,015.00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3F">
            <w:pPr>
              <w:jc w:val="center"/>
              <w:rPr>
                <w:rFonts w:ascii="Calibri" w:cs="Calibri" w:eastAsia="Calibri" w:hAnsi="Calibri"/>
                <w:sz w:val="22"/>
                <w:szCs w:val="22"/>
              </w:rPr>
            </w:pPr>
            <w:r w:rsidDel="00000000" w:rsidR="00000000" w:rsidRPr="00000000">
              <w:rPr>
                <w:rtl w:val="0"/>
              </w:rPr>
              <w:t xml:space="preserve">20,929.00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40">
            <w:pPr>
              <w:jc w:val="center"/>
              <w:rPr>
                <w:rFonts w:ascii="Calibri" w:cs="Calibri" w:eastAsia="Calibri" w:hAnsi="Calibri"/>
                <w:sz w:val="22"/>
                <w:szCs w:val="22"/>
              </w:rPr>
            </w:pPr>
            <w:r w:rsidDel="00000000" w:rsidR="00000000" w:rsidRPr="00000000">
              <w:rPr>
                <w:rtl w:val="0"/>
              </w:rPr>
              <w:t xml:space="preserve">26,182.00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41">
            <w:pPr>
              <w:jc w:val="center"/>
              <w:rPr>
                <w:rFonts w:ascii="Calibri" w:cs="Calibri" w:eastAsia="Calibri" w:hAnsi="Calibri"/>
                <w:sz w:val="22"/>
                <w:szCs w:val="22"/>
              </w:rPr>
            </w:pPr>
            <w:r w:rsidDel="00000000" w:rsidR="00000000" w:rsidRPr="00000000">
              <w:rPr>
                <w:rtl w:val="0"/>
              </w:rPr>
              <w:t xml:space="preserve">27,540.00</w:t>
            </w:r>
            <w:r w:rsidDel="00000000" w:rsidR="00000000" w:rsidRPr="00000000">
              <w:rPr>
                <w:rtl w:val="0"/>
              </w:rPr>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42">
            <w:pPr>
              <w:jc w:val="center"/>
              <w:rPr>
                <w:rFonts w:ascii="Calibri" w:cs="Calibri" w:eastAsia="Calibri" w:hAnsi="Calibri"/>
                <w:sz w:val="22"/>
                <w:szCs w:val="22"/>
              </w:rPr>
            </w:pPr>
            <w:r w:rsidDel="00000000" w:rsidR="00000000" w:rsidRPr="00000000">
              <w:rPr>
                <w:rtl w:val="0"/>
              </w:rPr>
              <w:t xml:space="preserve">Total Equity ($m)</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43">
            <w:pPr>
              <w:jc w:val="center"/>
              <w:rPr>
                <w:rFonts w:ascii="Calibri" w:cs="Calibri" w:eastAsia="Calibri" w:hAnsi="Calibri"/>
                <w:sz w:val="22"/>
                <w:szCs w:val="22"/>
              </w:rPr>
            </w:pPr>
            <w:r w:rsidDel="00000000" w:rsidR="00000000" w:rsidRPr="00000000">
              <w:rPr>
                <w:rtl w:val="0"/>
              </w:rPr>
              <w:t xml:space="preserve">B</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44">
            <w:pPr>
              <w:jc w:val="center"/>
              <w:rPr>
                <w:rFonts w:ascii="Calibri" w:cs="Calibri" w:eastAsia="Calibri" w:hAnsi="Calibri"/>
                <w:sz w:val="22"/>
                <w:szCs w:val="22"/>
              </w:rPr>
            </w:pPr>
            <w:r w:rsidDel="00000000" w:rsidR="00000000" w:rsidRPr="00000000">
              <w:rPr>
                <w:rtl w:val="0"/>
              </w:rPr>
              <w:t xml:space="preserve">2,425.00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45">
            <w:pPr>
              <w:jc w:val="center"/>
              <w:rPr>
                <w:rFonts w:ascii="Calibri" w:cs="Calibri" w:eastAsia="Calibri" w:hAnsi="Calibri"/>
                <w:sz w:val="22"/>
                <w:szCs w:val="22"/>
              </w:rPr>
            </w:pPr>
            <w:r w:rsidDel="00000000" w:rsidR="00000000" w:rsidRPr="00000000">
              <w:rPr>
                <w:rtl w:val="0"/>
              </w:rPr>
              <w:t xml:space="preserve">2,298.00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46">
            <w:pPr>
              <w:jc w:val="center"/>
              <w:rPr>
                <w:rFonts w:ascii="Calibri" w:cs="Calibri" w:eastAsia="Calibri" w:hAnsi="Calibri"/>
                <w:sz w:val="22"/>
                <w:szCs w:val="22"/>
              </w:rPr>
            </w:pPr>
            <w:r w:rsidDel="00000000" w:rsidR="00000000" w:rsidRPr="00000000">
              <w:rPr>
                <w:rtl w:val="0"/>
              </w:rPr>
              <w:t xml:space="preserve">2,706.00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47">
            <w:pPr>
              <w:jc w:val="center"/>
              <w:rPr>
                <w:rFonts w:ascii="Calibri" w:cs="Calibri" w:eastAsia="Calibri" w:hAnsi="Calibri"/>
                <w:sz w:val="22"/>
                <w:szCs w:val="22"/>
              </w:rPr>
            </w:pPr>
            <w:r w:rsidDel="00000000" w:rsidR="00000000" w:rsidRPr="00000000">
              <w:rPr>
                <w:rtl w:val="0"/>
              </w:rPr>
              <w:t xml:space="preserve">2,645.00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48">
            <w:pPr>
              <w:jc w:val="center"/>
              <w:rPr>
                <w:rFonts w:ascii="Calibri" w:cs="Calibri" w:eastAsia="Calibri" w:hAnsi="Calibri"/>
                <w:sz w:val="22"/>
                <w:szCs w:val="22"/>
              </w:rPr>
            </w:pPr>
            <w:r w:rsidDel="00000000" w:rsidR="00000000" w:rsidRPr="00000000">
              <w:rPr>
                <w:rtl w:val="0"/>
              </w:rPr>
              <w:t xml:space="preserve">2,759.00</w:t>
            </w:r>
            <w:r w:rsidDel="00000000" w:rsidR="00000000" w:rsidRPr="00000000">
              <w:rPr>
                <w:rtl w:val="0"/>
              </w:rPr>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49">
            <w:pPr>
              <w:jc w:val="center"/>
              <w:rPr>
                <w:rFonts w:ascii="Calibri" w:cs="Calibri" w:eastAsia="Calibri" w:hAnsi="Calibri"/>
                <w:sz w:val="22"/>
                <w:szCs w:val="22"/>
              </w:rPr>
            </w:pPr>
            <w:r w:rsidDel="00000000" w:rsidR="00000000" w:rsidRPr="00000000">
              <w:rPr>
                <w:rtl w:val="0"/>
              </w:rPr>
              <w:t xml:space="preserve">Operating Profit/(Loss) ($m)</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4A">
            <w:pPr>
              <w:jc w:val="center"/>
              <w:rPr>
                <w:rFonts w:ascii="Calibri" w:cs="Calibri" w:eastAsia="Calibri" w:hAnsi="Calibri"/>
                <w:sz w:val="22"/>
                <w:szCs w:val="22"/>
              </w:rPr>
            </w:pPr>
            <w:r w:rsidDel="00000000" w:rsidR="00000000" w:rsidRPr="00000000">
              <w:rPr>
                <w:rtl w:val="0"/>
              </w:rPr>
              <w:t xml:space="preserve">C</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4B">
            <w:pPr>
              <w:jc w:val="center"/>
              <w:rPr>
                <w:rFonts w:ascii="Calibri" w:cs="Calibri" w:eastAsia="Calibri" w:hAnsi="Calibri"/>
                <w:sz w:val="22"/>
                <w:szCs w:val="22"/>
              </w:rPr>
            </w:pPr>
            <w:r w:rsidDel="00000000" w:rsidR="00000000" w:rsidRPr="00000000">
              <w:rPr>
                <w:rtl w:val="0"/>
              </w:rPr>
              <w:t xml:space="preserve">1,750.00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4C">
            <w:pPr>
              <w:jc w:val="center"/>
              <w:rPr>
                <w:rFonts w:ascii="Calibri" w:cs="Calibri" w:eastAsia="Calibri" w:hAnsi="Calibri"/>
                <w:sz w:val="22"/>
                <w:szCs w:val="22"/>
              </w:rPr>
            </w:pPr>
            <w:r w:rsidDel="00000000" w:rsidR="00000000" w:rsidRPr="00000000">
              <w:rPr>
                <w:rtl w:val="0"/>
              </w:rPr>
              <w:t xml:space="preserve">3,114.00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4D">
            <w:pPr>
              <w:jc w:val="center"/>
              <w:rPr>
                <w:rFonts w:ascii="Calibri" w:cs="Calibri" w:eastAsia="Calibri" w:hAnsi="Calibri"/>
                <w:sz w:val="22"/>
                <w:szCs w:val="22"/>
              </w:rPr>
            </w:pPr>
            <w:r w:rsidDel="00000000" w:rsidR="00000000" w:rsidRPr="00000000">
              <w:rPr>
                <w:rtl w:val="0"/>
              </w:rPr>
              <w:t xml:space="preserve">3,378.00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4E">
            <w:pPr>
              <w:jc w:val="center"/>
              <w:rPr>
                <w:rFonts w:ascii="Calibri" w:cs="Calibri" w:eastAsia="Calibri" w:hAnsi="Calibri"/>
                <w:sz w:val="22"/>
                <w:szCs w:val="22"/>
              </w:rPr>
            </w:pPr>
            <w:r w:rsidDel="00000000" w:rsidR="00000000" w:rsidRPr="00000000">
              <w:rPr>
                <w:rtl w:val="0"/>
              </w:rPr>
              <w:t xml:space="preserve">3,151.00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4F">
            <w:pPr>
              <w:jc w:val="center"/>
              <w:rPr>
                <w:rFonts w:ascii="Calibri" w:cs="Calibri" w:eastAsia="Calibri" w:hAnsi="Calibri"/>
                <w:sz w:val="22"/>
                <w:szCs w:val="22"/>
              </w:rPr>
            </w:pPr>
            <w:r w:rsidDel="00000000" w:rsidR="00000000" w:rsidRPr="00000000">
              <w:rPr>
                <w:rtl w:val="0"/>
              </w:rPr>
              <w:t xml:space="preserve">3,394.00</w:t>
            </w:r>
            <w:r w:rsidDel="00000000" w:rsidR="00000000" w:rsidRPr="00000000">
              <w:rPr>
                <w:rtl w:val="0"/>
              </w:rPr>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50">
            <w:pPr>
              <w:jc w:val="center"/>
              <w:rPr>
                <w:rFonts w:ascii="Calibri" w:cs="Calibri" w:eastAsia="Calibri" w:hAnsi="Calibri"/>
                <w:sz w:val="22"/>
                <w:szCs w:val="22"/>
              </w:rPr>
            </w:pPr>
            <w:r w:rsidDel="00000000" w:rsidR="00000000" w:rsidRPr="00000000">
              <w:rPr>
                <w:rtl w:val="0"/>
              </w:rPr>
              <w:t xml:space="preserve">Interest Expense ($m)</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51">
            <w:pPr>
              <w:jc w:val="center"/>
              <w:rPr>
                <w:rFonts w:ascii="Calibri" w:cs="Calibri" w:eastAsia="Calibri" w:hAnsi="Calibri"/>
                <w:sz w:val="22"/>
                <w:szCs w:val="22"/>
              </w:rPr>
            </w:pPr>
            <w:r w:rsidDel="00000000" w:rsidR="00000000" w:rsidRPr="00000000">
              <w:rPr>
                <w:rtl w:val="0"/>
              </w:rPr>
              <w:t xml:space="preserve">D</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52">
            <w:pPr>
              <w:jc w:val="center"/>
              <w:rPr>
                <w:rFonts w:ascii="Calibri" w:cs="Calibri" w:eastAsia="Calibri" w:hAnsi="Calibri"/>
                <w:sz w:val="22"/>
                <w:szCs w:val="22"/>
              </w:rPr>
            </w:pPr>
            <w:r w:rsidDel="00000000" w:rsidR="00000000" w:rsidRPr="00000000">
              <w:rPr>
                <w:rtl w:val="0"/>
              </w:rPr>
              <w:t xml:space="preserve">420.00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53">
            <w:pPr>
              <w:jc w:val="center"/>
              <w:rPr>
                <w:rFonts w:ascii="Calibri" w:cs="Calibri" w:eastAsia="Calibri" w:hAnsi="Calibri"/>
                <w:sz w:val="22"/>
                <w:szCs w:val="22"/>
              </w:rPr>
            </w:pPr>
            <w:r w:rsidDel="00000000" w:rsidR="00000000" w:rsidRPr="00000000">
              <w:rPr>
                <w:rtl w:val="0"/>
              </w:rPr>
              <w:t xml:space="preserve">403.00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54">
            <w:pPr>
              <w:jc w:val="center"/>
              <w:rPr>
                <w:rFonts w:ascii="Calibri" w:cs="Calibri" w:eastAsia="Calibri" w:hAnsi="Calibri"/>
                <w:sz w:val="22"/>
                <w:szCs w:val="22"/>
              </w:rPr>
            </w:pPr>
            <w:r w:rsidDel="00000000" w:rsidR="00000000" w:rsidRPr="00000000">
              <w:rPr>
                <w:rtl w:val="0"/>
              </w:rPr>
              <w:t xml:space="preserve">565.00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55">
            <w:pPr>
              <w:jc w:val="center"/>
              <w:rPr>
                <w:rFonts w:ascii="Calibri" w:cs="Calibri" w:eastAsia="Calibri" w:hAnsi="Calibri"/>
                <w:sz w:val="22"/>
                <w:szCs w:val="22"/>
              </w:rPr>
            </w:pPr>
            <w:r w:rsidDel="00000000" w:rsidR="00000000" w:rsidRPr="00000000">
              <w:rPr>
                <w:rtl w:val="0"/>
              </w:rPr>
              <w:t xml:space="preserve">695.00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56">
            <w:pPr>
              <w:jc w:val="center"/>
              <w:rPr>
                <w:rFonts w:ascii="Calibri" w:cs="Calibri" w:eastAsia="Calibri" w:hAnsi="Calibri"/>
                <w:sz w:val="22"/>
                <w:szCs w:val="22"/>
              </w:rPr>
            </w:pPr>
            <w:r w:rsidDel="00000000" w:rsidR="00000000" w:rsidRPr="00000000">
              <w:rPr>
                <w:rtl w:val="0"/>
              </w:rPr>
              <w:t xml:space="preserve">809.00</w:t>
            </w:r>
            <w:r w:rsidDel="00000000" w:rsidR="00000000" w:rsidRPr="00000000">
              <w:rPr>
                <w:rtl w:val="0"/>
              </w:rPr>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57">
            <w:pPr>
              <w:jc w:val="center"/>
              <w:rPr>
                <w:rFonts w:ascii="Calibri" w:cs="Calibri" w:eastAsia="Calibri" w:hAnsi="Calibri"/>
                <w:sz w:val="22"/>
                <w:szCs w:val="22"/>
              </w:rPr>
            </w:pPr>
            <w:r w:rsidDel="00000000" w:rsidR="00000000" w:rsidRPr="00000000">
              <w:rPr>
                <w:rtl w:val="0"/>
              </w:rPr>
              <w:t xml:space="preserve">Shareholders capital ($m)</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58">
            <w:pPr>
              <w:jc w:val="center"/>
              <w:rPr>
                <w:rFonts w:ascii="Calibri" w:cs="Calibri" w:eastAsia="Calibri" w:hAnsi="Calibri"/>
                <w:sz w:val="22"/>
                <w:szCs w:val="22"/>
              </w:rPr>
            </w:pPr>
            <w:r w:rsidDel="00000000" w:rsidR="00000000" w:rsidRPr="00000000">
              <w:rPr>
                <w:rtl w:val="0"/>
              </w:rPr>
              <w:t xml:space="preserve">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59">
            <w:pPr>
              <w:jc w:val="center"/>
              <w:rPr>
                <w:rFonts w:ascii="Calibri" w:cs="Calibri" w:eastAsia="Calibri" w:hAnsi="Calibri"/>
                <w:sz w:val="22"/>
                <w:szCs w:val="22"/>
              </w:rPr>
            </w:pPr>
            <w:r w:rsidDel="00000000" w:rsidR="00000000" w:rsidRPr="00000000">
              <w:rPr>
                <w:rtl w:val="0"/>
              </w:rPr>
              <w:t xml:space="preserve">2,425.00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5A">
            <w:pPr>
              <w:jc w:val="center"/>
              <w:rPr>
                <w:rFonts w:ascii="Calibri" w:cs="Calibri" w:eastAsia="Calibri" w:hAnsi="Calibri"/>
                <w:sz w:val="22"/>
                <w:szCs w:val="22"/>
              </w:rPr>
            </w:pPr>
            <w:r w:rsidDel="00000000" w:rsidR="00000000" w:rsidRPr="00000000">
              <w:rPr>
                <w:rtl w:val="0"/>
              </w:rPr>
              <w:t xml:space="preserve">2,298.00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5B">
            <w:pPr>
              <w:jc w:val="center"/>
              <w:rPr>
                <w:rFonts w:ascii="Calibri" w:cs="Calibri" w:eastAsia="Calibri" w:hAnsi="Calibri"/>
                <w:sz w:val="22"/>
                <w:szCs w:val="22"/>
              </w:rPr>
            </w:pPr>
            <w:r w:rsidDel="00000000" w:rsidR="00000000" w:rsidRPr="00000000">
              <w:rPr>
                <w:rtl w:val="0"/>
              </w:rPr>
              <w:t xml:space="preserve">2,706.00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5C">
            <w:pPr>
              <w:jc w:val="center"/>
              <w:rPr>
                <w:rFonts w:ascii="Calibri" w:cs="Calibri" w:eastAsia="Calibri" w:hAnsi="Calibri"/>
                <w:sz w:val="22"/>
                <w:szCs w:val="22"/>
              </w:rPr>
            </w:pPr>
            <w:r w:rsidDel="00000000" w:rsidR="00000000" w:rsidRPr="00000000">
              <w:rPr>
                <w:rtl w:val="0"/>
              </w:rPr>
              <w:t xml:space="preserve">2,645.00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5D">
            <w:pPr>
              <w:jc w:val="center"/>
              <w:rPr>
                <w:rFonts w:ascii="Calibri" w:cs="Calibri" w:eastAsia="Calibri" w:hAnsi="Calibri"/>
                <w:sz w:val="22"/>
                <w:szCs w:val="22"/>
              </w:rPr>
            </w:pPr>
            <w:r w:rsidDel="00000000" w:rsidR="00000000" w:rsidRPr="00000000">
              <w:rPr>
                <w:rtl w:val="0"/>
              </w:rPr>
              <w:t xml:space="preserve">2,759.00</w:t>
            </w:r>
            <w:r w:rsidDel="00000000" w:rsidR="00000000" w:rsidRPr="00000000">
              <w:rPr>
                <w:rtl w:val="0"/>
              </w:rPr>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5E">
            <w:pPr>
              <w:jc w:val="center"/>
              <w:rPr>
                <w:rFonts w:ascii="Calibri" w:cs="Calibri" w:eastAsia="Calibri" w:hAnsi="Calibri"/>
                <w:sz w:val="22"/>
                <w:szCs w:val="22"/>
              </w:rPr>
            </w:pPr>
            <w:r w:rsidDel="00000000" w:rsidR="00000000" w:rsidRPr="00000000">
              <w:rPr>
                <w:rtl w:val="0"/>
              </w:rPr>
              <w:t xml:space="preserve">Total Debt ($m)</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5F">
            <w:pPr>
              <w:jc w:val="center"/>
              <w:rPr>
                <w:rFonts w:ascii="Calibri" w:cs="Calibri" w:eastAsia="Calibri" w:hAnsi="Calibri"/>
                <w:sz w:val="22"/>
                <w:szCs w:val="22"/>
              </w:rPr>
            </w:pPr>
            <w:r w:rsidDel="00000000" w:rsidR="00000000" w:rsidRPr="00000000">
              <w:rPr>
                <w:rtl w:val="0"/>
              </w:rPr>
              <w:t xml:space="preserve">F</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60">
            <w:pPr>
              <w:jc w:val="center"/>
              <w:rPr>
                <w:rFonts w:ascii="Calibri" w:cs="Calibri" w:eastAsia="Calibri" w:hAnsi="Calibri"/>
                <w:sz w:val="22"/>
                <w:szCs w:val="22"/>
              </w:rPr>
            </w:pPr>
            <w:r w:rsidDel="00000000" w:rsidR="00000000" w:rsidRPr="00000000">
              <w:rPr>
                <w:rtl w:val="0"/>
              </w:rPr>
              <w:t xml:space="preserve">9,333.00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61">
            <w:pPr>
              <w:jc w:val="center"/>
              <w:rPr>
                <w:rFonts w:ascii="Calibri" w:cs="Calibri" w:eastAsia="Calibri" w:hAnsi="Calibri"/>
                <w:sz w:val="22"/>
                <w:szCs w:val="22"/>
              </w:rPr>
            </w:pPr>
            <w:r w:rsidDel="00000000" w:rsidR="00000000" w:rsidRPr="00000000">
              <w:rPr>
                <w:rtl w:val="0"/>
              </w:rPr>
              <w:t xml:space="preserve">9,380.00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62">
            <w:pPr>
              <w:jc w:val="center"/>
              <w:rPr>
                <w:rFonts w:ascii="Calibri" w:cs="Calibri" w:eastAsia="Calibri" w:hAnsi="Calibri"/>
                <w:sz w:val="22"/>
                <w:szCs w:val="22"/>
              </w:rPr>
            </w:pPr>
            <w:r w:rsidDel="00000000" w:rsidR="00000000" w:rsidRPr="00000000">
              <w:rPr>
                <w:rtl w:val="0"/>
              </w:rPr>
              <w:t xml:space="preserve">11,320.00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63">
            <w:pPr>
              <w:jc w:val="center"/>
              <w:rPr>
                <w:rFonts w:ascii="Calibri" w:cs="Calibri" w:eastAsia="Calibri" w:hAnsi="Calibri"/>
                <w:sz w:val="22"/>
                <w:szCs w:val="22"/>
              </w:rPr>
            </w:pPr>
            <w:r w:rsidDel="00000000" w:rsidR="00000000" w:rsidRPr="00000000">
              <w:rPr>
                <w:rtl w:val="0"/>
              </w:rPr>
              <w:t xml:space="preserve">13,138.00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64">
            <w:pPr>
              <w:jc w:val="center"/>
              <w:rPr>
                <w:rFonts w:ascii="Calibri" w:cs="Calibri" w:eastAsia="Calibri" w:hAnsi="Calibri"/>
                <w:sz w:val="22"/>
                <w:szCs w:val="22"/>
              </w:rPr>
            </w:pPr>
            <w:r w:rsidDel="00000000" w:rsidR="00000000" w:rsidRPr="00000000">
              <w:rPr>
                <w:rtl w:val="0"/>
              </w:rPr>
              <w:t xml:space="preserve">14,995.00</w:t>
            </w:r>
            <w:r w:rsidDel="00000000" w:rsidR="00000000" w:rsidRPr="00000000">
              <w:rPr>
                <w:rtl w:val="0"/>
              </w:rPr>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65">
            <w:pPr>
              <w:jc w:val="center"/>
              <w:rPr>
                <w:rFonts w:ascii="Calibri" w:cs="Calibri" w:eastAsia="Calibri" w:hAnsi="Calibri"/>
                <w:sz w:val="22"/>
                <w:szCs w:val="22"/>
              </w:rPr>
            </w:pPr>
            <w:r w:rsidDel="00000000" w:rsidR="00000000" w:rsidRPr="00000000">
              <w:rPr>
                <w:b w:val="1"/>
                <w:rtl w:val="0"/>
              </w:rPr>
              <w:t xml:space="preserve">Debt/Equity Ratio</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66">
            <w:pPr>
              <w:jc w:val="center"/>
              <w:rPr>
                <w:rFonts w:ascii="Calibri" w:cs="Calibri" w:eastAsia="Calibri" w:hAnsi="Calibri"/>
                <w:sz w:val="22"/>
                <w:szCs w:val="22"/>
              </w:rPr>
            </w:pPr>
            <w:r w:rsidDel="00000000" w:rsidR="00000000" w:rsidRPr="00000000">
              <w:rPr>
                <w:b w:val="1"/>
                <w:rtl w:val="0"/>
              </w:rPr>
              <w:t xml:space="preserve">A/B</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67">
            <w:pPr>
              <w:jc w:val="center"/>
              <w:rPr>
                <w:rFonts w:ascii="Calibri" w:cs="Calibri" w:eastAsia="Calibri" w:hAnsi="Calibri"/>
                <w:sz w:val="22"/>
                <w:szCs w:val="22"/>
              </w:rPr>
            </w:pPr>
            <w:r w:rsidDel="00000000" w:rsidR="00000000" w:rsidRPr="00000000">
              <w:rPr>
                <w:b w:val="1"/>
                <w:rtl w:val="0"/>
              </w:rPr>
              <w:t xml:space="preserve">5.96</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68">
            <w:pPr>
              <w:jc w:val="center"/>
              <w:rPr>
                <w:rFonts w:ascii="Calibri" w:cs="Calibri" w:eastAsia="Calibri" w:hAnsi="Calibri"/>
                <w:sz w:val="22"/>
                <w:szCs w:val="22"/>
              </w:rPr>
            </w:pPr>
            <w:r w:rsidDel="00000000" w:rsidR="00000000" w:rsidRPr="00000000">
              <w:rPr>
                <w:b w:val="1"/>
                <w:rtl w:val="0"/>
              </w:rPr>
              <w:t xml:space="preserve">7.40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69">
            <w:pPr>
              <w:jc w:val="center"/>
              <w:rPr>
                <w:rFonts w:ascii="Calibri" w:cs="Calibri" w:eastAsia="Calibri" w:hAnsi="Calibri"/>
                <w:sz w:val="22"/>
                <w:szCs w:val="22"/>
              </w:rPr>
            </w:pPr>
            <w:r w:rsidDel="00000000" w:rsidR="00000000" w:rsidRPr="00000000">
              <w:rPr>
                <w:b w:val="1"/>
                <w:rtl w:val="0"/>
              </w:rPr>
              <w:t xml:space="preserve">7.73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6A">
            <w:pPr>
              <w:jc w:val="center"/>
              <w:rPr>
                <w:rFonts w:ascii="Calibri" w:cs="Calibri" w:eastAsia="Calibri" w:hAnsi="Calibri"/>
                <w:sz w:val="22"/>
                <w:szCs w:val="22"/>
              </w:rPr>
            </w:pPr>
            <w:r w:rsidDel="00000000" w:rsidR="00000000" w:rsidRPr="00000000">
              <w:rPr>
                <w:b w:val="1"/>
                <w:rtl w:val="0"/>
              </w:rPr>
              <w:t xml:space="preserve">9.90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6B">
            <w:pPr>
              <w:jc w:val="center"/>
              <w:rPr>
                <w:rFonts w:ascii="Calibri" w:cs="Calibri" w:eastAsia="Calibri" w:hAnsi="Calibri"/>
                <w:sz w:val="22"/>
                <w:szCs w:val="22"/>
              </w:rPr>
            </w:pPr>
            <w:r w:rsidDel="00000000" w:rsidR="00000000" w:rsidRPr="00000000">
              <w:rPr>
                <w:b w:val="1"/>
                <w:rtl w:val="0"/>
              </w:rPr>
              <w:t xml:space="preserve">9.98</w:t>
            </w:r>
            <w:r w:rsidDel="00000000" w:rsidR="00000000" w:rsidRPr="00000000">
              <w:rPr>
                <w:rtl w:val="0"/>
              </w:rPr>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6C">
            <w:pPr>
              <w:jc w:val="center"/>
              <w:rPr>
                <w:rFonts w:ascii="Calibri" w:cs="Calibri" w:eastAsia="Calibri" w:hAnsi="Calibri"/>
                <w:sz w:val="22"/>
                <w:szCs w:val="22"/>
              </w:rPr>
            </w:pPr>
            <w:r w:rsidDel="00000000" w:rsidR="00000000" w:rsidRPr="00000000">
              <w:rPr>
                <w:b w:val="1"/>
                <w:rtl w:val="0"/>
              </w:rPr>
              <w:t xml:space="preserve">Interest Coverage Ratio</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6D">
            <w:pPr>
              <w:jc w:val="center"/>
              <w:rPr>
                <w:rFonts w:ascii="Calibri" w:cs="Calibri" w:eastAsia="Calibri" w:hAnsi="Calibri"/>
                <w:sz w:val="22"/>
                <w:szCs w:val="22"/>
              </w:rPr>
            </w:pPr>
            <w:r w:rsidDel="00000000" w:rsidR="00000000" w:rsidRPr="00000000">
              <w:rPr>
                <w:b w:val="1"/>
                <w:rtl w:val="0"/>
              </w:rPr>
              <w:t xml:space="preserve">C/D</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6E">
            <w:pPr>
              <w:jc w:val="center"/>
              <w:rPr>
                <w:rFonts w:ascii="Calibri" w:cs="Calibri" w:eastAsia="Calibri" w:hAnsi="Calibri"/>
                <w:sz w:val="22"/>
                <w:szCs w:val="22"/>
              </w:rPr>
            </w:pPr>
            <w:r w:rsidDel="00000000" w:rsidR="00000000" w:rsidRPr="00000000">
              <w:rPr>
                <w:b w:val="1"/>
                <w:rtl w:val="0"/>
              </w:rPr>
              <w:t xml:space="preserve">4.17</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6F">
            <w:pPr>
              <w:jc w:val="center"/>
              <w:rPr>
                <w:rFonts w:ascii="Calibri" w:cs="Calibri" w:eastAsia="Calibri" w:hAnsi="Calibri"/>
                <w:sz w:val="22"/>
                <w:szCs w:val="22"/>
              </w:rPr>
            </w:pPr>
            <w:r w:rsidDel="00000000" w:rsidR="00000000" w:rsidRPr="00000000">
              <w:rPr>
                <w:b w:val="1"/>
                <w:rtl w:val="0"/>
              </w:rPr>
              <w:t xml:space="preserve">7.73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70">
            <w:pPr>
              <w:jc w:val="center"/>
              <w:rPr>
                <w:rFonts w:ascii="Calibri" w:cs="Calibri" w:eastAsia="Calibri" w:hAnsi="Calibri"/>
                <w:sz w:val="22"/>
                <w:szCs w:val="22"/>
              </w:rPr>
            </w:pPr>
            <w:r w:rsidDel="00000000" w:rsidR="00000000" w:rsidRPr="00000000">
              <w:rPr>
                <w:b w:val="1"/>
                <w:rtl w:val="0"/>
              </w:rPr>
              <w:t xml:space="preserve">5.98</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71">
            <w:pPr>
              <w:jc w:val="center"/>
              <w:rPr>
                <w:rFonts w:ascii="Calibri" w:cs="Calibri" w:eastAsia="Calibri" w:hAnsi="Calibri"/>
                <w:sz w:val="22"/>
                <w:szCs w:val="22"/>
              </w:rPr>
            </w:pPr>
            <w:r w:rsidDel="00000000" w:rsidR="00000000" w:rsidRPr="00000000">
              <w:rPr>
                <w:b w:val="1"/>
                <w:rtl w:val="0"/>
              </w:rPr>
              <w:t xml:space="preserve">4.53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72">
            <w:pPr>
              <w:jc w:val="center"/>
              <w:rPr>
                <w:rFonts w:ascii="Calibri" w:cs="Calibri" w:eastAsia="Calibri" w:hAnsi="Calibri"/>
                <w:sz w:val="22"/>
                <w:szCs w:val="22"/>
              </w:rPr>
            </w:pPr>
            <w:r w:rsidDel="00000000" w:rsidR="00000000" w:rsidRPr="00000000">
              <w:rPr>
                <w:b w:val="1"/>
                <w:rtl w:val="0"/>
              </w:rPr>
              <w:t xml:space="preserve">4.20</w:t>
            </w:r>
            <w:r w:rsidDel="00000000" w:rsidR="00000000" w:rsidRPr="00000000">
              <w:rPr>
                <w:rtl w:val="0"/>
              </w:rPr>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73">
            <w:pPr>
              <w:jc w:val="center"/>
              <w:rPr>
                <w:rFonts w:ascii="Calibri" w:cs="Calibri" w:eastAsia="Calibri" w:hAnsi="Calibri"/>
                <w:sz w:val="22"/>
                <w:szCs w:val="22"/>
              </w:rPr>
            </w:pPr>
            <w:r w:rsidDel="00000000" w:rsidR="00000000" w:rsidRPr="00000000">
              <w:rPr>
                <w:b w:val="1"/>
                <w:rtl w:val="0"/>
              </w:rPr>
              <w:t xml:space="preserve">Debt/Capital Ratio</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74">
            <w:pPr>
              <w:jc w:val="center"/>
              <w:rPr>
                <w:rFonts w:ascii="Calibri" w:cs="Calibri" w:eastAsia="Calibri" w:hAnsi="Calibri"/>
                <w:sz w:val="22"/>
                <w:szCs w:val="22"/>
              </w:rPr>
            </w:pPr>
            <w:r w:rsidDel="00000000" w:rsidR="00000000" w:rsidRPr="00000000">
              <w:rPr>
                <w:b w:val="1"/>
                <w:rtl w:val="0"/>
              </w:rPr>
              <w:t xml:space="preserve">F/(F+E)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75">
            <w:pPr>
              <w:jc w:val="center"/>
              <w:rPr>
                <w:rFonts w:ascii="Calibri" w:cs="Calibri" w:eastAsia="Calibri" w:hAnsi="Calibri"/>
                <w:sz w:val="22"/>
                <w:szCs w:val="22"/>
              </w:rPr>
            </w:pPr>
            <w:r w:rsidDel="00000000" w:rsidR="00000000" w:rsidRPr="00000000">
              <w:rPr>
                <w:b w:val="1"/>
                <w:rtl w:val="0"/>
              </w:rPr>
              <w:t xml:space="preserve">0.79</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76">
            <w:pPr>
              <w:jc w:val="center"/>
              <w:rPr>
                <w:rFonts w:ascii="Calibri" w:cs="Calibri" w:eastAsia="Calibri" w:hAnsi="Calibri"/>
                <w:sz w:val="22"/>
                <w:szCs w:val="22"/>
              </w:rPr>
            </w:pPr>
            <w:r w:rsidDel="00000000" w:rsidR="00000000" w:rsidRPr="00000000">
              <w:rPr>
                <w:b w:val="1"/>
                <w:rtl w:val="0"/>
              </w:rPr>
              <w:t xml:space="preserve">0.80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77">
            <w:pPr>
              <w:jc w:val="center"/>
              <w:rPr>
                <w:rFonts w:ascii="Calibri" w:cs="Calibri" w:eastAsia="Calibri" w:hAnsi="Calibri"/>
                <w:sz w:val="22"/>
                <w:szCs w:val="22"/>
              </w:rPr>
            </w:pPr>
            <w:r w:rsidDel="00000000" w:rsidR="00000000" w:rsidRPr="00000000">
              <w:rPr>
                <w:b w:val="1"/>
                <w:rtl w:val="0"/>
              </w:rPr>
              <w:t xml:space="preserve">0.81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78">
            <w:pPr>
              <w:jc w:val="center"/>
              <w:rPr>
                <w:rFonts w:ascii="Calibri" w:cs="Calibri" w:eastAsia="Calibri" w:hAnsi="Calibri"/>
                <w:sz w:val="22"/>
                <w:szCs w:val="22"/>
              </w:rPr>
            </w:pPr>
            <w:r w:rsidDel="00000000" w:rsidR="00000000" w:rsidRPr="00000000">
              <w:rPr>
                <w:b w:val="1"/>
                <w:rtl w:val="0"/>
              </w:rPr>
              <w:t xml:space="preserve">0.83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79">
            <w:pPr>
              <w:jc w:val="center"/>
              <w:rPr>
                <w:rFonts w:ascii="Calibri" w:cs="Calibri" w:eastAsia="Calibri" w:hAnsi="Calibri"/>
                <w:sz w:val="22"/>
                <w:szCs w:val="22"/>
              </w:rPr>
            </w:pPr>
            <w:r w:rsidDel="00000000" w:rsidR="00000000" w:rsidRPr="00000000">
              <w:rPr>
                <w:b w:val="1"/>
                <w:rtl w:val="0"/>
              </w:rPr>
              <w:t xml:space="preserve">0.84</w:t>
            </w:r>
            <w:r w:rsidDel="00000000" w:rsidR="00000000" w:rsidRPr="00000000">
              <w:rPr>
                <w:rtl w:val="0"/>
              </w:rPr>
            </w:r>
          </w:p>
        </w:tc>
      </w:tr>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27A">
            <w:pPr>
              <w:rPr>
                <w:rFonts w:ascii="Calibri" w:cs="Calibri" w:eastAsia="Calibri" w:hAnsi="Calibri"/>
                <w:sz w:val="22"/>
                <w:szCs w:val="22"/>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27B">
            <w:pPr>
              <w:rPr>
                <w:rFonts w:ascii="Calibri" w:cs="Calibri" w:eastAsia="Calibri" w:hAnsi="Calibri"/>
                <w:sz w:val="22"/>
                <w:szCs w:val="22"/>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27C">
            <w:pPr>
              <w:rPr>
                <w:rFonts w:ascii="Calibri" w:cs="Calibri" w:eastAsia="Calibri" w:hAnsi="Calibri"/>
                <w:sz w:val="22"/>
                <w:szCs w:val="22"/>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27D">
            <w:pPr>
              <w:rPr>
                <w:rFonts w:ascii="Calibri" w:cs="Calibri" w:eastAsia="Calibri" w:hAnsi="Calibri"/>
                <w:sz w:val="22"/>
                <w:szCs w:val="22"/>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27E">
            <w:pPr>
              <w:rPr>
                <w:rFonts w:ascii="Calibri" w:cs="Calibri" w:eastAsia="Calibri" w:hAnsi="Calibri"/>
                <w:sz w:val="22"/>
                <w:szCs w:val="22"/>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27F">
            <w:pPr>
              <w:rPr>
                <w:rFonts w:ascii="Calibri" w:cs="Calibri" w:eastAsia="Calibri" w:hAnsi="Calibri"/>
                <w:sz w:val="22"/>
                <w:szCs w:val="22"/>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280">
            <w:pPr>
              <w:rPr>
                <w:rFonts w:ascii="Calibri" w:cs="Calibri" w:eastAsia="Calibri" w:hAnsi="Calibri"/>
                <w:sz w:val="22"/>
                <w:szCs w:val="22"/>
              </w:rPr>
            </w:pPr>
            <w:r w:rsidDel="00000000" w:rsidR="00000000" w:rsidRPr="00000000">
              <w:rPr>
                <w:rtl w:val="0"/>
              </w:rPr>
            </w:r>
          </w:p>
        </w:tc>
      </w:tr>
      <w:tr>
        <w:trPr>
          <w:cantSplit w:val="0"/>
          <w:trHeight w:val="315" w:hRule="atLeast"/>
          <w:tblHeader w:val="0"/>
        </w:trPr>
        <w:tc>
          <w:tcPr>
            <w:gridSpan w:val="7"/>
            <w:tcBorders>
              <w:top w:color="cccccc" w:space="0" w:sz="6" w:val="single"/>
              <w:left w:color="cccccc" w:space="0" w:sz="6" w:val="single"/>
              <w:bottom w:color="000000"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281">
            <w:pPr>
              <w:jc w:val="center"/>
              <w:rPr>
                <w:rFonts w:ascii="Calibri" w:cs="Calibri" w:eastAsia="Calibri" w:hAnsi="Calibri"/>
                <w:sz w:val="22"/>
                <w:szCs w:val="22"/>
              </w:rPr>
            </w:pPr>
            <w:r w:rsidDel="00000000" w:rsidR="00000000" w:rsidRPr="00000000">
              <w:rPr>
                <w:b w:val="1"/>
                <w:rtl w:val="0"/>
              </w:rPr>
              <w:t xml:space="preserve">Efficiency Ratios:-</w:t>
            </w:r>
            <w:r w:rsidDel="00000000" w:rsidR="00000000" w:rsidRPr="00000000">
              <w:rPr>
                <w:rtl w:val="0"/>
              </w:rPr>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88">
            <w:pPr>
              <w:jc w:val="center"/>
              <w:rPr>
                <w:rFonts w:ascii="Calibri" w:cs="Calibri" w:eastAsia="Calibri" w:hAnsi="Calibri"/>
                <w:sz w:val="22"/>
                <w:szCs w:val="22"/>
              </w:rPr>
            </w:pPr>
            <w:r w:rsidDel="00000000" w:rsidR="00000000" w:rsidRPr="00000000">
              <w:rPr>
                <w:b w:val="1"/>
                <w:rtl w:val="0"/>
              </w:rPr>
              <w:t xml:space="preserve">Particulars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89">
            <w:pPr>
              <w:jc w:val="center"/>
              <w:rPr>
                <w:rFonts w:ascii="Calibri" w:cs="Calibri" w:eastAsia="Calibri" w:hAnsi="Calibri"/>
                <w:sz w:val="22"/>
                <w:szCs w:val="22"/>
              </w:rPr>
            </w:pPr>
            <w:r w:rsidDel="00000000" w:rsidR="00000000" w:rsidRPr="00000000">
              <w:rPr>
                <w:b w:val="1"/>
                <w:rtl w:val="0"/>
              </w:rPr>
              <w:t xml:space="preserve">Details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8A">
            <w:pPr>
              <w:jc w:val="center"/>
              <w:rPr>
                <w:rFonts w:ascii="Calibri" w:cs="Calibri" w:eastAsia="Calibri" w:hAnsi="Calibri"/>
                <w:sz w:val="22"/>
                <w:szCs w:val="22"/>
              </w:rPr>
            </w:pPr>
            <w:r w:rsidDel="00000000" w:rsidR="00000000" w:rsidRPr="00000000">
              <w:rPr>
                <w:b w:val="1"/>
                <w:rtl w:val="0"/>
              </w:rPr>
              <w:t xml:space="preserve">2021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8B">
            <w:pPr>
              <w:jc w:val="center"/>
              <w:rPr>
                <w:rFonts w:ascii="Calibri" w:cs="Calibri" w:eastAsia="Calibri" w:hAnsi="Calibri"/>
                <w:sz w:val="22"/>
                <w:szCs w:val="22"/>
              </w:rPr>
            </w:pPr>
            <w:r w:rsidDel="00000000" w:rsidR="00000000" w:rsidRPr="00000000">
              <w:rPr>
                <w:b w:val="1"/>
                <w:rtl w:val="0"/>
              </w:rPr>
              <w:t xml:space="preserve">2022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8C">
            <w:pPr>
              <w:jc w:val="center"/>
              <w:rPr>
                <w:rFonts w:ascii="Calibri" w:cs="Calibri" w:eastAsia="Calibri" w:hAnsi="Calibri"/>
                <w:sz w:val="22"/>
                <w:szCs w:val="22"/>
              </w:rPr>
            </w:pPr>
            <w:r w:rsidDel="00000000" w:rsidR="00000000" w:rsidRPr="00000000">
              <w:rPr>
                <w:b w:val="1"/>
                <w:rtl w:val="0"/>
              </w:rPr>
              <w:t xml:space="preserve">2023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8D">
            <w:pPr>
              <w:jc w:val="center"/>
              <w:rPr>
                <w:rFonts w:ascii="Calibri" w:cs="Calibri" w:eastAsia="Calibri" w:hAnsi="Calibri"/>
                <w:sz w:val="22"/>
                <w:szCs w:val="22"/>
              </w:rPr>
            </w:pPr>
            <w:r w:rsidDel="00000000" w:rsidR="00000000" w:rsidRPr="00000000">
              <w:rPr>
                <w:b w:val="1"/>
                <w:rtl w:val="0"/>
              </w:rPr>
              <w:t xml:space="preserve">2024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8E">
            <w:pPr>
              <w:jc w:val="center"/>
              <w:rPr>
                <w:rFonts w:ascii="Calibri" w:cs="Calibri" w:eastAsia="Calibri" w:hAnsi="Calibri"/>
                <w:sz w:val="22"/>
                <w:szCs w:val="22"/>
              </w:rPr>
            </w:pPr>
            <w:r w:rsidDel="00000000" w:rsidR="00000000" w:rsidRPr="00000000">
              <w:rPr>
                <w:b w:val="1"/>
                <w:rtl w:val="0"/>
              </w:rPr>
              <w:t xml:space="preserve">2025</w:t>
            </w:r>
            <w:r w:rsidDel="00000000" w:rsidR="00000000" w:rsidRPr="00000000">
              <w:rPr>
                <w:rtl w:val="0"/>
              </w:rPr>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8F">
            <w:pPr>
              <w:jc w:val="center"/>
              <w:rPr>
                <w:rFonts w:ascii="Calibri" w:cs="Calibri" w:eastAsia="Calibri" w:hAnsi="Calibri"/>
                <w:sz w:val="22"/>
                <w:szCs w:val="22"/>
              </w:rPr>
            </w:pPr>
            <w:r w:rsidDel="00000000" w:rsidR="00000000" w:rsidRPr="00000000">
              <w:rPr>
                <w:rtl w:val="0"/>
              </w:rPr>
              <w:t xml:space="preserve">Revenue ($m)</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90">
            <w:pPr>
              <w:jc w:val="center"/>
              <w:rPr>
                <w:rFonts w:ascii="Calibri" w:cs="Calibri" w:eastAsia="Calibri" w:hAnsi="Calibri"/>
                <w:sz w:val="22"/>
                <w:szCs w:val="22"/>
              </w:rPr>
            </w:pPr>
            <w:r w:rsidDel="00000000" w:rsidR="00000000" w:rsidRPr="00000000">
              <w:rPr>
                <w:rtl w:val="0"/>
              </w:rPr>
              <w:t xml:space="preserve">A</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91">
            <w:pPr>
              <w:jc w:val="center"/>
              <w:rPr>
                <w:rFonts w:ascii="Calibri" w:cs="Calibri" w:eastAsia="Calibri" w:hAnsi="Calibri"/>
                <w:sz w:val="22"/>
                <w:szCs w:val="22"/>
              </w:rPr>
            </w:pPr>
            <w:r w:rsidDel="00000000" w:rsidR="00000000" w:rsidRPr="00000000">
              <w:rPr>
                <w:rtl w:val="0"/>
              </w:rPr>
              <w:t xml:space="preserve">13,857.00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92">
            <w:pPr>
              <w:jc w:val="center"/>
              <w:rPr>
                <w:rFonts w:ascii="Calibri" w:cs="Calibri" w:eastAsia="Calibri" w:hAnsi="Calibri"/>
                <w:sz w:val="22"/>
                <w:szCs w:val="22"/>
              </w:rPr>
            </w:pPr>
            <w:r w:rsidDel="00000000" w:rsidR="00000000" w:rsidRPr="00000000">
              <w:rPr>
                <w:rtl w:val="0"/>
              </w:rPr>
              <w:t xml:space="preserve">20,773.00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93">
            <w:pPr>
              <w:jc w:val="center"/>
              <w:rPr>
                <w:rFonts w:ascii="Calibri" w:cs="Calibri" w:eastAsia="Calibri" w:hAnsi="Calibri"/>
                <w:sz w:val="22"/>
                <w:szCs w:val="22"/>
              </w:rPr>
            </w:pPr>
            <w:r w:rsidDel="00000000" w:rsidR="00000000" w:rsidRPr="00000000">
              <w:rPr>
                <w:rtl w:val="0"/>
              </w:rPr>
              <w:t xml:space="preserve">23,713.00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94">
            <w:pPr>
              <w:jc w:val="center"/>
              <w:rPr>
                <w:rFonts w:ascii="Calibri" w:cs="Calibri" w:eastAsia="Calibri" w:hAnsi="Calibri"/>
                <w:sz w:val="22"/>
                <w:szCs w:val="22"/>
              </w:rPr>
            </w:pPr>
            <w:r w:rsidDel="00000000" w:rsidR="00000000" w:rsidRPr="00000000">
              <w:rPr>
                <w:rtl w:val="0"/>
              </w:rPr>
              <w:t xml:space="preserve">25,100.00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95">
            <w:pPr>
              <w:jc w:val="center"/>
              <w:rPr>
                <w:rFonts w:ascii="Calibri" w:cs="Calibri" w:eastAsia="Calibri" w:hAnsi="Calibri"/>
                <w:sz w:val="22"/>
                <w:szCs w:val="22"/>
              </w:rPr>
            </w:pPr>
            <w:r w:rsidDel="00000000" w:rsidR="00000000" w:rsidRPr="00000000">
              <w:rPr>
                <w:rtl w:val="0"/>
              </w:rPr>
              <w:t xml:space="preserve">26,186.00</w:t>
            </w:r>
            <w:r w:rsidDel="00000000" w:rsidR="00000000" w:rsidRPr="00000000">
              <w:rPr>
                <w:rtl w:val="0"/>
              </w:rPr>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96">
            <w:pPr>
              <w:jc w:val="center"/>
              <w:rPr>
                <w:rFonts w:ascii="Calibri" w:cs="Calibri" w:eastAsia="Calibri" w:hAnsi="Calibri"/>
                <w:sz w:val="22"/>
                <w:szCs w:val="22"/>
              </w:rPr>
            </w:pPr>
            <w:r w:rsidDel="00000000" w:rsidR="00000000" w:rsidRPr="00000000">
              <w:rPr>
                <w:rtl w:val="0"/>
              </w:rPr>
              <w:t xml:space="preserve">Cost of Sales ($m)</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97">
            <w:pPr>
              <w:jc w:val="center"/>
              <w:rPr>
                <w:rFonts w:ascii="Calibri" w:cs="Calibri" w:eastAsia="Calibri" w:hAnsi="Calibri"/>
                <w:sz w:val="22"/>
                <w:szCs w:val="22"/>
              </w:rPr>
            </w:pPr>
            <w:r w:rsidDel="00000000" w:rsidR="00000000" w:rsidRPr="00000000">
              <w:rPr>
                <w:rtl w:val="0"/>
              </w:rPr>
              <w:t xml:space="preserve">B</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98">
            <w:pPr>
              <w:jc w:val="center"/>
              <w:rPr>
                <w:rFonts w:ascii="Calibri" w:cs="Calibri" w:eastAsia="Calibri" w:hAnsi="Calibri"/>
                <w:sz w:val="22"/>
                <w:szCs w:val="22"/>
              </w:rPr>
            </w:pPr>
            <w:r w:rsidDel="00000000" w:rsidR="00000000" w:rsidRPr="00000000">
              <w:rPr>
                <w:rtl w:val="0"/>
              </w:rPr>
              <w:t xml:space="preserve">12,107.00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99">
            <w:pPr>
              <w:jc w:val="center"/>
              <w:rPr>
                <w:rFonts w:ascii="Calibri" w:cs="Calibri" w:eastAsia="Calibri" w:hAnsi="Calibri"/>
                <w:sz w:val="22"/>
                <w:szCs w:val="22"/>
              </w:rPr>
            </w:pPr>
            <w:r w:rsidDel="00000000" w:rsidR="00000000" w:rsidRPr="00000000">
              <w:rPr>
                <w:rtl w:val="0"/>
              </w:rPr>
              <w:t xml:space="preserve">17,311.00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9A">
            <w:pPr>
              <w:jc w:val="center"/>
              <w:rPr>
                <w:rFonts w:ascii="Calibri" w:cs="Calibri" w:eastAsia="Calibri" w:hAnsi="Calibri"/>
                <w:sz w:val="22"/>
                <w:szCs w:val="22"/>
              </w:rPr>
            </w:pPr>
            <w:r w:rsidDel="00000000" w:rsidR="00000000" w:rsidRPr="00000000">
              <w:rPr>
                <w:rtl w:val="0"/>
              </w:rPr>
              <w:t xml:space="preserve">19,849.00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9B">
            <w:pPr>
              <w:jc w:val="center"/>
              <w:rPr>
                <w:rFonts w:ascii="Calibri" w:cs="Calibri" w:eastAsia="Calibri" w:hAnsi="Calibri"/>
                <w:sz w:val="22"/>
                <w:szCs w:val="22"/>
              </w:rPr>
            </w:pPr>
            <w:r w:rsidDel="00000000" w:rsidR="00000000" w:rsidRPr="00000000">
              <w:rPr>
                <w:rtl w:val="0"/>
              </w:rPr>
              <w:t xml:space="preserve">21,333.00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9C">
            <w:pPr>
              <w:jc w:val="center"/>
              <w:rPr>
                <w:rFonts w:ascii="Calibri" w:cs="Calibri" w:eastAsia="Calibri" w:hAnsi="Calibri"/>
                <w:sz w:val="22"/>
                <w:szCs w:val="22"/>
              </w:rPr>
            </w:pPr>
            <w:r w:rsidDel="00000000" w:rsidR="00000000" w:rsidRPr="00000000">
              <w:rPr>
                <w:rtl w:val="0"/>
              </w:rPr>
              <w:t xml:space="preserve">22,045.00</w:t>
            </w:r>
            <w:r w:rsidDel="00000000" w:rsidR="00000000" w:rsidRPr="00000000">
              <w:rPr>
                <w:rtl w:val="0"/>
              </w:rPr>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9D">
            <w:pPr>
              <w:jc w:val="center"/>
              <w:rPr>
                <w:rFonts w:ascii="Calibri" w:cs="Calibri" w:eastAsia="Calibri" w:hAnsi="Calibri"/>
                <w:sz w:val="22"/>
                <w:szCs w:val="22"/>
              </w:rPr>
            </w:pPr>
            <w:r w:rsidDel="00000000" w:rsidR="00000000" w:rsidRPr="00000000">
              <w:rPr>
                <w:rtl w:val="0"/>
              </w:rPr>
              <w:t xml:space="preserve">Opening Receivables ($m)</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9E">
            <w:pPr>
              <w:jc w:val="center"/>
              <w:rPr>
                <w:rFonts w:ascii="Calibri" w:cs="Calibri" w:eastAsia="Calibri" w:hAnsi="Calibri"/>
                <w:sz w:val="22"/>
                <w:szCs w:val="22"/>
              </w:rPr>
            </w:pPr>
            <w:r w:rsidDel="00000000" w:rsidR="00000000" w:rsidRPr="00000000">
              <w:rPr>
                <w:rtl w:val="0"/>
              </w:rPr>
              <w:t xml:space="preserve">F</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9F">
            <w:pPr>
              <w:jc w:val="center"/>
              <w:rPr>
                <w:rFonts w:ascii="Calibri" w:cs="Calibri" w:eastAsia="Calibri" w:hAnsi="Calibri"/>
                <w:sz w:val="22"/>
                <w:szCs w:val="22"/>
              </w:rPr>
            </w:pPr>
            <w:r w:rsidDel="00000000" w:rsidR="00000000" w:rsidRPr="00000000">
              <w:rPr>
                <w:rtl w:val="0"/>
              </w:rPr>
              <w:t xml:space="preserve">1,768.00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A0">
            <w:pPr>
              <w:jc w:val="center"/>
              <w:rPr>
                <w:rFonts w:ascii="Calibri" w:cs="Calibri" w:eastAsia="Calibri" w:hAnsi="Calibri"/>
                <w:sz w:val="22"/>
                <w:szCs w:val="22"/>
              </w:rPr>
            </w:pPr>
            <w:r w:rsidDel="00000000" w:rsidR="00000000" w:rsidRPr="00000000">
              <w:rPr>
                <w:rtl w:val="0"/>
              </w:rPr>
              <w:t xml:space="preserve">1,982.00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A1">
            <w:pPr>
              <w:jc w:val="center"/>
              <w:rPr>
                <w:rFonts w:ascii="Calibri" w:cs="Calibri" w:eastAsia="Calibri" w:hAnsi="Calibri"/>
                <w:sz w:val="22"/>
                <w:szCs w:val="22"/>
              </w:rPr>
            </w:pPr>
            <w:r w:rsidDel="00000000" w:rsidR="00000000" w:rsidRPr="00000000">
              <w:rPr>
                <w:rtl w:val="0"/>
              </w:rPr>
              <w:t xml:space="preserve">2,571.00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A2">
            <w:pPr>
              <w:jc w:val="center"/>
              <w:rPr>
                <w:rFonts w:ascii="Calibri" w:cs="Calibri" w:eastAsia="Calibri" w:hAnsi="Calibri"/>
                <w:sz w:val="22"/>
                <w:szCs w:val="22"/>
              </w:rPr>
            </w:pPr>
            <w:r w:rsidDel="00000000" w:rsidR="00000000" w:rsidRPr="00000000">
              <w:rPr>
                <w:rtl w:val="0"/>
              </w:rPr>
              <w:t xml:space="preserve">2,712.00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A3">
            <w:pPr>
              <w:jc w:val="center"/>
              <w:rPr>
                <w:rFonts w:ascii="Calibri" w:cs="Calibri" w:eastAsia="Calibri" w:hAnsi="Calibri"/>
                <w:sz w:val="22"/>
                <w:szCs w:val="22"/>
              </w:rPr>
            </w:pPr>
            <w:r w:rsidDel="00000000" w:rsidR="00000000" w:rsidRPr="00000000">
              <w:rPr>
                <w:rtl w:val="0"/>
              </w:rPr>
              <w:t xml:space="preserve">2,795.00</w:t>
            </w:r>
            <w:r w:rsidDel="00000000" w:rsidR="00000000" w:rsidRPr="00000000">
              <w:rPr>
                <w:rtl w:val="0"/>
              </w:rPr>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A4">
            <w:pPr>
              <w:jc w:val="center"/>
              <w:rPr>
                <w:rFonts w:ascii="Calibri" w:cs="Calibri" w:eastAsia="Calibri" w:hAnsi="Calibri"/>
                <w:sz w:val="22"/>
                <w:szCs w:val="22"/>
              </w:rPr>
            </w:pPr>
            <w:r w:rsidDel="00000000" w:rsidR="00000000" w:rsidRPr="00000000">
              <w:rPr>
                <w:rtl w:val="0"/>
              </w:rPr>
              <w:t xml:space="preserve">Closing Receivables ($m)</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A5">
            <w:pPr>
              <w:jc w:val="center"/>
              <w:rPr>
                <w:rFonts w:ascii="Calibri" w:cs="Calibri" w:eastAsia="Calibri" w:hAnsi="Calibri"/>
                <w:sz w:val="22"/>
                <w:szCs w:val="22"/>
              </w:rPr>
            </w:pPr>
            <w:r w:rsidDel="00000000" w:rsidR="00000000" w:rsidRPr="00000000">
              <w:rPr>
                <w:rtl w:val="0"/>
              </w:rPr>
              <w:t xml:space="preserve">G</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A6">
            <w:pPr>
              <w:jc w:val="center"/>
              <w:rPr>
                <w:rFonts w:ascii="Calibri" w:cs="Calibri" w:eastAsia="Calibri" w:hAnsi="Calibri"/>
                <w:sz w:val="22"/>
                <w:szCs w:val="22"/>
              </w:rPr>
            </w:pPr>
            <w:r w:rsidDel="00000000" w:rsidR="00000000" w:rsidRPr="00000000">
              <w:rPr>
                <w:rtl w:val="0"/>
              </w:rPr>
              <w:t xml:space="preserve">1,982.00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A7">
            <w:pPr>
              <w:jc w:val="center"/>
              <w:rPr>
                <w:rFonts w:ascii="Calibri" w:cs="Calibri" w:eastAsia="Calibri" w:hAnsi="Calibri"/>
                <w:sz w:val="22"/>
                <w:szCs w:val="22"/>
              </w:rPr>
            </w:pPr>
            <w:r w:rsidDel="00000000" w:rsidR="00000000" w:rsidRPr="00000000">
              <w:rPr>
                <w:rtl w:val="0"/>
              </w:rPr>
              <w:t xml:space="preserve">2,571.00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A8">
            <w:pPr>
              <w:jc w:val="center"/>
              <w:rPr>
                <w:rFonts w:ascii="Calibri" w:cs="Calibri" w:eastAsia="Calibri" w:hAnsi="Calibri"/>
                <w:sz w:val="22"/>
                <w:szCs w:val="22"/>
              </w:rPr>
            </w:pPr>
            <w:r w:rsidDel="00000000" w:rsidR="00000000" w:rsidRPr="00000000">
              <w:rPr>
                <w:rtl w:val="0"/>
              </w:rPr>
              <w:t xml:space="preserve">2,712.00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A9">
            <w:pPr>
              <w:jc w:val="center"/>
              <w:rPr>
                <w:rFonts w:ascii="Calibri" w:cs="Calibri" w:eastAsia="Calibri" w:hAnsi="Calibri"/>
                <w:sz w:val="22"/>
                <w:szCs w:val="22"/>
              </w:rPr>
            </w:pPr>
            <w:r w:rsidDel="00000000" w:rsidR="00000000" w:rsidRPr="00000000">
              <w:rPr>
                <w:rtl w:val="0"/>
              </w:rPr>
              <w:t xml:space="preserve">2,795.00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AA">
            <w:pPr>
              <w:jc w:val="center"/>
              <w:rPr>
                <w:rFonts w:ascii="Calibri" w:cs="Calibri" w:eastAsia="Calibri" w:hAnsi="Calibri"/>
                <w:sz w:val="22"/>
                <w:szCs w:val="22"/>
              </w:rPr>
            </w:pPr>
            <w:r w:rsidDel="00000000" w:rsidR="00000000" w:rsidRPr="00000000">
              <w:rPr>
                <w:rtl w:val="0"/>
              </w:rPr>
              <w:t xml:space="preserve">2,909.00</w:t>
            </w:r>
            <w:r w:rsidDel="00000000" w:rsidR="00000000" w:rsidRPr="00000000">
              <w:rPr>
                <w:rtl w:val="0"/>
              </w:rPr>
            </w:r>
          </w:p>
        </w:tc>
      </w:tr>
      <w:tr>
        <w:trPr>
          <w:cantSplit w:val="0"/>
          <w:trHeight w:val="555" w:hRule="atLeast"/>
          <w:tblHeader w:val="0"/>
        </w:trPr>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AB">
            <w:pPr>
              <w:jc w:val="center"/>
              <w:rPr>
                <w:rFonts w:ascii="Calibri" w:cs="Calibri" w:eastAsia="Calibri" w:hAnsi="Calibri"/>
                <w:sz w:val="22"/>
                <w:szCs w:val="22"/>
              </w:rPr>
            </w:pPr>
            <w:r w:rsidDel="00000000" w:rsidR="00000000" w:rsidRPr="00000000">
              <w:rPr>
                <w:rtl w:val="0"/>
              </w:rPr>
              <w:t xml:space="preserve">Average Receivables ($m)</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AC">
            <w:pPr>
              <w:jc w:val="center"/>
              <w:rPr>
                <w:rFonts w:ascii="Calibri" w:cs="Calibri" w:eastAsia="Calibri" w:hAnsi="Calibri"/>
                <w:sz w:val="22"/>
                <w:szCs w:val="22"/>
              </w:rPr>
            </w:pPr>
            <w:r w:rsidDel="00000000" w:rsidR="00000000" w:rsidRPr="00000000">
              <w:rPr>
                <w:rtl w:val="0"/>
              </w:rPr>
              <w:t xml:space="preserve">H=(F+G)/2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AD">
            <w:pPr>
              <w:jc w:val="center"/>
              <w:rPr>
                <w:rFonts w:ascii="Calibri" w:cs="Calibri" w:eastAsia="Calibri" w:hAnsi="Calibri"/>
                <w:sz w:val="22"/>
                <w:szCs w:val="22"/>
              </w:rPr>
            </w:pPr>
            <w:r w:rsidDel="00000000" w:rsidR="00000000" w:rsidRPr="00000000">
              <w:rPr>
                <w:rtl w:val="0"/>
              </w:rPr>
              <w:t xml:space="preserve">1,875.00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AE">
            <w:pPr>
              <w:jc w:val="center"/>
              <w:rPr>
                <w:rFonts w:ascii="Calibri" w:cs="Calibri" w:eastAsia="Calibri" w:hAnsi="Calibri"/>
                <w:sz w:val="22"/>
                <w:szCs w:val="22"/>
              </w:rPr>
            </w:pPr>
            <w:r w:rsidDel="00000000" w:rsidR="00000000" w:rsidRPr="00000000">
              <w:rPr>
                <w:rtl w:val="0"/>
              </w:rPr>
              <w:t xml:space="preserve">2,276.50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AF">
            <w:pPr>
              <w:jc w:val="center"/>
              <w:rPr>
                <w:rFonts w:ascii="Calibri" w:cs="Calibri" w:eastAsia="Calibri" w:hAnsi="Calibri"/>
                <w:sz w:val="22"/>
                <w:szCs w:val="22"/>
              </w:rPr>
            </w:pPr>
            <w:r w:rsidDel="00000000" w:rsidR="00000000" w:rsidRPr="00000000">
              <w:rPr>
                <w:rtl w:val="0"/>
              </w:rPr>
              <w:t xml:space="preserve">2,641.50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B0">
            <w:pPr>
              <w:jc w:val="center"/>
              <w:rPr>
                <w:rFonts w:ascii="Calibri" w:cs="Calibri" w:eastAsia="Calibri" w:hAnsi="Calibri"/>
                <w:sz w:val="22"/>
                <w:szCs w:val="22"/>
              </w:rPr>
            </w:pPr>
            <w:r w:rsidDel="00000000" w:rsidR="00000000" w:rsidRPr="00000000">
              <w:rPr>
                <w:rtl w:val="0"/>
              </w:rPr>
              <w:t xml:space="preserve">2,753.50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B1">
            <w:pPr>
              <w:jc w:val="center"/>
              <w:rPr>
                <w:rFonts w:ascii="Calibri" w:cs="Calibri" w:eastAsia="Calibri" w:hAnsi="Calibri"/>
                <w:sz w:val="22"/>
                <w:szCs w:val="22"/>
              </w:rPr>
            </w:pPr>
            <w:r w:rsidDel="00000000" w:rsidR="00000000" w:rsidRPr="00000000">
              <w:rPr>
                <w:rtl w:val="0"/>
              </w:rPr>
              <w:t xml:space="preserve">2,852.00</w:t>
            </w:r>
            <w:r w:rsidDel="00000000" w:rsidR="00000000" w:rsidRPr="00000000">
              <w:rPr>
                <w:rtl w:val="0"/>
              </w:rPr>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B2">
            <w:pPr>
              <w:jc w:val="center"/>
              <w:rPr>
                <w:rFonts w:ascii="Calibri" w:cs="Calibri" w:eastAsia="Calibri" w:hAnsi="Calibri"/>
                <w:sz w:val="22"/>
                <w:szCs w:val="22"/>
              </w:rPr>
            </w:pPr>
            <w:r w:rsidDel="00000000" w:rsidR="00000000" w:rsidRPr="00000000">
              <w:rPr>
                <w:rtl w:val="0"/>
              </w:rPr>
              <w:t xml:space="preserve">Opening Payables ($m)</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B3">
            <w:pPr>
              <w:jc w:val="center"/>
              <w:rPr>
                <w:rFonts w:ascii="Calibri" w:cs="Calibri" w:eastAsia="Calibri" w:hAnsi="Calibri"/>
                <w:sz w:val="22"/>
                <w:szCs w:val="22"/>
              </w:rPr>
            </w:pPr>
            <w:r w:rsidDel="00000000" w:rsidR="00000000" w:rsidRPr="00000000">
              <w:rPr>
                <w:rtl w:val="0"/>
              </w:rPr>
              <w:t xml:space="preserve">I</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B4">
            <w:pPr>
              <w:jc w:val="center"/>
              <w:rPr>
                <w:rFonts w:ascii="Calibri" w:cs="Calibri" w:eastAsia="Calibri" w:hAnsi="Calibri"/>
                <w:sz w:val="22"/>
                <w:szCs w:val="22"/>
              </w:rPr>
            </w:pPr>
            <w:r w:rsidDel="00000000" w:rsidR="00000000" w:rsidRPr="00000000">
              <w:rPr>
                <w:rtl w:val="0"/>
              </w:rPr>
              <w:t xml:space="preserve">527.00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B5">
            <w:pPr>
              <w:jc w:val="center"/>
              <w:rPr>
                <w:rFonts w:ascii="Calibri" w:cs="Calibri" w:eastAsia="Calibri" w:hAnsi="Calibri"/>
                <w:sz w:val="22"/>
                <w:szCs w:val="22"/>
              </w:rPr>
            </w:pPr>
            <w:r w:rsidDel="00000000" w:rsidR="00000000" w:rsidRPr="00000000">
              <w:rPr>
                <w:rtl w:val="0"/>
              </w:rPr>
              <w:t xml:space="preserve">726.00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B6">
            <w:pPr>
              <w:jc w:val="center"/>
              <w:rPr>
                <w:rFonts w:ascii="Calibri" w:cs="Calibri" w:eastAsia="Calibri" w:hAnsi="Calibri"/>
                <w:sz w:val="22"/>
                <w:szCs w:val="22"/>
              </w:rPr>
            </w:pPr>
            <w:r w:rsidDel="00000000" w:rsidR="00000000" w:rsidRPr="00000000">
              <w:rPr>
                <w:rtl w:val="0"/>
              </w:rPr>
              <w:t xml:space="preserve">746.00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B7">
            <w:pPr>
              <w:jc w:val="center"/>
              <w:rPr>
                <w:rFonts w:ascii="Calibri" w:cs="Calibri" w:eastAsia="Calibri" w:hAnsi="Calibri"/>
                <w:sz w:val="22"/>
                <w:szCs w:val="22"/>
              </w:rPr>
            </w:pPr>
            <w:r w:rsidDel="00000000" w:rsidR="00000000" w:rsidRPr="00000000">
              <w:rPr>
                <w:rtl w:val="0"/>
              </w:rPr>
              <w:t xml:space="preserve">738.00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B8">
            <w:pPr>
              <w:jc w:val="center"/>
              <w:rPr>
                <w:rFonts w:ascii="Calibri" w:cs="Calibri" w:eastAsia="Calibri" w:hAnsi="Calibri"/>
                <w:sz w:val="22"/>
                <w:szCs w:val="22"/>
              </w:rPr>
            </w:pPr>
            <w:r w:rsidDel="00000000" w:rsidR="00000000" w:rsidRPr="00000000">
              <w:rPr>
                <w:rtl w:val="0"/>
              </w:rPr>
              <w:t xml:space="preserve">763.00</w:t>
            </w:r>
            <w:r w:rsidDel="00000000" w:rsidR="00000000" w:rsidRPr="00000000">
              <w:rPr>
                <w:rtl w:val="0"/>
              </w:rPr>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B9">
            <w:pPr>
              <w:jc w:val="center"/>
              <w:rPr>
                <w:rFonts w:ascii="Calibri" w:cs="Calibri" w:eastAsia="Calibri" w:hAnsi="Calibri"/>
                <w:sz w:val="22"/>
                <w:szCs w:val="22"/>
              </w:rPr>
            </w:pPr>
            <w:r w:rsidDel="00000000" w:rsidR="00000000" w:rsidRPr="00000000">
              <w:rPr>
                <w:rtl w:val="0"/>
              </w:rPr>
              <w:t xml:space="preserve">Closing Payables ($m)</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BA">
            <w:pPr>
              <w:jc w:val="center"/>
              <w:rPr>
                <w:rFonts w:ascii="Calibri" w:cs="Calibri" w:eastAsia="Calibri" w:hAnsi="Calibri"/>
                <w:sz w:val="22"/>
                <w:szCs w:val="22"/>
              </w:rPr>
            </w:pPr>
            <w:r w:rsidDel="00000000" w:rsidR="00000000" w:rsidRPr="00000000">
              <w:rPr>
                <w:rtl w:val="0"/>
              </w:rPr>
              <w:t xml:space="preserve">J</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BB">
            <w:pPr>
              <w:jc w:val="center"/>
              <w:rPr>
                <w:rFonts w:ascii="Calibri" w:cs="Calibri" w:eastAsia="Calibri" w:hAnsi="Calibri"/>
                <w:sz w:val="22"/>
                <w:szCs w:val="22"/>
              </w:rPr>
            </w:pPr>
            <w:r w:rsidDel="00000000" w:rsidR="00000000" w:rsidRPr="00000000">
              <w:rPr>
                <w:rtl w:val="0"/>
              </w:rPr>
              <w:t xml:space="preserve">726.00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BC">
            <w:pPr>
              <w:jc w:val="center"/>
              <w:rPr>
                <w:rFonts w:ascii="Calibri" w:cs="Calibri" w:eastAsia="Calibri" w:hAnsi="Calibri"/>
                <w:sz w:val="22"/>
                <w:szCs w:val="22"/>
              </w:rPr>
            </w:pPr>
            <w:r w:rsidDel="00000000" w:rsidR="00000000" w:rsidRPr="00000000">
              <w:rPr>
                <w:rtl w:val="0"/>
              </w:rPr>
              <w:t xml:space="preserve">746.00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BD">
            <w:pPr>
              <w:jc w:val="center"/>
              <w:rPr>
                <w:rFonts w:ascii="Calibri" w:cs="Calibri" w:eastAsia="Calibri" w:hAnsi="Calibri"/>
                <w:sz w:val="22"/>
                <w:szCs w:val="22"/>
              </w:rPr>
            </w:pPr>
            <w:r w:rsidDel="00000000" w:rsidR="00000000" w:rsidRPr="00000000">
              <w:rPr>
                <w:rtl w:val="0"/>
              </w:rPr>
              <w:t xml:space="preserve">738.00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BE">
            <w:pPr>
              <w:jc w:val="center"/>
              <w:rPr>
                <w:rFonts w:ascii="Calibri" w:cs="Calibri" w:eastAsia="Calibri" w:hAnsi="Calibri"/>
                <w:sz w:val="22"/>
                <w:szCs w:val="22"/>
              </w:rPr>
            </w:pPr>
            <w:r w:rsidDel="00000000" w:rsidR="00000000" w:rsidRPr="00000000">
              <w:rPr>
                <w:rtl w:val="0"/>
              </w:rPr>
              <w:t xml:space="preserve">763.00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BF">
            <w:pPr>
              <w:jc w:val="center"/>
              <w:rPr>
                <w:rFonts w:ascii="Calibri" w:cs="Calibri" w:eastAsia="Calibri" w:hAnsi="Calibri"/>
                <w:sz w:val="22"/>
                <w:szCs w:val="22"/>
              </w:rPr>
            </w:pPr>
            <w:r w:rsidDel="00000000" w:rsidR="00000000" w:rsidRPr="00000000">
              <w:rPr>
                <w:rtl w:val="0"/>
              </w:rPr>
              <w:t xml:space="preserve">814.00</w:t>
            </w:r>
            <w:r w:rsidDel="00000000" w:rsidR="00000000" w:rsidRPr="00000000">
              <w:rPr>
                <w:rtl w:val="0"/>
              </w:rPr>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C0">
            <w:pPr>
              <w:jc w:val="center"/>
              <w:rPr>
                <w:rFonts w:ascii="Calibri" w:cs="Calibri" w:eastAsia="Calibri" w:hAnsi="Calibri"/>
                <w:sz w:val="22"/>
                <w:szCs w:val="22"/>
              </w:rPr>
            </w:pPr>
            <w:r w:rsidDel="00000000" w:rsidR="00000000" w:rsidRPr="00000000">
              <w:rPr>
                <w:rtl w:val="0"/>
              </w:rPr>
              <w:t xml:space="preserve">Average Payables ($m)</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C1">
            <w:pPr>
              <w:jc w:val="center"/>
              <w:rPr>
                <w:rFonts w:ascii="Calibri" w:cs="Calibri" w:eastAsia="Calibri" w:hAnsi="Calibri"/>
                <w:sz w:val="22"/>
                <w:szCs w:val="22"/>
              </w:rPr>
            </w:pPr>
            <w:r w:rsidDel="00000000" w:rsidR="00000000" w:rsidRPr="00000000">
              <w:rPr>
                <w:rtl w:val="0"/>
              </w:rPr>
              <w:t xml:space="preserve">K=(I+J)/2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C2">
            <w:pPr>
              <w:jc w:val="center"/>
              <w:rPr>
                <w:rFonts w:ascii="Calibri" w:cs="Calibri" w:eastAsia="Calibri" w:hAnsi="Calibri"/>
                <w:sz w:val="22"/>
                <w:szCs w:val="22"/>
              </w:rPr>
            </w:pPr>
            <w:r w:rsidDel="00000000" w:rsidR="00000000" w:rsidRPr="00000000">
              <w:rPr>
                <w:rtl w:val="0"/>
              </w:rPr>
              <w:t xml:space="preserve">626.50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C3">
            <w:pPr>
              <w:jc w:val="center"/>
              <w:rPr>
                <w:rFonts w:ascii="Calibri" w:cs="Calibri" w:eastAsia="Calibri" w:hAnsi="Calibri"/>
                <w:sz w:val="22"/>
                <w:szCs w:val="22"/>
              </w:rPr>
            </w:pPr>
            <w:r w:rsidDel="00000000" w:rsidR="00000000" w:rsidRPr="00000000">
              <w:rPr>
                <w:rtl w:val="0"/>
              </w:rPr>
              <w:t xml:space="preserve">736.00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C4">
            <w:pPr>
              <w:jc w:val="center"/>
              <w:rPr>
                <w:rFonts w:ascii="Calibri" w:cs="Calibri" w:eastAsia="Calibri" w:hAnsi="Calibri"/>
                <w:sz w:val="22"/>
                <w:szCs w:val="22"/>
              </w:rPr>
            </w:pPr>
            <w:r w:rsidDel="00000000" w:rsidR="00000000" w:rsidRPr="00000000">
              <w:rPr>
                <w:rtl w:val="0"/>
              </w:rPr>
              <w:t xml:space="preserve">742.00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C5">
            <w:pPr>
              <w:jc w:val="center"/>
              <w:rPr>
                <w:rFonts w:ascii="Calibri" w:cs="Calibri" w:eastAsia="Calibri" w:hAnsi="Calibri"/>
                <w:sz w:val="22"/>
                <w:szCs w:val="22"/>
              </w:rPr>
            </w:pPr>
            <w:r w:rsidDel="00000000" w:rsidR="00000000" w:rsidRPr="00000000">
              <w:rPr>
                <w:rtl w:val="0"/>
              </w:rPr>
              <w:t xml:space="preserve">750.50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C6">
            <w:pPr>
              <w:jc w:val="center"/>
              <w:rPr>
                <w:rFonts w:ascii="Calibri" w:cs="Calibri" w:eastAsia="Calibri" w:hAnsi="Calibri"/>
                <w:sz w:val="22"/>
                <w:szCs w:val="22"/>
              </w:rPr>
            </w:pPr>
            <w:r w:rsidDel="00000000" w:rsidR="00000000" w:rsidRPr="00000000">
              <w:rPr>
                <w:rtl w:val="0"/>
              </w:rPr>
              <w:t xml:space="preserve">788.50</w:t>
            </w:r>
            <w:r w:rsidDel="00000000" w:rsidR="00000000" w:rsidRPr="00000000">
              <w:rPr>
                <w:rtl w:val="0"/>
              </w:rPr>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C7">
            <w:pPr>
              <w:jc w:val="center"/>
              <w:rPr>
                <w:rFonts w:ascii="Calibri" w:cs="Calibri" w:eastAsia="Calibri" w:hAnsi="Calibri"/>
                <w:sz w:val="22"/>
                <w:szCs w:val="22"/>
              </w:rPr>
            </w:pPr>
            <w:r w:rsidDel="00000000" w:rsidR="00000000" w:rsidRPr="00000000">
              <w:rPr>
                <w:b w:val="1"/>
                <w:rtl w:val="0"/>
              </w:rPr>
              <w:t xml:space="preserve">Receivables Turnover Days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C8">
            <w:pPr>
              <w:jc w:val="center"/>
              <w:rPr>
                <w:rFonts w:ascii="Calibri" w:cs="Calibri" w:eastAsia="Calibri" w:hAnsi="Calibri"/>
                <w:sz w:val="22"/>
                <w:szCs w:val="22"/>
              </w:rPr>
            </w:pPr>
            <w:r w:rsidDel="00000000" w:rsidR="00000000" w:rsidRPr="00000000">
              <w:rPr>
                <w:b w:val="1"/>
                <w:rtl w:val="0"/>
              </w:rPr>
              <w:t xml:space="preserve">365/(A/H)</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C9">
            <w:pPr>
              <w:jc w:val="center"/>
              <w:rPr>
                <w:rFonts w:ascii="Calibri" w:cs="Calibri" w:eastAsia="Calibri" w:hAnsi="Calibri"/>
                <w:sz w:val="22"/>
                <w:szCs w:val="22"/>
              </w:rPr>
            </w:pPr>
            <w:r w:rsidDel="00000000" w:rsidR="00000000" w:rsidRPr="00000000">
              <w:rPr>
                <w:b w:val="1"/>
                <w:rtl w:val="0"/>
              </w:rPr>
              <w:t xml:space="preserve">49</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CA">
            <w:pPr>
              <w:jc w:val="center"/>
              <w:rPr>
                <w:rFonts w:ascii="Calibri" w:cs="Calibri" w:eastAsia="Calibri" w:hAnsi="Calibri"/>
                <w:sz w:val="22"/>
                <w:szCs w:val="22"/>
              </w:rPr>
            </w:pPr>
            <w:r w:rsidDel="00000000" w:rsidR="00000000" w:rsidRPr="00000000">
              <w:rPr>
                <w:b w:val="1"/>
                <w:rtl w:val="0"/>
              </w:rPr>
              <w:t xml:space="preserve">40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CB">
            <w:pPr>
              <w:jc w:val="center"/>
              <w:rPr>
                <w:rFonts w:ascii="Calibri" w:cs="Calibri" w:eastAsia="Calibri" w:hAnsi="Calibri"/>
                <w:sz w:val="22"/>
                <w:szCs w:val="22"/>
              </w:rPr>
            </w:pPr>
            <w:r w:rsidDel="00000000" w:rsidR="00000000" w:rsidRPr="00000000">
              <w:rPr>
                <w:b w:val="1"/>
                <w:rtl w:val="0"/>
              </w:rPr>
              <w:t xml:space="preserve">41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CC">
            <w:pPr>
              <w:jc w:val="center"/>
              <w:rPr>
                <w:rFonts w:ascii="Calibri" w:cs="Calibri" w:eastAsia="Calibri" w:hAnsi="Calibri"/>
                <w:sz w:val="22"/>
                <w:szCs w:val="22"/>
              </w:rPr>
            </w:pPr>
            <w:r w:rsidDel="00000000" w:rsidR="00000000" w:rsidRPr="00000000">
              <w:rPr>
                <w:b w:val="1"/>
                <w:rtl w:val="0"/>
              </w:rPr>
              <w:t xml:space="preserve">40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CD">
            <w:pPr>
              <w:jc w:val="center"/>
              <w:rPr>
                <w:rFonts w:ascii="Calibri" w:cs="Calibri" w:eastAsia="Calibri" w:hAnsi="Calibri"/>
                <w:sz w:val="22"/>
                <w:szCs w:val="22"/>
              </w:rPr>
            </w:pPr>
            <w:r w:rsidDel="00000000" w:rsidR="00000000" w:rsidRPr="00000000">
              <w:rPr>
                <w:b w:val="1"/>
                <w:rtl w:val="0"/>
              </w:rPr>
              <w:t xml:space="preserve">40</w:t>
            </w:r>
            <w:r w:rsidDel="00000000" w:rsidR="00000000" w:rsidRPr="00000000">
              <w:rPr>
                <w:rtl w:val="0"/>
              </w:rPr>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CE">
            <w:pPr>
              <w:jc w:val="center"/>
              <w:rPr>
                <w:rFonts w:ascii="Calibri" w:cs="Calibri" w:eastAsia="Calibri" w:hAnsi="Calibri"/>
                <w:sz w:val="22"/>
                <w:szCs w:val="22"/>
              </w:rPr>
            </w:pPr>
            <w:r w:rsidDel="00000000" w:rsidR="00000000" w:rsidRPr="00000000">
              <w:rPr>
                <w:b w:val="1"/>
                <w:rtl w:val="0"/>
              </w:rPr>
              <w:t xml:space="preserve">Payables Turnover Days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CF">
            <w:pPr>
              <w:jc w:val="center"/>
              <w:rPr>
                <w:rFonts w:ascii="Calibri" w:cs="Calibri" w:eastAsia="Calibri" w:hAnsi="Calibri"/>
                <w:sz w:val="22"/>
                <w:szCs w:val="22"/>
              </w:rPr>
            </w:pPr>
            <w:r w:rsidDel="00000000" w:rsidR="00000000" w:rsidRPr="00000000">
              <w:rPr>
                <w:b w:val="1"/>
                <w:rtl w:val="0"/>
              </w:rPr>
              <w:t xml:space="preserve">365/(B/K)</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D0">
            <w:pPr>
              <w:jc w:val="center"/>
              <w:rPr>
                <w:rFonts w:ascii="Calibri" w:cs="Calibri" w:eastAsia="Calibri" w:hAnsi="Calibri"/>
                <w:sz w:val="22"/>
                <w:szCs w:val="22"/>
              </w:rPr>
            </w:pPr>
            <w:r w:rsidDel="00000000" w:rsidR="00000000" w:rsidRPr="00000000">
              <w:rPr>
                <w:b w:val="1"/>
                <w:rtl w:val="0"/>
              </w:rPr>
              <w:t xml:space="preserve">19</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D1">
            <w:pPr>
              <w:jc w:val="center"/>
              <w:rPr>
                <w:rFonts w:ascii="Calibri" w:cs="Calibri" w:eastAsia="Calibri" w:hAnsi="Calibri"/>
                <w:sz w:val="22"/>
                <w:szCs w:val="22"/>
              </w:rPr>
            </w:pPr>
            <w:r w:rsidDel="00000000" w:rsidR="00000000" w:rsidRPr="00000000">
              <w:rPr>
                <w:b w:val="1"/>
                <w:rtl w:val="0"/>
              </w:rPr>
              <w:t xml:space="preserve">16</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D2">
            <w:pPr>
              <w:jc w:val="center"/>
              <w:rPr>
                <w:rFonts w:ascii="Calibri" w:cs="Calibri" w:eastAsia="Calibri" w:hAnsi="Calibri"/>
                <w:sz w:val="22"/>
                <w:szCs w:val="22"/>
              </w:rPr>
            </w:pPr>
            <w:r w:rsidDel="00000000" w:rsidR="00000000" w:rsidRPr="00000000">
              <w:rPr>
                <w:b w:val="1"/>
                <w:rtl w:val="0"/>
              </w:rPr>
              <w:t xml:space="preserve">14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D3">
            <w:pPr>
              <w:jc w:val="center"/>
              <w:rPr>
                <w:rFonts w:ascii="Calibri" w:cs="Calibri" w:eastAsia="Calibri" w:hAnsi="Calibri"/>
                <w:sz w:val="22"/>
                <w:szCs w:val="22"/>
              </w:rPr>
            </w:pPr>
            <w:r w:rsidDel="00000000" w:rsidR="00000000" w:rsidRPr="00000000">
              <w:rPr>
                <w:b w:val="1"/>
                <w:rtl w:val="0"/>
              </w:rPr>
              <w:t xml:space="preserve">13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D4">
            <w:pPr>
              <w:jc w:val="center"/>
              <w:rPr>
                <w:rFonts w:ascii="Calibri" w:cs="Calibri" w:eastAsia="Calibri" w:hAnsi="Calibri"/>
                <w:sz w:val="22"/>
                <w:szCs w:val="22"/>
              </w:rPr>
            </w:pPr>
            <w:r w:rsidDel="00000000" w:rsidR="00000000" w:rsidRPr="00000000">
              <w:rPr>
                <w:b w:val="1"/>
                <w:rtl w:val="0"/>
              </w:rPr>
              <w:t xml:space="preserve">13</w:t>
            </w:r>
            <w:r w:rsidDel="00000000" w:rsidR="00000000" w:rsidRPr="00000000">
              <w:rPr>
                <w:rtl w:val="0"/>
              </w:rPr>
            </w:r>
          </w:p>
        </w:tc>
      </w:tr>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2D5">
            <w:pPr>
              <w:rPr>
                <w:rFonts w:ascii="Calibri" w:cs="Calibri" w:eastAsia="Calibri" w:hAnsi="Calibri"/>
                <w:sz w:val="22"/>
                <w:szCs w:val="22"/>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2D6">
            <w:pPr>
              <w:rPr>
                <w:rFonts w:ascii="Calibri" w:cs="Calibri" w:eastAsia="Calibri" w:hAnsi="Calibri"/>
                <w:sz w:val="22"/>
                <w:szCs w:val="22"/>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2D7">
            <w:pPr>
              <w:rPr>
                <w:rFonts w:ascii="Calibri" w:cs="Calibri" w:eastAsia="Calibri" w:hAnsi="Calibri"/>
                <w:sz w:val="22"/>
                <w:szCs w:val="22"/>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2D8">
            <w:pPr>
              <w:rPr>
                <w:rFonts w:ascii="Calibri" w:cs="Calibri" w:eastAsia="Calibri" w:hAnsi="Calibri"/>
                <w:sz w:val="22"/>
                <w:szCs w:val="22"/>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2D9">
            <w:pPr>
              <w:rPr>
                <w:rFonts w:ascii="Calibri" w:cs="Calibri" w:eastAsia="Calibri" w:hAnsi="Calibri"/>
                <w:sz w:val="22"/>
                <w:szCs w:val="22"/>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2DA">
            <w:pPr>
              <w:rPr>
                <w:rFonts w:ascii="Calibri" w:cs="Calibri" w:eastAsia="Calibri" w:hAnsi="Calibri"/>
                <w:sz w:val="22"/>
                <w:szCs w:val="22"/>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2DB">
            <w:pPr>
              <w:rPr>
                <w:rFonts w:ascii="Calibri" w:cs="Calibri" w:eastAsia="Calibri" w:hAnsi="Calibri"/>
                <w:sz w:val="22"/>
                <w:szCs w:val="22"/>
              </w:rPr>
            </w:pPr>
            <w:r w:rsidDel="00000000" w:rsidR="00000000" w:rsidRPr="00000000">
              <w:rPr>
                <w:rtl w:val="0"/>
              </w:rPr>
            </w:r>
          </w:p>
        </w:tc>
      </w:tr>
      <w:tr>
        <w:trPr>
          <w:cantSplit w:val="0"/>
          <w:trHeight w:val="315" w:hRule="atLeast"/>
          <w:tblHeader w:val="0"/>
        </w:trPr>
        <w:tc>
          <w:tcPr>
            <w:gridSpan w:val="7"/>
            <w:tcBorders>
              <w:top w:color="cccccc" w:space="0" w:sz="6" w:val="single"/>
              <w:left w:color="cccccc" w:space="0" w:sz="6" w:val="single"/>
              <w:bottom w:color="000000"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2DC">
            <w:pPr>
              <w:jc w:val="center"/>
              <w:rPr>
                <w:rFonts w:ascii="Calibri" w:cs="Calibri" w:eastAsia="Calibri" w:hAnsi="Calibri"/>
                <w:sz w:val="22"/>
                <w:szCs w:val="22"/>
              </w:rPr>
            </w:pPr>
            <w:r w:rsidDel="00000000" w:rsidR="00000000" w:rsidRPr="00000000">
              <w:rPr>
                <w:b w:val="1"/>
                <w:rtl w:val="0"/>
              </w:rPr>
              <w:t xml:space="preserve">Investment Ratios:-</w:t>
            </w:r>
            <w:r w:rsidDel="00000000" w:rsidR="00000000" w:rsidRPr="00000000">
              <w:rPr>
                <w:rtl w:val="0"/>
              </w:rPr>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E3">
            <w:pPr>
              <w:jc w:val="center"/>
              <w:rPr>
                <w:rFonts w:ascii="Calibri" w:cs="Calibri" w:eastAsia="Calibri" w:hAnsi="Calibri"/>
                <w:sz w:val="22"/>
                <w:szCs w:val="22"/>
              </w:rPr>
            </w:pPr>
            <w:r w:rsidDel="00000000" w:rsidR="00000000" w:rsidRPr="00000000">
              <w:rPr>
                <w:b w:val="1"/>
                <w:rtl w:val="0"/>
              </w:rPr>
              <w:t xml:space="preserve">Particulars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E4">
            <w:pPr>
              <w:jc w:val="center"/>
              <w:rPr>
                <w:rFonts w:ascii="Calibri" w:cs="Calibri" w:eastAsia="Calibri" w:hAnsi="Calibri"/>
                <w:sz w:val="22"/>
                <w:szCs w:val="22"/>
              </w:rPr>
            </w:pPr>
            <w:r w:rsidDel="00000000" w:rsidR="00000000" w:rsidRPr="00000000">
              <w:rPr>
                <w:b w:val="1"/>
                <w:rtl w:val="0"/>
              </w:rPr>
              <w:t xml:space="preserve">Details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E5">
            <w:pPr>
              <w:jc w:val="center"/>
              <w:rPr>
                <w:rFonts w:ascii="Calibri" w:cs="Calibri" w:eastAsia="Calibri" w:hAnsi="Calibri"/>
                <w:sz w:val="22"/>
                <w:szCs w:val="22"/>
              </w:rPr>
            </w:pPr>
            <w:r w:rsidDel="00000000" w:rsidR="00000000" w:rsidRPr="00000000">
              <w:rPr>
                <w:b w:val="1"/>
                <w:rtl w:val="0"/>
              </w:rPr>
              <w:t xml:space="preserve">2021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E6">
            <w:pPr>
              <w:jc w:val="center"/>
              <w:rPr>
                <w:rFonts w:ascii="Calibri" w:cs="Calibri" w:eastAsia="Calibri" w:hAnsi="Calibri"/>
                <w:sz w:val="22"/>
                <w:szCs w:val="22"/>
              </w:rPr>
            </w:pPr>
            <w:r w:rsidDel="00000000" w:rsidR="00000000" w:rsidRPr="00000000">
              <w:rPr>
                <w:b w:val="1"/>
                <w:rtl w:val="0"/>
              </w:rPr>
              <w:t xml:space="preserve">2022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E7">
            <w:pPr>
              <w:jc w:val="center"/>
              <w:rPr>
                <w:rFonts w:ascii="Calibri" w:cs="Calibri" w:eastAsia="Calibri" w:hAnsi="Calibri"/>
                <w:sz w:val="22"/>
                <w:szCs w:val="22"/>
              </w:rPr>
            </w:pPr>
            <w:r w:rsidDel="00000000" w:rsidR="00000000" w:rsidRPr="00000000">
              <w:rPr>
                <w:b w:val="1"/>
                <w:rtl w:val="0"/>
              </w:rPr>
              <w:t xml:space="preserve">2023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E8">
            <w:pPr>
              <w:jc w:val="center"/>
              <w:rPr>
                <w:rFonts w:ascii="Calibri" w:cs="Calibri" w:eastAsia="Calibri" w:hAnsi="Calibri"/>
                <w:sz w:val="22"/>
                <w:szCs w:val="22"/>
              </w:rPr>
            </w:pPr>
            <w:r w:rsidDel="00000000" w:rsidR="00000000" w:rsidRPr="00000000">
              <w:rPr>
                <w:b w:val="1"/>
                <w:rtl w:val="0"/>
              </w:rPr>
              <w:t xml:space="preserve">2024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E9">
            <w:pPr>
              <w:jc w:val="center"/>
              <w:rPr>
                <w:rFonts w:ascii="Calibri" w:cs="Calibri" w:eastAsia="Calibri" w:hAnsi="Calibri"/>
                <w:sz w:val="22"/>
                <w:szCs w:val="22"/>
              </w:rPr>
            </w:pPr>
            <w:r w:rsidDel="00000000" w:rsidR="00000000" w:rsidRPr="00000000">
              <w:rPr>
                <w:b w:val="1"/>
                <w:rtl w:val="0"/>
              </w:rPr>
              <w:t xml:space="preserve">2025</w:t>
            </w:r>
            <w:r w:rsidDel="00000000" w:rsidR="00000000" w:rsidRPr="00000000">
              <w:rPr>
                <w:rtl w:val="0"/>
              </w:rPr>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EA">
            <w:pPr>
              <w:jc w:val="center"/>
              <w:rPr>
                <w:rFonts w:ascii="Calibri" w:cs="Calibri" w:eastAsia="Calibri" w:hAnsi="Calibri"/>
                <w:sz w:val="22"/>
                <w:szCs w:val="22"/>
              </w:rPr>
            </w:pPr>
            <w:r w:rsidDel="00000000" w:rsidR="00000000" w:rsidRPr="00000000">
              <w:rPr>
                <w:rtl w:val="0"/>
              </w:rPr>
              <w:t xml:space="preserve">No Of Share (m)</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EB">
            <w:pPr>
              <w:jc w:val="center"/>
              <w:rPr>
                <w:rFonts w:ascii="Calibri" w:cs="Calibri" w:eastAsia="Calibri" w:hAnsi="Calibri"/>
                <w:sz w:val="22"/>
                <w:szCs w:val="22"/>
              </w:rPr>
            </w:pPr>
            <w:r w:rsidDel="00000000" w:rsidR="00000000" w:rsidRPr="00000000">
              <w:rPr>
                <w:rtl w:val="0"/>
              </w:rPr>
              <w:t xml:space="preserve">A</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EC">
            <w:pPr>
              <w:jc w:val="center"/>
              <w:rPr>
                <w:rFonts w:ascii="Calibri" w:cs="Calibri" w:eastAsia="Calibri" w:hAnsi="Calibri"/>
                <w:sz w:val="22"/>
                <w:szCs w:val="22"/>
              </w:rPr>
            </w:pPr>
            <w:r w:rsidDel="00000000" w:rsidR="00000000" w:rsidRPr="00000000">
              <w:rPr>
                <w:rtl w:val="0"/>
              </w:rPr>
              <w:t xml:space="preserve">326.00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ED">
            <w:pPr>
              <w:jc w:val="center"/>
              <w:rPr>
                <w:rFonts w:ascii="Calibri" w:cs="Calibri" w:eastAsia="Calibri" w:hAnsi="Calibri"/>
                <w:sz w:val="22"/>
                <w:szCs w:val="22"/>
              </w:rPr>
            </w:pPr>
            <w:r w:rsidDel="00000000" w:rsidR="00000000" w:rsidRPr="00000000">
              <w:rPr>
                <w:rtl w:val="0"/>
              </w:rPr>
              <w:t xml:space="preserve">326.00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EE">
            <w:pPr>
              <w:jc w:val="center"/>
              <w:rPr>
                <w:rFonts w:ascii="Calibri" w:cs="Calibri" w:eastAsia="Calibri" w:hAnsi="Calibri"/>
                <w:sz w:val="22"/>
                <w:szCs w:val="22"/>
              </w:rPr>
            </w:pPr>
            <w:r w:rsidDel="00000000" w:rsidR="00000000" w:rsidRPr="00000000">
              <w:rPr>
                <w:rtl w:val="0"/>
              </w:rPr>
              <w:t xml:space="preserve">303.00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EF">
            <w:pPr>
              <w:jc w:val="center"/>
              <w:rPr>
                <w:rFonts w:ascii="Calibri" w:cs="Calibri" w:eastAsia="Calibri" w:hAnsi="Calibri"/>
                <w:sz w:val="22"/>
                <w:szCs w:val="22"/>
              </w:rPr>
            </w:pPr>
            <w:r w:rsidDel="00000000" w:rsidR="00000000" w:rsidRPr="00000000">
              <w:rPr>
                <w:rtl w:val="0"/>
              </w:rPr>
              <w:t xml:space="preserve">285.00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F0">
            <w:pPr>
              <w:jc w:val="center"/>
              <w:rPr>
                <w:rFonts w:ascii="Calibri" w:cs="Calibri" w:eastAsia="Calibri" w:hAnsi="Calibri"/>
                <w:sz w:val="22"/>
                <w:szCs w:val="22"/>
              </w:rPr>
            </w:pPr>
            <w:r w:rsidDel="00000000" w:rsidR="00000000" w:rsidRPr="00000000">
              <w:rPr>
                <w:rtl w:val="0"/>
              </w:rPr>
              <w:t xml:space="preserve">274.00</w:t>
            </w:r>
            <w:r w:rsidDel="00000000" w:rsidR="00000000" w:rsidRPr="00000000">
              <w:rPr>
                <w:rtl w:val="0"/>
              </w:rPr>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F1">
            <w:pPr>
              <w:jc w:val="center"/>
              <w:rPr>
                <w:rFonts w:ascii="Calibri" w:cs="Calibri" w:eastAsia="Calibri" w:hAnsi="Calibri"/>
                <w:sz w:val="22"/>
                <w:szCs w:val="22"/>
              </w:rPr>
            </w:pPr>
            <w:r w:rsidDel="00000000" w:rsidR="00000000" w:rsidRPr="00000000">
              <w:rPr>
                <w:rtl w:val="0"/>
              </w:rPr>
              <w:t xml:space="preserve">Net Income ($m)</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F2">
            <w:pPr>
              <w:jc w:val="center"/>
              <w:rPr>
                <w:rFonts w:ascii="Calibri" w:cs="Calibri" w:eastAsia="Calibri" w:hAnsi="Calibri"/>
                <w:sz w:val="22"/>
                <w:szCs w:val="22"/>
              </w:rPr>
            </w:pPr>
            <w:r w:rsidDel="00000000" w:rsidR="00000000" w:rsidRPr="00000000">
              <w:rPr>
                <w:rtl w:val="0"/>
              </w:rPr>
              <w:t xml:space="preserve">B</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F3">
            <w:pPr>
              <w:jc w:val="center"/>
              <w:rPr>
                <w:rFonts w:ascii="Calibri" w:cs="Calibri" w:eastAsia="Calibri" w:hAnsi="Calibri"/>
                <w:sz w:val="22"/>
                <w:szCs w:val="22"/>
              </w:rPr>
            </w:pPr>
            <w:r w:rsidDel="00000000" w:rsidR="00000000" w:rsidRPr="00000000">
              <w:rPr>
                <w:rtl w:val="0"/>
              </w:rPr>
              <w:t xml:space="preserve">1,099.00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F4">
            <w:pPr>
              <w:jc w:val="center"/>
              <w:rPr>
                <w:rFonts w:ascii="Calibri" w:cs="Calibri" w:eastAsia="Calibri" w:hAnsi="Calibri"/>
                <w:sz w:val="22"/>
                <w:szCs w:val="22"/>
              </w:rPr>
            </w:pPr>
            <w:r w:rsidDel="00000000" w:rsidR="00000000" w:rsidRPr="00000000">
              <w:rPr>
                <w:rtl w:val="0"/>
              </w:rPr>
              <w:t xml:space="preserve">2,358.00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F5">
            <w:pPr>
              <w:jc w:val="center"/>
              <w:rPr>
                <w:rFonts w:ascii="Calibri" w:cs="Calibri" w:eastAsia="Calibri" w:hAnsi="Calibri"/>
                <w:sz w:val="22"/>
                <w:szCs w:val="22"/>
              </w:rPr>
            </w:pPr>
            <w:r w:rsidDel="00000000" w:rsidR="00000000" w:rsidRPr="00000000">
              <w:rPr>
                <w:rtl w:val="0"/>
              </w:rPr>
              <w:t xml:space="preserve">3,083.00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F6">
            <w:pPr>
              <w:jc w:val="center"/>
              <w:rPr>
                <w:rFonts w:ascii="Calibri" w:cs="Calibri" w:eastAsia="Calibri" w:hAnsi="Calibri"/>
                <w:sz w:val="22"/>
                <w:szCs w:val="22"/>
              </w:rPr>
            </w:pPr>
            <w:r w:rsidDel="00000000" w:rsidR="00000000" w:rsidRPr="00000000">
              <w:rPr>
                <w:rtl w:val="0"/>
              </w:rPr>
              <w:t xml:space="preserve">2,375.00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F7">
            <w:pPr>
              <w:jc w:val="center"/>
              <w:rPr>
                <w:rFonts w:ascii="Calibri" w:cs="Calibri" w:eastAsia="Calibri" w:hAnsi="Calibri"/>
                <w:sz w:val="22"/>
                <w:szCs w:val="22"/>
              </w:rPr>
            </w:pPr>
            <w:r w:rsidDel="00000000" w:rsidR="00000000" w:rsidRPr="00000000">
              <w:rPr>
                <w:rtl w:val="0"/>
              </w:rPr>
              <w:t xml:space="preserve">2,601.00</w:t>
            </w:r>
            <w:r w:rsidDel="00000000" w:rsidR="00000000" w:rsidRPr="00000000">
              <w:rPr>
                <w:rtl w:val="0"/>
              </w:rPr>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F8">
            <w:pPr>
              <w:jc w:val="center"/>
              <w:rPr>
                <w:rFonts w:ascii="Calibri" w:cs="Calibri" w:eastAsia="Calibri" w:hAnsi="Calibri"/>
                <w:sz w:val="22"/>
                <w:szCs w:val="22"/>
              </w:rPr>
            </w:pPr>
            <w:r w:rsidDel="00000000" w:rsidR="00000000" w:rsidRPr="00000000">
              <w:rPr>
                <w:b w:val="1"/>
                <w:rtl w:val="0"/>
              </w:rPr>
              <w:t xml:space="preserve">Earning Per Share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F9">
            <w:pPr>
              <w:jc w:val="center"/>
              <w:rPr>
                <w:rFonts w:ascii="Calibri" w:cs="Calibri" w:eastAsia="Calibri" w:hAnsi="Calibri"/>
                <w:sz w:val="22"/>
                <w:szCs w:val="22"/>
              </w:rPr>
            </w:pPr>
            <w:r w:rsidDel="00000000" w:rsidR="00000000" w:rsidRPr="00000000">
              <w:rPr>
                <w:b w:val="1"/>
                <w:rtl w:val="0"/>
              </w:rPr>
              <w:t xml:space="preserve">B/A</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FA">
            <w:pPr>
              <w:jc w:val="center"/>
              <w:rPr>
                <w:rFonts w:ascii="Calibri" w:cs="Calibri" w:eastAsia="Calibri" w:hAnsi="Calibri"/>
                <w:sz w:val="22"/>
                <w:szCs w:val="22"/>
              </w:rPr>
            </w:pPr>
            <w:r w:rsidDel="00000000" w:rsidR="00000000" w:rsidRPr="00000000">
              <w:rPr>
                <w:b w:val="1"/>
                <w:rtl w:val="0"/>
              </w:rPr>
              <w:t xml:space="preserve">3.37</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FB">
            <w:pPr>
              <w:jc w:val="center"/>
              <w:rPr>
                <w:rFonts w:ascii="Calibri" w:cs="Calibri" w:eastAsia="Calibri" w:hAnsi="Calibri"/>
                <w:sz w:val="22"/>
                <w:szCs w:val="22"/>
              </w:rPr>
            </w:pPr>
            <w:r w:rsidDel="00000000" w:rsidR="00000000" w:rsidRPr="00000000">
              <w:rPr>
                <w:b w:val="1"/>
                <w:rtl w:val="0"/>
              </w:rPr>
              <w:t xml:space="preserve">7.23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FC">
            <w:pPr>
              <w:jc w:val="center"/>
              <w:rPr>
                <w:rFonts w:ascii="Calibri" w:cs="Calibri" w:eastAsia="Calibri" w:hAnsi="Calibri"/>
                <w:sz w:val="22"/>
                <w:szCs w:val="22"/>
              </w:rPr>
            </w:pPr>
            <w:r w:rsidDel="00000000" w:rsidR="00000000" w:rsidRPr="00000000">
              <w:rPr>
                <w:b w:val="1"/>
                <w:rtl w:val="0"/>
              </w:rPr>
              <w:t xml:space="preserve">10.17</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FD">
            <w:pPr>
              <w:jc w:val="center"/>
              <w:rPr>
                <w:rFonts w:ascii="Calibri" w:cs="Calibri" w:eastAsia="Calibri" w:hAnsi="Calibri"/>
                <w:sz w:val="22"/>
                <w:szCs w:val="22"/>
              </w:rPr>
            </w:pPr>
            <w:r w:rsidDel="00000000" w:rsidR="00000000" w:rsidRPr="00000000">
              <w:rPr>
                <w:b w:val="1"/>
                <w:rtl w:val="0"/>
              </w:rPr>
              <w:t xml:space="preserve">8.33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FE">
            <w:pPr>
              <w:jc w:val="center"/>
              <w:rPr>
                <w:rFonts w:ascii="Calibri" w:cs="Calibri" w:eastAsia="Calibri" w:hAnsi="Calibri"/>
                <w:sz w:val="22"/>
                <w:szCs w:val="22"/>
              </w:rPr>
            </w:pPr>
            <w:r w:rsidDel="00000000" w:rsidR="00000000" w:rsidRPr="00000000">
              <w:rPr>
                <w:b w:val="1"/>
                <w:rtl w:val="0"/>
              </w:rPr>
              <w:t xml:space="preserve">9.49</w:t>
            </w:r>
            <w:r w:rsidDel="00000000" w:rsidR="00000000" w:rsidRPr="00000000">
              <w:rPr>
                <w:rtl w:val="0"/>
              </w:rPr>
            </w:r>
          </w:p>
        </w:tc>
      </w:tr>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2FF">
            <w:pPr>
              <w:rPr>
                <w:rFonts w:ascii="Calibri" w:cs="Calibri" w:eastAsia="Calibri" w:hAnsi="Calibri"/>
                <w:sz w:val="22"/>
                <w:szCs w:val="22"/>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300">
            <w:pPr>
              <w:rPr>
                <w:rFonts w:ascii="Calibri" w:cs="Calibri" w:eastAsia="Calibri" w:hAnsi="Calibri"/>
                <w:sz w:val="22"/>
                <w:szCs w:val="22"/>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301">
            <w:pPr>
              <w:rPr>
                <w:rFonts w:ascii="Calibri" w:cs="Calibri" w:eastAsia="Calibri" w:hAnsi="Calibri"/>
                <w:sz w:val="22"/>
                <w:szCs w:val="22"/>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302">
            <w:pPr>
              <w:rPr>
                <w:rFonts w:ascii="Calibri" w:cs="Calibri" w:eastAsia="Calibri" w:hAnsi="Calibri"/>
                <w:sz w:val="22"/>
                <w:szCs w:val="22"/>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303">
            <w:pPr>
              <w:rPr>
                <w:rFonts w:ascii="Calibri" w:cs="Calibri" w:eastAsia="Calibri" w:hAnsi="Calibri"/>
                <w:sz w:val="22"/>
                <w:szCs w:val="22"/>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304">
            <w:pPr>
              <w:rPr>
                <w:rFonts w:ascii="Calibri" w:cs="Calibri" w:eastAsia="Calibri" w:hAnsi="Calibri"/>
                <w:sz w:val="22"/>
                <w:szCs w:val="22"/>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305">
            <w:pPr>
              <w:rPr>
                <w:rFonts w:ascii="Calibri" w:cs="Calibri" w:eastAsia="Calibri" w:hAnsi="Calibri"/>
                <w:sz w:val="22"/>
                <w:szCs w:val="22"/>
              </w:rPr>
            </w:pPr>
            <w:r w:rsidDel="00000000" w:rsidR="00000000" w:rsidRPr="00000000">
              <w:rPr>
                <w:rtl w:val="0"/>
              </w:rPr>
            </w:r>
          </w:p>
        </w:tc>
      </w:tr>
      <w:tr>
        <w:trPr>
          <w:cantSplit w:val="0"/>
          <w:trHeight w:val="315" w:hRule="atLeast"/>
          <w:tblHeader w:val="0"/>
        </w:trPr>
        <w:tc>
          <w:tcPr>
            <w:gridSpan w:val="7"/>
            <w:tcBorders>
              <w:top w:color="cccccc" w:space="0" w:sz="6" w:val="single"/>
              <w:left w:color="cccccc" w:space="0" w:sz="6" w:val="single"/>
              <w:bottom w:color="000000"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306">
            <w:pPr>
              <w:jc w:val="center"/>
              <w:rPr>
                <w:rFonts w:ascii="Calibri" w:cs="Calibri" w:eastAsia="Calibri" w:hAnsi="Calibri"/>
                <w:sz w:val="22"/>
                <w:szCs w:val="22"/>
              </w:rPr>
            </w:pPr>
            <w:r w:rsidDel="00000000" w:rsidR="00000000" w:rsidRPr="00000000">
              <w:rPr>
                <w:b w:val="1"/>
                <w:rtl w:val="0"/>
              </w:rPr>
              <w:t xml:space="preserve">Cash Flow Ratios:-</w:t>
            </w:r>
            <w:r w:rsidDel="00000000" w:rsidR="00000000" w:rsidRPr="00000000">
              <w:rPr>
                <w:rtl w:val="0"/>
              </w:rPr>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30D">
            <w:pPr>
              <w:jc w:val="center"/>
              <w:rPr>
                <w:rFonts w:ascii="Calibri" w:cs="Calibri" w:eastAsia="Calibri" w:hAnsi="Calibri"/>
                <w:sz w:val="22"/>
                <w:szCs w:val="22"/>
              </w:rPr>
            </w:pPr>
            <w:r w:rsidDel="00000000" w:rsidR="00000000" w:rsidRPr="00000000">
              <w:rPr>
                <w:b w:val="1"/>
                <w:rtl w:val="0"/>
              </w:rPr>
              <w:t xml:space="preserve">Particulars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30E">
            <w:pPr>
              <w:jc w:val="center"/>
              <w:rPr>
                <w:rFonts w:ascii="Calibri" w:cs="Calibri" w:eastAsia="Calibri" w:hAnsi="Calibri"/>
                <w:sz w:val="22"/>
                <w:szCs w:val="22"/>
              </w:rPr>
            </w:pPr>
            <w:r w:rsidDel="00000000" w:rsidR="00000000" w:rsidRPr="00000000">
              <w:rPr>
                <w:b w:val="1"/>
                <w:rtl w:val="0"/>
              </w:rPr>
              <w:t xml:space="preserve">Details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30F">
            <w:pPr>
              <w:jc w:val="center"/>
              <w:rPr>
                <w:rFonts w:ascii="Calibri" w:cs="Calibri" w:eastAsia="Calibri" w:hAnsi="Calibri"/>
                <w:sz w:val="22"/>
                <w:szCs w:val="22"/>
              </w:rPr>
            </w:pPr>
            <w:r w:rsidDel="00000000" w:rsidR="00000000" w:rsidRPr="00000000">
              <w:rPr>
                <w:b w:val="1"/>
                <w:rtl w:val="0"/>
              </w:rPr>
              <w:t xml:space="preserve">2021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310">
            <w:pPr>
              <w:jc w:val="center"/>
              <w:rPr>
                <w:rFonts w:ascii="Calibri" w:cs="Calibri" w:eastAsia="Calibri" w:hAnsi="Calibri"/>
                <w:sz w:val="22"/>
                <w:szCs w:val="22"/>
              </w:rPr>
            </w:pPr>
            <w:r w:rsidDel="00000000" w:rsidR="00000000" w:rsidRPr="00000000">
              <w:rPr>
                <w:b w:val="1"/>
                <w:rtl w:val="0"/>
              </w:rPr>
              <w:t xml:space="preserve">2022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311">
            <w:pPr>
              <w:jc w:val="center"/>
              <w:rPr>
                <w:rFonts w:ascii="Calibri" w:cs="Calibri" w:eastAsia="Calibri" w:hAnsi="Calibri"/>
                <w:sz w:val="22"/>
                <w:szCs w:val="22"/>
              </w:rPr>
            </w:pPr>
            <w:r w:rsidDel="00000000" w:rsidR="00000000" w:rsidRPr="00000000">
              <w:rPr>
                <w:b w:val="1"/>
                <w:rtl w:val="0"/>
              </w:rPr>
              <w:t xml:space="preserve">2023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312">
            <w:pPr>
              <w:jc w:val="center"/>
              <w:rPr>
                <w:rFonts w:ascii="Calibri" w:cs="Calibri" w:eastAsia="Calibri" w:hAnsi="Calibri"/>
                <w:sz w:val="22"/>
                <w:szCs w:val="22"/>
              </w:rPr>
            </w:pPr>
            <w:r w:rsidDel="00000000" w:rsidR="00000000" w:rsidRPr="00000000">
              <w:rPr>
                <w:b w:val="1"/>
                <w:rtl w:val="0"/>
              </w:rPr>
              <w:t xml:space="preserve">2024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313">
            <w:pPr>
              <w:jc w:val="center"/>
              <w:rPr>
                <w:rFonts w:ascii="Calibri" w:cs="Calibri" w:eastAsia="Calibri" w:hAnsi="Calibri"/>
                <w:sz w:val="22"/>
                <w:szCs w:val="22"/>
              </w:rPr>
            </w:pPr>
            <w:r w:rsidDel="00000000" w:rsidR="00000000" w:rsidRPr="00000000">
              <w:rPr>
                <w:b w:val="1"/>
                <w:rtl w:val="0"/>
              </w:rPr>
              <w:t xml:space="preserve">2025</w:t>
            </w:r>
            <w:r w:rsidDel="00000000" w:rsidR="00000000" w:rsidRPr="00000000">
              <w:rPr>
                <w:rtl w:val="0"/>
              </w:rPr>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314">
            <w:pPr>
              <w:jc w:val="center"/>
              <w:rPr>
                <w:rFonts w:ascii="Calibri" w:cs="Calibri" w:eastAsia="Calibri" w:hAnsi="Calibri"/>
                <w:sz w:val="22"/>
                <w:szCs w:val="22"/>
              </w:rPr>
            </w:pPr>
            <w:r w:rsidDel="00000000" w:rsidR="00000000" w:rsidRPr="00000000">
              <w:rPr>
                <w:rtl w:val="0"/>
              </w:rPr>
              <w:t xml:space="preserve">Cash Flow From Operation ($m)</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315">
            <w:pPr>
              <w:jc w:val="center"/>
              <w:rPr>
                <w:rFonts w:ascii="Calibri" w:cs="Calibri" w:eastAsia="Calibri" w:hAnsi="Calibri"/>
                <w:sz w:val="22"/>
                <w:szCs w:val="22"/>
              </w:rPr>
            </w:pPr>
            <w:r w:rsidDel="00000000" w:rsidR="00000000" w:rsidRPr="00000000">
              <w:rPr>
                <w:rtl w:val="0"/>
              </w:rPr>
              <w:t xml:space="preserve">A</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316">
            <w:pPr>
              <w:jc w:val="center"/>
              <w:rPr>
                <w:rFonts w:ascii="Calibri" w:cs="Calibri" w:eastAsia="Calibri" w:hAnsi="Calibri"/>
                <w:sz w:val="22"/>
                <w:szCs w:val="22"/>
              </w:rPr>
            </w:pPr>
            <w:r w:rsidDel="00000000" w:rsidR="00000000" w:rsidRPr="00000000">
              <w:rPr>
                <w:rtl w:val="0"/>
              </w:rPr>
              <w:t xml:space="preserve">1,177.00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317">
            <w:pPr>
              <w:jc w:val="center"/>
              <w:rPr>
                <w:rFonts w:ascii="Calibri" w:cs="Calibri" w:eastAsia="Calibri" w:hAnsi="Calibri"/>
                <w:sz w:val="22"/>
                <w:szCs w:val="22"/>
              </w:rPr>
            </w:pPr>
            <w:r w:rsidDel="00000000" w:rsidR="00000000" w:rsidRPr="00000000">
              <w:rPr>
                <w:rtl w:val="0"/>
              </w:rPr>
              <w:t xml:space="preserve">2,363.00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318">
            <w:pPr>
              <w:jc w:val="center"/>
              <w:rPr>
                <w:rFonts w:ascii="Calibri" w:cs="Calibri" w:eastAsia="Calibri" w:hAnsi="Calibri"/>
                <w:sz w:val="22"/>
                <w:szCs w:val="22"/>
              </w:rPr>
            </w:pPr>
            <w:r w:rsidDel="00000000" w:rsidR="00000000" w:rsidRPr="00000000">
              <w:rPr>
                <w:rtl w:val="0"/>
              </w:rPr>
              <w:t xml:space="preserve">3,170.00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319">
            <w:pPr>
              <w:jc w:val="center"/>
              <w:rPr>
                <w:rFonts w:ascii="Calibri" w:cs="Calibri" w:eastAsia="Calibri" w:hAnsi="Calibri"/>
                <w:sz w:val="22"/>
                <w:szCs w:val="22"/>
              </w:rPr>
            </w:pPr>
            <w:r w:rsidDel="00000000" w:rsidR="00000000" w:rsidRPr="00000000">
              <w:rPr>
                <w:rtl w:val="0"/>
              </w:rPr>
              <w:t xml:space="preserve">2,749.00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31A">
            <w:pPr>
              <w:jc w:val="center"/>
              <w:rPr>
                <w:rFonts w:ascii="Calibri" w:cs="Calibri" w:eastAsia="Calibri" w:hAnsi="Calibri"/>
                <w:sz w:val="22"/>
                <w:szCs w:val="22"/>
              </w:rPr>
            </w:pPr>
            <w:r w:rsidDel="00000000" w:rsidR="00000000" w:rsidRPr="00000000">
              <w:rPr>
                <w:rtl w:val="0"/>
              </w:rPr>
              <w:t xml:space="preserve">3,212.00</w:t>
            </w:r>
            <w:r w:rsidDel="00000000" w:rsidR="00000000" w:rsidRPr="00000000">
              <w:rPr>
                <w:rtl w:val="0"/>
              </w:rPr>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31B">
            <w:pPr>
              <w:jc w:val="center"/>
              <w:rPr>
                <w:rFonts w:ascii="Calibri" w:cs="Calibri" w:eastAsia="Calibri" w:hAnsi="Calibri"/>
                <w:sz w:val="22"/>
                <w:szCs w:val="22"/>
              </w:rPr>
            </w:pPr>
            <w:r w:rsidDel="00000000" w:rsidR="00000000" w:rsidRPr="00000000">
              <w:rPr>
                <w:rtl w:val="0"/>
              </w:rPr>
              <w:t xml:space="preserve">Current Liabilities ($m)</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31C">
            <w:pPr>
              <w:jc w:val="center"/>
              <w:rPr>
                <w:rFonts w:ascii="Calibri" w:cs="Calibri" w:eastAsia="Calibri" w:hAnsi="Calibri"/>
                <w:sz w:val="22"/>
                <w:szCs w:val="22"/>
              </w:rPr>
            </w:pPr>
            <w:r w:rsidDel="00000000" w:rsidR="00000000" w:rsidRPr="00000000">
              <w:rPr>
                <w:rtl w:val="0"/>
              </w:rPr>
              <w:t xml:space="preserve">B</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31D">
            <w:pPr>
              <w:jc w:val="center"/>
              <w:rPr>
                <w:rFonts w:ascii="Calibri" w:cs="Calibri" w:eastAsia="Calibri" w:hAnsi="Calibri"/>
                <w:sz w:val="22"/>
                <w:szCs w:val="22"/>
              </w:rPr>
            </w:pPr>
            <w:r w:rsidDel="00000000" w:rsidR="00000000" w:rsidRPr="00000000">
              <w:rPr>
                <w:rtl w:val="0"/>
              </w:rPr>
              <w:t xml:space="preserve">6,407.00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31E">
            <w:pPr>
              <w:jc w:val="center"/>
              <w:rPr>
                <w:rFonts w:ascii="Calibri" w:cs="Calibri" w:eastAsia="Calibri" w:hAnsi="Calibri"/>
                <w:sz w:val="22"/>
                <w:szCs w:val="22"/>
              </w:rPr>
            </w:pPr>
            <w:r w:rsidDel="00000000" w:rsidR="00000000" w:rsidRPr="00000000">
              <w:rPr>
                <w:rtl w:val="0"/>
              </w:rPr>
              <w:t xml:space="preserve">7,339.00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31F">
            <w:pPr>
              <w:jc w:val="center"/>
              <w:rPr>
                <w:rFonts w:ascii="Calibri" w:cs="Calibri" w:eastAsia="Calibri" w:hAnsi="Calibri"/>
                <w:sz w:val="22"/>
                <w:szCs w:val="22"/>
              </w:rPr>
            </w:pPr>
            <w:r w:rsidDel="00000000" w:rsidR="00000000" w:rsidRPr="00000000">
              <w:rPr>
                <w:rtl w:val="0"/>
              </w:rPr>
              <w:t xml:space="preserve">7,762.00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320">
            <w:pPr>
              <w:jc w:val="center"/>
              <w:rPr>
                <w:rFonts w:ascii="Calibri" w:cs="Calibri" w:eastAsia="Calibri" w:hAnsi="Calibri"/>
                <w:sz w:val="22"/>
                <w:szCs w:val="22"/>
              </w:rPr>
            </w:pPr>
            <w:r w:rsidDel="00000000" w:rsidR="00000000" w:rsidRPr="00000000">
              <w:rPr>
                <w:rtl w:val="0"/>
              </w:rPr>
              <w:t xml:space="preserve">8,649.00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321">
            <w:pPr>
              <w:jc w:val="center"/>
              <w:rPr>
                <w:rFonts w:ascii="Calibri" w:cs="Calibri" w:eastAsia="Calibri" w:hAnsi="Calibri"/>
                <w:sz w:val="22"/>
                <w:szCs w:val="22"/>
              </w:rPr>
            </w:pPr>
            <w:r w:rsidDel="00000000" w:rsidR="00000000" w:rsidRPr="00000000">
              <w:rPr>
                <w:rtl w:val="0"/>
              </w:rPr>
              <w:t xml:space="preserve">8,398.00</w:t>
            </w:r>
            <w:r w:rsidDel="00000000" w:rsidR="00000000" w:rsidRPr="00000000">
              <w:rPr>
                <w:rtl w:val="0"/>
              </w:rPr>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322">
            <w:pPr>
              <w:jc w:val="center"/>
              <w:rPr>
                <w:rFonts w:ascii="Calibri" w:cs="Calibri" w:eastAsia="Calibri" w:hAnsi="Calibri"/>
                <w:sz w:val="22"/>
                <w:szCs w:val="22"/>
              </w:rPr>
            </w:pPr>
            <w:r w:rsidDel="00000000" w:rsidR="00000000" w:rsidRPr="00000000">
              <w:rPr>
                <w:rtl w:val="0"/>
              </w:rPr>
              <w:t xml:space="preserve">Total Assets ($m)</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323">
            <w:pPr>
              <w:jc w:val="center"/>
              <w:rPr>
                <w:rFonts w:ascii="Calibri" w:cs="Calibri" w:eastAsia="Calibri" w:hAnsi="Calibri"/>
                <w:sz w:val="22"/>
                <w:szCs w:val="22"/>
              </w:rPr>
            </w:pPr>
            <w:r w:rsidDel="00000000" w:rsidR="00000000" w:rsidRPr="00000000">
              <w:rPr>
                <w:rtl w:val="0"/>
              </w:rPr>
              <w:t xml:space="preserve">C</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324">
            <w:pPr>
              <w:jc w:val="center"/>
              <w:rPr>
                <w:rFonts w:ascii="Calibri" w:cs="Calibri" w:eastAsia="Calibri" w:hAnsi="Calibri"/>
                <w:sz w:val="22"/>
                <w:szCs w:val="22"/>
              </w:rPr>
            </w:pPr>
            <w:r w:rsidDel="00000000" w:rsidR="00000000" w:rsidRPr="00000000">
              <w:rPr>
                <w:rtl w:val="0"/>
              </w:rPr>
              <w:t xml:space="preserve">25,553.00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325">
            <w:pPr>
              <w:jc w:val="center"/>
              <w:rPr>
                <w:rFonts w:ascii="Calibri" w:cs="Calibri" w:eastAsia="Calibri" w:hAnsi="Calibri"/>
                <w:sz w:val="22"/>
                <w:szCs w:val="22"/>
              </w:rPr>
            </w:pPr>
            <w:r w:rsidDel="00000000" w:rsidR="00000000" w:rsidRPr="00000000">
              <w:rPr>
                <w:rtl w:val="0"/>
              </w:rPr>
              <w:t xml:space="preserve">24,815.00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326">
            <w:pPr>
              <w:jc w:val="center"/>
              <w:rPr>
                <w:rFonts w:ascii="Calibri" w:cs="Calibri" w:eastAsia="Calibri" w:hAnsi="Calibri"/>
                <w:sz w:val="22"/>
                <w:szCs w:val="22"/>
              </w:rPr>
            </w:pPr>
            <w:r w:rsidDel="00000000" w:rsidR="00000000" w:rsidRPr="00000000">
              <w:rPr>
                <w:rtl w:val="0"/>
              </w:rPr>
              <w:t xml:space="preserve">25,674.00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327">
            <w:pPr>
              <w:jc w:val="center"/>
              <w:rPr>
                <w:rFonts w:ascii="Calibri" w:cs="Calibri" w:eastAsia="Calibri" w:hAnsi="Calibri"/>
                <w:sz w:val="22"/>
                <w:szCs w:val="22"/>
              </w:rPr>
            </w:pPr>
            <w:r w:rsidDel="00000000" w:rsidR="00000000" w:rsidRPr="00000000">
              <w:rPr>
                <w:rtl w:val="0"/>
              </w:rPr>
              <w:t xml:space="preserve">21,704.00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328">
            <w:pPr>
              <w:jc w:val="center"/>
              <w:rPr>
                <w:rFonts w:ascii="Calibri" w:cs="Calibri" w:eastAsia="Calibri" w:hAnsi="Calibri"/>
                <w:sz w:val="22"/>
                <w:szCs w:val="22"/>
              </w:rPr>
            </w:pPr>
            <w:r w:rsidDel="00000000" w:rsidR="00000000" w:rsidRPr="00000000">
              <w:rPr>
                <w:rtl w:val="0"/>
              </w:rPr>
              <w:t xml:space="preserve">22,827.00</w:t>
            </w:r>
            <w:r w:rsidDel="00000000" w:rsidR="00000000" w:rsidRPr="00000000">
              <w:rPr>
                <w:rtl w:val="0"/>
              </w:rPr>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329">
            <w:pPr>
              <w:jc w:val="center"/>
              <w:rPr>
                <w:rFonts w:ascii="Calibri" w:cs="Calibri" w:eastAsia="Calibri" w:hAnsi="Calibri"/>
                <w:sz w:val="22"/>
                <w:szCs w:val="22"/>
              </w:rPr>
            </w:pPr>
            <w:r w:rsidDel="00000000" w:rsidR="00000000" w:rsidRPr="00000000">
              <w:rPr>
                <w:b w:val="1"/>
                <w:rtl w:val="0"/>
              </w:rPr>
              <w:t xml:space="preserve">Operating Cash Flow Ratio</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32A">
            <w:pPr>
              <w:jc w:val="center"/>
              <w:rPr>
                <w:rFonts w:ascii="Calibri" w:cs="Calibri" w:eastAsia="Calibri" w:hAnsi="Calibri"/>
                <w:sz w:val="22"/>
                <w:szCs w:val="22"/>
              </w:rPr>
            </w:pPr>
            <w:r w:rsidDel="00000000" w:rsidR="00000000" w:rsidRPr="00000000">
              <w:rPr>
                <w:b w:val="1"/>
                <w:rtl w:val="0"/>
              </w:rPr>
              <w:t xml:space="preserve">A/B</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32B">
            <w:pPr>
              <w:jc w:val="center"/>
              <w:rPr>
                <w:rFonts w:ascii="Calibri" w:cs="Calibri" w:eastAsia="Calibri" w:hAnsi="Calibri"/>
                <w:sz w:val="22"/>
                <w:szCs w:val="22"/>
              </w:rPr>
            </w:pPr>
            <w:r w:rsidDel="00000000" w:rsidR="00000000" w:rsidRPr="00000000">
              <w:rPr>
                <w:b w:val="1"/>
                <w:rtl w:val="0"/>
              </w:rPr>
              <w:t xml:space="preserve">0.18</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32C">
            <w:pPr>
              <w:jc w:val="center"/>
              <w:rPr>
                <w:rFonts w:ascii="Calibri" w:cs="Calibri" w:eastAsia="Calibri" w:hAnsi="Calibri"/>
                <w:sz w:val="22"/>
                <w:szCs w:val="22"/>
              </w:rPr>
            </w:pPr>
            <w:r w:rsidDel="00000000" w:rsidR="00000000" w:rsidRPr="00000000">
              <w:rPr>
                <w:b w:val="1"/>
                <w:rtl w:val="0"/>
              </w:rPr>
              <w:t xml:space="preserve">0.32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32D">
            <w:pPr>
              <w:jc w:val="center"/>
              <w:rPr>
                <w:rFonts w:ascii="Calibri" w:cs="Calibri" w:eastAsia="Calibri" w:hAnsi="Calibri"/>
                <w:sz w:val="22"/>
                <w:szCs w:val="22"/>
              </w:rPr>
            </w:pPr>
            <w:r w:rsidDel="00000000" w:rsidR="00000000" w:rsidRPr="00000000">
              <w:rPr>
                <w:b w:val="1"/>
                <w:rtl w:val="0"/>
              </w:rPr>
              <w:t xml:space="preserve">0.41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32E">
            <w:pPr>
              <w:jc w:val="center"/>
              <w:rPr>
                <w:rFonts w:ascii="Calibri" w:cs="Calibri" w:eastAsia="Calibri" w:hAnsi="Calibri"/>
                <w:sz w:val="22"/>
                <w:szCs w:val="22"/>
              </w:rPr>
            </w:pPr>
            <w:r w:rsidDel="00000000" w:rsidR="00000000" w:rsidRPr="00000000">
              <w:rPr>
                <w:b w:val="1"/>
                <w:rtl w:val="0"/>
              </w:rPr>
              <w:t xml:space="preserve">0.32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32F">
            <w:pPr>
              <w:jc w:val="center"/>
              <w:rPr>
                <w:rFonts w:ascii="Calibri" w:cs="Calibri" w:eastAsia="Calibri" w:hAnsi="Calibri"/>
                <w:sz w:val="22"/>
                <w:szCs w:val="22"/>
              </w:rPr>
            </w:pPr>
            <w:r w:rsidDel="00000000" w:rsidR="00000000" w:rsidRPr="00000000">
              <w:rPr>
                <w:b w:val="1"/>
                <w:rtl w:val="0"/>
              </w:rPr>
              <w:t xml:space="preserve">0.38</w:t>
            </w:r>
            <w:r w:rsidDel="00000000" w:rsidR="00000000" w:rsidRPr="00000000">
              <w:rPr>
                <w:rtl w:val="0"/>
              </w:rPr>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330">
            <w:pPr>
              <w:jc w:val="center"/>
              <w:rPr>
                <w:rFonts w:ascii="Calibri" w:cs="Calibri" w:eastAsia="Calibri" w:hAnsi="Calibri"/>
                <w:sz w:val="22"/>
                <w:szCs w:val="22"/>
              </w:rPr>
            </w:pPr>
            <w:r w:rsidDel="00000000" w:rsidR="00000000" w:rsidRPr="00000000">
              <w:rPr>
                <w:b w:val="1"/>
                <w:rtl w:val="0"/>
              </w:rPr>
              <w:t xml:space="preserve">Cash Return On Assets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331">
            <w:pPr>
              <w:jc w:val="center"/>
              <w:rPr>
                <w:rFonts w:ascii="Calibri" w:cs="Calibri" w:eastAsia="Calibri" w:hAnsi="Calibri"/>
                <w:sz w:val="22"/>
                <w:szCs w:val="22"/>
              </w:rPr>
            </w:pPr>
            <w:r w:rsidDel="00000000" w:rsidR="00000000" w:rsidRPr="00000000">
              <w:rPr>
                <w:b w:val="1"/>
                <w:rtl w:val="0"/>
              </w:rPr>
              <w:t xml:space="preserve">A/C</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332">
            <w:pPr>
              <w:jc w:val="center"/>
              <w:rPr>
                <w:rFonts w:ascii="Calibri" w:cs="Calibri" w:eastAsia="Calibri" w:hAnsi="Calibri"/>
                <w:sz w:val="22"/>
                <w:szCs w:val="22"/>
              </w:rPr>
            </w:pPr>
            <w:r w:rsidDel="00000000" w:rsidR="00000000" w:rsidRPr="00000000">
              <w:rPr>
                <w:b w:val="1"/>
                <w:rtl w:val="0"/>
              </w:rPr>
              <w:t xml:space="preserve">0.05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333">
            <w:pPr>
              <w:jc w:val="center"/>
              <w:rPr>
                <w:rFonts w:ascii="Calibri" w:cs="Calibri" w:eastAsia="Calibri" w:hAnsi="Calibri"/>
                <w:sz w:val="22"/>
                <w:szCs w:val="22"/>
              </w:rPr>
            </w:pPr>
            <w:r w:rsidDel="00000000" w:rsidR="00000000" w:rsidRPr="00000000">
              <w:rPr>
                <w:b w:val="1"/>
                <w:rtl w:val="0"/>
              </w:rPr>
              <w:t xml:space="preserve">0.10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334">
            <w:pPr>
              <w:jc w:val="center"/>
              <w:rPr>
                <w:rFonts w:ascii="Calibri" w:cs="Calibri" w:eastAsia="Calibri" w:hAnsi="Calibri"/>
                <w:sz w:val="22"/>
                <w:szCs w:val="22"/>
              </w:rPr>
            </w:pPr>
            <w:r w:rsidDel="00000000" w:rsidR="00000000" w:rsidRPr="00000000">
              <w:rPr>
                <w:b w:val="1"/>
                <w:rtl w:val="0"/>
              </w:rPr>
              <w:t xml:space="preserve">0.12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335">
            <w:pPr>
              <w:jc w:val="center"/>
              <w:rPr>
                <w:rFonts w:ascii="Calibri" w:cs="Calibri" w:eastAsia="Calibri" w:hAnsi="Calibri"/>
                <w:sz w:val="22"/>
                <w:szCs w:val="22"/>
              </w:rPr>
            </w:pPr>
            <w:r w:rsidDel="00000000" w:rsidR="00000000" w:rsidRPr="00000000">
              <w:rPr>
                <w:b w:val="1"/>
                <w:rtl w:val="0"/>
              </w:rPr>
              <w:t xml:space="preserve">0.13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336">
            <w:pPr>
              <w:jc w:val="center"/>
              <w:rPr>
                <w:rFonts w:ascii="Calibri" w:cs="Calibri" w:eastAsia="Calibri" w:hAnsi="Calibri"/>
                <w:sz w:val="22"/>
                <w:szCs w:val="22"/>
              </w:rPr>
            </w:pPr>
            <w:r w:rsidDel="00000000" w:rsidR="00000000" w:rsidRPr="00000000">
              <w:rPr>
                <w:b w:val="1"/>
                <w:rtl w:val="0"/>
              </w:rPr>
              <w:t xml:space="preserve">0.14</w:t>
            </w:r>
            <w:r w:rsidDel="00000000" w:rsidR="00000000" w:rsidRPr="00000000">
              <w:rPr>
                <w:rtl w:val="0"/>
              </w:rPr>
            </w:r>
          </w:p>
        </w:tc>
      </w:tr>
    </w:tbl>
    <w:p w:rsidR="00000000" w:rsidDel="00000000" w:rsidP="00000000" w:rsidRDefault="00000000" w:rsidRPr="00000000" w14:paraId="00000337">
      <w:pPr>
        <w:rPr/>
      </w:pPr>
      <w:r w:rsidDel="00000000" w:rsidR="00000000" w:rsidRPr="00000000">
        <w:rPr>
          <w:rtl w:val="0"/>
        </w:rPr>
      </w:r>
    </w:p>
    <w:p w:rsidR="00000000" w:rsidDel="00000000" w:rsidP="00000000" w:rsidRDefault="00000000" w:rsidRPr="00000000" w14:paraId="00000338">
      <w:pPr>
        <w:pStyle w:val="Heading2"/>
        <w:rPr/>
      </w:pPr>
      <w:bookmarkStart w:colFirst="0" w:colLast="0" w:name="_1baon6m" w:id="75"/>
      <w:bookmarkEnd w:id="75"/>
      <w:r w:rsidDel="00000000" w:rsidR="00000000" w:rsidRPr="00000000">
        <w:br w:type="page"/>
      </w:r>
      <w:r w:rsidDel="00000000" w:rsidR="00000000" w:rsidRPr="00000000">
        <w:rPr>
          <w:rtl w:val="0"/>
        </w:rPr>
      </w:r>
    </w:p>
    <w:p w:rsidR="00000000" w:rsidDel="00000000" w:rsidP="00000000" w:rsidRDefault="00000000" w:rsidRPr="00000000" w14:paraId="00000339">
      <w:pPr>
        <w:pStyle w:val="Heading2"/>
        <w:rPr/>
      </w:pPr>
      <w:bookmarkStart w:colFirst="0" w:colLast="0" w:name="_43ky6rz" w:id="76"/>
      <w:bookmarkEnd w:id="76"/>
      <w:r w:rsidDel="00000000" w:rsidR="00000000" w:rsidRPr="00000000">
        <w:rPr>
          <w:rtl w:val="0"/>
        </w:rPr>
        <w:t xml:space="preserve">Appendix 2: Capital investment analysis</w:t>
        <w:tab/>
      </w:r>
    </w:p>
    <w:tbl>
      <w:tblPr>
        <w:tblStyle w:val="Table2"/>
        <w:tblW w:w="937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455"/>
        <w:gridCol w:w="1575"/>
        <w:gridCol w:w="1665"/>
        <w:gridCol w:w="1680"/>
        <w:tblGridChange w:id="0">
          <w:tblGrid>
            <w:gridCol w:w="4455"/>
            <w:gridCol w:w="1575"/>
            <w:gridCol w:w="1665"/>
            <w:gridCol w:w="1680"/>
          </w:tblGrid>
        </w:tblGridChange>
      </w:tblGrid>
      <w:tr>
        <w:trPr>
          <w:cantSplit w:val="0"/>
          <w:trHeight w:val="555" w:hRule="atLeast"/>
          <w:tblHeader w:val="0"/>
        </w:trPr>
        <w:tc>
          <w:tcPr>
            <w:tcBorders>
              <w:top w:color="000000" w:space="0" w:sz="6" w:val="single"/>
              <w:left w:color="000000" w:space="0" w:sz="6" w:val="single"/>
              <w:bottom w:color="000000" w:space="0" w:sz="6" w:val="single"/>
              <w:right w:color="000000" w:space="0" w:sz="6" w:val="single"/>
            </w:tcBorders>
            <w:shd w:fill="4dd0e1" w:val="clear"/>
            <w:tcMar>
              <w:top w:w="0.0" w:type="dxa"/>
              <w:left w:w="40.0" w:type="dxa"/>
              <w:bottom w:w="0.0" w:type="dxa"/>
              <w:right w:w="40.0" w:type="dxa"/>
            </w:tcMar>
            <w:vAlign w:val="bottom"/>
          </w:tcPr>
          <w:p w:rsidR="00000000" w:rsidDel="00000000" w:rsidP="00000000" w:rsidRDefault="00000000" w:rsidRPr="00000000" w14:paraId="0000033A">
            <w:pPr>
              <w:widowControl w:val="0"/>
              <w:spacing w:line="276" w:lineRule="auto"/>
              <w:jc w:val="left"/>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Criteria</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4dd0e1" w:val="clear"/>
            <w:tcMar>
              <w:top w:w="0.0" w:type="dxa"/>
              <w:left w:w="40.0" w:type="dxa"/>
              <w:bottom w:w="0.0" w:type="dxa"/>
              <w:right w:w="40.0" w:type="dxa"/>
            </w:tcMar>
            <w:vAlign w:val="bottom"/>
          </w:tcPr>
          <w:p w:rsidR="00000000" w:rsidDel="00000000" w:rsidP="00000000" w:rsidRDefault="00000000" w:rsidRPr="00000000" w14:paraId="0000033B">
            <w:pPr>
              <w:widowControl w:val="0"/>
              <w:spacing w:line="276" w:lineRule="auto"/>
              <w:jc w:val="left"/>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Project A</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4dd0e1" w:val="clear"/>
            <w:tcMar>
              <w:top w:w="0.0" w:type="dxa"/>
              <w:left w:w="40.0" w:type="dxa"/>
              <w:bottom w:w="0.0" w:type="dxa"/>
              <w:right w:w="40.0" w:type="dxa"/>
            </w:tcMar>
            <w:vAlign w:val="bottom"/>
          </w:tcPr>
          <w:p w:rsidR="00000000" w:rsidDel="00000000" w:rsidP="00000000" w:rsidRDefault="00000000" w:rsidRPr="00000000" w14:paraId="0000033C">
            <w:pPr>
              <w:widowControl w:val="0"/>
              <w:spacing w:line="276" w:lineRule="auto"/>
              <w:jc w:val="left"/>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Project B</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4dd0e1" w:val="clear"/>
            <w:tcMar>
              <w:top w:w="0.0" w:type="dxa"/>
              <w:left w:w="40.0" w:type="dxa"/>
              <w:bottom w:w="0.0" w:type="dxa"/>
              <w:right w:w="40.0" w:type="dxa"/>
            </w:tcMar>
            <w:vAlign w:val="bottom"/>
          </w:tcPr>
          <w:p w:rsidR="00000000" w:rsidDel="00000000" w:rsidP="00000000" w:rsidRDefault="00000000" w:rsidRPr="00000000" w14:paraId="0000033D">
            <w:pPr>
              <w:widowControl w:val="0"/>
              <w:spacing w:line="276" w:lineRule="auto"/>
              <w:jc w:val="left"/>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Project C</w:t>
            </w:r>
            <w:r w:rsidDel="00000000" w:rsidR="00000000" w:rsidRPr="00000000">
              <w:rPr>
                <w:rtl w:val="0"/>
              </w:rPr>
            </w:r>
          </w:p>
        </w:tc>
      </w:tr>
      <w:tr>
        <w:trPr>
          <w:cantSplit w:val="0"/>
          <w:trHeight w:val="300"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33E">
            <w:pPr>
              <w:widowControl w:val="0"/>
              <w:spacing w:line="276" w:lineRule="auto"/>
              <w:jc w:val="left"/>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Initial Investment (£m)</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33F">
            <w:pPr>
              <w:widowControl w:val="0"/>
              <w:spacing w:line="276" w:lineRule="auto"/>
              <w:jc w:val="right"/>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50</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340">
            <w:pPr>
              <w:widowControl w:val="0"/>
              <w:spacing w:line="276" w:lineRule="auto"/>
              <w:jc w:val="right"/>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50</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341">
            <w:pPr>
              <w:widowControl w:val="0"/>
              <w:spacing w:line="276" w:lineRule="auto"/>
              <w:jc w:val="right"/>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50</w:t>
            </w:r>
          </w:p>
        </w:tc>
      </w:tr>
      <w:tr>
        <w:trPr>
          <w:cantSplit w:val="0"/>
          <w:trHeight w:val="300" w:hRule="atLeast"/>
          <w:tblHeader w:val="0"/>
        </w:trPr>
        <w:tc>
          <w:tcPr>
            <w:tcBorders>
              <w:top w:color="cccccc" w:space="0" w:sz="6" w:val="single"/>
              <w:left w:color="000000" w:space="0" w:sz="6" w:val="single"/>
              <w:bottom w:color="000000" w:space="0" w:sz="6" w:val="single"/>
              <w:right w:color="000000" w:space="0" w:sz="6" w:val="single"/>
            </w:tcBorders>
            <w:shd w:fill="e0f7fa" w:val="clear"/>
            <w:tcMar>
              <w:top w:w="0.0" w:type="dxa"/>
              <w:left w:w="40.0" w:type="dxa"/>
              <w:bottom w:w="0.0" w:type="dxa"/>
              <w:right w:w="40.0" w:type="dxa"/>
            </w:tcMar>
            <w:vAlign w:val="bottom"/>
          </w:tcPr>
          <w:p w:rsidR="00000000" w:rsidDel="00000000" w:rsidP="00000000" w:rsidRDefault="00000000" w:rsidRPr="00000000" w14:paraId="00000342">
            <w:pPr>
              <w:widowControl w:val="0"/>
              <w:spacing w:line="276" w:lineRule="auto"/>
              <w:jc w:val="left"/>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Total Cash Inflows (£m)</w:t>
            </w:r>
          </w:p>
        </w:tc>
        <w:tc>
          <w:tcPr>
            <w:tcBorders>
              <w:top w:color="cccccc" w:space="0" w:sz="6" w:val="single"/>
              <w:left w:color="cccccc" w:space="0" w:sz="6" w:val="single"/>
              <w:bottom w:color="000000" w:space="0" w:sz="6" w:val="single"/>
              <w:right w:color="000000" w:space="0" w:sz="6" w:val="single"/>
            </w:tcBorders>
            <w:shd w:fill="e0f7fa" w:val="clear"/>
            <w:tcMar>
              <w:top w:w="0.0" w:type="dxa"/>
              <w:left w:w="40.0" w:type="dxa"/>
              <w:bottom w:w="0.0" w:type="dxa"/>
              <w:right w:w="40.0" w:type="dxa"/>
            </w:tcMar>
            <w:vAlign w:val="bottom"/>
          </w:tcPr>
          <w:p w:rsidR="00000000" w:rsidDel="00000000" w:rsidP="00000000" w:rsidRDefault="00000000" w:rsidRPr="00000000" w14:paraId="00000343">
            <w:pPr>
              <w:widowControl w:val="0"/>
              <w:spacing w:line="276" w:lineRule="auto"/>
              <w:jc w:val="right"/>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54</w:t>
            </w:r>
          </w:p>
        </w:tc>
        <w:tc>
          <w:tcPr>
            <w:tcBorders>
              <w:top w:color="cccccc" w:space="0" w:sz="6" w:val="single"/>
              <w:left w:color="cccccc" w:space="0" w:sz="6" w:val="single"/>
              <w:bottom w:color="000000" w:space="0" w:sz="6" w:val="single"/>
              <w:right w:color="000000" w:space="0" w:sz="6" w:val="single"/>
            </w:tcBorders>
            <w:shd w:fill="e0f7fa" w:val="clear"/>
            <w:tcMar>
              <w:top w:w="0.0" w:type="dxa"/>
              <w:left w:w="40.0" w:type="dxa"/>
              <w:bottom w:w="0.0" w:type="dxa"/>
              <w:right w:w="40.0" w:type="dxa"/>
            </w:tcMar>
            <w:vAlign w:val="bottom"/>
          </w:tcPr>
          <w:p w:rsidR="00000000" w:rsidDel="00000000" w:rsidP="00000000" w:rsidRDefault="00000000" w:rsidRPr="00000000" w14:paraId="00000344">
            <w:pPr>
              <w:widowControl w:val="0"/>
              <w:spacing w:line="276" w:lineRule="auto"/>
              <w:jc w:val="right"/>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55</w:t>
            </w:r>
          </w:p>
        </w:tc>
        <w:tc>
          <w:tcPr>
            <w:tcBorders>
              <w:top w:color="cccccc" w:space="0" w:sz="6" w:val="single"/>
              <w:left w:color="cccccc" w:space="0" w:sz="6" w:val="single"/>
              <w:bottom w:color="000000" w:space="0" w:sz="6" w:val="single"/>
              <w:right w:color="000000" w:space="0" w:sz="6" w:val="single"/>
            </w:tcBorders>
            <w:shd w:fill="e0f7fa" w:val="clear"/>
            <w:tcMar>
              <w:top w:w="0.0" w:type="dxa"/>
              <w:left w:w="40.0" w:type="dxa"/>
              <w:bottom w:w="0.0" w:type="dxa"/>
              <w:right w:w="40.0" w:type="dxa"/>
            </w:tcMar>
            <w:vAlign w:val="bottom"/>
          </w:tcPr>
          <w:p w:rsidR="00000000" w:rsidDel="00000000" w:rsidP="00000000" w:rsidRDefault="00000000" w:rsidRPr="00000000" w14:paraId="00000345">
            <w:pPr>
              <w:widowControl w:val="0"/>
              <w:spacing w:line="276" w:lineRule="auto"/>
              <w:jc w:val="right"/>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65</w:t>
            </w:r>
          </w:p>
        </w:tc>
      </w:tr>
      <w:tr>
        <w:trPr>
          <w:cantSplit w:val="0"/>
          <w:trHeight w:val="300"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346">
            <w:pPr>
              <w:widowControl w:val="0"/>
              <w:spacing w:line="276" w:lineRule="auto"/>
              <w:jc w:val="left"/>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Total Profit (£m)</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347">
            <w:pPr>
              <w:widowControl w:val="0"/>
              <w:spacing w:line="276" w:lineRule="auto"/>
              <w:jc w:val="right"/>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4</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348">
            <w:pPr>
              <w:widowControl w:val="0"/>
              <w:spacing w:line="276" w:lineRule="auto"/>
              <w:jc w:val="right"/>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5</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349">
            <w:pPr>
              <w:widowControl w:val="0"/>
              <w:spacing w:line="276" w:lineRule="auto"/>
              <w:jc w:val="right"/>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15</w:t>
            </w:r>
          </w:p>
        </w:tc>
      </w:tr>
      <w:tr>
        <w:trPr>
          <w:cantSplit w:val="0"/>
          <w:trHeight w:val="300" w:hRule="atLeast"/>
          <w:tblHeader w:val="0"/>
        </w:trPr>
        <w:tc>
          <w:tcPr>
            <w:tcBorders>
              <w:top w:color="cccccc" w:space="0" w:sz="6" w:val="single"/>
              <w:left w:color="000000" w:space="0" w:sz="6" w:val="single"/>
              <w:bottom w:color="000000" w:space="0" w:sz="6" w:val="single"/>
              <w:right w:color="000000" w:space="0" w:sz="6" w:val="single"/>
            </w:tcBorders>
            <w:shd w:fill="e0f7fa" w:val="clear"/>
            <w:tcMar>
              <w:top w:w="0.0" w:type="dxa"/>
              <w:left w:w="40.0" w:type="dxa"/>
              <w:bottom w:w="0.0" w:type="dxa"/>
              <w:right w:w="40.0" w:type="dxa"/>
            </w:tcMar>
            <w:vAlign w:val="bottom"/>
          </w:tcPr>
          <w:p w:rsidR="00000000" w:rsidDel="00000000" w:rsidP="00000000" w:rsidRDefault="00000000" w:rsidRPr="00000000" w14:paraId="0000034A">
            <w:pPr>
              <w:widowControl w:val="0"/>
              <w:spacing w:line="276" w:lineRule="auto"/>
              <w:jc w:val="left"/>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Payback Period (Years)</w:t>
            </w:r>
          </w:p>
        </w:tc>
        <w:tc>
          <w:tcPr>
            <w:tcBorders>
              <w:top w:color="cccccc" w:space="0" w:sz="6" w:val="single"/>
              <w:left w:color="cccccc" w:space="0" w:sz="6" w:val="single"/>
              <w:bottom w:color="000000" w:space="0" w:sz="6" w:val="single"/>
              <w:right w:color="000000" w:space="0" w:sz="6" w:val="single"/>
            </w:tcBorders>
            <w:shd w:fill="e0f7fa" w:val="clear"/>
            <w:tcMar>
              <w:top w:w="0.0" w:type="dxa"/>
              <w:left w:w="40.0" w:type="dxa"/>
              <w:bottom w:w="0.0" w:type="dxa"/>
              <w:right w:w="40.0" w:type="dxa"/>
            </w:tcMar>
            <w:vAlign w:val="bottom"/>
          </w:tcPr>
          <w:p w:rsidR="00000000" w:rsidDel="00000000" w:rsidP="00000000" w:rsidRDefault="00000000" w:rsidRPr="00000000" w14:paraId="0000034B">
            <w:pPr>
              <w:widowControl w:val="0"/>
              <w:spacing w:line="276" w:lineRule="auto"/>
              <w:jc w:val="right"/>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4.5</w:t>
            </w:r>
          </w:p>
        </w:tc>
        <w:tc>
          <w:tcPr>
            <w:tcBorders>
              <w:top w:color="cccccc" w:space="0" w:sz="6" w:val="single"/>
              <w:left w:color="cccccc" w:space="0" w:sz="6" w:val="single"/>
              <w:bottom w:color="000000" w:space="0" w:sz="6" w:val="single"/>
              <w:right w:color="000000" w:space="0" w:sz="6" w:val="single"/>
            </w:tcBorders>
            <w:shd w:fill="e0f7fa" w:val="clear"/>
            <w:tcMar>
              <w:top w:w="0.0" w:type="dxa"/>
              <w:left w:w="40.0" w:type="dxa"/>
              <w:bottom w:w="0.0" w:type="dxa"/>
              <w:right w:w="40.0" w:type="dxa"/>
            </w:tcMar>
            <w:vAlign w:val="bottom"/>
          </w:tcPr>
          <w:p w:rsidR="00000000" w:rsidDel="00000000" w:rsidP="00000000" w:rsidRDefault="00000000" w:rsidRPr="00000000" w14:paraId="0000034C">
            <w:pPr>
              <w:widowControl w:val="0"/>
              <w:spacing w:line="276" w:lineRule="auto"/>
              <w:jc w:val="right"/>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4.55</w:t>
            </w:r>
          </w:p>
        </w:tc>
        <w:tc>
          <w:tcPr>
            <w:tcBorders>
              <w:top w:color="cccccc" w:space="0" w:sz="6" w:val="single"/>
              <w:left w:color="cccccc" w:space="0" w:sz="6" w:val="single"/>
              <w:bottom w:color="000000" w:space="0" w:sz="6" w:val="single"/>
              <w:right w:color="000000" w:space="0" w:sz="6" w:val="single"/>
            </w:tcBorders>
            <w:shd w:fill="e0f7fa" w:val="clear"/>
            <w:tcMar>
              <w:top w:w="0.0" w:type="dxa"/>
              <w:left w:w="40.0" w:type="dxa"/>
              <w:bottom w:w="0.0" w:type="dxa"/>
              <w:right w:w="40.0" w:type="dxa"/>
            </w:tcMar>
            <w:vAlign w:val="bottom"/>
          </w:tcPr>
          <w:p w:rsidR="00000000" w:rsidDel="00000000" w:rsidP="00000000" w:rsidRDefault="00000000" w:rsidRPr="00000000" w14:paraId="0000034D">
            <w:pPr>
              <w:widowControl w:val="0"/>
              <w:spacing w:line="276" w:lineRule="auto"/>
              <w:jc w:val="right"/>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3.6</w:t>
            </w:r>
          </w:p>
        </w:tc>
      </w:tr>
      <w:tr>
        <w:trPr>
          <w:cantSplit w:val="0"/>
          <w:trHeight w:val="300"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34E">
            <w:pPr>
              <w:widowControl w:val="0"/>
              <w:spacing w:line="276" w:lineRule="auto"/>
              <w:jc w:val="left"/>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Average Annual Profit (£m)</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34F">
            <w:pPr>
              <w:widowControl w:val="0"/>
              <w:spacing w:line="276" w:lineRule="auto"/>
              <w:jc w:val="right"/>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0.8</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350">
            <w:pPr>
              <w:widowControl w:val="0"/>
              <w:spacing w:line="276" w:lineRule="auto"/>
              <w:jc w:val="right"/>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351">
            <w:pPr>
              <w:widowControl w:val="0"/>
              <w:spacing w:line="276" w:lineRule="auto"/>
              <w:jc w:val="right"/>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3</w:t>
            </w:r>
          </w:p>
        </w:tc>
      </w:tr>
      <w:tr>
        <w:trPr>
          <w:cantSplit w:val="0"/>
          <w:trHeight w:val="300" w:hRule="atLeast"/>
          <w:tblHeader w:val="0"/>
        </w:trPr>
        <w:tc>
          <w:tcPr>
            <w:tcBorders>
              <w:top w:color="cccccc" w:space="0" w:sz="6" w:val="single"/>
              <w:left w:color="000000" w:space="0" w:sz="6" w:val="single"/>
              <w:bottom w:color="000000" w:space="0" w:sz="6" w:val="single"/>
              <w:right w:color="000000" w:space="0" w:sz="6" w:val="single"/>
            </w:tcBorders>
            <w:shd w:fill="e0f7fa" w:val="clear"/>
            <w:tcMar>
              <w:top w:w="0.0" w:type="dxa"/>
              <w:left w:w="40.0" w:type="dxa"/>
              <w:bottom w:w="0.0" w:type="dxa"/>
              <w:right w:w="40.0" w:type="dxa"/>
            </w:tcMar>
            <w:vAlign w:val="bottom"/>
          </w:tcPr>
          <w:p w:rsidR="00000000" w:rsidDel="00000000" w:rsidP="00000000" w:rsidRDefault="00000000" w:rsidRPr="00000000" w14:paraId="00000352">
            <w:pPr>
              <w:widowControl w:val="0"/>
              <w:spacing w:line="276" w:lineRule="auto"/>
              <w:jc w:val="left"/>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Average Investment (£m)</w:t>
            </w:r>
          </w:p>
        </w:tc>
        <w:tc>
          <w:tcPr>
            <w:tcBorders>
              <w:top w:color="cccccc" w:space="0" w:sz="6" w:val="single"/>
              <w:left w:color="cccccc" w:space="0" w:sz="6" w:val="single"/>
              <w:bottom w:color="000000" w:space="0" w:sz="6" w:val="single"/>
              <w:right w:color="000000" w:space="0" w:sz="6" w:val="single"/>
            </w:tcBorders>
            <w:shd w:fill="e0f7fa" w:val="clear"/>
            <w:tcMar>
              <w:top w:w="0.0" w:type="dxa"/>
              <w:left w:w="40.0" w:type="dxa"/>
              <w:bottom w:w="0.0" w:type="dxa"/>
              <w:right w:w="40.0" w:type="dxa"/>
            </w:tcMar>
            <w:vAlign w:val="bottom"/>
          </w:tcPr>
          <w:p w:rsidR="00000000" w:rsidDel="00000000" w:rsidP="00000000" w:rsidRDefault="00000000" w:rsidRPr="00000000" w14:paraId="00000353">
            <w:pPr>
              <w:widowControl w:val="0"/>
              <w:spacing w:line="276" w:lineRule="auto"/>
              <w:jc w:val="right"/>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25</w:t>
            </w:r>
          </w:p>
        </w:tc>
        <w:tc>
          <w:tcPr>
            <w:tcBorders>
              <w:top w:color="cccccc" w:space="0" w:sz="6" w:val="single"/>
              <w:left w:color="cccccc" w:space="0" w:sz="6" w:val="single"/>
              <w:bottom w:color="000000" w:space="0" w:sz="6" w:val="single"/>
              <w:right w:color="000000" w:space="0" w:sz="6" w:val="single"/>
            </w:tcBorders>
            <w:shd w:fill="e0f7fa" w:val="clear"/>
            <w:tcMar>
              <w:top w:w="0.0" w:type="dxa"/>
              <w:left w:w="40.0" w:type="dxa"/>
              <w:bottom w:w="0.0" w:type="dxa"/>
              <w:right w:w="40.0" w:type="dxa"/>
            </w:tcMar>
            <w:vAlign w:val="bottom"/>
          </w:tcPr>
          <w:p w:rsidR="00000000" w:rsidDel="00000000" w:rsidP="00000000" w:rsidRDefault="00000000" w:rsidRPr="00000000" w14:paraId="00000354">
            <w:pPr>
              <w:widowControl w:val="0"/>
              <w:spacing w:line="276" w:lineRule="auto"/>
              <w:jc w:val="right"/>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25</w:t>
            </w:r>
          </w:p>
        </w:tc>
        <w:tc>
          <w:tcPr>
            <w:tcBorders>
              <w:top w:color="cccccc" w:space="0" w:sz="6" w:val="single"/>
              <w:left w:color="cccccc" w:space="0" w:sz="6" w:val="single"/>
              <w:bottom w:color="000000" w:space="0" w:sz="6" w:val="single"/>
              <w:right w:color="000000" w:space="0" w:sz="6" w:val="single"/>
            </w:tcBorders>
            <w:shd w:fill="e0f7fa" w:val="clear"/>
            <w:tcMar>
              <w:top w:w="0.0" w:type="dxa"/>
              <w:left w:w="40.0" w:type="dxa"/>
              <w:bottom w:w="0.0" w:type="dxa"/>
              <w:right w:w="40.0" w:type="dxa"/>
            </w:tcMar>
            <w:vAlign w:val="bottom"/>
          </w:tcPr>
          <w:p w:rsidR="00000000" w:rsidDel="00000000" w:rsidP="00000000" w:rsidRDefault="00000000" w:rsidRPr="00000000" w14:paraId="00000355">
            <w:pPr>
              <w:widowControl w:val="0"/>
              <w:spacing w:line="276" w:lineRule="auto"/>
              <w:jc w:val="right"/>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25</w:t>
            </w:r>
          </w:p>
        </w:tc>
      </w:tr>
      <w:tr>
        <w:trPr>
          <w:cantSplit w:val="0"/>
          <w:trHeight w:val="300"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356">
            <w:pPr>
              <w:widowControl w:val="0"/>
              <w:spacing w:line="276" w:lineRule="auto"/>
              <w:jc w:val="left"/>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ARR (%)</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357">
            <w:pPr>
              <w:widowControl w:val="0"/>
              <w:spacing w:line="276" w:lineRule="auto"/>
              <w:jc w:val="right"/>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3.20%</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358">
            <w:pPr>
              <w:widowControl w:val="0"/>
              <w:spacing w:line="276" w:lineRule="auto"/>
              <w:jc w:val="right"/>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4.00%</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359">
            <w:pPr>
              <w:widowControl w:val="0"/>
              <w:spacing w:line="276" w:lineRule="auto"/>
              <w:jc w:val="right"/>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12.00%</w:t>
            </w:r>
          </w:p>
        </w:tc>
      </w:tr>
      <w:tr>
        <w:trPr>
          <w:cantSplit w:val="0"/>
          <w:trHeight w:val="300" w:hRule="atLeast"/>
          <w:tblHeader w:val="0"/>
        </w:trPr>
        <w:tc>
          <w:tcPr>
            <w:tcBorders>
              <w:top w:color="cccccc" w:space="0" w:sz="6" w:val="single"/>
              <w:left w:color="000000" w:space="0" w:sz="6" w:val="single"/>
              <w:bottom w:color="000000" w:space="0" w:sz="6" w:val="single"/>
              <w:right w:color="000000" w:space="0" w:sz="6" w:val="single"/>
            </w:tcBorders>
            <w:shd w:fill="e0f7fa" w:val="clear"/>
            <w:tcMar>
              <w:top w:w="0.0" w:type="dxa"/>
              <w:left w:w="40.0" w:type="dxa"/>
              <w:bottom w:w="0.0" w:type="dxa"/>
              <w:right w:w="40.0" w:type="dxa"/>
            </w:tcMar>
            <w:vAlign w:val="bottom"/>
          </w:tcPr>
          <w:p w:rsidR="00000000" w:rsidDel="00000000" w:rsidP="00000000" w:rsidRDefault="00000000" w:rsidRPr="00000000" w14:paraId="0000035A">
            <w:pPr>
              <w:widowControl w:val="0"/>
              <w:spacing w:line="276" w:lineRule="auto"/>
              <w:jc w:val="left"/>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Total PV of Inflows @ 8% (£m)</w:t>
            </w:r>
          </w:p>
        </w:tc>
        <w:tc>
          <w:tcPr>
            <w:tcBorders>
              <w:top w:color="cccccc" w:space="0" w:sz="6" w:val="single"/>
              <w:left w:color="cccccc" w:space="0" w:sz="6" w:val="single"/>
              <w:bottom w:color="000000" w:space="0" w:sz="6" w:val="single"/>
              <w:right w:color="000000" w:space="0" w:sz="6" w:val="single"/>
            </w:tcBorders>
            <w:shd w:fill="e0f7fa" w:val="clear"/>
            <w:tcMar>
              <w:top w:w="0.0" w:type="dxa"/>
              <w:left w:w="40.0" w:type="dxa"/>
              <w:bottom w:w="0.0" w:type="dxa"/>
              <w:right w:w="40.0" w:type="dxa"/>
            </w:tcMar>
            <w:vAlign w:val="bottom"/>
          </w:tcPr>
          <w:p w:rsidR="00000000" w:rsidDel="00000000" w:rsidP="00000000" w:rsidRDefault="00000000" w:rsidRPr="00000000" w14:paraId="0000035B">
            <w:pPr>
              <w:widowControl w:val="0"/>
              <w:spacing w:line="276" w:lineRule="auto"/>
              <w:jc w:val="right"/>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43.47</w:t>
            </w:r>
          </w:p>
        </w:tc>
        <w:tc>
          <w:tcPr>
            <w:tcBorders>
              <w:top w:color="cccccc" w:space="0" w:sz="6" w:val="single"/>
              <w:left w:color="cccccc" w:space="0" w:sz="6" w:val="single"/>
              <w:bottom w:color="000000" w:space="0" w:sz="6" w:val="single"/>
              <w:right w:color="000000" w:space="0" w:sz="6" w:val="single"/>
            </w:tcBorders>
            <w:shd w:fill="e0f7fa" w:val="clear"/>
            <w:tcMar>
              <w:top w:w="0.0" w:type="dxa"/>
              <w:left w:w="40.0" w:type="dxa"/>
              <w:bottom w:w="0.0" w:type="dxa"/>
              <w:right w:w="40.0" w:type="dxa"/>
            </w:tcMar>
            <w:vAlign w:val="bottom"/>
          </w:tcPr>
          <w:p w:rsidR="00000000" w:rsidDel="00000000" w:rsidP="00000000" w:rsidRDefault="00000000" w:rsidRPr="00000000" w14:paraId="0000035C">
            <w:pPr>
              <w:widowControl w:val="0"/>
              <w:spacing w:line="276" w:lineRule="auto"/>
              <w:jc w:val="right"/>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43.93</w:t>
            </w:r>
          </w:p>
        </w:tc>
        <w:tc>
          <w:tcPr>
            <w:tcBorders>
              <w:top w:color="cccccc" w:space="0" w:sz="6" w:val="single"/>
              <w:left w:color="cccccc" w:space="0" w:sz="6" w:val="single"/>
              <w:bottom w:color="000000" w:space="0" w:sz="6" w:val="single"/>
              <w:right w:color="000000" w:space="0" w:sz="6" w:val="single"/>
            </w:tcBorders>
            <w:shd w:fill="e0f7fa" w:val="clear"/>
            <w:tcMar>
              <w:top w:w="0.0" w:type="dxa"/>
              <w:left w:w="40.0" w:type="dxa"/>
              <w:bottom w:w="0.0" w:type="dxa"/>
              <w:right w:w="40.0" w:type="dxa"/>
            </w:tcMar>
            <w:vAlign w:val="bottom"/>
          </w:tcPr>
          <w:p w:rsidR="00000000" w:rsidDel="00000000" w:rsidP="00000000" w:rsidRDefault="00000000" w:rsidRPr="00000000" w14:paraId="0000035D">
            <w:pPr>
              <w:widowControl w:val="0"/>
              <w:spacing w:line="276" w:lineRule="auto"/>
              <w:jc w:val="right"/>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50.86</w:t>
            </w:r>
          </w:p>
        </w:tc>
      </w:tr>
      <w:tr>
        <w:trPr>
          <w:cantSplit w:val="0"/>
          <w:trHeight w:val="300"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35E">
            <w:pPr>
              <w:widowControl w:val="0"/>
              <w:spacing w:line="276" w:lineRule="auto"/>
              <w:jc w:val="left"/>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NPV (£m)</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35F">
            <w:pPr>
              <w:widowControl w:val="0"/>
              <w:spacing w:line="276" w:lineRule="auto"/>
              <w:jc w:val="right"/>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-6.53</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360">
            <w:pPr>
              <w:widowControl w:val="0"/>
              <w:spacing w:line="276" w:lineRule="auto"/>
              <w:jc w:val="right"/>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-6.07</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361">
            <w:pPr>
              <w:widowControl w:val="0"/>
              <w:spacing w:line="276" w:lineRule="auto"/>
              <w:jc w:val="right"/>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0.86</w:t>
            </w:r>
          </w:p>
        </w:tc>
      </w:tr>
      <w:tr>
        <w:trPr>
          <w:cantSplit w:val="0"/>
          <w:trHeight w:val="300" w:hRule="atLeast"/>
          <w:tblHeader w:val="0"/>
        </w:trPr>
        <w:tc>
          <w:tcPr>
            <w:tcBorders>
              <w:top w:color="cccccc" w:space="0" w:sz="6" w:val="single"/>
              <w:left w:color="000000" w:space="0" w:sz="6" w:val="single"/>
              <w:bottom w:color="000000" w:space="0" w:sz="6" w:val="single"/>
              <w:right w:color="000000" w:space="0" w:sz="6" w:val="single"/>
            </w:tcBorders>
            <w:shd w:fill="e0f7fa" w:val="clear"/>
            <w:tcMar>
              <w:top w:w="0.0" w:type="dxa"/>
              <w:left w:w="40.0" w:type="dxa"/>
              <w:bottom w:w="0.0" w:type="dxa"/>
              <w:right w:w="40.0" w:type="dxa"/>
            </w:tcMar>
            <w:vAlign w:val="bottom"/>
          </w:tcPr>
          <w:p w:rsidR="00000000" w:rsidDel="00000000" w:rsidP="00000000" w:rsidRDefault="00000000" w:rsidRPr="00000000" w14:paraId="00000362">
            <w:pPr>
              <w:widowControl w:val="0"/>
              <w:spacing w:line="276" w:lineRule="auto"/>
              <w:jc w:val="left"/>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PI</w:t>
            </w:r>
          </w:p>
        </w:tc>
        <w:tc>
          <w:tcPr>
            <w:tcBorders>
              <w:top w:color="cccccc" w:space="0" w:sz="6" w:val="single"/>
              <w:left w:color="cccccc" w:space="0" w:sz="6" w:val="single"/>
              <w:bottom w:color="000000" w:space="0" w:sz="6" w:val="single"/>
              <w:right w:color="000000" w:space="0" w:sz="6" w:val="single"/>
            </w:tcBorders>
            <w:shd w:fill="e0f7fa" w:val="clear"/>
            <w:tcMar>
              <w:top w:w="0.0" w:type="dxa"/>
              <w:left w:w="40.0" w:type="dxa"/>
              <w:bottom w:w="0.0" w:type="dxa"/>
              <w:right w:w="40.0" w:type="dxa"/>
            </w:tcMar>
            <w:vAlign w:val="bottom"/>
          </w:tcPr>
          <w:p w:rsidR="00000000" w:rsidDel="00000000" w:rsidP="00000000" w:rsidRDefault="00000000" w:rsidRPr="00000000" w14:paraId="00000363">
            <w:pPr>
              <w:widowControl w:val="0"/>
              <w:spacing w:line="276" w:lineRule="auto"/>
              <w:jc w:val="right"/>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0.87</w:t>
            </w:r>
          </w:p>
        </w:tc>
        <w:tc>
          <w:tcPr>
            <w:tcBorders>
              <w:top w:color="cccccc" w:space="0" w:sz="6" w:val="single"/>
              <w:left w:color="cccccc" w:space="0" w:sz="6" w:val="single"/>
              <w:bottom w:color="000000" w:space="0" w:sz="6" w:val="single"/>
              <w:right w:color="000000" w:space="0" w:sz="6" w:val="single"/>
            </w:tcBorders>
            <w:shd w:fill="e0f7fa" w:val="clear"/>
            <w:tcMar>
              <w:top w:w="0.0" w:type="dxa"/>
              <w:left w:w="40.0" w:type="dxa"/>
              <w:bottom w:w="0.0" w:type="dxa"/>
              <w:right w:w="40.0" w:type="dxa"/>
            </w:tcMar>
            <w:vAlign w:val="bottom"/>
          </w:tcPr>
          <w:p w:rsidR="00000000" w:rsidDel="00000000" w:rsidP="00000000" w:rsidRDefault="00000000" w:rsidRPr="00000000" w14:paraId="00000364">
            <w:pPr>
              <w:widowControl w:val="0"/>
              <w:spacing w:line="276" w:lineRule="auto"/>
              <w:jc w:val="right"/>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0.88</w:t>
            </w:r>
          </w:p>
        </w:tc>
        <w:tc>
          <w:tcPr>
            <w:tcBorders>
              <w:top w:color="cccccc" w:space="0" w:sz="6" w:val="single"/>
              <w:left w:color="cccccc" w:space="0" w:sz="6" w:val="single"/>
              <w:bottom w:color="000000" w:space="0" w:sz="6" w:val="single"/>
              <w:right w:color="000000" w:space="0" w:sz="6" w:val="single"/>
            </w:tcBorders>
            <w:shd w:fill="e0f7fa" w:val="clear"/>
            <w:tcMar>
              <w:top w:w="0.0" w:type="dxa"/>
              <w:left w:w="40.0" w:type="dxa"/>
              <w:bottom w:w="0.0" w:type="dxa"/>
              <w:right w:w="40.0" w:type="dxa"/>
            </w:tcMar>
            <w:vAlign w:val="bottom"/>
          </w:tcPr>
          <w:p w:rsidR="00000000" w:rsidDel="00000000" w:rsidP="00000000" w:rsidRDefault="00000000" w:rsidRPr="00000000" w14:paraId="00000365">
            <w:pPr>
              <w:widowControl w:val="0"/>
              <w:spacing w:line="276" w:lineRule="auto"/>
              <w:jc w:val="right"/>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1.02</w:t>
            </w:r>
          </w:p>
        </w:tc>
      </w:tr>
      <w:tr>
        <w:trPr>
          <w:cantSplit w:val="0"/>
          <w:trHeight w:val="300"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366">
            <w:pPr>
              <w:widowControl w:val="0"/>
              <w:spacing w:line="276" w:lineRule="auto"/>
              <w:jc w:val="left"/>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IRR (%)</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367">
            <w:pPr>
              <w:widowControl w:val="0"/>
              <w:spacing w:line="276" w:lineRule="auto"/>
              <w:jc w:val="right"/>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3.04%</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368">
            <w:pPr>
              <w:widowControl w:val="0"/>
              <w:spacing w:line="276" w:lineRule="auto"/>
              <w:jc w:val="right"/>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3.61%</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369">
            <w:pPr>
              <w:widowControl w:val="0"/>
              <w:spacing w:line="276" w:lineRule="auto"/>
              <w:jc w:val="right"/>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8.61%</w:t>
            </w:r>
          </w:p>
        </w:tc>
      </w:tr>
      <w:tr>
        <w:trPr>
          <w:cantSplit w:val="0"/>
          <w:trHeight w:val="300" w:hRule="atLeast"/>
          <w:tblHeader w:val="0"/>
        </w:trPr>
        <w:tc>
          <w:tcPr>
            <w:tcBorders>
              <w:top w:color="cccccc" w:space="0" w:sz="6" w:val="single"/>
              <w:left w:color="000000" w:space="0" w:sz="6" w:val="single"/>
              <w:bottom w:color="000000" w:space="0" w:sz="6" w:val="single"/>
              <w:right w:color="000000" w:space="0" w:sz="6" w:val="single"/>
            </w:tcBorders>
            <w:shd w:fill="e0f7fa" w:val="clear"/>
            <w:tcMar>
              <w:top w:w="0.0" w:type="dxa"/>
              <w:left w:w="40.0" w:type="dxa"/>
              <w:bottom w:w="0.0" w:type="dxa"/>
              <w:right w:w="40.0" w:type="dxa"/>
            </w:tcMar>
            <w:vAlign w:val="bottom"/>
          </w:tcPr>
          <w:p w:rsidR="00000000" w:rsidDel="00000000" w:rsidP="00000000" w:rsidRDefault="00000000" w:rsidRPr="00000000" w14:paraId="0000036A">
            <w:pPr>
              <w:widowControl w:val="0"/>
              <w:spacing w:line="276" w:lineRule="auto"/>
              <w:jc w:val="left"/>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Investment Decision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e0f7fa" w:val="clear"/>
            <w:tcMar>
              <w:top w:w="0.0" w:type="dxa"/>
              <w:left w:w="40.0" w:type="dxa"/>
              <w:bottom w:w="0.0" w:type="dxa"/>
              <w:right w:w="40.0" w:type="dxa"/>
            </w:tcMar>
            <w:vAlign w:val="bottom"/>
          </w:tcPr>
          <w:p w:rsidR="00000000" w:rsidDel="00000000" w:rsidP="00000000" w:rsidRDefault="00000000" w:rsidRPr="00000000" w14:paraId="0000036B">
            <w:pPr>
              <w:widowControl w:val="0"/>
              <w:spacing w:line="276" w:lineRule="auto"/>
              <w:jc w:val="left"/>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Reject</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e0f7fa" w:val="clear"/>
            <w:tcMar>
              <w:top w:w="0.0" w:type="dxa"/>
              <w:left w:w="40.0" w:type="dxa"/>
              <w:bottom w:w="0.0" w:type="dxa"/>
              <w:right w:w="40.0" w:type="dxa"/>
            </w:tcMar>
            <w:vAlign w:val="bottom"/>
          </w:tcPr>
          <w:p w:rsidR="00000000" w:rsidDel="00000000" w:rsidP="00000000" w:rsidRDefault="00000000" w:rsidRPr="00000000" w14:paraId="0000036C">
            <w:pPr>
              <w:widowControl w:val="0"/>
              <w:spacing w:line="276" w:lineRule="auto"/>
              <w:jc w:val="left"/>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Reject</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e0f7fa" w:val="clear"/>
            <w:tcMar>
              <w:top w:w="0.0" w:type="dxa"/>
              <w:left w:w="40.0" w:type="dxa"/>
              <w:bottom w:w="0.0" w:type="dxa"/>
              <w:right w:w="40.0" w:type="dxa"/>
            </w:tcMar>
            <w:vAlign w:val="bottom"/>
          </w:tcPr>
          <w:p w:rsidR="00000000" w:rsidDel="00000000" w:rsidP="00000000" w:rsidRDefault="00000000" w:rsidRPr="00000000" w14:paraId="0000036D">
            <w:pPr>
              <w:widowControl w:val="0"/>
              <w:spacing w:line="276" w:lineRule="auto"/>
              <w:jc w:val="left"/>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Accept</w:t>
            </w:r>
            <w:r w:rsidDel="00000000" w:rsidR="00000000" w:rsidRPr="00000000">
              <w:rPr>
                <w:rtl w:val="0"/>
              </w:rPr>
            </w:r>
          </w:p>
        </w:tc>
      </w:tr>
    </w:tbl>
    <w:p w:rsidR="00000000" w:rsidDel="00000000" w:rsidP="00000000" w:rsidRDefault="00000000" w:rsidRPr="00000000" w14:paraId="0000036E">
      <w:pPr>
        <w:pStyle w:val="Heading2"/>
        <w:rPr/>
      </w:pPr>
      <w:r w:rsidDel="00000000" w:rsidR="00000000" w:rsidRPr="00000000">
        <w:rPr>
          <w:rtl w:val="0"/>
        </w:rPr>
      </w:r>
    </w:p>
    <w:p w:rsidR="00000000" w:rsidDel="00000000" w:rsidP="00000000" w:rsidRDefault="00000000" w:rsidRPr="00000000" w14:paraId="0000036F">
      <w:pPr>
        <w:rPr/>
      </w:pPr>
      <w:r w:rsidDel="00000000" w:rsidR="00000000" w:rsidRPr="00000000">
        <w:br w:type="page"/>
      </w:r>
      <w:r w:rsidDel="00000000" w:rsidR="00000000" w:rsidRPr="00000000">
        <w:rPr>
          <w:rtl w:val="0"/>
        </w:rPr>
      </w:r>
    </w:p>
    <w:p w:rsidR="00000000" w:rsidDel="00000000" w:rsidP="00000000" w:rsidRDefault="00000000" w:rsidRPr="00000000" w14:paraId="00000370">
      <w:pPr>
        <w:pStyle w:val="Heading2"/>
        <w:rPr/>
      </w:pPr>
      <w:bookmarkStart w:colFirst="0" w:colLast="0" w:name="_3vac5uf" w:id="77"/>
      <w:bookmarkEnd w:id="77"/>
      <w:r w:rsidDel="00000000" w:rsidR="00000000" w:rsidRPr="00000000">
        <w:rPr>
          <w:rtl w:val="0"/>
        </w:rPr>
        <w:t xml:space="preserve">Appendix 3: Income Statement of 2021 and 2022</w:t>
        <w:tab/>
      </w:r>
    </w:p>
    <w:p w:rsidR="00000000" w:rsidDel="00000000" w:rsidP="00000000" w:rsidRDefault="00000000" w:rsidRPr="00000000" w14:paraId="00000371">
      <w:pPr>
        <w:jc w:val="center"/>
        <w:rPr/>
      </w:pPr>
      <w:r w:rsidDel="00000000" w:rsidR="00000000" w:rsidRPr="00000000">
        <w:rPr/>
        <w:drawing>
          <wp:inline distB="114300" distT="114300" distL="114300" distR="114300">
            <wp:extent cx="3857625" cy="4467225"/>
            <wp:effectExtent b="0" l="0" r="0" t="0"/>
            <wp:docPr id="39" name="image39.png"/>
            <a:graphic>
              <a:graphicData uri="http://schemas.openxmlformats.org/drawingml/2006/picture">
                <pic:pic>
                  <pic:nvPicPr>
                    <pic:cNvPr id="0" name="image39.png"/>
                    <pic:cNvPicPr preferRelativeResize="0"/>
                  </pic:nvPicPr>
                  <pic:blipFill>
                    <a:blip r:embed="rId49"/>
                    <a:srcRect b="0" l="0" r="0" t="0"/>
                    <a:stretch>
                      <a:fillRect/>
                    </a:stretch>
                  </pic:blipFill>
                  <pic:spPr>
                    <a:xfrm>
                      <a:off x="0" y="0"/>
                      <a:ext cx="3857625" cy="4467225"/>
                    </a:xfrm>
                    <a:prstGeom prst="rect"/>
                    <a:ln/>
                  </pic:spPr>
                </pic:pic>
              </a:graphicData>
            </a:graphic>
          </wp:inline>
        </w:drawing>
      </w:r>
      <w:r w:rsidDel="00000000" w:rsidR="00000000" w:rsidRPr="00000000">
        <w:rPr>
          <w:rtl w:val="0"/>
        </w:rPr>
      </w:r>
    </w:p>
    <w:p w:rsidR="00000000" w:rsidDel="00000000" w:rsidP="00000000" w:rsidRDefault="00000000" w:rsidRPr="00000000" w14:paraId="00000372">
      <w:pPr>
        <w:rPr/>
      </w:pPr>
      <w:r w:rsidDel="00000000" w:rsidR="00000000" w:rsidRPr="00000000">
        <w:rPr>
          <w:rtl w:val="0"/>
        </w:rPr>
      </w:r>
    </w:p>
    <w:p w:rsidR="00000000" w:rsidDel="00000000" w:rsidP="00000000" w:rsidRDefault="00000000" w:rsidRPr="00000000" w14:paraId="00000373">
      <w:pPr>
        <w:rPr/>
      </w:pPr>
      <w:r w:rsidDel="00000000" w:rsidR="00000000" w:rsidRPr="00000000">
        <w:br w:type="page"/>
      </w:r>
      <w:r w:rsidDel="00000000" w:rsidR="00000000" w:rsidRPr="00000000">
        <w:rPr>
          <w:rtl w:val="0"/>
        </w:rPr>
      </w:r>
    </w:p>
    <w:p w:rsidR="00000000" w:rsidDel="00000000" w:rsidP="00000000" w:rsidRDefault="00000000" w:rsidRPr="00000000" w14:paraId="00000374">
      <w:pPr>
        <w:pStyle w:val="Heading2"/>
        <w:rPr/>
      </w:pPr>
      <w:bookmarkStart w:colFirst="0" w:colLast="0" w:name="_2afmg28" w:id="78"/>
      <w:bookmarkEnd w:id="78"/>
      <w:r w:rsidDel="00000000" w:rsidR="00000000" w:rsidRPr="00000000">
        <w:rPr>
          <w:rtl w:val="0"/>
        </w:rPr>
        <w:t xml:space="preserve">Appendix 4: Income Statement of 2023 to 2025</w:t>
        <w:tab/>
      </w:r>
    </w:p>
    <w:p w:rsidR="00000000" w:rsidDel="00000000" w:rsidP="00000000" w:rsidRDefault="00000000" w:rsidRPr="00000000" w14:paraId="00000375">
      <w:pPr>
        <w:rPr/>
      </w:pPr>
      <w:r w:rsidDel="00000000" w:rsidR="00000000" w:rsidRPr="00000000">
        <w:rPr/>
        <w:drawing>
          <wp:inline distB="114300" distT="114300" distL="114300" distR="114300">
            <wp:extent cx="5943600" cy="6680200"/>
            <wp:effectExtent b="0" l="0" r="0" t="0"/>
            <wp:docPr id="1" name="image1.png"/>
            <a:graphic>
              <a:graphicData uri="http://schemas.openxmlformats.org/drawingml/2006/picture">
                <pic:pic>
                  <pic:nvPicPr>
                    <pic:cNvPr id="0" name="image1.png"/>
                    <pic:cNvPicPr preferRelativeResize="0"/>
                  </pic:nvPicPr>
                  <pic:blipFill>
                    <a:blip r:embed="rId50"/>
                    <a:srcRect b="0" l="0" r="0" t="0"/>
                    <a:stretch>
                      <a:fillRect/>
                    </a:stretch>
                  </pic:blipFill>
                  <pic:spPr>
                    <a:xfrm>
                      <a:off x="0" y="0"/>
                      <a:ext cx="5943600" cy="6680200"/>
                    </a:xfrm>
                    <a:prstGeom prst="rect"/>
                    <a:ln/>
                  </pic:spPr>
                </pic:pic>
              </a:graphicData>
            </a:graphic>
          </wp:inline>
        </w:drawing>
      </w:r>
      <w:r w:rsidDel="00000000" w:rsidR="00000000" w:rsidRPr="00000000">
        <w:rPr>
          <w:rtl w:val="0"/>
        </w:rPr>
      </w:r>
    </w:p>
    <w:sectPr>
      <w:headerReference r:id="rId51" w:type="default"/>
      <w:headerReference r:id="rId52" w:type="first"/>
      <w:footerReference r:id="rId53" w:type="default"/>
      <w:footerReference r:id="rId54" w:type="first"/>
      <w:pgSz w:h="15840" w:w="12240" w:orient="portrait"/>
      <w:pgMar w:bottom="1440" w:top="1440" w:left="1440" w:right="1440"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font w:name="Arial"/>
  <w:font w:name="Times New Roman"/>
  <w:font w:name="Arimo"/>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p w:rsidR="00000000" w:rsidDel="00000000" w:rsidP="00000000" w:rsidRDefault="00000000" w:rsidRPr="00000000" w14:paraId="00000378">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p w:rsidR="00000000" w:rsidDel="00000000" w:rsidP="00000000" w:rsidRDefault="00000000" w:rsidRPr="00000000" w14:paraId="00000379">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p w:rsidR="00000000" w:rsidDel="00000000" w:rsidP="00000000" w:rsidRDefault="00000000" w:rsidRPr="00000000" w14:paraId="00000376">
    <w:pP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p w:rsidR="00000000" w:rsidDel="00000000" w:rsidP="00000000" w:rsidRDefault="00000000" w:rsidRPr="00000000" w14:paraId="00000377">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ocDefaults>
    <w:rPrDefault>
      <w:rPr>
        <w:rFonts w:ascii="Arial" w:cs="Arial" w:eastAsia="Arial" w:hAnsi="Arial"/>
        <w:sz w:val="24"/>
        <w:szCs w:val="24"/>
        <w:lang w:val="en"/>
      </w:rPr>
    </w:rPrDefault>
    <w:pPrDefault>
      <w:pPr>
        <w:spacing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Pr>
    <w:rPr>
      <w:b w:val="1"/>
      <w:sz w:val="28"/>
      <w:szCs w:val="28"/>
    </w:rPr>
  </w:style>
  <w:style w:type="paragraph" w:styleId="Heading2">
    <w:name w:val="heading 2"/>
    <w:basedOn w:val="Normal"/>
    <w:next w:val="Normal"/>
    <w:pPr>
      <w:keepNext w:val="1"/>
      <w:keepLines w:val="1"/>
    </w:pPr>
    <w:rPr>
      <w:b w:val="1"/>
      <w:i w:val="1"/>
      <w:sz w:val="26"/>
      <w:szCs w:val="26"/>
    </w:rPr>
  </w:style>
  <w:style w:type="paragraph" w:styleId="Heading3">
    <w:name w:val="heading 3"/>
    <w:basedOn w:val="Normal"/>
    <w:next w:val="Normal"/>
    <w:pPr>
      <w:keepNext w:val="1"/>
      <w:keepLines w:val="1"/>
    </w:pPr>
    <w:rPr>
      <w:b w:val="1"/>
    </w:rPr>
  </w:style>
  <w:style w:type="paragraph" w:styleId="Heading4">
    <w:name w:val="heading 4"/>
    <w:basedOn w:val="Normal"/>
    <w:next w:val="Normal"/>
    <w:pPr>
      <w:keepNext w:val="1"/>
      <w:keepLines w:val="1"/>
      <w:spacing w:after="80" w:before="280" w:lineRule="auto"/>
    </w:pPr>
    <w:rPr>
      <w:color w:val="666666"/>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40" Type="http://schemas.openxmlformats.org/officeDocument/2006/relationships/image" Target="media/image29.png"/><Relationship Id="rId42" Type="http://schemas.openxmlformats.org/officeDocument/2006/relationships/image" Target="media/image33.png"/><Relationship Id="rId41" Type="http://schemas.openxmlformats.org/officeDocument/2006/relationships/image" Target="media/image31.png"/><Relationship Id="rId44" Type="http://schemas.openxmlformats.org/officeDocument/2006/relationships/image" Target="media/image37.png"/><Relationship Id="rId43" Type="http://schemas.openxmlformats.org/officeDocument/2006/relationships/image" Target="media/image35.png"/><Relationship Id="rId46" Type="http://schemas.openxmlformats.org/officeDocument/2006/relationships/hyperlink" Target="https://www.thecaterer.com/indepth/how-marriott-is-meeting-its-carbon-reduction-goals" TargetMode="External"/><Relationship Id="rId45" Type="http://schemas.openxmlformats.org/officeDocument/2006/relationships/hyperlink" Target="https://marriott.gcs-web.com/static-files/9cf0e9b0-bbfa-48a6-9e21-ffbdbc4b2d78"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6.png"/><Relationship Id="rId48" Type="http://schemas.openxmlformats.org/officeDocument/2006/relationships/hyperlink" Target="https://finance.yahoo.com/news/marriott-nasdaq-mar-posts-q4-124807462.html" TargetMode="External"/><Relationship Id="rId47" Type="http://schemas.openxmlformats.org/officeDocument/2006/relationships/hyperlink" Target="https://www.reuters.com/business/marriott-forecasts-in-line-annual-profit-amid-uneven-us-travel-demand-2026-02-10/" TargetMode="External"/><Relationship Id="rId49" Type="http://schemas.openxmlformats.org/officeDocument/2006/relationships/image" Target="media/image39.png"/><Relationship Id="rId5" Type="http://schemas.openxmlformats.org/officeDocument/2006/relationships/styles" Target="styles.xml"/><Relationship Id="rId6" Type="http://schemas.openxmlformats.org/officeDocument/2006/relationships/image" Target="media/image12.png"/><Relationship Id="rId7" Type="http://schemas.openxmlformats.org/officeDocument/2006/relationships/image" Target="media/image14.png"/><Relationship Id="rId8" Type="http://schemas.openxmlformats.org/officeDocument/2006/relationships/image" Target="media/image13.png"/><Relationship Id="rId31" Type="http://schemas.openxmlformats.org/officeDocument/2006/relationships/image" Target="media/image7.png"/><Relationship Id="rId30" Type="http://schemas.openxmlformats.org/officeDocument/2006/relationships/image" Target="media/image6.png"/><Relationship Id="rId33" Type="http://schemas.openxmlformats.org/officeDocument/2006/relationships/image" Target="media/image9.png"/><Relationship Id="rId32" Type="http://schemas.openxmlformats.org/officeDocument/2006/relationships/image" Target="media/image8.png"/><Relationship Id="rId35" Type="http://schemas.openxmlformats.org/officeDocument/2006/relationships/image" Target="media/image11.png"/><Relationship Id="rId34" Type="http://schemas.openxmlformats.org/officeDocument/2006/relationships/image" Target="media/image10.png"/><Relationship Id="rId37" Type="http://schemas.openxmlformats.org/officeDocument/2006/relationships/image" Target="media/image21.png"/><Relationship Id="rId36" Type="http://schemas.openxmlformats.org/officeDocument/2006/relationships/image" Target="media/image19.png"/><Relationship Id="rId39" Type="http://schemas.openxmlformats.org/officeDocument/2006/relationships/image" Target="media/image26.png"/><Relationship Id="rId38" Type="http://schemas.openxmlformats.org/officeDocument/2006/relationships/image" Target="media/image24.png"/><Relationship Id="rId20" Type="http://schemas.openxmlformats.org/officeDocument/2006/relationships/image" Target="media/image32.png"/><Relationship Id="rId22" Type="http://schemas.openxmlformats.org/officeDocument/2006/relationships/image" Target="media/image36.png"/><Relationship Id="rId21" Type="http://schemas.openxmlformats.org/officeDocument/2006/relationships/image" Target="media/image34.png"/><Relationship Id="rId24" Type="http://schemas.openxmlformats.org/officeDocument/2006/relationships/image" Target="media/image40.png"/><Relationship Id="rId23" Type="http://schemas.openxmlformats.org/officeDocument/2006/relationships/image" Target="media/image38.png"/><Relationship Id="rId26" Type="http://schemas.openxmlformats.org/officeDocument/2006/relationships/image" Target="media/image2.png"/><Relationship Id="rId25" Type="http://schemas.openxmlformats.org/officeDocument/2006/relationships/image" Target="media/image41.png"/><Relationship Id="rId28" Type="http://schemas.openxmlformats.org/officeDocument/2006/relationships/image" Target="media/image4.png"/><Relationship Id="rId27" Type="http://schemas.openxmlformats.org/officeDocument/2006/relationships/image" Target="media/image3.png"/><Relationship Id="rId29" Type="http://schemas.openxmlformats.org/officeDocument/2006/relationships/image" Target="media/image5.png"/><Relationship Id="rId51" Type="http://schemas.openxmlformats.org/officeDocument/2006/relationships/header" Target="header1.xml"/><Relationship Id="rId50" Type="http://schemas.openxmlformats.org/officeDocument/2006/relationships/image" Target="media/image1.png"/><Relationship Id="rId53" Type="http://schemas.openxmlformats.org/officeDocument/2006/relationships/footer" Target="footer1.xml"/><Relationship Id="rId52" Type="http://schemas.openxmlformats.org/officeDocument/2006/relationships/header" Target="header2.xml"/><Relationship Id="rId11" Type="http://schemas.openxmlformats.org/officeDocument/2006/relationships/image" Target="media/image18.png"/><Relationship Id="rId10" Type="http://schemas.openxmlformats.org/officeDocument/2006/relationships/image" Target="media/image15.png"/><Relationship Id="rId54" Type="http://schemas.openxmlformats.org/officeDocument/2006/relationships/footer" Target="footer2.xml"/><Relationship Id="rId13" Type="http://schemas.openxmlformats.org/officeDocument/2006/relationships/image" Target="media/image22.png"/><Relationship Id="rId12" Type="http://schemas.openxmlformats.org/officeDocument/2006/relationships/image" Target="media/image17.png"/><Relationship Id="rId15" Type="http://schemas.openxmlformats.org/officeDocument/2006/relationships/image" Target="media/image27.png"/><Relationship Id="rId14" Type="http://schemas.openxmlformats.org/officeDocument/2006/relationships/image" Target="media/image20.png"/><Relationship Id="rId17" Type="http://schemas.openxmlformats.org/officeDocument/2006/relationships/image" Target="media/image25.png"/><Relationship Id="rId16" Type="http://schemas.openxmlformats.org/officeDocument/2006/relationships/image" Target="media/image23.png"/><Relationship Id="rId19" Type="http://schemas.openxmlformats.org/officeDocument/2006/relationships/image" Target="media/image30.png"/><Relationship Id="rId18" Type="http://schemas.openxmlformats.org/officeDocument/2006/relationships/image" Target="media/image2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