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B9D2E" w14:textId="77777777" w:rsidR="007D2DDE" w:rsidRDefault="00000000">
      <w:pPr>
        <w:ind w:left="2118"/>
        <w:rPr>
          <w:rFonts w:ascii="Times New Roman" w:eastAsia="Times New Roman" w:hAnsi="Times New Roman" w:cs="Times New Roman"/>
          <w:sz w:val="20"/>
          <w:szCs w:val="20"/>
        </w:rPr>
      </w:pPr>
      <w:r>
        <w:rPr>
          <w:rFonts w:ascii="Times New Roman" w:eastAsia="Times New Roman" w:hAnsi="Times New Roman" w:cs="Times New Roman"/>
          <w:noProof/>
          <w:sz w:val="20"/>
          <w:szCs w:val="20"/>
        </w:rPr>
        <w:drawing>
          <wp:inline distT="0" distB="0" distL="0" distR="0" wp14:anchorId="545F1268" wp14:editId="5E52071B">
            <wp:extent cx="3851212" cy="809625"/>
            <wp:effectExtent l="0" t="0" r="0" b="0"/>
            <wp:docPr id="1" name="image3.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3.png" descr="SCVO | Sandwell Council of Voluntary Organisations."/>
                    <pic:cNvPicPr preferRelativeResize="0"/>
                  </pic:nvPicPr>
                  <pic:blipFill>
                    <a:blip r:embed="rId6"/>
                    <a:srcRect/>
                    <a:stretch>
                      <a:fillRect/>
                    </a:stretch>
                  </pic:blipFill>
                  <pic:spPr>
                    <a:xfrm>
                      <a:off x="0" y="0"/>
                      <a:ext cx="3851212" cy="809625"/>
                    </a:xfrm>
                    <a:prstGeom prst="rect">
                      <a:avLst/>
                    </a:prstGeom>
                    <a:ln/>
                  </pic:spPr>
                </pic:pic>
              </a:graphicData>
            </a:graphic>
          </wp:inline>
        </w:drawing>
      </w:r>
    </w:p>
    <w:p w14:paraId="5779C4ED" w14:textId="77777777" w:rsidR="007D2DDE" w:rsidRDefault="007D2DDE">
      <w:pPr>
        <w:pBdr>
          <w:top w:val="nil"/>
          <w:left w:val="nil"/>
          <w:bottom w:val="nil"/>
          <w:right w:val="nil"/>
          <w:between w:val="nil"/>
        </w:pBdr>
        <w:rPr>
          <w:rFonts w:ascii="Times New Roman" w:eastAsia="Times New Roman" w:hAnsi="Times New Roman" w:cs="Times New Roman"/>
          <w:sz w:val="36"/>
          <w:szCs w:val="36"/>
        </w:rPr>
      </w:pPr>
    </w:p>
    <w:p w14:paraId="7584A26B" w14:textId="77777777" w:rsidR="007D2DDE" w:rsidRDefault="007D2DDE">
      <w:pPr>
        <w:pBdr>
          <w:top w:val="nil"/>
          <w:left w:val="nil"/>
          <w:bottom w:val="nil"/>
          <w:right w:val="nil"/>
          <w:between w:val="nil"/>
        </w:pBdr>
        <w:spacing w:before="57"/>
        <w:rPr>
          <w:rFonts w:ascii="Times New Roman" w:eastAsia="Times New Roman" w:hAnsi="Times New Roman" w:cs="Times New Roman"/>
          <w:sz w:val="52"/>
          <w:szCs w:val="52"/>
        </w:rPr>
      </w:pPr>
    </w:p>
    <w:p w14:paraId="7C57D968" w14:textId="77777777" w:rsidR="007D2DDE" w:rsidRDefault="00000000">
      <w:pPr>
        <w:pStyle w:val="Heading1"/>
        <w:jc w:val="center"/>
        <w:rPr>
          <w:sz w:val="40"/>
          <w:szCs w:val="40"/>
        </w:rPr>
      </w:pPr>
      <w:r>
        <w:rPr>
          <w:sz w:val="40"/>
          <w:szCs w:val="40"/>
        </w:rPr>
        <w:t>Methods and Search Strategy Academic Poster</w:t>
      </w:r>
    </w:p>
    <w:p w14:paraId="513C5268" w14:textId="77777777" w:rsidR="007D2DDE" w:rsidRDefault="007D2DDE">
      <w:pPr>
        <w:pStyle w:val="Heading1"/>
        <w:jc w:val="center"/>
        <w:rPr>
          <w:sz w:val="28"/>
          <w:szCs w:val="28"/>
        </w:rPr>
      </w:pPr>
    </w:p>
    <w:p w14:paraId="123241B7" w14:textId="77777777" w:rsidR="007D2DDE" w:rsidRDefault="007D2DDE">
      <w:pPr>
        <w:pStyle w:val="Heading1"/>
        <w:jc w:val="center"/>
        <w:rPr>
          <w:sz w:val="28"/>
          <w:szCs w:val="28"/>
        </w:rPr>
      </w:pPr>
    </w:p>
    <w:p w14:paraId="2D0FCC78" w14:textId="1039E61F" w:rsidR="007D2DDE" w:rsidRDefault="00000000">
      <w:pPr>
        <w:pStyle w:val="Heading1"/>
        <w:jc w:val="center"/>
        <w:rPr>
          <w:sz w:val="28"/>
          <w:szCs w:val="28"/>
        </w:rPr>
      </w:pPr>
      <w:r>
        <w:rPr>
          <w:sz w:val="28"/>
          <w:szCs w:val="28"/>
        </w:rPr>
        <w:t xml:space="preserve">Student Name: </w:t>
      </w:r>
      <w:r w:rsidR="000063D9">
        <w:rPr>
          <w:sz w:val="28"/>
          <w:szCs w:val="28"/>
        </w:rPr>
        <w:t>Dorothy Tweneboah</w:t>
      </w:r>
    </w:p>
    <w:p w14:paraId="5223D9E8" w14:textId="426FBCC3" w:rsidR="007D2DDE" w:rsidRDefault="00000000">
      <w:pPr>
        <w:pStyle w:val="Heading1"/>
        <w:jc w:val="center"/>
        <w:rPr>
          <w:sz w:val="28"/>
          <w:szCs w:val="28"/>
        </w:rPr>
      </w:pPr>
      <w:r>
        <w:rPr>
          <w:sz w:val="28"/>
          <w:szCs w:val="28"/>
        </w:rPr>
        <w:t>Student ID:</w:t>
      </w:r>
      <w:r w:rsidR="000063D9">
        <w:rPr>
          <w:sz w:val="28"/>
          <w:szCs w:val="28"/>
        </w:rPr>
        <w:t xml:space="preserve"> 2314173</w:t>
      </w:r>
    </w:p>
    <w:p w14:paraId="446B699B" w14:textId="370D3A56" w:rsidR="007D2DDE" w:rsidRDefault="000063D9">
      <w:pPr>
        <w:pStyle w:val="Heading1"/>
        <w:jc w:val="center"/>
        <w:rPr>
          <w:sz w:val="28"/>
          <w:szCs w:val="28"/>
        </w:rPr>
      </w:pPr>
      <w:r>
        <w:rPr>
          <w:sz w:val="28"/>
          <w:szCs w:val="28"/>
        </w:rPr>
        <w:t>Lecture Name: Chloe Harries</w:t>
      </w:r>
    </w:p>
    <w:p w14:paraId="67BF2E5B" w14:textId="77777777" w:rsidR="007D2DDE" w:rsidRDefault="007D2DDE">
      <w:pPr>
        <w:pStyle w:val="Heading1"/>
        <w:jc w:val="center"/>
        <w:rPr>
          <w:sz w:val="28"/>
          <w:szCs w:val="28"/>
        </w:rPr>
      </w:pPr>
    </w:p>
    <w:p w14:paraId="2C624B1A" w14:textId="77777777" w:rsidR="007D2DDE" w:rsidRDefault="00000000">
      <w:pPr>
        <w:spacing w:line="542"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Title: Independent Project</w:t>
      </w:r>
    </w:p>
    <w:p w14:paraId="51E7E974" w14:textId="77777777" w:rsidR="007D2DDE" w:rsidRDefault="00000000">
      <w:pPr>
        <w:spacing w:line="542" w:lineRule="auto"/>
        <w:jc w:val="center"/>
        <w:rPr>
          <w:rFonts w:ascii="Times New Roman" w:eastAsia="Times New Roman" w:hAnsi="Times New Roman" w:cs="Times New Roman"/>
          <w:sz w:val="28"/>
          <w:szCs w:val="28"/>
        </w:rPr>
        <w:sectPr w:rsidR="007D2DDE">
          <w:pgSz w:w="12240" w:h="15840"/>
          <w:pgMar w:top="1380" w:right="1800" w:bottom="280" w:left="1080" w:header="720" w:footer="720" w:gutter="0"/>
          <w:pgNumType w:start="1"/>
          <w:cols w:space="720"/>
        </w:sectPr>
      </w:pPr>
      <w:r>
        <w:rPr>
          <w:rFonts w:ascii="Times New Roman" w:eastAsia="Times New Roman" w:hAnsi="Times New Roman" w:cs="Times New Roman"/>
          <w:b/>
          <w:bCs/>
          <w:sz w:val="28"/>
          <w:szCs w:val="28"/>
        </w:rPr>
        <w:t>Module Code: BMHP6020</w:t>
      </w:r>
    </w:p>
    <w:p w14:paraId="48F3EC25" w14:textId="77777777" w:rsidR="007D2DDE" w:rsidRDefault="007D2DDE">
      <w:pPr>
        <w:pBdr>
          <w:top w:val="nil"/>
          <w:left w:val="nil"/>
          <w:bottom w:val="nil"/>
          <w:right w:val="nil"/>
          <w:between w:val="nil"/>
        </w:pBdr>
        <w:spacing w:line="276" w:lineRule="auto"/>
        <w:rPr>
          <w:rFonts w:ascii="Times New Roman" w:eastAsia="Times New Roman" w:hAnsi="Times New Roman" w:cs="Times New Roman"/>
          <w:sz w:val="28"/>
          <w:szCs w:val="28"/>
        </w:rPr>
      </w:pPr>
    </w:p>
    <w:tbl>
      <w:tblPr>
        <w:tblStyle w:val="a"/>
        <w:tblW w:w="137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63"/>
        <w:gridCol w:w="7087"/>
      </w:tblGrid>
      <w:tr w:rsidR="007D2DDE" w14:paraId="1BAA22A9" w14:textId="77777777">
        <w:trPr>
          <w:trHeight w:val="983"/>
        </w:trPr>
        <w:tc>
          <w:tcPr>
            <w:tcW w:w="13750" w:type="dxa"/>
            <w:gridSpan w:val="2"/>
            <w:shd w:val="clear" w:color="auto" w:fill="92D050"/>
          </w:tcPr>
          <w:p w14:paraId="50B71B96" w14:textId="77777777" w:rsidR="007D2DDE" w:rsidRDefault="00000000">
            <w:pPr>
              <w:pBdr>
                <w:top w:val="nil"/>
                <w:left w:val="nil"/>
                <w:bottom w:val="nil"/>
                <w:right w:val="nil"/>
                <w:between w:val="nil"/>
              </w:pBdr>
              <w:spacing w:before="2"/>
              <w:ind w:left="445" w:right="1"/>
              <w:jc w:val="center"/>
              <w:rPr>
                <w:rFonts w:ascii="Times New Roman" w:eastAsia="Times New Roman" w:hAnsi="Times New Roman" w:cs="Times New Roman"/>
                <w:b/>
                <w:bCs/>
                <w:sz w:val="24"/>
                <w:szCs w:val="24"/>
              </w:rPr>
            </w:pPr>
            <w:r>
              <w:rPr>
                <w:rFonts w:ascii="Times New Roman" w:eastAsia="Times New Roman" w:hAnsi="Times New Roman" w:cs="Times New Roman"/>
                <w:b/>
                <w:bCs/>
                <w:sz w:val="40"/>
                <w:szCs w:val="40"/>
              </w:rPr>
              <w:t>Barriers to Access to Health and Social Care Services</w:t>
            </w:r>
          </w:p>
        </w:tc>
      </w:tr>
      <w:tr w:rsidR="007D2DDE" w14:paraId="78FEBC89" w14:textId="77777777">
        <w:trPr>
          <w:trHeight w:val="2892"/>
        </w:trPr>
        <w:tc>
          <w:tcPr>
            <w:tcW w:w="6663" w:type="dxa"/>
            <w:shd w:val="clear" w:color="auto" w:fill="8DB3E2"/>
          </w:tcPr>
          <w:p w14:paraId="690066B6" w14:textId="77777777" w:rsidR="007D2DDE" w:rsidRDefault="00000000">
            <w:pPr>
              <w:pBdr>
                <w:top w:val="nil"/>
                <w:left w:val="nil"/>
                <w:bottom w:val="nil"/>
                <w:right w:val="nil"/>
                <w:between w:val="nil"/>
              </w:pBdr>
              <w:spacing w:line="464" w:lineRule="auto"/>
              <w:ind w:left="110"/>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01 Introduction and Research Aim</w:t>
            </w:r>
          </w:p>
          <w:p w14:paraId="4F715298" w14:textId="77777777" w:rsidR="007D2DD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chapter will include information about how the data will be gathered and analysed. This research is based on secondary research data that has been supported with interviews to highlight the challenges experienced in delivering health and social care. The chapter provides readers with an overview of the literature search, inclusion and exclusion criteria, source validation and ethical issues of this research. This research aims to critically examine the barriers affecting access to health and social care services in the United Kingdom and considers vulnerable groups including the elderly, low income and ethnic minority groups.</w:t>
            </w:r>
          </w:p>
        </w:tc>
        <w:tc>
          <w:tcPr>
            <w:tcW w:w="7087" w:type="dxa"/>
            <w:shd w:val="clear" w:color="auto" w:fill="FBD4B4"/>
          </w:tcPr>
          <w:p w14:paraId="497A826F" w14:textId="77777777" w:rsidR="007D2DDE" w:rsidRDefault="00000000">
            <w:pPr>
              <w:pBdr>
                <w:top w:val="nil"/>
                <w:left w:val="nil"/>
                <w:bottom w:val="nil"/>
                <w:right w:val="nil"/>
                <w:between w:val="nil"/>
              </w:pBdr>
              <w:spacing w:line="464" w:lineRule="auto"/>
              <w:ind w:left="105"/>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02 Search Strategy</w:t>
            </w:r>
          </w:p>
          <w:p w14:paraId="7BEAC7C5" w14:textId="77777777" w:rsidR="007D2DDE" w:rsidRDefault="00000000">
            <w:pPr>
              <w:pBdr>
                <w:top w:val="nil"/>
                <w:left w:val="nil"/>
                <w:bottom w:val="nil"/>
                <w:right w:val="nil"/>
                <w:between w:val="nil"/>
              </w:pBdr>
              <w:spacing w:before="245" w:line="381" w:lineRule="auto"/>
              <w:ind w:left="105" w:right="-29"/>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search strategy is defined as a seeking strategy of a database including a precise string of key words used to find the relevant information (Christou, </w:t>
            </w:r>
            <w:proofErr w:type="spellStart"/>
            <w:r>
              <w:rPr>
                <w:rFonts w:ascii="Times New Roman" w:eastAsia="Times New Roman" w:hAnsi="Times New Roman" w:cs="Times New Roman"/>
                <w:sz w:val="24"/>
                <w:szCs w:val="24"/>
              </w:rPr>
              <w:t>Parmaxi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Zaphiris</w:t>
            </w:r>
            <w:proofErr w:type="spellEnd"/>
            <w:r>
              <w:rPr>
                <w:rFonts w:ascii="Times New Roman" w:eastAsia="Times New Roman" w:hAnsi="Times New Roman" w:cs="Times New Roman"/>
                <w:sz w:val="24"/>
                <w:szCs w:val="24"/>
              </w:rPr>
              <w:t>, 2025). The search strategy in this research involved identification of keywords including healthcare access, barriers to healthcare, inequalities, social care. Boolean operators (AND/OR) used in building searches on the databases including PubMed, CINAHL and Google Scholar. More items were identified with truncation and synonyms (e.g. “access*” for “access” and “accessibility”). This approach allowed retrieval of relevant, credible and recent literature.</w:t>
            </w:r>
          </w:p>
        </w:tc>
      </w:tr>
      <w:tr w:rsidR="007D2DDE" w14:paraId="3D61B653" w14:textId="77777777">
        <w:trPr>
          <w:trHeight w:val="5443"/>
        </w:trPr>
        <w:tc>
          <w:tcPr>
            <w:tcW w:w="6663" w:type="dxa"/>
            <w:shd w:val="clear" w:color="auto" w:fill="B6DDE8"/>
          </w:tcPr>
          <w:p w14:paraId="5F93CA3B" w14:textId="77777777" w:rsidR="007D2DDE" w:rsidRDefault="00000000">
            <w:pPr>
              <w:pBdr>
                <w:top w:val="nil"/>
                <w:left w:val="nil"/>
                <w:bottom w:val="nil"/>
                <w:right w:val="nil"/>
                <w:between w:val="nil"/>
              </w:pBdr>
              <w:spacing w:line="464" w:lineRule="auto"/>
              <w:ind w:left="110"/>
              <w:jc w:val="both"/>
              <w:rPr>
                <w:rFonts w:ascii="Times New Roman" w:eastAsia="Times New Roman" w:hAnsi="Times New Roman" w:cs="Times New Roman"/>
                <w:b/>
                <w:bCs/>
                <w:sz w:val="32"/>
                <w:szCs w:val="32"/>
              </w:rPr>
            </w:pPr>
            <w:proofErr w:type="gramStart"/>
            <w:r>
              <w:rPr>
                <w:rFonts w:ascii="Times New Roman" w:eastAsia="Times New Roman" w:hAnsi="Times New Roman" w:cs="Times New Roman"/>
                <w:b/>
                <w:bCs/>
                <w:sz w:val="32"/>
                <w:szCs w:val="32"/>
              </w:rPr>
              <w:lastRenderedPageBreak/>
              <w:t>03  Searching</w:t>
            </w:r>
            <w:proofErr w:type="gramEnd"/>
            <w:r>
              <w:rPr>
                <w:rFonts w:ascii="Times New Roman" w:eastAsia="Times New Roman" w:hAnsi="Times New Roman" w:cs="Times New Roman"/>
                <w:b/>
                <w:bCs/>
                <w:sz w:val="32"/>
                <w:szCs w:val="32"/>
              </w:rPr>
              <w:t xml:space="preserve"> for Information</w:t>
            </w:r>
          </w:p>
          <w:p w14:paraId="43C21A04" w14:textId="77777777" w:rsidR="007D2DDE" w:rsidRDefault="00000000">
            <w:pPr>
              <w:pBdr>
                <w:top w:val="nil"/>
                <w:left w:val="nil"/>
                <w:bottom w:val="nil"/>
                <w:right w:val="nil"/>
                <w:between w:val="nil"/>
              </w:pBdr>
              <w:spacing w:before="249" w:line="360" w:lineRule="auto"/>
              <w:ind w:left="110" w:right="1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process started by articulating the research question: What are the barriers to accessing health and social care services in the UK? The databases were selected based on their relevance to health and social sciences. The aim of restricting access to the sources in the past 5 years was to ensure freshness of the resources. </w:t>
            </w:r>
            <w:proofErr w:type="gramStart"/>
            <w:r>
              <w:rPr>
                <w:rFonts w:ascii="Times New Roman" w:eastAsia="Times New Roman" w:hAnsi="Times New Roman" w:cs="Times New Roman"/>
                <w:sz w:val="24"/>
                <w:szCs w:val="24"/>
              </w:rPr>
              <w:t>Additionally</w:t>
            </w:r>
            <w:proofErr w:type="gramEnd"/>
            <w:r>
              <w:rPr>
                <w:rFonts w:ascii="Times New Roman" w:eastAsia="Times New Roman" w:hAnsi="Times New Roman" w:cs="Times New Roman"/>
                <w:sz w:val="24"/>
                <w:szCs w:val="24"/>
              </w:rPr>
              <w:t xml:space="preserve"> selection of sources </w:t>
            </w:r>
            <w:proofErr w:type="gramStart"/>
            <w:r>
              <w:rPr>
                <w:rFonts w:ascii="Times New Roman" w:eastAsia="Times New Roman" w:hAnsi="Times New Roman" w:cs="Times New Roman"/>
                <w:sz w:val="24"/>
                <w:szCs w:val="24"/>
              </w:rPr>
              <w:t>were</w:t>
            </w:r>
            <w:proofErr w:type="gramEnd"/>
            <w:r>
              <w:rPr>
                <w:rFonts w:ascii="Times New Roman" w:eastAsia="Times New Roman" w:hAnsi="Times New Roman" w:cs="Times New Roman"/>
                <w:sz w:val="24"/>
                <w:szCs w:val="24"/>
              </w:rPr>
              <w:t xml:space="preserve"> also restricted to peer-reviewed articles, government documents and NGO publications. The following steps were taken to carry out this process:</w:t>
            </w:r>
          </w:p>
          <w:p w14:paraId="086CEA77" w14:textId="77777777" w:rsidR="007D2DDE" w:rsidRDefault="00000000">
            <w:pPr>
              <w:numPr>
                <w:ilvl w:val="0"/>
                <w:numId w:val="3"/>
              </w:numPr>
              <w:pBdr>
                <w:top w:val="nil"/>
                <w:left w:val="nil"/>
                <w:bottom w:val="nil"/>
                <w:right w:val="nil"/>
                <w:between w:val="nil"/>
              </w:pBdr>
              <w:spacing w:before="249" w:line="360" w:lineRule="auto"/>
              <w:ind w:right="1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key words and synonyms.</w:t>
            </w:r>
          </w:p>
          <w:p w14:paraId="556B96FE" w14:textId="77777777" w:rsidR="007D2DDE" w:rsidRDefault="00000000">
            <w:pPr>
              <w:numPr>
                <w:ilvl w:val="0"/>
                <w:numId w:val="3"/>
              </w:numPr>
              <w:pBdr>
                <w:top w:val="nil"/>
                <w:left w:val="nil"/>
                <w:bottom w:val="nil"/>
                <w:right w:val="nil"/>
                <w:between w:val="nil"/>
              </w:pBdr>
              <w:spacing w:before="249" w:line="360" w:lineRule="auto"/>
              <w:ind w:right="1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Applying filters (date range, context of the UK, full-text availability).</w:t>
            </w:r>
          </w:p>
          <w:p w14:paraId="1B8C7E38" w14:textId="77777777" w:rsidR="007D2DDE" w:rsidRDefault="00000000">
            <w:pPr>
              <w:numPr>
                <w:ilvl w:val="0"/>
                <w:numId w:val="3"/>
              </w:numPr>
              <w:pBdr>
                <w:top w:val="nil"/>
                <w:left w:val="nil"/>
                <w:bottom w:val="nil"/>
                <w:right w:val="nil"/>
                <w:between w:val="nil"/>
              </w:pBdr>
              <w:spacing w:before="249" w:line="360" w:lineRule="auto"/>
              <w:ind w:right="1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Abstracts of the value of being read for their relevance.</w:t>
            </w:r>
          </w:p>
          <w:p w14:paraId="77D2EC0E" w14:textId="77777777" w:rsidR="007D2DDE" w:rsidRDefault="00000000">
            <w:pPr>
              <w:numPr>
                <w:ilvl w:val="0"/>
                <w:numId w:val="3"/>
              </w:numPr>
              <w:pBdr>
                <w:top w:val="nil"/>
                <w:left w:val="nil"/>
                <w:bottom w:val="nil"/>
                <w:right w:val="nil"/>
                <w:between w:val="nil"/>
              </w:pBdr>
              <w:spacing w:before="249" w:line="360" w:lineRule="auto"/>
              <w:ind w:right="1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Extracting data into Excel for thematic organisation.</w:t>
            </w:r>
          </w:p>
          <w:p w14:paraId="71B6BA63" w14:textId="77777777" w:rsidR="007D2DDE" w:rsidRDefault="00000000">
            <w:pPr>
              <w:pBdr>
                <w:top w:val="nil"/>
                <w:left w:val="nil"/>
                <w:bottom w:val="nil"/>
                <w:right w:val="nil"/>
                <w:between w:val="nil"/>
              </w:pBdr>
              <w:spacing w:before="219" w:line="360" w:lineRule="auto"/>
              <w:ind w:left="1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was instructive because only quality and relevant sources provided information to inform the research.</w:t>
            </w:r>
          </w:p>
        </w:tc>
        <w:tc>
          <w:tcPr>
            <w:tcW w:w="7087" w:type="dxa"/>
          </w:tcPr>
          <w:p w14:paraId="0A1957FC" w14:textId="77777777" w:rsidR="007D2DDE" w:rsidRDefault="00000000">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04   Visual Aid </w:t>
            </w:r>
          </w:p>
          <w:p w14:paraId="0951274E"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095D9D20"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67619A88"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26723F4E"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07F35C65"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1E2C45FE"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2385D6B3"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608A580F"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366118C8" w14:textId="77777777" w:rsidR="007D2DDE" w:rsidRDefault="00000000">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r>
              <w:rPr>
                <w:rFonts w:ascii="Times New Roman" w:eastAsia="Times New Roman" w:hAnsi="Times New Roman" w:cs="Times New Roman"/>
                <w:noProof/>
              </w:rPr>
              <w:drawing>
                <wp:inline distT="0" distB="0" distL="0" distR="0" wp14:anchorId="0BE78329" wp14:editId="4B9F6208">
                  <wp:extent cx="4434840" cy="24536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434840" cy="2453640"/>
                          </a:xfrm>
                          <a:prstGeom prst="rect">
                            <a:avLst/>
                          </a:prstGeom>
                          <a:ln/>
                        </pic:spPr>
                      </pic:pic>
                    </a:graphicData>
                  </a:graphic>
                </wp:inline>
              </w:drawing>
            </w:r>
          </w:p>
          <w:p w14:paraId="4600889F" w14:textId="77777777" w:rsidR="007D2DDE" w:rsidRDefault="007D2DDE">
            <w:pPr>
              <w:pBdr>
                <w:top w:val="nil"/>
                <w:left w:val="nil"/>
                <w:bottom w:val="nil"/>
                <w:right w:val="nil"/>
                <w:between w:val="nil"/>
              </w:pBdr>
              <w:spacing w:line="464" w:lineRule="auto"/>
              <w:ind w:left="105"/>
              <w:rPr>
                <w:rFonts w:ascii="Times New Roman" w:eastAsia="Times New Roman" w:hAnsi="Times New Roman" w:cs="Times New Roman"/>
                <w:b/>
                <w:bCs/>
                <w:sz w:val="32"/>
                <w:szCs w:val="32"/>
              </w:rPr>
            </w:pPr>
          </w:p>
          <w:p w14:paraId="1D861F0B" w14:textId="77777777" w:rsidR="007D2DDE" w:rsidRDefault="00000000">
            <w:pPr>
              <w:pBdr>
                <w:top w:val="nil"/>
                <w:left w:val="nil"/>
                <w:bottom w:val="nil"/>
                <w:right w:val="nil"/>
                <w:between w:val="nil"/>
              </w:pBdr>
              <w:tabs>
                <w:tab w:val="left" w:pos="986"/>
                <w:tab w:val="left" w:pos="1973"/>
              </w:tabs>
              <w:spacing w:before="185"/>
              <w:ind w:right="1456"/>
              <w:rPr>
                <w:rFonts w:ascii="Times New Roman" w:eastAsia="Times New Roman" w:hAnsi="Times New Roman" w:cs="Times New Roman"/>
                <w:sz w:val="24"/>
                <w:szCs w:val="24"/>
              </w:rPr>
            </w:pPr>
            <w:r>
              <w:rPr>
                <w:rFonts w:ascii="Times New Roman" w:eastAsia="Times New Roman" w:hAnsi="Times New Roman" w:cs="Times New Roman"/>
                <w:noProof/>
              </w:rPr>
              <w:drawing>
                <wp:inline distT="0" distB="0" distL="0" distR="0" wp14:anchorId="3C80B834" wp14:editId="312780ED">
                  <wp:extent cx="4495800" cy="2392680"/>
                  <wp:effectExtent l="0" t="0" r="0" b="0"/>
                  <wp:docPr id="2" name="image1.jpg" descr="Health Inequality Images – Browse 12,216 Stock Photos, Vectors, and Video |  Adobe Stock"/>
                  <wp:cNvGraphicFramePr/>
                  <a:graphic xmlns:a="http://schemas.openxmlformats.org/drawingml/2006/main">
                    <a:graphicData uri="http://schemas.openxmlformats.org/drawingml/2006/picture">
                      <pic:pic xmlns:pic="http://schemas.openxmlformats.org/drawingml/2006/picture">
                        <pic:nvPicPr>
                          <pic:cNvPr id="0" name="image1.jpg" descr="Health Inequality Images – Browse 12,216 Stock Photos, Vectors, and Video |  Adobe Stock"/>
                          <pic:cNvPicPr preferRelativeResize="0"/>
                        </pic:nvPicPr>
                        <pic:blipFill>
                          <a:blip r:embed="rId8"/>
                          <a:srcRect/>
                          <a:stretch>
                            <a:fillRect/>
                          </a:stretch>
                        </pic:blipFill>
                        <pic:spPr>
                          <a:xfrm>
                            <a:off x="0" y="0"/>
                            <a:ext cx="4495800" cy="2392680"/>
                          </a:xfrm>
                          <a:prstGeom prst="rect">
                            <a:avLst/>
                          </a:prstGeom>
                          <a:ln/>
                        </pic:spPr>
                      </pic:pic>
                    </a:graphicData>
                  </a:graphic>
                </wp:inline>
              </w:drawing>
            </w:r>
          </w:p>
        </w:tc>
      </w:tr>
    </w:tbl>
    <w:p w14:paraId="689C5302" w14:textId="77777777" w:rsidR="007D2DDE" w:rsidRDefault="007D2DDE">
      <w:pPr>
        <w:pBdr>
          <w:top w:val="nil"/>
          <w:left w:val="nil"/>
          <w:bottom w:val="nil"/>
          <w:right w:val="nil"/>
          <w:between w:val="nil"/>
        </w:pBdr>
        <w:ind w:left="110"/>
        <w:jc w:val="center"/>
        <w:rPr>
          <w:rFonts w:ascii="Times New Roman" w:eastAsia="Times New Roman" w:hAnsi="Times New Roman" w:cs="Times New Roman"/>
          <w:sz w:val="18"/>
          <w:szCs w:val="18"/>
        </w:rPr>
        <w:sectPr w:rsidR="007D2DDE">
          <w:pgSz w:w="15840" w:h="12240" w:orient="landscape"/>
          <w:pgMar w:top="940" w:right="0" w:bottom="280" w:left="720" w:header="720" w:footer="720" w:gutter="0"/>
          <w:cols w:space="720"/>
        </w:sectPr>
      </w:pPr>
    </w:p>
    <w:p w14:paraId="50297128" w14:textId="77777777" w:rsidR="007D2DDE" w:rsidRDefault="00000000">
      <w:pPr>
        <w:spacing w:before="81" w:after="22"/>
        <w:rPr>
          <w:rFonts w:ascii="Times New Roman" w:eastAsia="Times New Roman" w:hAnsi="Times New Roman" w:cs="Times New Roman"/>
        </w:rPr>
      </w:pPr>
      <w:r>
        <w:rPr>
          <w:rFonts w:ascii="Times New Roman" w:eastAsia="Times New Roman" w:hAnsi="Times New Roman" w:cs="Times New Roman"/>
        </w:rPr>
        <w:lastRenderedPageBreak/>
        <w:t>`</w:t>
      </w:r>
    </w:p>
    <w:tbl>
      <w:tblPr>
        <w:tblStyle w:val="a0"/>
        <w:tblW w:w="1303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63"/>
        <w:gridCol w:w="6376"/>
      </w:tblGrid>
      <w:tr w:rsidR="007D2DDE" w14:paraId="04B0D7C0" w14:textId="77777777">
        <w:trPr>
          <w:trHeight w:val="2287"/>
        </w:trPr>
        <w:tc>
          <w:tcPr>
            <w:tcW w:w="13039" w:type="dxa"/>
            <w:gridSpan w:val="2"/>
            <w:shd w:val="clear" w:color="auto" w:fill="CCC0D9"/>
          </w:tcPr>
          <w:p w14:paraId="60E6E7EB" w14:textId="77777777" w:rsidR="007D2DDE" w:rsidRDefault="00000000">
            <w:pPr>
              <w:pBdr>
                <w:top w:val="nil"/>
                <w:left w:val="nil"/>
                <w:bottom w:val="nil"/>
                <w:right w:val="nil"/>
                <w:between w:val="nil"/>
              </w:pBdr>
              <w:spacing w:line="464" w:lineRule="auto"/>
              <w:ind w:left="445"/>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05   Research Validation and Analysis</w:t>
            </w:r>
          </w:p>
          <w:p w14:paraId="155BFACA" w14:textId="77777777" w:rsidR="007D2DDE" w:rsidRDefault="00000000">
            <w:pPr>
              <w:pBdr>
                <w:top w:val="nil"/>
                <w:left w:val="nil"/>
                <w:bottom w:val="nil"/>
                <w:right w:val="nil"/>
                <w:between w:val="nil"/>
              </w:pBdr>
              <w:spacing w:before="224" w:line="360" w:lineRule="auto"/>
              <w:ind w:left="1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Secondary research validation involves credibility, reliability and relevance of sources (Cheong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Only peer-reviewed journals, official NHS reports and reputable think tanks like the King's Fund were prioritised. Critical evaluation involved checking out the authenticity of the sources and the methodological and publication credentials of the authors (Hoang, 2025). The secondary research analysis was undertaken through thematic </w:t>
            </w:r>
            <w:proofErr w:type="gramStart"/>
            <w:r>
              <w:rPr>
                <w:rFonts w:ascii="Times New Roman" w:eastAsia="Times New Roman" w:hAnsi="Times New Roman" w:cs="Times New Roman"/>
                <w:sz w:val="24"/>
                <w:szCs w:val="24"/>
              </w:rPr>
              <w:t>review</w:t>
            </w:r>
            <w:proofErr w:type="gramEnd"/>
            <w:r>
              <w:rPr>
                <w:rFonts w:ascii="Times New Roman" w:eastAsia="Times New Roman" w:hAnsi="Times New Roman" w:cs="Times New Roman"/>
                <w:sz w:val="24"/>
                <w:szCs w:val="24"/>
              </w:rPr>
              <w:t xml:space="preserve"> and key themes were identified such as affordability, transport, cultural sensitivity and so on. These themes will be addressed in Chapter 4 of the research to highlight these trends or gaps in the provision of these services.</w:t>
            </w:r>
          </w:p>
        </w:tc>
      </w:tr>
      <w:tr w:rsidR="007D2DDE" w14:paraId="55E46E2A" w14:textId="77777777">
        <w:trPr>
          <w:trHeight w:val="1992"/>
        </w:trPr>
        <w:tc>
          <w:tcPr>
            <w:tcW w:w="6663" w:type="dxa"/>
            <w:shd w:val="clear" w:color="auto" w:fill="92CDDC"/>
          </w:tcPr>
          <w:p w14:paraId="0F51955A" w14:textId="77777777" w:rsidR="007D2DDE" w:rsidRDefault="00000000">
            <w:pPr>
              <w:pBdr>
                <w:top w:val="nil"/>
                <w:left w:val="nil"/>
                <w:bottom w:val="nil"/>
                <w:right w:val="nil"/>
                <w:between w:val="nil"/>
              </w:pBdr>
              <w:spacing w:line="360" w:lineRule="auto"/>
              <w:ind w:left="110"/>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06    Inclusion Criteria</w:t>
            </w:r>
          </w:p>
          <w:p w14:paraId="47DB64CD" w14:textId="77777777" w:rsidR="007D2DDE" w:rsidRDefault="00000000">
            <w:pPr>
              <w:numPr>
                <w:ilvl w:val="0"/>
                <w:numId w:val="4"/>
              </w:numPr>
              <w:pBdr>
                <w:top w:val="nil"/>
                <w:left w:val="nil"/>
                <w:bottom w:val="nil"/>
                <w:right w:val="nil"/>
                <w:between w:val="nil"/>
              </w:pBdr>
              <w:spacing w:before="250" w:line="360" w:lineRule="auto"/>
              <w:ind w:right="10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Sources published within last 5 years</w:t>
            </w:r>
          </w:p>
          <w:p w14:paraId="46B6F4C6" w14:textId="77777777" w:rsidR="007D2DDE" w:rsidRDefault="00000000">
            <w:pPr>
              <w:numPr>
                <w:ilvl w:val="0"/>
                <w:numId w:val="4"/>
              </w:numPr>
              <w:pBdr>
                <w:top w:val="nil"/>
                <w:left w:val="nil"/>
                <w:bottom w:val="nil"/>
                <w:right w:val="nil"/>
                <w:between w:val="nil"/>
              </w:pBdr>
              <w:spacing w:before="250" w:line="360" w:lineRule="auto"/>
              <w:ind w:right="10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and reports specific to UK</w:t>
            </w:r>
          </w:p>
          <w:p w14:paraId="73D923C6" w14:textId="77777777" w:rsidR="007D2DDE" w:rsidRDefault="00000000">
            <w:pPr>
              <w:numPr>
                <w:ilvl w:val="0"/>
                <w:numId w:val="4"/>
              </w:numPr>
              <w:pBdr>
                <w:top w:val="nil"/>
                <w:left w:val="nil"/>
                <w:bottom w:val="nil"/>
                <w:right w:val="nil"/>
                <w:between w:val="nil"/>
              </w:pBdr>
              <w:spacing w:before="250" w:line="360" w:lineRule="auto"/>
              <w:ind w:right="10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Peer-reviewed articles or easily accessible government documents</w:t>
            </w:r>
          </w:p>
        </w:tc>
        <w:tc>
          <w:tcPr>
            <w:tcW w:w="6376" w:type="dxa"/>
            <w:shd w:val="clear" w:color="auto" w:fill="FFCC99"/>
          </w:tcPr>
          <w:p w14:paraId="6C3E4695" w14:textId="77777777" w:rsidR="007D2DDE" w:rsidRDefault="00000000">
            <w:pPr>
              <w:pBdr>
                <w:top w:val="nil"/>
                <w:left w:val="nil"/>
                <w:bottom w:val="nil"/>
                <w:right w:val="nil"/>
                <w:between w:val="nil"/>
              </w:pBdr>
              <w:spacing w:line="360" w:lineRule="auto"/>
              <w:ind w:left="105"/>
              <w:rPr>
                <w:rFonts w:ascii="Times New Roman" w:eastAsia="Times New Roman" w:hAnsi="Times New Roman" w:cs="Times New Roman"/>
                <w:b/>
                <w:bCs/>
                <w:sz w:val="32"/>
                <w:szCs w:val="32"/>
              </w:rPr>
            </w:pPr>
            <w:proofErr w:type="gramStart"/>
            <w:r>
              <w:rPr>
                <w:rFonts w:ascii="Times New Roman" w:eastAsia="Times New Roman" w:hAnsi="Times New Roman" w:cs="Times New Roman"/>
                <w:b/>
                <w:bCs/>
                <w:sz w:val="32"/>
                <w:szCs w:val="32"/>
              </w:rPr>
              <w:t>07  Exclusion</w:t>
            </w:r>
            <w:proofErr w:type="gramEnd"/>
            <w:r>
              <w:rPr>
                <w:rFonts w:ascii="Times New Roman" w:eastAsia="Times New Roman" w:hAnsi="Times New Roman" w:cs="Times New Roman"/>
                <w:b/>
                <w:bCs/>
                <w:sz w:val="32"/>
                <w:szCs w:val="32"/>
              </w:rPr>
              <w:t xml:space="preserve"> Criteria</w:t>
            </w:r>
          </w:p>
          <w:p w14:paraId="2C26B273" w14:textId="77777777" w:rsidR="007D2DDE" w:rsidRDefault="00000000">
            <w:pPr>
              <w:numPr>
                <w:ilvl w:val="0"/>
                <w:numId w:val="2"/>
              </w:numPr>
              <w:pBdr>
                <w:top w:val="nil"/>
                <w:left w:val="nil"/>
                <w:bottom w:val="nil"/>
                <w:right w:val="nil"/>
                <w:between w:val="nil"/>
              </w:pBdr>
              <w:spacing w:before="250" w:line="360" w:lineRule="auto"/>
              <w:ind w:right="-3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Sources over 5 years</w:t>
            </w:r>
          </w:p>
          <w:p w14:paraId="6398A40A" w14:textId="77777777" w:rsidR="007D2DDE" w:rsidRDefault="00000000">
            <w:pPr>
              <w:numPr>
                <w:ilvl w:val="0"/>
                <w:numId w:val="2"/>
              </w:numPr>
              <w:pBdr>
                <w:top w:val="nil"/>
                <w:left w:val="nil"/>
                <w:bottom w:val="nil"/>
                <w:right w:val="nil"/>
                <w:between w:val="nil"/>
              </w:pBdr>
              <w:spacing w:before="250" w:line="360" w:lineRule="auto"/>
              <w:ind w:right="-3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carried out outside of the UK</w:t>
            </w:r>
          </w:p>
          <w:p w14:paraId="71DA11A9" w14:textId="77777777" w:rsidR="007D2DDE" w:rsidRDefault="00000000">
            <w:pPr>
              <w:numPr>
                <w:ilvl w:val="0"/>
                <w:numId w:val="2"/>
              </w:numPr>
              <w:pBdr>
                <w:top w:val="nil"/>
                <w:left w:val="nil"/>
                <w:bottom w:val="nil"/>
                <w:right w:val="nil"/>
                <w:between w:val="nil"/>
              </w:pBdr>
              <w:spacing w:before="250" w:line="360" w:lineRule="auto"/>
              <w:ind w:right="-3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which do not contain full text or not credible</w:t>
            </w:r>
          </w:p>
        </w:tc>
      </w:tr>
      <w:tr w:rsidR="007D2DDE" w14:paraId="75279E98" w14:textId="77777777">
        <w:trPr>
          <w:trHeight w:val="1491"/>
        </w:trPr>
        <w:tc>
          <w:tcPr>
            <w:tcW w:w="13039" w:type="dxa"/>
            <w:gridSpan w:val="2"/>
            <w:shd w:val="clear" w:color="auto" w:fill="C2D69B"/>
          </w:tcPr>
          <w:p w14:paraId="37631F25" w14:textId="77777777" w:rsidR="007D2DDE" w:rsidRDefault="00000000">
            <w:pPr>
              <w:pBdr>
                <w:top w:val="nil"/>
                <w:left w:val="nil"/>
                <w:bottom w:val="nil"/>
                <w:right w:val="nil"/>
                <w:between w:val="nil"/>
              </w:pBdr>
              <w:spacing w:line="360" w:lineRule="auto"/>
              <w:ind w:left="445" w:right="4"/>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08        Ethical Considerations</w:t>
            </w:r>
          </w:p>
          <w:p w14:paraId="70AE98C5" w14:textId="77777777" w:rsidR="007D2DDE" w:rsidRDefault="00000000">
            <w:pPr>
              <w:pBdr>
                <w:top w:val="nil"/>
                <w:left w:val="nil"/>
                <w:bottom w:val="nil"/>
                <w:right w:val="nil"/>
                <w:between w:val="nil"/>
              </w:pBdr>
              <w:spacing w:line="360" w:lineRule="auto"/>
              <w:ind w:left="110" w:right="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Ethics principles for secondary research include respecting intellectual property, accurate citation and avoiding plagiarism (Gupta, </w:t>
            </w:r>
            <w:proofErr w:type="spellStart"/>
            <w:r>
              <w:rPr>
                <w:rFonts w:ascii="Times New Roman" w:eastAsia="Times New Roman" w:hAnsi="Times New Roman" w:cs="Times New Roman"/>
                <w:sz w:val="24"/>
                <w:szCs w:val="24"/>
              </w:rPr>
              <w:t>Bhamboo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Khandal</w:t>
            </w:r>
            <w:proofErr w:type="spellEnd"/>
            <w:r>
              <w:rPr>
                <w:rFonts w:ascii="Times New Roman" w:eastAsia="Times New Roman" w:hAnsi="Times New Roman" w:cs="Times New Roman"/>
                <w:sz w:val="24"/>
                <w:szCs w:val="24"/>
              </w:rPr>
              <w:t>, 2024). All sources will be referenced using the Harvard referencing format. All personal information is protected and confidential and will not be disclosed to anyone except the researcher and supervisor. Data integrity is maintained using reliable sources. The research is done in compliance with GDPR and relevant research regulations. Informed consent has been collected from interview participants and confidentiality is ensured through anonymous reporting of interview responses.</w:t>
            </w:r>
          </w:p>
        </w:tc>
      </w:tr>
    </w:tbl>
    <w:p w14:paraId="0BFC361E" w14:textId="77777777" w:rsidR="007D2DDE" w:rsidRDefault="007D2DDE">
      <w:pPr>
        <w:pBdr>
          <w:top w:val="nil"/>
          <w:left w:val="nil"/>
          <w:bottom w:val="nil"/>
          <w:right w:val="nil"/>
          <w:between w:val="nil"/>
        </w:pBdr>
        <w:spacing w:line="464" w:lineRule="auto"/>
        <w:ind w:left="110"/>
        <w:jc w:val="center"/>
        <w:rPr>
          <w:rFonts w:ascii="Times New Roman" w:eastAsia="Times New Roman" w:hAnsi="Times New Roman" w:cs="Times New Roman"/>
          <w:b/>
          <w:bCs/>
        </w:rPr>
        <w:sectPr w:rsidR="007D2DDE">
          <w:pgSz w:w="15840" w:h="12240" w:orient="landscape"/>
          <w:pgMar w:top="360" w:right="0" w:bottom="280" w:left="720" w:header="720" w:footer="720" w:gutter="0"/>
          <w:cols w:space="720"/>
        </w:sectPr>
      </w:pPr>
    </w:p>
    <w:p w14:paraId="65B4CAFA" w14:textId="77777777" w:rsidR="007D2DDE" w:rsidRDefault="00000000">
      <w:pPr>
        <w:pStyle w:val="Heading1"/>
      </w:pPr>
      <w:r>
        <w:lastRenderedPageBreak/>
        <w:t>References</w:t>
      </w:r>
    </w:p>
    <w:p w14:paraId="63DBCDDB" w14:textId="77777777" w:rsidR="007D2DD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Cheong, H.I., Lyons, A., Houghton, R. and Majumdar, A. (2023). Secondary qualitative research methodology using online data within the context of social sciences. </w:t>
      </w:r>
      <w:r>
        <w:rPr>
          <w:rFonts w:ascii="Times New Roman" w:eastAsia="Times New Roman" w:hAnsi="Times New Roman" w:cs="Times New Roman"/>
          <w:i/>
          <w:iCs/>
          <w:sz w:val="24"/>
          <w:szCs w:val="24"/>
          <w:highlight w:val="white"/>
        </w:rPr>
        <w:t>International Journal of Qualitative Methods</w:t>
      </w:r>
      <w:r>
        <w:rPr>
          <w:rFonts w:ascii="Times New Roman" w:eastAsia="Times New Roman" w:hAnsi="Times New Roman" w:cs="Times New Roman"/>
          <w:sz w:val="24"/>
          <w:szCs w:val="24"/>
          <w:highlight w:val="white"/>
        </w:rPr>
        <w:t>,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 p.16094069231180160.</w:t>
      </w:r>
    </w:p>
    <w:p w14:paraId="02754020" w14:textId="77777777" w:rsidR="007D2DD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Christou, E., </w:t>
      </w:r>
      <w:proofErr w:type="spellStart"/>
      <w:r>
        <w:rPr>
          <w:rFonts w:ascii="Times New Roman" w:eastAsia="Times New Roman" w:hAnsi="Times New Roman" w:cs="Times New Roman"/>
          <w:sz w:val="24"/>
          <w:szCs w:val="24"/>
          <w:highlight w:val="white"/>
        </w:rPr>
        <w:t>Parmaxi</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Zaphiris</w:t>
      </w:r>
      <w:proofErr w:type="spellEnd"/>
      <w:r>
        <w:rPr>
          <w:rFonts w:ascii="Times New Roman" w:eastAsia="Times New Roman" w:hAnsi="Times New Roman" w:cs="Times New Roman"/>
          <w:sz w:val="24"/>
          <w:szCs w:val="24"/>
          <w:highlight w:val="white"/>
        </w:rPr>
        <w:t>, P. (2025). A systematic exploration of scoping and mapping literature reviews. </w:t>
      </w:r>
      <w:r>
        <w:rPr>
          <w:rFonts w:ascii="Times New Roman" w:eastAsia="Times New Roman" w:hAnsi="Times New Roman" w:cs="Times New Roman"/>
          <w:i/>
          <w:iCs/>
          <w:sz w:val="24"/>
          <w:szCs w:val="24"/>
          <w:highlight w:val="white"/>
        </w:rPr>
        <w:t>Universal access in the information society</w:t>
      </w:r>
      <w:r>
        <w:rPr>
          <w:rFonts w:ascii="Times New Roman" w:eastAsia="Times New Roman" w:hAnsi="Times New Roman" w:cs="Times New Roman"/>
          <w:sz w:val="24"/>
          <w:szCs w:val="24"/>
          <w:highlight w:val="white"/>
        </w:rPr>
        <w:t>,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(1), pp.941-951.</w:t>
      </w:r>
    </w:p>
    <w:p w14:paraId="6729BEE0" w14:textId="77777777" w:rsidR="007D2DD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Gupta, D.P., </w:t>
      </w:r>
      <w:proofErr w:type="spellStart"/>
      <w:r>
        <w:rPr>
          <w:rFonts w:ascii="Times New Roman" w:eastAsia="Times New Roman" w:hAnsi="Times New Roman" w:cs="Times New Roman"/>
          <w:sz w:val="24"/>
          <w:szCs w:val="24"/>
          <w:highlight w:val="white"/>
        </w:rPr>
        <w:t>Bhamboo</w:t>
      </w:r>
      <w:proofErr w:type="spellEnd"/>
      <w:r>
        <w:rPr>
          <w:rFonts w:ascii="Times New Roman" w:eastAsia="Times New Roman" w:hAnsi="Times New Roman" w:cs="Times New Roman"/>
          <w:sz w:val="24"/>
          <w:szCs w:val="24"/>
          <w:highlight w:val="white"/>
        </w:rPr>
        <w:t xml:space="preserve">, D.U. and </w:t>
      </w:r>
      <w:proofErr w:type="spellStart"/>
      <w:r>
        <w:rPr>
          <w:rFonts w:ascii="Times New Roman" w:eastAsia="Times New Roman" w:hAnsi="Times New Roman" w:cs="Times New Roman"/>
          <w:sz w:val="24"/>
          <w:szCs w:val="24"/>
          <w:highlight w:val="white"/>
        </w:rPr>
        <w:t>Khandal</w:t>
      </w:r>
      <w:proofErr w:type="spellEnd"/>
      <w:r>
        <w:rPr>
          <w:rFonts w:ascii="Times New Roman" w:eastAsia="Times New Roman" w:hAnsi="Times New Roman" w:cs="Times New Roman"/>
          <w:sz w:val="24"/>
          <w:szCs w:val="24"/>
          <w:highlight w:val="white"/>
        </w:rPr>
        <w:t>, A. (2024), October. 'Upholding Ethics in Academic Research: Challenges and Solutions to Plagiarism'. In </w:t>
      </w:r>
      <w:r>
        <w:rPr>
          <w:rFonts w:ascii="Times New Roman" w:eastAsia="Times New Roman" w:hAnsi="Times New Roman" w:cs="Times New Roman"/>
          <w:i/>
          <w:iCs/>
          <w:sz w:val="24"/>
          <w:szCs w:val="24"/>
          <w:highlight w:val="white"/>
        </w:rPr>
        <w:t>Proceedings of the 1st International Conference on Educational, Cultural and Societal Approaches in Literature, Communication, &amp; Translation (ECSA_LCT 2024)</w:t>
      </w:r>
      <w:r>
        <w:rPr>
          <w:rFonts w:ascii="Times New Roman" w:eastAsia="Times New Roman" w:hAnsi="Times New Roman" w:cs="Times New Roman"/>
          <w:sz w:val="24"/>
          <w:szCs w:val="24"/>
          <w:highlight w:val="white"/>
        </w:rPr>
        <w:t>.</w:t>
      </w:r>
    </w:p>
    <w:p w14:paraId="478C7A82" w14:textId="77777777" w:rsidR="007D2DD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Hoang, A.D. (2025). Evaluating bibliometrics reviews: A practical guide for peer review and critical reading. </w:t>
      </w:r>
      <w:r>
        <w:rPr>
          <w:rFonts w:ascii="Times New Roman" w:eastAsia="Times New Roman" w:hAnsi="Times New Roman" w:cs="Times New Roman"/>
          <w:i/>
          <w:iCs/>
          <w:sz w:val="24"/>
          <w:szCs w:val="24"/>
          <w:highlight w:val="white"/>
        </w:rPr>
        <w:t>Evaluation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iCs/>
          <w:sz w:val="24"/>
          <w:szCs w:val="24"/>
          <w:highlight w:val="white"/>
        </w:rPr>
        <w:t>49</w:t>
      </w:r>
      <w:r>
        <w:rPr>
          <w:rFonts w:ascii="Times New Roman" w:eastAsia="Times New Roman" w:hAnsi="Times New Roman" w:cs="Times New Roman"/>
          <w:sz w:val="24"/>
          <w:szCs w:val="24"/>
          <w:highlight w:val="white"/>
        </w:rPr>
        <w:t>(6), pp.1074-1102.</w:t>
      </w:r>
    </w:p>
    <w:p w14:paraId="7344A39E" w14:textId="77777777" w:rsidR="007D2DDE" w:rsidRDefault="007D2DDE">
      <w:pPr>
        <w:pStyle w:val="Heading2"/>
        <w:spacing w:before="63"/>
        <w:ind w:left="0" w:right="0"/>
        <w:rPr>
          <w:rFonts w:ascii="Times New Roman" w:eastAsia="Times New Roman" w:hAnsi="Times New Roman" w:cs="Times New Roman"/>
        </w:rPr>
      </w:pPr>
    </w:p>
    <w:p w14:paraId="2B45CECC" w14:textId="77777777" w:rsidR="007D2DDE" w:rsidRDefault="007D2DDE">
      <w:pPr>
        <w:pStyle w:val="Heading2"/>
        <w:ind w:firstLine="65"/>
        <w:rPr>
          <w:rFonts w:ascii="Times New Roman" w:eastAsia="Times New Roman" w:hAnsi="Times New Roman" w:cs="Times New Roman"/>
        </w:rPr>
        <w:sectPr w:rsidR="007D2DDE">
          <w:pgSz w:w="12240" w:h="15840"/>
          <w:pgMar w:top="900" w:right="360" w:bottom="280" w:left="720" w:header="720" w:footer="720" w:gutter="0"/>
          <w:cols w:space="720"/>
        </w:sectPr>
      </w:pPr>
    </w:p>
    <w:p w14:paraId="301B3F41" w14:textId="77777777" w:rsidR="007D2DDE" w:rsidRDefault="00000000">
      <w:pPr>
        <w:spacing w:before="81"/>
        <w:rPr>
          <w:rFonts w:ascii="Times New Roman" w:eastAsia="Times New Roman" w:hAnsi="Times New Roman" w:cs="Times New Roman"/>
        </w:rPr>
      </w:pPr>
      <w:r>
        <w:rPr>
          <w:rFonts w:ascii="Times New Roman" w:eastAsia="Times New Roman" w:hAnsi="Times New Roman" w:cs="Times New Roman"/>
        </w:rPr>
        <w:lastRenderedPageBreak/>
        <w:t>`</w:t>
      </w:r>
    </w:p>
    <w:p w14:paraId="20565D9B" w14:textId="77777777" w:rsidR="007D2DDE" w:rsidRDefault="007D2DDE">
      <w:pPr>
        <w:pBdr>
          <w:top w:val="nil"/>
          <w:left w:val="nil"/>
          <w:bottom w:val="nil"/>
          <w:right w:val="nil"/>
          <w:between w:val="nil"/>
        </w:pBdr>
        <w:spacing w:before="250"/>
        <w:rPr>
          <w:rFonts w:ascii="Times New Roman" w:eastAsia="Times New Roman" w:hAnsi="Times New Roman" w:cs="Times New Roman"/>
        </w:rPr>
      </w:pPr>
    </w:p>
    <w:p w14:paraId="434F4D8E" w14:textId="75D19997" w:rsidR="007D2DDE" w:rsidRPr="000063D9" w:rsidRDefault="007D2DDE" w:rsidP="000063D9">
      <w:pPr>
        <w:spacing w:before="1"/>
        <w:rPr>
          <w:rFonts w:ascii="Times New Roman" w:eastAsia="Times New Roman" w:hAnsi="Times New Roman" w:cs="Times New Roman"/>
          <w:sz w:val="28"/>
          <w:szCs w:val="28"/>
        </w:rPr>
      </w:pPr>
    </w:p>
    <w:sectPr w:rsidR="007D2DDE" w:rsidRPr="000063D9">
      <w:pgSz w:w="12240" w:h="15840"/>
      <w:pgMar w:top="360" w:right="360" w:bottom="280"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C68A508-1C66-42A2-A2F1-327A6E727CE6}"/>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2" w:fontKey="{44B6EE76-1CFD-418C-B20D-4D6F01A00994}"/>
    <w:embedBold r:id="rId3" w:fontKey="{2D6051D3-A0B5-4F6A-860D-32412F008C7C}"/>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4" w:fontKey="{F8E7BDD9-6195-422F-8F50-2C2EE29C0259}"/>
  </w:font>
  <w:font w:name="Calibri">
    <w:panose1 w:val="020F0502020204030204"/>
    <w:charset w:val="00"/>
    <w:family w:val="swiss"/>
    <w:pitch w:val="variable"/>
    <w:sig w:usb0="E4002EFF" w:usb1="C200247B" w:usb2="00000009" w:usb3="00000000" w:csb0="000001FF" w:csb1="00000000"/>
    <w:embedRegular r:id="rId5" w:fontKey="{B1066247-49BC-4A3D-8722-B29F1C64C2D4}"/>
  </w:font>
  <w:font w:name="Cambria">
    <w:panose1 w:val="02040503050406030204"/>
    <w:charset w:val="00"/>
    <w:family w:val="roman"/>
    <w:pitch w:val="variable"/>
    <w:sig w:usb0="E00006FF" w:usb1="420024FF" w:usb2="02000000" w:usb3="00000000" w:csb0="0000019F" w:csb1="00000000"/>
    <w:embedRegular r:id="rId6" w:fontKey="{0461D2FC-3C57-4841-91B0-DA79F026C3C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74565"/>
    <w:multiLevelType w:val="multilevel"/>
    <w:tmpl w:val="DABAA974"/>
    <w:lvl w:ilvl="0">
      <w:start w:val="1"/>
      <w:numFmt w:val="bullet"/>
      <w:lvlText w:val="●"/>
      <w:lvlJc w:val="left"/>
      <w:pPr>
        <w:ind w:left="825" w:hanging="360"/>
      </w:pPr>
      <w:rPr>
        <w:rFonts w:ascii="Noto Sans Symbols" w:eastAsia="Noto Sans Symbols" w:hAnsi="Noto Sans Symbols" w:cs="Noto Sans Symbols"/>
      </w:rPr>
    </w:lvl>
    <w:lvl w:ilvl="1">
      <w:start w:val="1"/>
      <w:numFmt w:val="bullet"/>
      <w:lvlText w:val="o"/>
      <w:lvlJc w:val="left"/>
      <w:pPr>
        <w:ind w:left="1545" w:hanging="360"/>
      </w:pPr>
      <w:rPr>
        <w:rFonts w:ascii="Courier New" w:eastAsia="Courier New" w:hAnsi="Courier New" w:cs="Courier New"/>
      </w:rPr>
    </w:lvl>
    <w:lvl w:ilvl="2">
      <w:start w:val="1"/>
      <w:numFmt w:val="bullet"/>
      <w:lvlText w:val="▪"/>
      <w:lvlJc w:val="left"/>
      <w:pPr>
        <w:ind w:left="2265" w:hanging="360"/>
      </w:pPr>
      <w:rPr>
        <w:rFonts w:ascii="Noto Sans Symbols" w:eastAsia="Noto Sans Symbols" w:hAnsi="Noto Sans Symbols" w:cs="Noto Sans Symbols"/>
      </w:rPr>
    </w:lvl>
    <w:lvl w:ilvl="3">
      <w:start w:val="1"/>
      <w:numFmt w:val="bullet"/>
      <w:lvlText w:val="●"/>
      <w:lvlJc w:val="left"/>
      <w:pPr>
        <w:ind w:left="2985" w:hanging="360"/>
      </w:pPr>
      <w:rPr>
        <w:rFonts w:ascii="Noto Sans Symbols" w:eastAsia="Noto Sans Symbols" w:hAnsi="Noto Sans Symbols" w:cs="Noto Sans Symbols"/>
      </w:rPr>
    </w:lvl>
    <w:lvl w:ilvl="4">
      <w:start w:val="1"/>
      <w:numFmt w:val="bullet"/>
      <w:lvlText w:val="o"/>
      <w:lvlJc w:val="left"/>
      <w:pPr>
        <w:ind w:left="3705" w:hanging="360"/>
      </w:pPr>
      <w:rPr>
        <w:rFonts w:ascii="Courier New" w:eastAsia="Courier New" w:hAnsi="Courier New" w:cs="Courier New"/>
      </w:rPr>
    </w:lvl>
    <w:lvl w:ilvl="5">
      <w:start w:val="1"/>
      <w:numFmt w:val="bullet"/>
      <w:lvlText w:val="▪"/>
      <w:lvlJc w:val="left"/>
      <w:pPr>
        <w:ind w:left="4425" w:hanging="360"/>
      </w:pPr>
      <w:rPr>
        <w:rFonts w:ascii="Noto Sans Symbols" w:eastAsia="Noto Sans Symbols" w:hAnsi="Noto Sans Symbols" w:cs="Noto Sans Symbols"/>
      </w:rPr>
    </w:lvl>
    <w:lvl w:ilvl="6">
      <w:start w:val="1"/>
      <w:numFmt w:val="bullet"/>
      <w:lvlText w:val="●"/>
      <w:lvlJc w:val="left"/>
      <w:pPr>
        <w:ind w:left="5145" w:hanging="360"/>
      </w:pPr>
      <w:rPr>
        <w:rFonts w:ascii="Noto Sans Symbols" w:eastAsia="Noto Sans Symbols" w:hAnsi="Noto Sans Symbols" w:cs="Noto Sans Symbols"/>
      </w:rPr>
    </w:lvl>
    <w:lvl w:ilvl="7">
      <w:start w:val="1"/>
      <w:numFmt w:val="bullet"/>
      <w:lvlText w:val="o"/>
      <w:lvlJc w:val="left"/>
      <w:pPr>
        <w:ind w:left="5865" w:hanging="360"/>
      </w:pPr>
      <w:rPr>
        <w:rFonts w:ascii="Courier New" w:eastAsia="Courier New" w:hAnsi="Courier New" w:cs="Courier New"/>
      </w:rPr>
    </w:lvl>
    <w:lvl w:ilvl="8">
      <w:start w:val="1"/>
      <w:numFmt w:val="bullet"/>
      <w:lvlText w:val="▪"/>
      <w:lvlJc w:val="left"/>
      <w:pPr>
        <w:ind w:left="6585" w:hanging="360"/>
      </w:pPr>
      <w:rPr>
        <w:rFonts w:ascii="Noto Sans Symbols" w:eastAsia="Noto Sans Symbols" w:hAnsi="Noto Sans Symbols" w:cs="Noto Sans Symbols"/>
      </w:rPr>
    </w:lvl>
  </w:abstractNum>
  <w:abstractNum w:abstractNumId="1" w15:restartNumberingAfterBreak="0">
    <w:nsid w:val="18DE33C2"/>
    <w:multiLevelType w:val="multilevel"/>
    <w:tmpl w:val="9466818E"/>
    <w:lvl w:ilvl="0">
      <w:start w:val="1"/>
      <w:numFmt w:val="bullet"/>
      <w:lvlText w:val="●"/>
      <w:lvlJc w:val="left"/>
      <w:pPr>
        <w:ind w:left="830" w:hanging="360"/>
      </w:pPr>
      <w:rPr>
        <w:rFonts w:ascii="Noto Sans Symbols" w:eastAsia="Noto Sans Symbols" w:hAnsi="Noto Sans Symbols" w:cs="Noto Sans Symbols"/>
      </w:rPr>
    </w:lvl>
    <w:lvl w:ilvl="1">
      <w:start w:val="1"/>
      <w:numFmt w:val="bullet"/>
      <w:lvlText w:val="o"/>
      <w:lvlJc w:val="left"/>
      <w:pPr>
        <w:ind w:left="1550" w:hanging="360"/>
      </w:pPr>
      <w:rPr>
        <w:rFonts w:ascii="Courier New" w:eastAsia="Courier New" w:hAnsi="Courier New" w:cs="Courier New"/>
      </w:rPr>
    </w:lvl>
    <w:lvl w:ilvl="2">
      <w:start w:val="1"/>
      <w:numFmt w:val="bullet"/>
      <w:lvlText w:val="▪"/>
      <w:lvlJc w:val="left"/>
      <w:pPr>
        <w:ind w:left="2270" w:hanging="360"/>
      </w:pPr>
      <w:rPr>
        <w:rFonts w:ascii="Noto Sans Symbols" w:eastAsia="Noto Sans Symbols" w:hAnsi="Noto Sans Symbols" w:cs="Noto Sans Symbols"/>
      </w:rPr>
    </w:lvl>
    <w:lvl w:ilvl="3">
      <w:start w:val="1"/>
      <w:numFmt w:val="bullet"/>
      <w:lvlText w:val="●"/>
      <w:lvlJc w:val="left"/>
      <w:pPr>
        <w:ind w:left="2990" w:hanging="360"/>
      </w:pPr>
      <w:rPr>
        <w:rFonts w:ascii="Noto Sans Symbols" w:eastAsia="Noto Sans Symbols" w:hAnsi="Noto Sans Symbols" w:cs="Noto Sans Symbols"/>
      </w:rPr>
    </w:lvl>
    <w:lvl w:ilvl="4">
      <w:start w:val="1"/>
      <w:numFmt w:val="bullet"/>
      <w:lvlText w:val="o"/>
      <w:lvlJc w:val="left"/>
      <w:pPr>
        <w:ind w:left="3710" w:hanging="360"/>
      </w:pPr>
      <w:rPr>
        <w:rFonts w:ascii="Courier New" w:eastAsia="Courier New" w:hAnsi="Courier New" w:cs="Courier New"/>
      </w:rPr>
    </w:lvl>
    <w:lvl w:ilvl="5">
      <w:start w:val="1"/>
      <w:numFmt w:val="bullet"/>
      <w:lvlText w:val="▪"/>
      <w:lvlJc w:val="left"/>
      <w:pPr>
        <w:ind w:left="4430" w:hanging="360"/>
      </w:pPr>
      <w:rPr>
        <w:rFonts w:ascii="Noto Sans Symbols" w:eastAsia="Noto Sans Symbols" w:hAnsi="Noto Sans Symbols" w:cs="Noto Sans Symbols"/>
      </w:rPr>
    </w:lvl>
    <w:lvl w:ilvl="6">
      <w:start w:val="1"/>
      <w:numFmt w:val="bullet"/>
      <w:lvlText w:val="●"/>
      <w:lvlJc w:val="left"/>
      <w:pPr>
        <w:ind w:left="5150" w:hanging="360"/>
      </w:pPr>
      <w:rPr>
        <w:rFonts w:ascii="Noto Sans Symbols" w:eastAsia="Noto Sans Symbols" w:hAnsi="Noto Sans Symbols" w:cs="Noto Sans Symbols"/>
      </w:rPr>
    </w:lvl>
    <w:lvl w:ilvl="7">
      <w:start w:val="1"/>
      <w:numFmt w:val="bullet"/>
      <w:lvlText w:val="o"/>
      <w:lvlJc w:val="left"/>
      <w:pPr>
        <w:ind w:left="5870" w:hanging="360"/>
      </w:pPr>
      <w:rPr>
        <w:rFonts w:ascii="Courier New" w:eastAsia="Courier New" w:hAnsi="Courier New" w:cs="Courier New"/>
      </w:rPr>
    </w:lvl>
    <w:lvl w:ilvl="8">
      <w:start w:val="1"/>
      <w:numFmt w:val="bullet"/>
      <w:lvlText w:val="▪"/>
      <w:lvlJc w:val="left"/>
      <w:pPr>
        <w:ind w:left="6590" w:hanging="360"/>
      </w:pPr>
      <w:rPr>
        <w:rFonts w:ascii="Noto Sans Symbols" w:eastAsia="Noto Sans Symbols" w:hAnsi="Noto Sans Symbols" w:cs="Noto Sans Symbols"/>
      </w:rPr>
    </w:lvl>
  </w:abstractNum>
  <w:abstractNum w:abstractNumId="2" w15:restartNumberingAfterBreak="0">
    <w:nsid w:val="1BDD17F7"/>
    <w:multiLevelType w:val="multilevel"/>
    <w:tmpl w:val="4E80F2F8"/>
    <w:lvl w:ilvl="0">
      <w:start w:val="1"/>
      <w:numFmt w:val="bullet"/>
      <w:lvlText w:val="●"/>
      <w:lvlJc w:val="left"/>
      <w:pPr>
        <w:ind w:left="830" w:hanging="360"/>
      </w:pPr>
      <w:rPr>
        <w:rFonts w:ascii="Noto Sans Symbols" w:eastAsia="Noto Sans Symbols" w:hAnsi="Noto Sans Symbols" w:cs="Noto Sans Symbols"/>
      </w:rPr>
    </w:lvl>
    <w:lvl w:ilvl="1">
      <w:start w:val="1"/>
      <w:numFmt w:val="bullet"/>
      <w:lvlText w:val="o"/>
      <w:lvlJc w:val="left"/>
      <w:pPr>
        <w:ind w:left="1550" w:hanging="360"/>
      </w:pPr>
      <w:rPr>
        <w:rFonts w:ascii="Courier New" w:eastAsia="Courier New" w:hAnsi="Courier New" w:cs="Courier New"/>
      </w:rPr>
    </w:lvl>
    <w:lvl w:ilvl="2">
      <w:start w:val="1"/>
      <w:numFmt w:val="bullet"/>
      <w:lvlText w:val="▪"/>
      <w:lvlJc w:val="left"/>
      <w:pPr>
        <w:ind w:left="2270" w:hanging="360"/>
      </w:pPr>
      <w:rPr>
        <w:rFonts w:ascii="Noto Sans Symbols" w:eastAsia="Noto Sans Symbols" w:hAnsi="Noto Sans Symbols" w:cs="Noto Sans Symbols"/>
      </w:rPr>
    </w:lvl>
    <w:lvl w:ilvl="3">
      <w:start w:val="1"/>
      <w:numFmt w:val="bullet"/>
      <w:lvlText w:val="●"/>
      <w:lvlJc w:val="left"/>
      <w:pPr>
        <w:ind w:left="2990" w:hanging="360"/>
      </w:pPr>
      <w:rPr>
        <w:rFonts w:ascii="Noto Sans Symbols" w:eastAsia="Noto Sans Symbols" w:hAnsi="Noto Sans Symbols" w:cs="Noto Sans Symbols"/>
      </w:rPr>
    </w:lvl>
    <w:lvl w:ilvl="4">
      <w:start w:val="1"/>
      <w:numFmt w:val="bullet"/>
      <w:lvlText w:val="o"/>
      <w:lvlJc w:val="left"/>
      <w:pPr>
        <w:ind w:left="3710" w:hanging="360"/>
      </w:pPr>
      <w:rPr>
        <w:rFonts w:ascii="Courier New" w:eastAsia="Courier New" w:hAnsi="Courier New" w:cs="Courier New"/>
      </w:rPr>
    </w:lvl>
    <w:lvl w:ilvl="5">
      <w:start w:val="1"/>
      <w:numFmt w:val="bullet"/>
      <w:lvlText w:val="▪"/>
      <w:lvlJc w:val="left"/>
      <w:pPr>
        <w:ind w:left="4430" w:hanging="360"/>
      </w:pPr>
      <w:rPr>
        <w:rFonts w:ascii="Noto Sans Symbols" w:eastAsia="Noto Sans Symbols" w:hAnsi="Noto Sans Symbols" w:cs="Noto Sans Symbols"/>
      </w:rPr>
    </w:lvl>
    <w:lvl w:ilvl="6">
      <w:start w:val="1"/>
      <w:numFmt w:val="bullet"/>
      <w:lvlText w:val="●"/>
      <w:lvlJc w:val="left"/>
      <w:pPr>
        <w:ind w:left="5150" w:hanging="360"/>
      </w:pPr>
      <w:rPr>
        <w:rFonts w:ascii="Noto Sans Symbols" w:eastAsia="Noto Sans Symbols" w:hAnsi="Noto Sans Symbols" w:cs="Noto Sans Symbols"/>
      </w:rPr>
    </w:lvl>
    <w:lvl w:ilvl="7">
      <w:start w:val="1"/>
      <w:numFmt w:val="bullet"/>
      <w:lvlText w:val="o"/>
      <w:lvlJc w:val="left"/>
      <w:pPr>
        <w:ind w:left="5870" w:hanging="360"/>
      </w:pPr>
      <w:rPr>
        <w:rFonts w:ascii="Courier New" w:eastAsia="Courier New" w:hAnsi="Courier New" w:cs="Courier New"/>
      </w:rPr>
    </w:lvl>
    <w:lvl w:ilvl="8">
      <w:start w:val="1"/>
      <w:numFmt w:val="bullet"/>
      <w:lvlText w:val="▪"/>
      <w:lvlJc w:val="left"/>
      <w:pPr>
        <w:ind w:left="6590" w:hanging="360"/>
      </w:pPr>
      <w:rPr>
        <w:rFonts w:ascii="Noto Sans Symbols" w:eastAsia="Noto Sans Symbols" w:hAnsi="Noto Sans Symbols" w:cs="Noto Sans Symbols"/>
      </w:rPr>
    </w:lvl>
  </w:abstractNum>
  <w:abstractNum w:abstractNumId="3" w15:restartNumberingAfterBreak="0">
    <w:nsid w:val="51AA28EB"/>
    <w:multiLevelType w:val="multilevel"/>
    <w:tmpl w:val="D7F6777A"/>
    <w:lvl w:ilvl="0">
      <w:numFmt w:val="bullet"/>
      <w:lvlText w:val="•"/>
      <w:lvlJc w:val="left"/>
      <w:pPr>
        <w:ind w:left="720" w:hanging="360"/>
      </w:pPr>
      <w:rPr>
        <w:rFonts w:ascii="Arial" w:eastAsia="Arial" w:hAnsi="Arial" w:cs="Arial"/>
      </w:rPr>
    </w:lvl>
    <w:lvl w:ilvl="1">
      <w:numFmt w:val="bullet"/>
      <w:lvlText w:val="•"/>
      <w:lvlJc w:val="left"/>
      <w:pPr>
        <w:ind w:left="1764" w:hanging="360"/>
      </w:pPr>
    </w:lvl>
    <w:lvl w:ilvl="2">
      <w:numFmt w:val="bullet"/>
      <w:lvlText w:val="•"/>
      <w:lvlJc w:val="left"/>
      <w:pPr>
        <w:ind w:left="2808" w:hanging="360"/>
      </w:pPr>
    </w:lvl>
    <w:lvl w:ilvl="3">
      <w:numFmt w:val="bullet"/>
      <w:lvlText w:val="•"/>
      <w:lvlJc w:val="left"/>
      <w:pPr>
        <w:ind w:left="3852" w:hanging="360"/>
      </w:pPr>
    </w:lvl>
    <w:lvl w:ilvl="4">
      <w:numFmt w:val="bullet"/>
      <w:lvlText w:val="•"/>
      <w:lvlJc w:val="left"/>
      <w:pPr>
        <w:ind w:left="4896" w:hanging="360"/>
      </w:pPr>
    </w:lvl>
    <w:lvl w:ilvl="5">
      <w:numFmt w:val="bullet"/>
      <w:lvlText w:val="•"/>
      <w:lvlJc w:val="left"/>
      <w:pPr>
        <w:ind w:left="5940" w:hanging="360"/>
      </w:pPr>
    </w:lvl>
    <w:lvl w:ilvl="6">
      <w:numFmt w:val="bullet"/>
      <w:lvlText w:val="•"/>
      <w:lvlJc w:val="left"/>
      <w:pPr>
        <w:ind w:left="6984" w:hanging="360"/>
      </w:pPr>
    </w:lvl>
    <w:lvl w:ilvl="7">
      <w:numFmt w:val="bullet"/>
      <w:lvlText w:val="•"/>
      <w:lvlJc w:val="left"/>
      <w:pPr>
        <w:ind w:left="8028" w:hanging="360"/>
      </w:pPr>
    </w:lvl>
    <w:lvl w:ilvl="8">
      <w:numFmt w:val="bullet"/>
      <w:lvlText w:val="•"/>
      <w:lvlJc w:val="left"/>
      <w:pPr>
        <w:ind w:left="9072" w:hanging="360"/>
      </w:pPr>
    </w:lvl>
  </w:abstractNum>
  <w:num w:numId="1" w16cid:durableId="1884976217">
    <w:abstractNumId w:val="3"/>
  </w:num>
  <w:num w:numId="2" w16cid:durableId="1626882758">
    <w:abstractNumId w:val="0"/>
  </w:num>
  <w:num w:numId="3" w16cid:durableId="687413197">
    <w:abstractNumId w:val="2"/>
  </w:num>
  <w:num w:numId="4" w16cid:durableId="1258249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DDE"/>
    <w:rsid w:val="000063D9"/>
    <w:rsid w:val="006F7786"/>
    <w:rsid w:val="007D2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7D08"/>
  <w15:docId w15:val="{8EF1F890-130E-4F1F-BD3D-D1034DCA4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rebuchet MS" w:eastAsia="Trebuchet MS" w:hAnsi="Trebuchet MS" w:cs="Trebuchet MS"/>
        <w:sz w:val="22"/>
        <w:szCs w:val="22"/>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81"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ind w:left="65" w:right="6587"/>
      <w:outlineLvl w:val="1"/>
    </w:pPr>
    <w:rPr>
      <w:b/>
      <w:bCs/>
      <w:sz w:val="28"/>
      <w:szCs w:val="28"/>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KtZwqrARRUK5tlVmCgLjyLMEkQ==">CgMxLjA4AHIhMXUzYzZVRmc4Q29yTGp1NTlBNDVtcTZVQlRPOTJTaXll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757</Words>
  <Characters>4319</Characters>
  <Application>Microsoft Office Word</Application>
  <DocSecurity>0</DocSecurity>
  <Lines>35</Lines>
  <Paragraphs>10</Paragraphs>
  <ScaleCrop>false</ScaleCrop>
  <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Dorothy Kodua Tweneboah (2314173)</cp:lastModifiedBy>
  <cp:revision>2</cp:revision>
  <dcterms:created xsi:type="dcterms:W3CDTF">2026-07-24T15:06:00Z</dcterms:created>
  <dcterms:modified xsi:type="dcterms:W3CDTF">2026-07-24T15:06:00Z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lpwstr>2026-01-16T00:00:00Z</vt:lpwstr>
  </property>
  <property fmtid="{D5CDD505-2E9C-101B-9397-08002B2CF9AE}" pid="4" name="LastSaved">
    <vt:lpwstr>2026-07-21T00:00:00Z</vt:lpwstr>
  </property>
</Properties>
</file>