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6E30F" w14:textId="77777777" w:rsidR="001D74CF" w:rsidRPr="007333DD" w:rsidRDefault="001D74CF" w:rsidP="001D74CF">
      <w:pPr>
        <w:jc w:val="center"/>
      </w:pPr>
      <w:r w:rsidRPr="007333DD">
        <w:rPr>
          <w:noProof/>
        </w:rPr>
        <w:drawing>
          <wp:inline distT="0" distB="0" distL="0" distR="0" wp14:anchorId="4D203CFC" wp14:editId="68D07E5D">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2A116907" w14:textId="77777777" w:rsidR="001D74CF" w:rsidRPr="007333DD" w:rsidRDefault="001D74CF" w:rsidP="001D74CF">
      <w:pPr>
        <w:jc w:val="center"/>
      </w:pPr>
    </w:p>
    <w:p w14:paraId="78F6FC51" w14:textId="77777777" w:rsidR="001D74CF" w:rsidRPr="007333DD" w:rsidRDefault="001D74CF" w:rsidP="001D74CF">
      <w:pPr>
        <w:jc w:val="center"/>
        <w:rPr>
          <w:b/>
          <w:bCs/>
          <w:sz w:val="28"/>
          <w:szCs w:val="28"/>
        </w:rPr>
      </w:pPr>
      <w:r w:rsidRPr="007333DD">
        <w:rPr>
          <w:b/>
          <w:bCs/>
          <w:sz w:val="28"/>
          <w:szCs w:val="28"/>
        </w:rPr>
        <w:t>Programme: Master of Business Administration</w:t>
      </w:r>
    </w:p>
    <w:p w14:paraId="363ABA45" w14:textId="77777777" w:rsidR="001D74CF" w:rsidRPr="007333DD" w:rsidRDefault="001D74CF" w:rsidP="001D74CF">
      <w:pPr>
        <w:jc w:val="center"/>
        <w:rPr>
          <w:b/>
          <w:bCs/>
          <w:sz w:val="28"/>
          <w:szCs w:val="28"/>
        </w:rPr>
      </w:pPr>
    </w:p>
    <w:p w14:paraId="0608B2E0" w14:textId="77777777" w:rsidR="001D74CF" w:rsidRPr="007333DD" w:rsidRDefault="001D74CF" w:rsidP="001D74CF">
      <w:pPr>
        <w:jc w:val="center"/>
        <w:rPr>
          <w:b/>
          <w:bCs/>
          <w:sz w:val="28"/>
          <w:szCs w:val="28"/>
        </w:rPr>
      </w:pPr>
      <w:r w:rsidRPr="007333DD">
        <w:rPr>
          <w:b/>
          <w:bCs/>
          <w:sz w:val="28"/>
          <w:szCs w:val="28"/>
        </w:rPr>
        <w:t>Module: Marketing Management</w:t>
      </w:r>
    </w:p>
    <w:p w14:paraId="16C2EBA2" w14:textId="77777777" w:rsidR="001D74CF" w:rsidRPr="007333DD" w:rsidRDefault="001D74CF" w:rsidP="001D74CF">
      <w:pPr>
        <w:jc w:val="center"/>
        <w:rPr>
          <w:b/>
          <w:bCs/>
          <w:sz w:val="28"/>
          <w:szCs w:val="28"/>
        </w:rPr>
      </w:pPr>
      <w:r w:rsidRPr="007333DD">
        <w:rPr>
          <w:b/>
          <w:bCs/>
          <w:sz w:val="28"/>
          <w:szCs w:val="28"/>
        </w:rPr>
        <w:t>Module code: LCMB7024</w:t>
      </w:r>
    </w:p>
    <w:p w14:paraId="100B3EBE" w14:textId="0261293D" w:rsidR="001D74CF" w:rsidRPr="007333DD" w:rsidRDefault="001D74CF" w:rsidP="001D74CF">
      <w:pPr>
        <w:jc w:val="center"/>
        <w:rPr>
          <w:b/>
          <w:bCs/>
          <w:sz w:val="28"/>
          <w:szCs w:val="28"/>
        </w:rPr>
      </w:pPr>
      <w:r w:rsidRPr="007333DD">
        <w:rPr>
          <w:b/>
          <w:bCs/>
          <w:sz w:val="28"/>
          <w:szCs w:val="28"/>
        </w:rPr>
        <w:t xml:space="preserve">Lecturer: </w:t>
      </w:r>
      <w:r w:rsidR="00D7590F" w:rsidRPr="00D7590F">
        <w:rPr>
          <w:b/>
          <w:bCs/>
          <w:sz w:val="28"/>
          <w:szCs w:val="28"/>
        </w:rPr>
        <w:t xml:space="preserve">Tushara </w:t>
      </w:r>
      <w:proofErr w:type="spellStart"/>
      <w:r w:rsidR="00D7590F" w:rsidRPr="00D7590F">
        <w:rPr>
          <w:b/>
          <w:bCs/>
          <w:sz w:val="28"/>
          <w:szCs w:val="28"/>
        </w:rPr>
        <w:t>Balendran</w:t>
      </w:r>
      <w:proofErr w:type="spellEnd"/>
    </w:p>
    <w:p w14:paraId="1A72BD24" w14:textId="77777777" w:rsidR="001D74CF" w:rsidRPr="007333DD" w:rsidRDefault="001D74CF" w:rsidP="001D74CF">
      <w:pPr>
        <w:jc w:val="center"/>
        <w:rPr>
          <w:b/>
          <w:bCs/>
          <w:sz w:val="28"/>
          <w:szCs w:val="28"/>
        </w:rPr>
      </w:pPr>
      <w:r w:rsidRPr="007333DD">
        <w:rPr>
          <w:b/>
          <w:bCs/>
          <w:sz w:val="28"/>
          <w:szCs w:val="28"/>
        </w:rPr>
        <w:t>Assignment Title: Marketing Environment Analysis</w:t>
      </w:r>
    </w:p>
    <w:p w14:paraId="3ECED7CF" w14:textId="77777777" w:rsidR="001D74CF" w:rsidRPr="007333DD" w:rsidRDefault="001D74CF" w:rsidP="001D74CF">
      <w:pPr>
        <w:jc w:val="center"/>
        <w:rPr>
          <w:b/>
          <w:bCs/>
          <w:sz w:val="28"/>
          <w:szCs w:val="28"/>
        </w:rPr>
      </w:pPr>
    </w:p>
    <w:p w14:paraId="2039EFDA" w14:textId="77777777" w:rsidR="001D74CF" w:rsidRPr="007333DD" w:rsidRDefault="001D74CF" w:rsidP="001D74CF">
      <w:pPr>
        <w:jc w:val="center"/>
        <w:rPr>
          <w:b/>
          <w:bCs/>
          <w:sz w:val="28"/>
          <w:szCs w:val="28"/>
        </w:rPr>
      </w:pPr>
    </w:p>
    <w:p w14:paraId="69B334E4" w14:textId="77777777" w:rsidR="001D74CF" w:rsidRPr="007333DD" w:rsidRDefault="001D74CF" w:rsidP="001D74CF">
      <w:pPr>
        <w:jc w:val="center"/>
        <w:rPr>
          <w:b/>
          <w:bCs/>
          <w:sz w:val="28"/>
          <w:szCs w:val="28"/>
        </w:rPr>
      </w:pPr>
    </w:p>
    <w:p w14:paraId="1B00FF99" w14:textId="5AA5D521" w:rsidR="001D74CF" w:rsidRPr="007333DD" w:rsidRDefault="001D74CF" w:rsidP="001D74CF">
      <w:pPr>
        <w:jc w:val="center"/>
        <w:rPr>
          <w:b/>
          <w:bCs/>
          <w:sz w:val="28"/>
          <w:szCs w:val="28"/>
        </w:rPr>
      </w:pPr>
      <w:r w:rsidRPr="007333DD">
        <w:rPr>
          <w:b/>
          <w:bCs/>
          <w:sz w:val="28"/>
          <w:szCs w:val="28"/>
        </w:rPr>
        <w:t>Student Name:</w:t>
      </w:r>
      <w:r w:rsidR="00D7590F">
        <w:rPr>
          <w:b/>
          <w:bCs/>
          <w:sz w:val="28"/>
          <w:szCs w:val="28"/>
        </w:rPr>
        <w:t xml:space="preserve"> YASH PAWAR</w:t>
      </w:r>
    </w:p>
    <w:p w14:paraId="105A5239" w14:textId="036CF52A" w:rsidR="001D74CF" w:rsidRPr="007333DD" w:rsidRDefault="001D74CF" w:rsidP="001D74CF">
      <w:pPr>
        <w:jc w:val="center"/>
        <w:rPr>
          <w:b/>
          <w:bCs/>
          <w:sz w:val="28"/>
          <w:szCs w:val="28"/>
        </w:rPr>
      </w:pPr>
      <w:r w:rsidRPr="007333DD">
        <w:rPr>
          <w:b/>
          <w:bCs/>
          <w:sz w:val="28"/>
          <w:szCs w:val="28"/>
        </w:rPr>
        <w:t>Student ID Number:</w:t>
      </w:r>
      <w:r w:rsidR="00D7590F">
        <w:rPr>
          <w:b/>
          <w:bCs/>
          <w:sz w:val="28"/>
          <w:szCs w:val="28"/>
        </w:rPr>
        <w:t xml:space="preserve"> 2543471</w:t>
      </w:r>
    </w:p>
    <w:p w14:paraId="74110CAD" w14:textId="3A589EC9" w:rsidR="001D74CF" w:rsidRPr="007333DD" w:rsidRDefault="001D74CF" w:rsidP="001D74CF">
      <w:pPr>
        <w:jc w:val="center"/>
        <w:rPr>
          <w:b/>
          <w:bCs/>
          <w:sz w:val="28"/>
          <w:szCs w:val="28"/>
        </w:rPr>
      </w:pPr>
      <w:r w:rsidRPr="007333DD">
        <w:rPr>
          <w:b/>
          <w:bCs/>
          <w:sz w:val="28"/>
          <w:szCs w:val="28"/>
        </w:rPr>
        <w:t>Word Count:</w:t>
      </w:r>
      <w:r w:rsidR="00310EB5">
        <w:rPr>
          <w:b/>
          <w:bCs/>
          <w:sz w:val="28"/>
          <w:szCs w:val="28"/>
        </w:rPr>
        <w:t xml:space="preserve"> 2545 </w:t>
      </w:r>
    </w:p>
    <w:p w14:paraId="54225C92" w14:textId="77777777" w:rsidR="001D74CF" w:rsidRPr="007333DD" w:rsidRDefault="001D74CF">
      <w:pPr>
        <w:rPr>
          <w:b/>
          <w:bCs/>
          <w:sz w:val="28"/>
          <w:szCs w:val="28"/>
        </w:rPr>
      </w:pPr>
      <w:r w:rsidRPr="007333DD">
        <w:rPr>
          <w:b/>
          <w:bCs/>
          <w:sz w:val="28"/>
          <w:szCs w:val="28"/>
        </w:rPr>
        <w:br w:type="page"/>
      </w:r>
    </w:p>
    <w:p w14:paraId="53FD32C0" w14:textId="77777777" w:rsidR="001D74CF" w:rsidRPr="007333DD" w:rsidRDefault="001D74CF" w:rsidP="001D74CF">
      <w:pPr>
        <w:jc w:val="center"/>
        <w:rPr>
          <w:b/>
          <w:bCs/>
          <w:sz w:val="28"/>
          <w:szCs w:val="28"/>
        </w:rPr>
      </w:pPr>
    </w:p>
    <w:sdt>
      <w:sdtPr>
        <w:rPr>
          <w:b w:val="0"/>
          <w:bCs w:val="0"/>
          <w:noProof w:val="0"/>
          <w:sz w:val="32"/>
          <w:szCs w:val="32"/>
        </w:rPr>
        <w:id w:val="-152554955"/>
        <w:docPartObj>
          <w:docPartGallery w:val="Table of Contents"/>
          <w:docPartUnique/>
        </w:docPartObj>
      </w:sdtPr>
      <w:sdtEndPr>
        <w:rPr>
          <w:sz w:val="24"/>
          <w:szCs w:val="24"/>
        </w:rPr>
      </w:sdtEndPr>
      <w:sdtContent>
        <w:p w14:paraId="1C4EA642" w14:textId="47EBE637" w:rsidR="00D566D8" w:rsidRPr="007333DD" w:rsidRDefault="00D566D8" w:rsidP="00D566D8">
          <w:pPr>
            <w:pStyle w:val="TOC1"/>
          </w:pPr>
          <w:r w:rsidRPr="007333DD">
            <w:rPr>
              <w:sz w:val="32"/>
              <w:szCs w:val="32"/>
            </w:rPr>
            <w:t>Table of Contents</w:t>
          </w:r>
        </w:p>
        <w:p w14:paraId="6F0A4470" w14:textId="5B69E961" w:rsidR="00A34648" w:rsidRPr="007333DD" w:rsidRDefault="008017AD">
          <w:pPr>
            <w:pStyle w:val="TOC1"/>
            <w:rPr>
              <w:rFonts w:asciiTheme="minorHAnsi" w:eastAsiaTheme="minorEastAsia" w:hAnsiTheme="minorHAnsi" w:cstheme="minorBidi"/>
              <w:b w:val="0"/>
              <w:bCs w:val="0"/>
              <w:sz w:val="22"/>
              <w:szCs w:val="22"/>
              <w:lang w:val="en-IN"/>
            </w:rPr>
          </w:pPr>
          <w:r w:rsidRPr="007333DD">
            <w:fldChar w:fldCharType="begin"/>
          </w:r>
          <w:r w:rsidRPr="007333DD">
            <w:instrText xml:space="preserve"> TOC \h \u \z \t "Heading 1,1,Heading 2,2,Heading 3,3,Heading 4,4,Heading 5,5,Heading 6,6,"</w:instrText>
          </w:r>
          <w:r w:rsidRPr="007333DD">
            <w:fldChar w:fldCharType="separate"/>
          </w:r>
          <w:hyperlink w:anchor="_Toc235707632" w:history="1">
            <w:r w:rsidR="00A34648" w:rsidRPr="007333DD">
              <w:rPr>
                <w:rStyle w:val="Hyperlink"/>
                <w:color w:val="auto"/>
              </w:rPr>
              <w:t>Task 1: Marketing Environmental Analysis</w:t>
            </w:r>
            <w:r w:rsidR="00A34648" w:rsidRPr="007333DD">
              <w:rPr>
                <w:webHidden/>
              </w:rPr>
              <w:tab/>
            </w:r>
            <w:r w:rsidR="00A34648" w:rsidRPr="007333DD">
              <w:rPr>
                <w:webHidden/>
              </w:rPr>
              <w:fldChar w:fldCharType="begin"/>
            </w:r>
            <w:r w:rsidR="00A34648" w:rsidRPr="007333DD">
              <w:rPr>
                <w:webHidden/>
              </w:rPr>
              <w:instrText xml:space="preserve"> PAGEREF _Toc235707632 \h </w:instrText>
            </w:r>
            <w:r w:rsidR="00A34648" w:rsidRPr="007333DD">
              <w:rPr>
                <w:webHidden/>
              </w:rPr>
            </w:r>
            <w:r w:rsidR="00A34648" w:rsidRPr="007333DD">
              <w:rPr>
                <w:webHidden/>
              </w:rPr>
              <w:fldChar w:fldCharType="separate"/>
            </w:r>
            <w:r w:rsidR="00127707">
              <w:rPr>
                <w:webHidden/>
              </w:rPr>
              <w:t>2</w:t>
            </w:r>
            <w:r w:rsidR="00A34648" w:rsidRPr="007333DD">
              <w:rPr>
                <w:webHidden/>
              </w:rPr>
              <w:fldChar w:fldCharType="end"/>
            </w:r>
          </w:hyperlink>
        </w:p>
        <w:p w14:paraId="77F076D1" w14:textId="5254DF46"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33" w:history="1">
            <w:r w:rsidRPr="007333DD">
              <w:rPr>
                <w:rStyle w:val="Hyperlink"/>
                <w:noProof/>
                <w:color w:val="auto"/>
              </w:rPr>
              <w:t>Company background</w:t>
            </w:r>
            <w:r w:rsidRPr="007333DD">
              <w:rPr>
                <w:noProof/>
                <w:webHidden/>
              </w:rPr>
              <w:tab/>
            </w:r>
            <w:r w:rsidRPr="007333DD">
              <w:rPr>
                <w:noProof/>
                <w:webHidden/>
              </w:rPr>
              <w:fldChar w:fldCharType="begin"/>
            </w:r>
            <w:r w:rsidRPr="007333DD">
              <w:rPr>
                <w:noProof/>
                <w:webHidden/>
              </w:rPr>
              <w:instrText xml:space="preserve"> PAGEREF _Toc235707633 \h </w:instrText>
            </w:r>
            <w:r w:rsidRPr="007333DD">
              <w:rPr>
                <w:noProof/>
                <w:webHidden/>
              </w:rPr>
            </w:r>
            <w:r w:rsidRPr="007333DD">
              <w:rPr>
                <w:noProof/>
                <w:webHidden/>
              </w:rPr>
              <w:fldChar w:fldCharType="separate"/>
            </w:r>
            <w:r w:rsidR="00127707">
              <w:rPr>
                <w:noProof/>
                <w:webHidden/>
              </w:rPr>
              <w:t>2</w:t>
            </w:r>
            <w:r w:rsidRPr="007333DD">
              <w:rPr>
                <w:noProof/>
                <w:webHidden/>
              </w:rPr>
              <w:fldChar w:fldCharType="end"/>
            </w:r>
          </w:hyperlink>
        </w:p>
        <w:p w14:paraId="5F0B3320" w14:textId="1934AA0F"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34" w:history="1">
            <w:r w:rsidRPr="007333DD">
              <w:rPr>
                <w:rStyle w:val="Hyperlink"/>
                <w:noProof/>
                <w:color w:val="auto"/>
              </w:rPr>
              <w:t>Factor 1 – Environmental perspectives</w:t>
            </w:r>
            <w:r w:rsidRPr="007333DD">
              <w:rPr>
                <w:noProof/>
                <w:webHidden/>
              </w:rPr>
              <w:tab/>
            </w:r>
            <w:r w:rsidRPr="007333DD">
              <w:rPr>
                <w:noProof/>
                <w:webHidden/>
              </w:rPr>
              <w:fldChar w:fldCharType="begin"/>
            </w:r>
            <w:r w:rsidRPr="007333DD">
              <w:rPr>
                <w:noProof/>
                <w:webHidden/>
              </w:rPr>
              <w:instrText xml:space="preserve"> PAGEREF _Toc235707634 \h </w:instrText>
            </w:r>
            <w:r w:rsidRPr="007333DD">
              <w:rPr>
                <w:noProof/>
                <w:webHidden/>
              </w:rPr>
            </w:r>
            <w:r w:rsidRPr="007333DD">
              <w:rPr>
                <w:noProof/>
                <w:webHidden/>
              </w:rPr>
              <w:fldChar w:fldCharType="separate"/>
            </w:r>
            <w:r w:rsidR="00127707">
              <w:rPr>
                <w:noProof/>
                <w:webHidden/>
              </w:rPr>
              <w:t>2</w:t>
            </w:r>
            <w:r w:rsidRPr="007333DD">
              <w:rPr>
                <w:noProof/>
                <w:webHidden/>
              </w:rPr>
              <w:fldChar w:fldCharType="end"/>
            </w:r>
          </w:hyperlink>
        </w:p>
        <w:p w14:paraId="4BB52E90" w14:textId="2A26511B" w:rsidR="00A34648" w:rsidRPr="007333DD" w:rsidRDefault="00A34648">
          <w:pPr>
            <w:pStyle w:val="TOC3"/>
            <w:tabs>
              <w:tab w:val="right" w:leader="dot" w:pos="9019"/>
            </w:tabs>
            <w:rPr>
              <w:rFonts w:asciiTheme="minorHAnsi" w:eastAsiaTheme="minorEastAsia" w:hAnsiTheme="minorHAnsi" w:cstheme="minorBidi"/>
              <w:noProof/>
              <w:sz w:val="22"/>
              <w:szCs w:val="22"/>
              <w:lang w:val="en-IN"/>
            </w:rPr>
          </w:pPr>
          <w:hyperlink w:anchor="_Toc235707635" w:history="1">
            <w:r w:rsidRPr="007333DD">
              <w:rPr>
                <w:rStyle w:val="Hyperlink"/>
                <w:noProof/>
                <w:color w:val="auto"/>
              </w:rPr>
              <w:t>Initiatives of the Australian government to curb GHG emissions</w:t>
            </w:r>
            <w:r w:rsidRPr="007333DD">
              <w:rPr>
                <w:noProof/>
                <w:webHidden/>
              </w:rPr>
              <w:tab/>
            </w:r>
            <w:r w:rsidRPr="007333DD">
              <w:rPr>
                <w:noProof/>
                <w:webHidden/>
              </w:rPr>
              <w:fldChar w:fldCharType="begin"/>
            </w:r>
            <w:r w:rsidRPr="007333DD">
              <w:rPr>
                <w:noProof/>
                <w:webHidden/>
              </w:rPr>
              <w:instrText xml:space="preserve"> PAGEREF _Toc235707635 \h </w:instrText>
            </w:r>
            <w:r w:rsidRPr="007333DD">
              <w:rPr>
                <w:noProof/>
                <w:webHidden/>
              </w:rPr>
            </w:r>
            <w:r w:rsidRPr="007333DD">
              <w:rPr>
                <w:noProof/>
                <w:webHidden/>
              </w:rPr>
              <w:fldChar w:fldCharType="separate"/>
            </w:r>
            <w:r w:rsidR="00127707">
              <w:rPr>
                <w:noProof/>
                <w:webHidden/>
              </w:rPr>
              <w:t>2</w:t>
            </w:r>
            <w:r w:rsidRPr="007333DD">
              <w:rPr>
                <w:noProof/>
                <w:webHidden/>
              </w:rPr>
              <w:fldChar w:fldCharType="end"/>
            </w:r>
          </w:hyperlink>
        </w:p>
        <w:p w14:paraId="00C81F49" w14:textId="41F5E9D1" w:rsidR="00A34648" w:rsidRPr="007333DD" w:rsidRDefault="00A34648">
          <w:pPr>
            <w:pStyle w:val="TOC3"/>
            <w:tabs>
              <w:tab w:val="right" w:leader="dot" w:pos="9019"/>
            </w:tabs>
            <w:rPr>
              <w:rFonts w:asciiTheme="minorHAnsi" w:eastAsiaTheme="minorEastAsia" w:hAnsiTheme="minorHAnsi" w:cstheme="minorBidi"/>
              <w:noProof/>
              <w:sz w:val="22"/>
              <w:szCs w:val="22"/>
              <w:lang w:val="en-IN"/>
            </w:rPr>
          </w:pPr>
          <w:hyperlink w:anchor="_Toc235707636" w:history="1">
            <w:r w:rsidRPr="007333DD">
              <w:rPr>
                <w:rStyle w:val="Hyperlink"/>
                <w:noProof/>
                <w:color w:val="auto"/>
              </w:rPr>
              <w:t>Initiatives of the Canada government to curb GHG emissions</w:t>
            </w:r>
            <w:r w:rsidRPr="007333DD">
              <w:rPr>
                <w:noProof/>
                <w:webHidden/>
              </w:rPr>
              <w:tab/>
            </w:r>
            <w:r w:rsidRPr="007333DD">
              <w:rPr>
                <w:noProof/>
                <w:webHidden/>
              </w:rPr>
              <w:fldChar w:fldCharType="begin"/>
            </w:r>
            <w:r w:rsidRPr="007333DD">
              <w:rPr>
                <w:noProof/>
                <w:webHidden/>
              </w:rPr>
              <w:instrText xml:space="preserve"> PAGEREF _Toc235707636 \h </w:instrText>
            </w:r>
            <w:r w:rsidRPr="007333DD">
              <w:rPr>
                <w:noProof/>
                <w:webHidden/>
              </w:rPr>
            </w:r>
            <w:r w:rsidRPr="007333DD">
              <w:rPr>
                <w:noProof/>
                <w:webHidden/>
              </w:rPr>
              <w:fldChar w:fldCharType="separate"/>
            </w:r>
            <w:r w:rsidR="00127707">
              <w:rPr>
                <w:noProof/>
                <w:webHidden/>
              </w:rPr>
              <w:t>3</w:t>
            </w:r>
            <w:r w:rsidRPr="007333DD">
              <w:rPr>
                <w:noProof/>
                <w:webHidden/>
              </w:rPr>
              <w:fldChar w:fldCharType="end"/>
            </w:r>
          </w:hyperlink>
        </w:p>
        <w:p w14:paraId="1864E640" w14:textId="33B70326" w:rsidR="00A34648" w:rsidRPr="007333DD" w:rsidRDefault="00A34648">
          <w:pPr>
            <w:pStyle w:val="TOC3"/>
            <w:tabs>
              <w:tab w:val="right" w:leader="dot" w:pos="9019"/>
            </w:tabs>
            <w:rPr>
              <w:rFonts w:asciiTheme="minorHAnsi" w:eastAsiaTheme="minorEastAsia" w:hAnsiTheme="minorHAnsi" w:cstheme="minorBidi"/>
              <w:noProof/>
              <w:sz w:val="22"/>
              <w:szCs w:val="22"/>
              <w:lang w:val="en-IN"/>
            </w:rPr>
          </w:pPr>
          <w:hyperlink w:anchor="_Toc235707637" w:history="1">
            <w:r w:rsidRPr="007333DD">
              <w:rPr>
                <w:rStyle w:val="Hyperlink"/>
                <w:noProof/>
                <w:color w:val="auto"/>
              </w:rPr>
              <w:t>Initiatives of the US government to curb GHG emissions</w:t>
            </w:r>
            <w:r w:rsidRPr="007333DD">
              <w:rPr>
                <w:noProof/>
                <w:webHidden/>
              </w:rPr>
              <w:tab/>
            </w:r>
            <w:r w:rsidRPr="007333DD">
              <w:rPr>
                <w:noProof/>
                <w:webHidden/>
              </w:rPr>
              <w:fldChar w:fldCharType="begin"/>
            </w:r>
            <w:r w:rsidRPr="007333DD">
              <w:rPr>
                <w:noProof/>
                <w:webHidden/>
              </w:rPr>
              <w:instrText xml:space="preserve"> PAGEREF _Toc235707637 \h </w:instrText>
            </w:r>
            <w:r w:rsidRPr="007333DD">
              <w:rPr>
                <w:noProof/>
                <w:webHidden/>
              </w:rPr>
            </w:r>
            <w:r w:rsidRPr="007333DD">
              <w:rPr>
                <w:noProof/>
                <w:webHidden/>
              </w:rPr>
              <w:fldChar w:fldCharType="separate"/>
            </w:r>
            <w:r w:rsidR="00127707">
              <w:rPr>
                <w:noProof/>
                <w:webHidden/>
              </w:rPr>
              <w:t>5</w:t>
            </w:r>
            <w:r w:rsidRPr="007333DD">
              <w:rPr>
                <w:noProof/>
                <w:webHidden/>
              </w:rPr>
              <w:fldChar w:fldCharType="end"/>
            </w:r>
          </w:hyperlink>
        </w:p>
        <w:p w14:paraId="71E1D79A" w14:textId="234A69B2"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38" w:history="1">
            <w:r w:rsidRPr="007333DD">
              <w:rPr>
                <w:rStyle w:val="Hyperlink"/>
                <w:noProof/>
                <w:color w:val="auto"/>
              </w:rPr>
              <w:t>Factor 2 – Social and economic perspectives</w:t>
            </w:r>
            <w:r w:rsidRPr="007333DD">
              <w:rPr>
                <w:noProof/>
                <w:webHidden/>
              </w:rPr>
              <w:tab/>
            </w:r>
            <w:r w:rsidRPr="007333DD">
              <w:rPr>
                <w:noProof/>
                <w:webHidden/>
              </w:rPr>
              <w:fldChar w:fldCharType="begin"/>
            </w:r>
            <w:r w:rsidRPr="007333DD">
              <w:rPr>
                <w:noProof/>
                <w:webHidden/>
              </w:rPr>
              <w:instrText xml:space="preserve"> PAGEREF _Toc235707638 \h </w:instrText>
            </w:r>
            <w:r w:rsidRPr="007333DD">
              <w:rPr>
                <w:noProof/>
                <w:webHidden/>
              </w:rPr>
            </w:r>
            <w:r w:rsidRPr="007333DD">
              <w:rPr>
                <w:noProof/>
                <w:webHidden/>
              </w:rPr>
              <w:fldChar w:fldCharType="separate"/>
            </w:r>
            <w:r w:rsidR="00127707">
              <w:rPr>
                <w:noProof/>
                <w:webHidden/>
              </w:rPr>
              <w:t>8</w:t>
            </w:r>
            <w:r w:rsidRPr="007333DD">
              <w:rPr>
                <w:noProof/>
                <w:webHidden/>
              </w:rPr>
              <w:fldChar w:fldCharType="end"/>
            </w:r>
          </w:hyperlink>
        </w:p>
        <w:p w14:paraId="001916B0" w14:textId="5214E840"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39" w:history="1">
            <w:r w:rsidRPr="007333DD">
              <w:rPr>
                <w:rStyle w:val="Hyperlink"/>
                <w:noProof/>
                <w:color w:val="auto"/>
              </w:rPr>
              <w:t>Opportunities and threats</w:t>
            </w:r>
            <w:r w:rsidRPr="007333DD">
              <w:rPr>
                <w:noProof/>
                <w:webHidden/>
              </w:rPr>
              <w:tab/>
            </w:r>
            <w:r w:rsidRPr="007333DD">
              <w:rPr>
                <w:noProof/>
                <w:webHidden/>
              </w:rPr>
              <w:fldChar w:fldCharType="begin"/>
            </w:r>
            <w:r w:rsidRPr="007333DD">
              <w:rPr>
                <w:noProof/>
                <w:webHidden/>
              </w:rPr>
              <w:instrText xml:space="preserve"> PAGEREF _Toc235707639 \h </w:instrText>
            </w:r>
            <w:r w:rsidRPr="007333DD">
              <w:rPr>
                <w:noProof/>
                <w:webHidden/>
              </w:rPr>
            </w:r>
            <w:r w:rsidRPr="007333DD">
              <w:rPr>
                <w:noProof/>
                <w:webHidden/>
              </w:rPr>
              <w:fldChar w:fldCharType="separate"/>
            </w:r>
            <w:r w:rsidR="00127707">
              <w:rPr>
                <w:noProof/>
                <w:webHidden/>
              </w:rPr>
              <w:t>9</w:t>
            </w:r>
            <w:r w:rsidRPr="007333DD">
              <w:rPr>
                <w:noProof/>
                <w:webHidden/>
              </w:rPr>
              <w:fldChar w:fldCharType="end"/>
            </w:r>
          </w:hyperlink>
        </w:p>
        <w:p w14:paraId="5D8810D0" w14:textId="4219A8BC" w:rsidR="00A34648" w:rsidRPr="007333DD" w:rsidRDefault="00A34648">
          <w:pPr>
            <w:pStyle w:val="TOC1"/>
            <w:rPr>
              <w:rFonts w:asciiTheme="minorHAnsi" w:eastAsiaTheme="minorEastAsia" w:hAnsiTheme="minorHAnsi" w:cstheme="minorBidi"/>
              <w:b w:val="0"/>
              <w:bCs w:val="0"/>
              <w:sz w:val="22"/>
              <w:szCs w:val="22"/>
              <w:lang w:val="en-IN"/>
            </w:rPr>
          </w:pPr>
          <w:hyperlink w:anchor="_Toc235707640" w:history="1">
            <w:r w:rsidRPr="007333DD">
              <w:rPr>
                <w:rStyle w:val="Hyperlink"/>
                <w:color w:val="auto"/>
              </w:rPr>
              <w:t>Task 2: Strategic Growth and Competitive Positioning</w:t>
            </w:r>
            <w:r w:rsidRPr="007333DD">
              <w:rPr>
                <w:webHidden/>
              </w:rPr>
              <w:tab/>
            </w:r>
            <w:r w:rsidRPr="007333DD">
              <w:rPr>
                <w:webHidden/>
              </w:rPr>
              <w:fldChar w:fldCharType="begin"/>
            </w:r>
            <w:r w:rsidRPr="007333DD">
              <w:rPr>
                <w:webHidden/>
              </w:rPr>
              <w:instrText xml:space="preserve"> PAGEREF _Toc235707640 \h </w:instrText>
            </w:r>
            <w:r w:rsidRPr="007333DD">
              <w:rPr>
                <w:webHidden/>
              </w:rPr>
            </w:r>
            <w:r w:rsidRPr="007333DD">
              <w:rPr>
                <w:webHidden/>
              </w:rPr>
              <w:fldChar w:fldCharType="separate"/>
            </w:r>
            <w:r w:rsidR="00127707">
              <w:rPr>
                <w:webHidden/>
              </w:rPr>
              <w:t>11</w:t>
            </w:r>
            <w:r w:rsidRPr="007333DD">
              <w:rPr>
                <w:webHidden/>
              </w:rPr>
              <w:fldChar w:fldCharType="end"/>
            </w:r>
          </w:hyperlink>
        </w:p>
        <w:p w14:paraId="47F9E237" w14:textId="3BE54A99"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1" w:history="1">
            <w:r w:rsidRPr="007333DD">
              <w:rPr>
                <w:rStyle w:val="Hyperlink"/>
                <w:noProof/>
                <w:color w:val="auto"/>
              </w:rPr>
              <w:t>Strategic growth approach</w:t>
            </w:r>
            <w:r w:rsidRPr="007333DD">
              <w:rPr>
                <w:noProof/>
                <w:webHidden/>
              </w:rPr>
              <w:tab/>
            </w:r>
            <w:r w:rsidRPr="007333DD">
              <w:rPr>
                <w:noProof/>
                <w:webHidden/>
              </w:rPr>
              <w:fldChar w:fldCharType="begin"/>
            </w:r>
            <w:r w:rsidRPr="007333DD">
              <w:rPr>
                <w:noProof/>
                <w:webHidden/>
              </w:rPr>
              <w:instrText xml:space="preserve"> PAGEREF _Toc235707641 \h </w:instrText>
            </w:r>
            <w:r w:rsidRPr="007333DD">
              <w:rPr>
                <w:noProof/>
                <w:webHidden/>
              </w:rPr>
            </w:r>
            <w:r w:rsidRPr="007333DD">
              <w:rPr>
                <w:noProof/>
                <w:webHidden/>
              </w:rPr>
              <w:fldChar w:fldCharType="separate"/>
            </w:r>
            <w:r w:rsidR="00127707">
              <w:rPr>
                <w:noProof/>
                <w:webHidden/>
              </w:rPr>
              <w:t>11</w:t>
            </w:r>
            <w:r w:rsidRPr="007333DD">
              <w:rPr>
                <w:noProof/>
                <w:webHidden/>
              </w:rPr>
              <w:fldChar w:fldCharType="end"/>
            </w:r>
          </w:hyperlink>
        </w:p>
        <w:p w14:paraId="5868399C" w14:textId="4BB6E140"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2" w:history="1">
            <w:r w:rsidRPr="007333DD">
              <w:rPr>
                <w:rStyle w:val="Hyperlink"/>
                <w:noProof/>
                <w:color w:val="auto"/>
              </w:rPr>
              <w:t>Achieving competitive positioning</w:t>
            </w:r>
            <w:r w:rsidRPr="007333DD">
              <w:rPr>
                <w:noProof/>
                <w:webHidden/>
              </w:rPr>
              <w:tab/>
            </w:r>
            <w:r w:rsidRPr="007333DD">
              <w:rPr>
                <w:noProof/>
                <w:webHidden/>
              </w:rPr>
              <w:fldChar w:fldCharType="begin"/>
            </w:r>
            <w:r w:rsidRPr="007333DD">
              <w:rPr>
                <w:noProof/>
                <w:webHidden/>
              </w:rPr>
              <w:instrText xml:space="preserve"> PAGEREF _Toc235707642 \h </w:instrText>
            </w:r>
            <w:r w:rsidRPr="007333DD">
              <w:rPr>
                <w:noProof/>
                <w:webHidden/>
              </w:rPr>
            </w:r>
            <w:r w:rsidRPr="007333DD">
              <w:rPr>
                <w:noProof/>
                <w:webHidden/>
              </w:rPr>
              <w:fldChar w:fldCharType="separate"/>
            </w:r>
            <w:r w:rsidR="00127707">
              <w:rPr>
                <w:noProof/>
                <w:webHidden/>
              </w:rPr>
              <w:t>13</w:t>
            </w:r>
            <w:r w:rsidRPr="007333DD">
              <w:rPr>
                <w:noProof/>
                <w:webHidden/>
              </w:rPr>
              <w:fldChar w:fldCharType="end"/>
            </w:r>
          </w:hyperlink>
        </w:p>
        <w:p w14:paraId="31770983" w14:textId="1D633203"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3" w:history="1">
            <w:r w:rsidRPr="007333DD">
              <w:rPr>
                <w:rStyle w:val="Hyperlink"/>
                <w:noProof/>
                <w:color w:val="auto"/>
              </w:rPr>
              <w:t>Benefits of lower-carbon business model in achieving competitive advantage</w:t>
            </w:r>
            <w:r w:rsidRPr="007333DD">
              <w:rPr>
                <w:noProof/>
                <w:webHidden/>
              </w:rPr>
              <w:tab/>
            </w:r>
            <w:r w:rsidRPr="007333DD">
              <w:rPr>
                <w:noProof/>
                <w:webHidden/>
              </w:rPr>
              <w:fldChar w:fldCharType="begin"/>
            </w:r>
            <w:r w:rsidRPr="007333DD">
              <w:rPr>
                <w:noProof/>
                <w:webHidden/>
              </w:rPr>
              <w:instrText xml:space="preserve"> PAGEREF _Toc235707643 \h </w:instrText>
            </w:r>
            <w:r w:rsidRPr="007333DD">
              <w:rPr>
                <w:noProof/>
                <w:webHidden/>
              </w:rPr>
            </w:r>
            <w:r w:rsidRPr="007333DD">
              <w:rPr>
                <w:noProof/>
                <w:webHidden/>
              </w:rPr>
              <w:fldChar w:fldCharType="separate"/>
            </w:r>
            <w:r w:rsidR="00127707">
              <w:rPr>
                <w:noProof/>
                <w:webHidden/>
              </w:rPr>
              <w:t>16</w:t>
            </w:r>
            <w:r w:rsidRPr="007333DD">
              <w:rPr>
                <w:noProof/>
                <w:webHidden/>
              </w:rPr>
              <w:fldChar w:fldCharType="end"/>
            </w:r>
          </w:hyperlink>
        </w:p>
        <w:p w14:paraId="3EB4B963" w14:textId="013C86A0"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4" w:history="1">
            <w:r w:rsidRPr="007333DD">
              <w:rPr>
                <w:rStyle w:val="Hyperlink"/>
                <w:noProof/>
                <w:color w:val="auto"/>
              </w:rPr>
              <w:t>SERVQUAL model</w:t>
            </w:r>
            <w:r w:rsidRPr="007333DD">
              <w:rPr>
                <w:noProof/>
                <w:webHidden/>
              </w:rPr>
              <w:tab/>
            </w:r>
            <w:r w:rsidRPr="007333DD">
              <w:rPr>
                <w:noProof/>
                <w:webHidden/>
              </w:rPr>
              <w:fldChar w:fldCharType="begin"/>
            </w:r>
            <w:r w:rsidRPr="007333DD">
              <w:rPr>
                <w:noProof/>
                <w:webHidden/>
              </w:rPr>
              <w:instrText xml:space="preserve"> PAGEREF _Toc235707644 \h </w:instrText>
            </w:r>
            <w:r w:rsidRPr="007333DD">
              <w:rPr>
                <w:noProof/>
                <w:webHidden/>
              </w:rPr>
            </w:r>
            <w:r w:rsidRPr="007333DD">
              <w:rPr>
                <w:noProof/>
                <w:webHidden/>
              </w:rPr>
              <w:fldChar w:fldCharType="separate"/>
            </w:r>
            <w:r w:rsidR="00127707">
              <w:rPr>
                <w:noProof/>
                <w:webHidden/>
              </w:rPr>
              <w:t>17</w:t>
            </w:r>
            <w:r w:rsidRPr="007333DD">
              <w:rPr>
                <w:noProof/>
                <w:webHidden/>
              </w:rPr>
              <w:fldChar w:fldCharType="end"/>
            </w:r>
          </w:hyperlink>
        </w:p>
        <w:p w14:paraId="3638D9CA" w14:textId="0A41C400" w:rsidR="00A34648" w:rsidRPr="007333DD" w:rsidRDefault="00A34648">
          <w:pPr>
            <w:pStyle w:val="TOC1"/>
            <w:rPr>
              <w:rFonts w:asciiTheme="minorHAnsi" w:eastAsiaTheme="minorEastAsia" w:hAnsiTheme="minorHAnsi" w:cstheme="minorBidi"/>
              <w:b w:val="0"/>
              <w:bCs w:val="0"/>
              <w:sz w:val="22"/>
              <w:szCs w:val="22"/>
              <w:lang w:val="en-IN"/>
            </w:rPr>
          </w:pPr>
          <w:hyperlink w:anchor="_Toc235707645" w:history="1">
            <w:r w:rsidRPr="007333DD">
              <w:rPr>
                <w:rStyle w:val="Hyperlink"/>
                <w:color w:val="auto"/>
              </w:rPr>
              <w:t>Task 3: Critical Reflection on AI Usage</w:t>
            </w:r>
            <w:r w:rsidRPr="007333DD">
              <w:rPr>
                <w:webHidden/>
              </w:rPr>
              <w:tab/>
            </w:r>
            <w:r w:rsidRPr="007333DD">
              <w:rPr>
                <w:webHidden/>
              </w:rPr>
              <w:fldChar w:fldCharType="begin"/>
            </w:r>
            <w:r w:rsidRPr="007333DD">
              <w:rPr>
                <w:webHidden/>
              </w:rPr>
              <w:instrText xml:space="preserve"> PAGEREF _Toc235707645 \h </w:instrText>
            </w:r>
            <w:r w:rsidRPr="007333DD">
              <w:rPr>
                <w:webHidden/>
              </w:rPr>
            </w:r>
            <w:r w:rsidRPr="007333DD">
              <w:rPr>
                <w:webHidden/>
              </w:rPr>
              <w:fldChar w:fldCharType="separate"/>
            </w:r>
            <w:r w:rsidR="00127707">
              <w:rPr>
                <w:webHidden/>
              </w:rPr>
              <w:t>19</w:t>
            </w:r>
            <w:r w:rsidRPr="007333DD">
              <w:rPr>
                <w:webHidden/>
              </w:rPr>
              <w:fldChar w:fldCharType="end"/>
            </w:r>
          </w:hyperlink>
        </w:p>
        <w:p w14:paraId="3E07F785" w14:textId="289B516E"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6" w:history="1">
            <w:r w:rsidRPr="007333DD">
              <w:rPr>
                <w:rStyle w:val="Hyperlink"/>
                <w:noProof/>
                <w:color w:val="auto"/>
              </w:rPr>
              <w:t>Tool disclosure</w:t>
            </w:r>
            <w:r w:rsidRPr="007333DD">
              <w:rPr>
                <w:noProof/>
                <w:webHidden/>
              </w:rPr>
              <w:tab/>
            </w:r>
            <w:r w:rsidRPr="007333DD">
              <w:rPr>
                <w:noProof/>
                <w:webHidden/>
              </w:rPr>
              <w:fldChar w:fldCharType="begin"/>
            </w:r>
            <w:r w:rsidRPr="007333DD">
              <w:rPr>
                <w:noProof/>
                <w:webHidden/>
              </w:rPr>
              <w:instrText xml:space="preserve"> PAGEREF _Toc235707646 \h </w:instrText>
            </w:r>
            <w:r w:rsidRPr="007333DD">
              <w:rPr>
                <w:noProof/>
                <w:webHidden/>
              </w:rPr>
            </w:r>
            <w:r w:rsidRPr="007333DD">
              <w:rPr>
                <w:noProof/>
                <w:webHidden/>
              </w:rPr>
              <w:fldChar w:fldCharType="separate"/>
            </w:r>
            <w:r w:rsidR="00127707">
              <w:rPr>
                <w:noProof/>
                <w:webHidden/>
              </w:rPr>
              <w:t>19</w:t>
            </w:r>
            <w:r w:rsidRPr="007333DD">
              <w:rPr>
                <w:noProof/>
                <w:webHidden/>
              </w:rPr>
              <w:fldChar w:fldCharType="end"/>
            </w:r>
          </w:hyperlink>
        </w:p>
        <w:p w14:paraId="52AF7AB0" w14:textId="499D2651"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7" w:history="1">
            <w:r w:rsidRPr="007333DD">
              <w:rPr>
                <w:rStyle w:val="Hyperlink"/>
                <w:noProof/>
                <w:color w:val="auto"/>
              </w:rPr>
              <w:t>Critical evaluation of AI output</w:t>
            </w:r>
            <w:r w:rsidRPr="007333DD">
              <w:rPr>
                <w:noProof/>
                <w:webHidden/>
              </w:rPr>
              <w:tab/>
            </w:r>
            <w:r w:rsidRPr="007333DD">
              <w:rPr>
                <w:noProof/>
                <w:webHidden/>
              </w:rPr>
              <w:fldChar w:fldCharType="begin"/>
            </w:r>
            <w:r w:rsidRPr="007333DD">
              <w:rPr>
                <w:noProof/>
                <w:webHidden/>
              </w:rPr>
              <w:instrText xml:space="preserve"> PAGEREF _Toc235707647 \h </w:instrText>
            </w:r>
            <w:r w:rsidRPr="007333DD">
              <w:rPr>
                <w:noProof/>
                <w:webHidden/>
              </w:rPr>
            </w:r>
            <w:r w:rsidRPr="007333DD">
              <w:rPr>
                <w:noProof/>
                <w:webHidden/>
              </w:rPr>
              <w:fldChar w:fldCharType="separate"/>
            </w:r>
            <w:r w:rsidR="00127707">
              <w:rPr>
                <w:noProof/>
                <w:webHidden/>
              </w:rPr>
              <w:t>19</w:t>
            </w:r>
            <w:r w:rsidRPr="007333DD">
              <w:rPr>
                <w:noProof/>
                <w:webHidden/>
              </w:rPr>
              <w:fldChar w:fldCharType="end"/>
            </w:r>
          </w:hyperlink>
        </w:p>
        <w:p w14:paraId="310295D1" w14:textId="51BFBD2E"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8" w:history="1">
            <w:r w:rsidRPr="007333DD">
              <w:rPr>
                <w:rStyle w:val="Hyperlink"/>
                <w:noProof/>
                <w:color w:val="auto"/>
              </w:rPr>
              <w:t>Contribution analysis</w:t>
            </w:r>
            <w:r w:rsidRPr="007333DD">
              <w:rPr>
                <w:noProof/>
                <w:webHidden/>
              </w:rPr>
              <w:tab/>
            </w:r>
            <w:r w:rsidRPr="007333DD">
              <w:rPr>
                <w:noProof/>
                <w:webHidden/>
              </w:rPr>
              <w:fldChar w:fldCharType="begin"/>
            </w:r>
            <w:r w:rsidRPr="007333DD">
              <w:rPr>
                <w:noProof/>
                <w:webHidden/>
              </w:rPr>
              <w:instrText xml:space="preserve"> PAGEREF _Toc235707648 \h </w:instrText>
            </w:r>
            <w:r w:rsidRPr="007333DD">
              <w:rPr>
                <w:noProof/>
                <w:webHidden/>
              </w:rPr>
            </w:r>
            <w:r w:rsidRPr="007333DD">
              <w:rPr>
                <w:noProof/>
                <w:webHidden/>
              </w:rPr>
              <w:fldChar w:fldCharType="separate"/>
            </w:r>
            <w:r w:rsidR="00127707">
              <w:rPr>
                <w:noProof/>
                <w:webHidden/>
              </w:rPr>
              <w:t>20</w:t>
            </w:r>
            <w:r w:rsidRPr="007333DD">
              <w:rPr>
                <w:noProof/>
                <w:webHidden/>
              </w:rPr>
              <w:fldChar w:fldCharType="end"/>
            </w:r>
          </w:hyperlink>
        </w:p>
        <w:p w14:paraId="4B3A51A3" w14:textId="2111F856" w:rsidR="00A34648" w:rsidRPr="007333DD" w:rsidRDefault="00A34648">
          <w:pPr>
            <w:pStyle w:val="TOC2"/>
            <w:tabs>
              <w:tab w:val="right" w:leader="dot" w:pos="9019"/>
            </w:tabs>
            <w:rPr>
              <w:rFonts w:asciiTheme="minorHAnsi" w:eastAsiaTheme="minorEastAsia" w:hAnsiTheme="minorHAnsi" w:cstheme="minorBidi"/>
              <w:noProof/>
              <w:sz w:val="22"/>
              <w:szCs w:val="22"/>
              <w:lang w:val="en-IN"/>
            </w:rPr>
          </w:pPr>
          <w:hyperlink w:anchor="_Toc235707649" w:history="1">
            <w:r w:rsidRPr="007333DD">
              <w:rPr>
                <w:rStyle w:val="Hyperlink"/>
                <w:noProof/>
                <w:color w:val="auto"/>
              </w:rPr>
              <w:t>Ethical and professional reflection</w:t>
            </w:r>
            <w:r w:rsidRPr="007333DD">
              <w:rPr>
                <w:noProof/>
                <w:webHidden/>
              </w:rPr>
              <w:tab/>
            </w:r>
            <w:r w:rsidRPr="007333DD">
              <w:rPr>
                <w:noProof/>
                <w:webHidden/>
              </w:rPr>
              <w:fldChar w:fldCharType="begin"/>
            </w:r>
            <w:r w:rsidRPr="007333DD">
              <w:rPr>
                <w:noProof/>
                <w:webHidden/>
              </w:rPr>
              <w:instrText xml:space="preserve"> PAGEREF _Toc235707649 \h </w:instrText>
            </w:r>
            <w:r w:rsidRPr="007333DD">
              <w:rPr>
                <w:noProof/>
                <w:webHidden/>
              </w:rPr>
            </w:r>
            <w:r w:rsidRPr="007333DD">
              <w:rPr>
                <w:noProof/>
                <w:webHidden/>
              </w:rPr>
              <w:fldChar w:fldCharType="separate"/>
            </w:r>
            <w:r w:rsidR="00127707">
              <w:rPr>
                <w:noProof/>
                <w:webHidden/>
              </w:rPr>
              <w:t>21</w:t>
            </w:r>
            <w:r w:rsidRPr="007333DD">
              <w:rPr>
                <w:noProof/>
                <w:webHidden/>
              </w:rPr>
              <w:fldChar w:fldCharType="end"/>
            </w:r>
          </w:hyperlink>
        </w:p>
        <w:p w14:paraId="175AA479" w14:textId="050AE214" w:rsidR="00A34648" w:rsidRPr="007333DD" w:rsidRDefault="00A34648">
          <w:pPr>
            <w:pStyle w:val="TOC1"/>
            <w:rPr>
              <w:rFonts w:asciiTheme="minorHAnsi" w:eastAsiaTheme="minorEastAsia" w:hAnsiTheme="minorHAnsi" w:cstheme="minorBidi"/>
              <w:b w:val="0"/>
              <w:bCs w:val="0"/>
              <w:sz w:val="22"/>
              <w:szCs w:val="22"/>
              <w:lang w:val="en-IN"/>
            </w:rPr>
          </w:pPr>
          <w:hyperlink w:anchor="_Toc235707650" w:history="1">
            <w:r w:rsidRPr="007333DD">
              <w:rPr>
                <w:rStyle w:val="Hyperlink"/>
                <w:color w:val="auto"/>
              </w:rPr>
              <w:t>Conclusion</w:t>
            </w:r>
            <w:r w:rsidRPr="007333DD">
              <w:rPr>
                <w:webHidden/>
              </w:rPr>
              <w:tab/>
            </w:r>
            <w:r w:rsidRPr="007333DD">
              <w:rPr>
                <w:webHidden/>
              </w:rPr>
              <w:fldChar w:fldCharType="begin"/>
            </w:r>
            <w:r w:rsidRPr="007333DD">
              <w:rPr>
                <w:webHidden/>
              </w:rPr>
              <w:instrText xml:space="preserve"> PAGEREF _Toc235707650 \h </w:instrText>
            </w:r>
            <w:r w:rsidRPr="007333DD">
              <w:rPr>
                <w:webHidden/>
              </w:rPr>
            </w:r>
            <w:r w:rsidRPr="007333DD">
              <w:rPr>
                <w:webHidden/>
              </w:rPr>
              <w:fldChar w:fldCharType="separate"/>
            </w:r>
            <w:r w:rsidR="00127707">
              <w:rPr>
                <w:webHidden/>
              </w:rPr>
              <w:t>22</w:t>
            </w:r>
            <w:r w:rsidRPr="007333DD">
              <w:rPr>
                <w:webHidden/>
              </w:rPr>
              <w:fldChar w:fldCharType="end"/>
            </w:r>
          </w:hyperlink>
        </w:p>
        <w:p w14:paraId="0B6469A9" w14:textId="5EDF9B84" w:rsidR="00A34648" w:rsidRPr="007333DD" w:rsidRDefault="00A34648">
          <w:pPr>
            <w:pStyle w:val="TOC1"/>
            <w:rPr>
              <w:rFonts w:asciiTheme="minorHAnsi" w:eastAsiaTheme="minorEastAsia" w:hAnsiTheme="minorHAnsi" w:cstheme="minorBidi"/>
              <w:b w:val="0"/>
              <w:bCs w:val="0"/>
              <w:sz w:val="22"/>
              <w:szCs w:val="22"/>
              <w:lang w:val="en-IN"/>
            </w:rPr>
          </w:pPr>
          <w:hyperlink w:anchor="_Toc235707651" w:history="1">
            <w:r w:rsidRPr="007333DD">
              <w:rPr>
                <w:rStyle w:val="Hyperlink"/>
                <w:color w:val="auto"/>
              </w:rPr>
              <w:t>Reference list</w:t>
            </w:r>
            <w:r w:rsidRPr="007333DD">
              <w:rPr>
                <w:webHidden/>
              </w:rPr>
              <w:tab/>
            </w:r>
            <w:r w:rsidRPr="007333DD">
              <w:rPr>
                <w:webHidden/>
              </w:rPr>
              <w:fldChar w:fldCharType="begin"/>
            </w:r>
            <w:r w:rsidRPr="007333DD">
              <w:rPr>
                <w:webHidden/>
              </w:rPr>
              <w:instrText xml:space="preserve"> PAGEREF _Toc235707651 \h </w:instrText>
            </w:r>
            <w:r w:rsidRPr="007333DD">
              <w:rPr>
                <w:webHidden/>
              </w:rPr>
            </w:r>
            <w:r w:rsidRPr="007333DD">
              <w:rPr>
                <w:webHidden/>
              </w:rPr>
              <w:fldChar w:fldCharType="separate"/>
            </w:r>
            <w:r w:rsidR="00127707">
              <w:rPr>
                <w:webHidden/>
              </w:rPr>
              <w:t>23</w:t>
            </w:r>
            <w:r w:rsidRPr="007333DD">
              <w:rPr>
                <w:webHidden/>
              </w:rPr>
              <w:fldChar w:fldCharType="end"/>
            </w:r>
          </w:hyperlink>
        </w:p>
        <w:p w14:paraId="77A9DC93" w14:textId="1E7E5186" w:rsidR="00A70970" w:rsidRPr="007333DD" w:rsidRDefault="008017AD">
          <w:pPr>
            <w:widowControl w:val="0"/>
            <w:tabs>
              <w:tab w:val="right" w:leader="dot" w:pos="9025"/>
            </w:tabs>
            <w:spacing w:before="60" w:after="0"/>
            <w:rPr>
              <w:b/>
              <w:bCs/>
            </w:rPr>
          </w:pPr>
          <w:r w:rsidRPr="007333DD">
            <w:fldChar w:fldCharType="end"/>
          </w:r>
        </w:p>
      </w:sdtContent>
    </w:sdt>
    <w:p w14:paraId="4A7FFD45" w14:textId="77777777" w:rsidR="00A70970" w:rsidRPr="007333DD" w:rsidRDefault="008017AD">
      <w:r w:rsidRPr="007333DD">
        <w:br w:type="page"/>
      </w:r>
    </w:p>
    <w:p w14:paraId="2B24224D" w14:textId="16973A05" w:rsidR="00A70970" w:rsidRPr="007333DD" w:rsidRDefault="008017AD">
      <w:pPr>
        <w:pStyle w:val="Heading1"/>
      </w:pPr>
      <w:bookmarkStart w:id="0" w:name="_Toc235707632"/>
      <w:r w:rsidRPr="007333DD">
        <w:lastRenderedPageBreak/>
        <w:t>Task 1: Marketing Environmental Analysis</w:t>
      </w:r>
      <w:bookmarkEnd w:id="0"/>
    </w:p>
    <w:p w14:paraId="73E7546C" w14:textId="50223D3E" w:rsidR="0016542B" w:rsidRPr="007333DD" w:rsidRDefault="000B3AE1" w:rsidP="0016542B">
      <w:pPr>
        <w:pStyle w:val="Heading2"/>
      </w:pPr>
      <w:bookmarkStart w:id="1" w:name="_Toc235707633"/>
      <w:r w:rsidRPr="007333DD">
        <w:t>Company</w:t>
      </w:r>
      <w:r w:rsidR="0016542B" w:rsidRPr="007333DD">
        <w:t xml:space="preserve"> background</w:t>
      </w:r>
      <w:bookmarkEnd w:id="1"/>
    </w:p>
    <w:p w14:paraId="4C945A66" w14:textId="158CD634" w:rsidR="0016542B" w:rsidRPr="007333DD" w:rsidRDefault="0016542B" w:rsidP="0016542B">
      <w:r w:rsidRPr="007333DD">
        <w:t>The selected organisation BHP is an Australia-based multinational organisation and the largest mining company by capitalisation in the world (BHP, 2026). BHP is headquartered in Melbourne and has been developing and contributing to the industry since 1851 and was founded in 1885, and have over 90,000 employees and contractors</w:t>
      </w:r>
      <w:r w:rsidR="003E26F4" w:rsidRPr="007333DD">
        <w:t xml:space="preserve"> (Forbes, 2026)</w:t>
      </w:r>
      <w:r w:rsidRPr="007333DD">
        <w:t xml:space="preserve">. It holds the largest copper mineral resources in the world. The organisation generated a revenue of $54 billion in 2026, as the firm engaged in exploration, development, production and processing of copper, metallurgical coal, and iron ore. </w:t>
      </w:r>
    </w:p>
    <w:p w14:paraId="24449C78" w14:textId="1942B5C5" w:rsidR="00A70970" w:rsidRPr="007333DD" w:rsidRDefault="008017AD">
      <w:pPr>
        <w:pStyle w:val="Heading2"/>
      </w:pPr>
      <w:bookmarkStart w:id="2" w:name="_Toc235707634"/>
      <w:r w:rsidRPr="007333DD">
        <w:t>Factor 1 – Environmental perspectives</w:t>
      </w:r>
      <w:bookmarkEnd w:id="2"/>
    </w:p>
    <w:p w14:paraId="77337FC8" w14:textId="77777777" w:rsidR="00A70970" w:rsidRPr="007333DD" w:rsidRDefault="008017AD">
      <w:pPr>
        <w:pStyle w:val="Heading3"/>
      </w:pPr>
      <w:bookmarkStart w:id="3" w:name="_Toc235707635"/>
      <w:r w:rsidRPr="007333DD">
        <w:t>Initiatives of the Australian government to curb GHG emissions</w:t>
      </w:r>
      <w:bookmarkEnd w:id="3"/>
    </w:p>
    <w:p w14:paraId="0DBA13D8" w14:textId="1388509F" w:rsidR="00A70970" w:rsidRPr="007333DD" w:rsidRDefault="008017AD">
      <w:r w:rsidRPr="007333DD">
        <w:t>According to UNFCCC (2025), Australia has targeted a 62-70% reduction in its GHG emissions by 2035.</w:t>
      </w:r>
    </w:p>
    <w:p w14:paraId="3698066F" w14:textId="77777777" w:rsidR="00A70970" w:rsidRPr="007333DD" w:rsidRDefault="008017AD">
      <w:pPr>
        <w:jc w:val="center"/>
      </w:pPr>
      <w:r w:rsidRPr="007333DD">
        <w:rPr>
          <w:noProof/>
          <w:lang w:val="en-IN"/>
        </w:rPr>
        <w:drawing>
          <wp:inline distT="114300" distB="114300" distL="114300" distR="114300" wp14:anchorId="65EDB7EF" wp14:editId="6BB6438F">
            <wp:extent cx="5731200" cy="3340100"/>
            <wp:effectExtent l="12700" t="12700" r="12700" b="1270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731200" cy="3340100"/>
                    </a:xfrm>
                    <a:prstGeom prst="rect">
                      <a:avLst/>
                    </a:prstGeom>
                    <a:ln w="12700">
                      <a:solidFill>
                        <a:srgbClr val="000000"/>
                      </a:solidFill>
                      <a:prstDash val="solid"/>
                    </a:ln>
                  </pic:spPr>
                </pic:pic>
              </a:graphicData>
            </a:graphic>
          </wp:inline>
        </w:drawing>
      </w:r>
    </w:p>
    <w:p w14:paraId="013B9650" w14:textId="77777777" w:rsidR="00A70970" w:rsidRPr="007333DD" w:rsidRDefault="008017AD">
      <w:pPr>
        <w:jc w:val="center"/>
        <w:rPr>
          <w:b/>
          <w:bCs/>
        </w:rPr>
      </w:pPr>
      <w:r w:rsidRPr="007333DD">
        <w:rPr>
          <w:b/>
          <w:bCs/>
        </w:rPr>
        <w:t>Figure 1: Emission reduction pathways of Australia</w:t>
      </w:r>
    </w:p>
    <w:p w14:paraId="66022133" w14:textId="77777777" w:rsidR="00A70970" w:rsidRPr="007333DD" w:rsidRDefault="008017AD">
      <w:pPr>
        <w:jc w:val="center"/>
      </w:pPr>
      <w:r w:rsidRPr="007333DD">
        <w:t>(Source: UNFCCC, 2025)</w:t>
      </w:r>
    </w:p>
    <w:p w14:paraId="7AC08CD3" w14:textId="679F58A6" w:rsidR="00A70970" w:rsidRPr="007333DD" w:rsidRDefault="008017AD">
      <w:r w:rsidRPr="007333DD">
        <w:lastRenderedPageBreak/>
        <w:t xml:space="preserve">On the other hand, the reports from Climate Action Tracker (2025) have argued that Australia has targeted to become net zero in the year 2050 with an overall rating of </w:t>
      </w:r>
      <w:r w:rsidRPr="007333DD">
        <w:rPr>
          <w:i/>
          <w:iCs/>
        </w:rPr>
        <w:t xml:space="preserve">insufficient. </w:t>
      </w:r>
      <w:r w:rsidR="00D94D9E" w:rsidRPr="007333DD">
        <w:t>T</w:t>
      </w:r>
      <w:r w:rsidRPr="007333DD">
        <w:t xml:space="preserve">he government has invested AUD 22.7 billion for capitalising on substantial renewable energy sources. Further, the findings by Gibson (2026) have stated that the Australian government has introduced a </w:t>
      </w:r>
      <w:r w:rsidR="00AC7B9C" w:rsidRPr="007333DD">
        <w:t xml:space="preserve">mandatory GHG emission </w:t>
      </w:r>
      <w:r w:rsidRPr="007333DD">
        <w:t xml:space="preserve">disclosure policy through the new section </w:t>
      </w:r>
      <w:r w:rsidRPr="007333DD">
        <w:rPr>
          <w:i/>
          <w:iCs/>
        </w:rPr>
        <w:t xml:space="preserve">84A </w:t>
      </w:r>
      <w:r w:rsidRPr="007333DD">
        <w:t xml:space="preserve">in its </w:t>
      </w:r>
      <w:r w:rsidRPr="007333DD">
        <w:rPr>
          <w:b/>
          <w:bCs/>
          <w:i/>
          <w:iCs/>
        </w:rPr>
        <w:t xml:space="preserve">Environment Protection and Biodiversity Conservation (EPBC) Act 1999. </w:t>
      </w:r>
    </w:p>
    <w:p w14:paraId="47E76427" w14:textId="77777777" w:rsidR="00A70970" w:rsidRPr="007333DD" w:rsidRDefault="008017AD">
      <w:pPr>
        <w:jc w:val="center"/>
      </w:pPr>
      <w:r w:rsidRPr="007333DD">
        <w:rPr>
          <w:noProof/>
          <w:lang w:val="en-IN"/>
        </w:rPr>
        <w:drawing>
          <wp:inline distT="114300" distB="114300" distL="114300" distR="114300" wp14:anchorId="4A4AA8D4" wp14:editId="2D3BABCD">
            <wp:extent cx="5731200" cy="3403600"/>
            <wp:effectExtent l="12700" t="12700" r="12700" b="127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731200" cy="3403600"/>
                    </a:xfrm>
                    <a:prstGeom prst="rect">
                      <a:avLst/>
                    </a:prstGeom>
                    <a:ln w="12700">
                      <a:solidFill>
                        <a:srgbClr val="000000"/>
                      </a:solidFill>
                      <a:prstDash val="solid"/>
                    </a:ln>
                  </pic:spPr>
                </pic:pic>
              </a:graphicData>
            </a:graphic>
          </wp:inline>
        </w:drawing>
      </w:r>
      <w:r w:rsidRPr="007333DD">
        <w:t xml:space="preserve"> </w:t>
      </w:r>
    </w:p>
    <w:p w14:paraId="12F9FC6B" w14:textId="77777777" w:rsidR="00A70970" w:rsidRPr="007333DD" w:rsidRDefault="008017AD">
      <w:pPr>
        <w:jc w:val="center"/>
        <w:rPr>
          <w:b/>
          <w:bCs/>
        </w:rPr>
      </w:pPr>
      <w:r w:rsidRPr="007333DD">
        <w:rPr>
          <w:b/>
          <w:bCs/>
        </w:rPr>
        <w:t>Figure 2: Overall rating of Australian sustainability approaches</w:t>
      </w:r>
    </w:p>
    <w:p w14:paraId="1B555CF4" w14:textId="77777777" w:rsidR="00A70970" w:rsidRPr="007333DD" w:rsidRDefault="008017AD">
      <w:pPr>
        <w:jc w:val="center"/>
      </w:pPr>
      <w:r w:rsidRPr="007333DD">
        <w:t>(Source: Climate Action Tracker, 2025)</w:t>
      </w:r>
    </w:p>
    <w:p w14:paraId="34DBCC71" w14:textId="77777777" w:rsidR="00A70970" w:rsidRPr="007333DD" w:rsidRDefault="008017AD">
      <w:pPr>
        <w:pStyle w:val="Heading3"/>
      </w:pPr>
      <w:bookmarkStart w:id="4" w:name="_Toc235707636"/>
      <w:r w:rsidRPr="007333DD">
        <w:t>Initiatives of the Canada government to curb GHG emissions</w:t>
      </w:r>
      <w:bookmarkEnd w:id="4"/>
    </w:p>
    <w:p w14:paraId="6F3ECFAF" w14:textId="16E11BD7" w:rsidR="00A70970" w:rsidRPr="007333DD" w:rsidRDefault="008017AD">
      <w:r w:rsidRPr="007333DD">
        <w:t xml:space="preserve">According to the reports of IEA (2026), the Canadian government has passed the </w:t>
      </w:r>
      <w:r w:rsidRPr="007333DD">
        <w:rPr>
          <w:b/>
          <w:bCs/>
          <w:i/>
          <w:iCs/>
        </w:rPr>
        <w:t xml:space="preserve">Net Zero Emissions by 2050 Accountability Act </w:t>
      </w:r>
      <w:r w:rsidRPr="007333DD">
        <w:t>in 2021 with an aim to ensure accountability and transparency for the country’s climate action of becoming net-zero by 2050. On the contrary, Ford (2026) has observed that the PM Mark Carney has announced an investment of C$ 1 trillion for doubling the grid capacity of national power generation by 2050 and reaching net-zero electricity emissions by 2035.</w:t>
      </w:r>
    </w:p>
    <w:p w14:paraId="57B25519" w14:textId="77777777" w:rsidR="00A70970" w:rsidRPr="007333DD" w:rsidRDefault="008017AD">
      <w:pPr>
        <w:jc w:val="center"/>
      </w:pPr>
      <w:r w:rsidRPr="007333DD">
        <w:rPr>
          <w:noProof/>
          <w:lang w:val="en-IN"/>
        </w:rPr>
        <w:lastRenderedPageBreak/>
        <w:drawing>
          <wp:inline distT="114300" distB="114300" distL="114300" distR="114300" wp14:anchorId="653AA8B1" wp14:editId="16668A9C">
            <wp:extent cx="5731200" cy="2425700"/>
            <wp:effectExtent l="12700" t="12700" r="12700" b="1270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31200" cy="2425700"/>
                    </a:xfrm>
                    <a:prstGeom prst="rect">
                      <a:avLst/>
                    </a:prstGeom>
                    <a:ln w="12700">
                      <a:solidFill>
                        <a:srgbClr val="000000"/>
                      </a:solidFill>
                      <a:prstDash val="solid"/>
                    </a:ln>
                  </pic:spPr>
                </pic:pic>
              </a:graphicData>
            </a:graphic>
          </wp:inline>
        </w:drawing>
      </w:r>
    </w:p>
    <w:p w14:paraId="6F7788E7" w14:textId="77777777" w:rsidR="00A70970" w:rsidRPr="007333DD" w:rsidRDefault="008017AD">
      <w:pPr>
        <w:jc w:val="center"/>
        <w:rPr>
          <w:b/>
          <w:bCs/>
        </w:rPr>
      </w:pPr>
      <w:r w:rsidRPr="007333DD">
        <w:rPr>
          <w:b/>
          <w:bCs/>
        </w:rPr>
        <w:t>Figure 3: Change in Canada’s electricity generation mix from 2005 to 2022</w:t>
      </w:r>
    </w:p>
    <w:p w14:paraId="57CC0A8A" w14:textId="77777777" w:rsidR="00A70970" w:rsidRPr="007333DD" w:rsidRDefault="008017AD">
      <w:pPr>
        <w:jc w:val="center"/>
      </w:pPr>
      <w:r w:rsidRPr="007333DD">
        <w:t>(Source: Ford, 2026)</w:t>
      </w:r>
    </w:p>
    <w:p w14:paraId="49BD3D74" w14:textId="77777777" w:rsidR="00A70970" w:rsidRPr="007333DD" w:rsidRDefault="008017AD">
      <w:r w:rsidRPr="007333DD">
        <w:t>Canada has been significantly successful in reducing its carbon emissions as in 2024, the CO</w:t>
      </w:r>
      <w:r w:rsidRPr="007333DD">
        <w:rPr>
          <w:vertAlign w:val="subscript"/>
        </w:rPr>
        <w:t>2</w:t>
      </w:r>
      <w:r w:rsidRPr="007333DD">
        <w:t xml:space="preserve"> emissions were 685 MtCO</w:t>
      </w:r>
      <w:r w:rsidRPr="007333DD">
        <w:rPr>
          <w:vertAlign w:val="subscript"/>
        </w:rPr>
        <w:t xml:space="preserve">2 </w:t>
      </w:r>
      <w:r w:rsidRPr="007333DD">
        <w:t>compared to that of 763 MtCO</w:t>
      </w:r>
      <w:r w:rsidRPr="007333DD">
        <w:rPr>
          <w:vertAlign w:val="subscript"/>
        </w:rPr>
        <w:t xml:space="preserve">2 </w:t>
      </w:r>
      <w:r w:rsidRPr="007333DD">
        <w:t>in 2005 (Government of Canada, 2025).</w:t>
      </w:r>
    </w:p>
    <w:p w14:paraId="7BEB6580" w14:textId="77777777" w:rsidR="00A70970" w:rsidRPr="007333DD" w:rsidRDefault="008017AD">
      <w:pPr>
        <w:jc w:val="center"/>
      </w:pPr>
      <w:r w:rsidRPr="007333DD">
        <w:rPr>
          <w:noProof/>
          <w:lang w:val="en-IN"/>
        </w:rPr>
        <w:drawing>
          <wp:inline distT="114300" distB="114300" distL="114300" distR="114300" wp14:anchorId="76E04342" wp14:editId="14812AD9">
            <wp:extent cx="5731200" cy="28067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806700"/>
                    </a:xfrm>
                    <a:prstGeom prst="rect">
                      <a:avLst/>
                    </a:prstGeom>
                    <a:ln w="12700">
                      <a:solidFill>
                        <a:srgbClr val="000000"/>
                      </a:solidFill>
                      <a:prstDash val="solid"/>
                    </a:ln>
                  </pic:spPr>
                </pic:pic>
              </a:graphicData>
            </a:graphic>
          </wp:inline>
        </w:drawing>
      </w:r>
    </w:p>
    <w:p w14:paraId="10A1E1F4" w14:textId="77777777" w:rsidR="00A70970" w:rsidRPr="007333DD" w:rsidRDefault="008017AD">
      <w:pPr>
        <w:jc w:val="center"/>
        <w:rPr>
          <w:b/>
          <w:bCs/>
        </w:rPr>
      </w:pPr>
      <w:r w:rsidRPr="007333DD">
        <w:rPr>
          <w:b/>
          <w:bCs/>
        </w:rPr>
        <w:t>Figure 4: Greenhouse gas emissions of Canada</w:t>
      </w:r>
    </w:p>
    <w:p w14:paraId="2D660A42" w14:textId="77777777" w:rsidR="00A70970" w:rsidRPr="007333DD" w:rsidRDefault="008017AD">
      <w:pPr>
        <w:jc w:val="center"/>
      </w:pPr>
      <w:r w:rsidRPr="007333DD">
        <w:t>(Source: Government of Canada, 2025)</w:t>
      </w:r>
    </w:p>
    <w:p w14:paraId="3EA45DCB" w14:textId="77777777" w:rsidR="00A70970" w:rsidRPr="007333DD" w:rsidRDefault="008017AD">
      <w:r w:rsidRPr="007333DD">
        <w:t xml:space="preserve">Apart from these optimistic and positive actions and steps by the Canadian government, it is observed by Climate Action Tracker (2025 b) that policies, actions </w:t>
      </w:r>
      <w:r w:rsidRPr="007333DD">
        <w:lastRenderedPageBreak/>
        <w:t xml:space="preserve">and climate finance of Canada have been </w:t>
      </w:r>
      <w:r w:rsidRPr="007333DD">
        <w:rPr>
          <w:i/>
          <w:iCs/>
        </w:rPr>
        <w:t xml:space="preserve">highly insufficient </w:t>
      </w:r>
      <w:r w:rsidRPr="007333DD">
        <w:t>and the net-zero target is set in the year 2050. This clearly violates the deadline of 2030 by the Paris Climate Agreement.</w:t>
      </w:r>
    </w:p>
    <w:p w14:paraId="42AF0A17" w14:textId="77777777" w:rsidR="00A70970" w:rsidRPr="007333DD" w:rsidRDefault="008017AD">
      <w:pPr>
        <w:jc w:val="center"/>
      </w:pPr>
      <w:r w:rsidRPr="007333DD">
        <w:rPr>
          <w:noProof/>
          <w:lang w:val="en-IN"/>
        </w:rPr>
        <w:drawing>
          <wp:inline distT="114300" distB="114300" distL="114300" distR="114300" wp14:anchorId="3A5581A7" wp14:editId="7D5BADB2">
            <wp:extent cx="5500688" cy="4787974"/>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500688" cy="4787974"/>
                    </a:xfrm>
                    <a:prstGeom prst="rect">
                      <a:avLst/>
                    </a:prstGeom>
                    <a:ln w="12700">
                      <a:solidFill>
                        <a:srgbClr val="000000"/>
                      </a:solidFill>
                      <a:prstDash val="solid"/>
                    </a:ln>
                  </pic:spPr>
                </pic:pic>
              </a:graphicData>
            </a:graphic>
          </wp:inline>
        </w:drawing>
      </w:r>
    </w:p>
    <w:p w14:paraId="5022E9EC" w14:textId="77777777" w:rsidR="00A70970" w:rsidRPr="007333DD" w:rsidRDefault="008017AD">
      <w:pPr>
        <w:jc w:val="center"/>
        <w:rPr>
          <w:b/>
          <w:bCs/>
        </w:rPr>
      </w:pPr>
      <w:r w:rsidRPr="007333DD">
        <w:rPr>
          <w:b/>
          <w:bCs/>
        </w:rPr>
        <w:t>Figure 5: Sustainability performance of Canada</w:t>
      </w:r>
    </w:p>
    <w:p w14:paraId="6674ED35" w14:textId="77777777" w:rsidR="00A70970" w:rsidRPr="007333DD" w:rsidRDefault="008017AD">
      <w:pPr>
        <w:jc w:val="center"/>
      </w:pPr>
      <w:r w:rsidRPr="007333DD">
        <w:t>(Source: Climate Action Tracker, 2025 b)</w:t>
      </w:r>
    </w:p>
    <w:p w14:paraId="2EBCE85D" w14:textId="77777777" w:rsidR="00A70970" w:rsidRPr="007333DD" w:rsidRDefault="008017AD">
      <w:pPr>
        <w:pStyle w:val="Heading3"/>
      </w:pPr>
      <w:bookmarkStart w:id="5" w:name="_Toc235707637"/>
      <w:r w:rsidRPr="007333DD">
        <w:t>Initiatives of the US government to curb GHG emissions</w:t>
      </w:r>
      <w:bookmarkEnd w:id="5"/>
    </w:p>
    <w:p w14:paraId="202B1705" w14:textId="2AA60EDA" w:rsidR="00A70970" w:rsidRPr="007333DD" w:rsidRDefault="008017AD">
      <w:r w:rsidRPr="007333DD">
        <w:t xml:space="preserve">The government of the United States has enacted the </w:t>
      </w:r>
      <w:r w:rsidRPr="007333DD">
        <w:rPr>
          <w:b/>
          <w:bCs/>
          <w:i/>
          <w:iCs/>
        </w:rPr>
        <w:t xml:space="preserve">Clean Air Act </w:t>
      </w:r>
      <w:r w:rsidRPr="007333DD">
        <w:t xml:space="preserve">under which 40 CFR Part 98 states that there must be an annual disclosure of greenhouse gas emissions from the organisations across the country (EPA, 2025). On the other hand, the reports by Climate Action Tracker (2025 c) have stated that the overall rating of the sustainability approach of the </w:t>
      </w:r>
      <w:r w:rsidR="006A1AFD" w:rsidRPr="007333DD">
        <w:t>US</w:t>
      </w:r>
      <w:r w:rsidRPr="007333DD">
        <w:t xml:space="preserve"> is </w:t>
      </w:r>
      <w:r w:rsidRPr="007333DD">
        <w:rPr>
          <w:i/>
          <w:iCs/>
        </w:rPr>
        <w:t xml:space="preserve">critically insufficient </w:t>
      </w:r>
      <w:r w:rsidRPr="007333DD">
        <w:t xml:space="preserve">as it has no net-zero target. </w:t>
      </w:r>
      <w:r w:rsidRPr="007333DD">
        <w:lastRenderedPageBreak/>
        <w:t>Hence, the country is not meeting the target set by the Paris Climate Agreement in any way.</w:t>
      </w:r>
    </w:p>
    <w:p w14:paraId="301EEF7D" w14:textId="77777777" w:rsidR="00A70970" w:rsidRPr="007333DD" w:rsidRDefault="008017AD">
      <w:pPr>
        <w:jc w:val="center"/>
      </w:pPr>
      <w:r w:rsidRPr="007333DD">
        <w:rPr>
          <w:noProof/>
          <w:lang w:val="en-IN"/>
        </w:rPr>
        <w:drawing>
          <wp:inline distT="114300" distB="114300" distL="114300" distR="114300" wp14:anchorId="41237130" wp14:editId="07BA0B18">
            <wp:extent cx="5500688" cy="4614364"/>
            <wp:effectExtent l="12700" t="12700" r="12700" b="1270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500688" cy="4614364"/>
                    </a:xfrm>
                    <a:prstGeom prst="rect">
                      <a:avLst/>
                    </a:prstGeom>
                    <a:ln w="12700">
                      <a:solidFill>
                        <a:srgbClr val="000000"/>
                      </a:solidFill>
                      <a:prstDash val="solid"/>
                    </a:ln>
                  </pic:spPr>
                </pic:pic>
              </a:graphicData>
            </a:graphic>
          </wp:inline>
        </w:drawing>
      </w:r>
    </w:p>
    <w:p w14:paraId="2DD64BA1" w14:textId="6AB6AE5A" w:rsidR="00A70970" w:rsidRPr="007333DD" w:rsidRDefault="008017AD">
      <w:pPr>
        <w:jc w:val="center"/>
        <w:rPr>
          <w:b/>
          <w:bCs/>
        </w:rPr>
      </w:pPr>
      <w:r w:rsidRPr="007333DD">
        <w:rPr>
          <w:b/>
          <w:bCs/>
        </w:rPr>
        <w:t xml:space="preserve">Figure 6: Sustainability performance of the </w:t>
      </w:r>
      <w:r w:rsidR="006A1AFD" w:rsidRPr="007333DD">
        <w:rPr>
          <w:b/>
          <w:bCs/>
        </w:rPr>
        <w:t>US</w:t>
      </w:r>
    </w:p>
    <w:p w14:paraId="11202254" w14:textId="77777777" w:rsidR="00A70970" w:rsidRPr="007333DD" w:rsidRDefault="008017AD">
      <w:pPr>
        <w:jc w:val="center"/>
      </w:pPr>
      <w:r w:rsidRPr="007333DD">
        <w:t>(Source: Climate Action Tracker, 2025 c)</w:t>
      </w:r>
    </w:p>
    <w:p w14:paraId="18D1A4E5" w14:textId="77777777" w:rsidR="00A70970" w:rsidRPr="007333DD" w:rsidRDefault="008017AD">
      <w:r w:rsidRPr="007333DD">
        <w:t>In terms of CO</w:t>
      </w:r>
      <w:r w:rsidRPr="007333DD">
        <w:rPr>
          <w:vertAlign w:val="subscript"/>
        </w:rPr>
        <w:t>2</w:t>
      </w:r>
      <w:r w:rsidRPr="007333DD">
        <w:t xml:space="preserve"> emissions, Ritchie (2025) has claimed that the United States is leading the list with 24% of the global CO</w:t>
      </w:r>
      <w:r w:rsidRPr="007333DD">
        <w:rPr>
          <w:vertAlign w:val="subscript"/>
        </w:rPr>
        <w:t>2</w:t>
      </w:r>
      <w:r w:rsidRPr="007333DD">
        <w:t xml:space="preserve"> emissions followed by China, Russia and Germany with 15%, 6.7% and 5.2% respectively.</w:t>
      </w:r>
    </w:p>
    <w:p w14:paraId="3DAF9765" w14:textId="77777777" w:rsidR="00A70970" w:rsidRPr="007333DD" w:rsidRDefault="008017AD">
      <w:pPr>
        <w:jc w:val="center"/>
      </w:pPr>
      <w:r w:rsidRPr="007333DD">
        <w:rPr>
          <w:noProof/>
          <w:lang w:val="en-IN"/>
        </w:rPr>
        <w:lastRenderedPageBreak/>
        <w:drawing>
          <wp:inline distT="114300" distB="114300" distL="114300" distR="114300" wp14:anchorId="0748443B" wp14:editId="7A6E3ADC">
            <wp:extent cx="5290401" cy="5281613"/>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290401" cy="5281613"/>
                    </a:xfrm>
                    <a:prstGeom prst="rect">
                      <a:avLst/>
                    </a:prstGeom>
                    <a:ln w="12700">
                      <a:solidFill>
                        <a:srgbClr val="000000"/>
                      </a:solidFill>
                      <a:prstDash val="solid"/>
                    </a:ln>
                  </pic:spPr>
                </pic:pic>
              </a:graphicData>
            </a:graphic>
          </wp:inline>
        </w:drawing>
      </w:r>
    </w:p>
    <w:p w14:paraId="144FCBFF" w14:textId="77777777" w:rsidR="00A70970" w:rsidRPr="007333DD" w:rsidRDefault="008017AD">
      <w:pPr>
        <w:jc w:val="center"/>
        <w:rPr>
          <w:b/>
          <w:bCs/>
        </w:rPr>
      </w:pPr>
      <w:r w:rsidRPr="007333DD">
        <w:rPr>
          <w:b/>
          <w:bCs/>
        </w:rPr>
        <w:t>Figure 7: Leading CO</w:t>
      </w:r>
      <w:r w:rsidRPr="007333DD">
        <w:rPr>
          <w:b/>
          <w:bCs/>
          <w:vertAlign w:val="subscript"/>
        </w:rPr>
        <w:t>2</w:t>
      </w:r>
      <w:r w:rsidRPr="007333DD">
        <w:rPr>
          <w:b/>
          <w:bCs/>
        </w:rPr>
        <w:t xml:space="preserve"> emitters in the world</w:t>
      </w:r>
    </w:p>
    <w:p w14:paraId="5451A1FE" w14:textId="77777777" w:rsidR="00A70970" w:rsidRPr="007333DD" w:rsidRDefault="008017AD">
      <w:pPr>
        <w:jc w:val="center"/>
      </w:pPr>
      <w:r w:rsidRPr="007333DD">
        <w:t>(Source: Ritchie, 2025)</w:t>
      </w:r>
    </w:p>
    <w:p w14:paraId="5AC07B7E" w14:textId="4978A79B" w:rsidR="00A70970" w:rsidRPr="007333DD" w:rsidRDefault="00277263">
      <w:r w:rsidRPr="007333DD">
        <w:t>As per</w:t>
      </w:r>
      <w:r w:rsidR="008017AD" w:rsidRPr="007333DD">
        <w:t xml:space="preserve"> Ritchie and Rosado (2025) the per capita CO</w:t>
      </w:r>
      <w:r w:rsidR="008017AD" w:rsidRPr="007333DD">
        <w:rPr>
          <w:vertAlign w:val="subscript"/>
        </w:rPr>
        <w:t>2</w:t>
      </w:r>
      <w:r w:rsidR="008017AD" w:rsidRPr="007333DD">
        <w:t xml:space="preserve"> emissions of the </w:t>
      </w:r>
      <w:r w:rsidR="004855A2" w:rsidRPr="007333DD">
        <w:t>US</w:t>
      </w:r>
      <w:r w:rsidR="008017AD" w:rsidRPr="007333DD">
        <w:t xml:space="preserve"> has been 14.2 tonnes per person, whereas the per capita GHG emissions has reached 17.5 tonnes per person as of 2024.</w:t>
      </w:r>
    </w:p>
    <w:p w14:paraId="254E7208" w14:textId="77777777" w:rsidR="00A70970" w:rsidRPr="007333DD" w:rsidRDefault="008017AD">
      <w:pPr>
        <w:jc w:val="center"/>
      </w:pPr>
      <w:r w:rsidRPr="007333DD">
        <w:rPr>
          <w:noProof/>
          <w:lang w:val="en-IN"/>
        </w:rPr>
        <w:lastRenderedPageBreak/>
        <w:drawing>
          <wp:inline distT="114300" distB="114300" distL="114300" distR="114300" wp14:anchorId="71D5094C" wp14:editId="14D2A0B9">
            <wp:extent cx="5731200" cy="650240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6502400"/>
                    </a:xfrm>
                    <a:prstGeom prst="rect">
                      <a:avLst/>
                    </a:prstGeom>
                    <a:ln w="12700">
                      <a:solidFill>
                        <a:srgbClr val="000000"/>
                      </a:solidFill>
                      <a:prstDash val="solid"/>
                    </a:ln>
                  </pic:spPr>
                </pic:pic>
              </a:graphicData>
            </a:graphic>
          </wp:inline>
        </w:drawing>
      </w:r>
    </w:p>
    <w:p w14:paraId="4D796DE7" w14:textId="77777777" w:rsidR="00A70970" w:rsidRPr="007333DD" w:rsidRDefault="008017AD">
      <w:pPr>
        <w:jc w:val="center"/>
        <w:rPr>
          <w:b/>
          <w:bCs/>
        </w:rPr>
      </w:pPr>
      <w:r w:rsidRPr="007333DD">
        <w:rPr>
          <w:b/>
          <w:bCs/>
        </w:rPr>
        <w:t>Figure 8: Per capita CO</w:t>
      </w:r>
      <w:r w:rsidRPr="007333DD">
        <w:rPr>
          <w:b/>
          <w:bCs/>
          <w:vertAlign w:val="subscript"/>
        </w:rPr>
        <w:t xml:space="preserve">2 </w:t>
      </w:r>
      <w:r w:rsidRPr="007333DD">
        <w:rPr>
          <w:b/>
          <w:bCs/>
        </w:rPr>
        <w:t>emissions in the United States</w:t>
      </w:r>
    </w:p>
    <w:p w14:paraId="467A1E52" w14:textId="77777777" w:rsidR="00A70970" w:rsidRPr="007333DD" w:rsidRDefault="008017AD">
      <w:pPr>
        <w:jc w:val="center"/>
      </w:pPr>
      <w:r w:rsidRPr="007333DD">
        <w:t>(Source: Ritchie and Rosado, 2025)</w:t>
      </w:r>
    </w:p>
    <w:p w14:paraId="55E9FCBD" w14:textId="77777777" w:rsidR="00A70970" w:rsidRPr="007333DD" w:rsidRDefault="008017AD">
      <w:pPr>
        <w:pStyle w:val="Heading2"/>
      </w:pPr>
      <w:bookmarkStart w:id="6" w:name="_Toc235707638"/>
      <w:r w:rsidRPr="007333DD">
        <w:t>Factor 2 – Social and economic perspectives</w:t>
      </w:r>
      <w:bookmarkEnd w:id="6"/>
    </w:p>
    <w:p w14:paraId="0C91CD68" w14:textId="790158D3" w:rsidR="00A70970" w:rsidRPr="007333DD" w:rsidRDefault="004633FE">
      <w:r w:rsidRPr="007333DD">
        <w:t xml:space="preserve">About </w:t>
      </w:r>
      <w:r w:rsidR="008017AD" w:rsidRPr="007333DD">
        <w:t xml:space="preserve">76% of the Australian citizens are preferring to go sustainable and make their purchasing decisions accordingly (Sustainability Online, 2025). </w:t>
      </w:r>
      <w:r w:rsidR="00D023E9" w:rsidRPr="007333DD">
        <w:t>T</w:t>
      </w:r>
      <w:r w:rsidR="008017AD" w:rsidRPr="007333DD">
        <w:t xml:space="preserve">he Australian Institute of Packaging (2025) has claimed that 32% of the Australians are referring to </w:t>
      </w:r>
      <w:r w:rsidR="008017AD" w:rsidRPr="007333DD">
        <w:lastRenderedPageBreak/>
        <w:t xml:space="preserve">sustainably packaged products. </w:t>
      </w:r>
      <w:r w:rsidR="007702B4" w:rsidRPr="007333DD">
        <w:t xml:space="preserve">In Canada, </w:t>
      </w:r>
      <w:r w:rsidR="008017AD" w:rsidRPr="007333DD">
        <w:t xml:space="preserve">the steel industry is significantly moving towards sustainability and are producing recycled steel into new products with the help of a circular economy (Canadian Steel, 2025). </w:t>
      </w:r>
      <w:r w:rsidR="00362178" w:rsidRPr="007333DD">
        <w:t>T</w:t>
      </w:r>
      <w:r w:rsidR="008017AD" w:rsidRPr="007333DD">
        <w:t>he Canadian steel industry is aiming to be net-zero CO</w:t>
      </w:r>
      <w:r w:rsidR="008017AD" w:rsidRPr="007333DD">
        <w:rPr>
          <w:vertAlign w:val="subscript"/>
        </w:rPr>
        <w:t xml:space="preserve">2 </w:t>
      </w:r>
      <w:r w:rsidR="008017AD" w:rsidRPr="007333DD">
        <w:t>by 2050 (Government of Canada, 2025 b).</w:t>
      </w:r>
    </w:p>
    <w:p w14:paraId="5081D417" w14:textId="717B4123" w:rsidR="00A70970" w:rsidRPr="007333DD" w:rsidRDefault="008017AD">
      <w:r w:rsidRPr="007333DD">
        <w:t>BHP needs to actively take steps towards sustainability in order to keep up with the standards set by both the Australian and the Canadian government. It is evident that BHP has aimed to reduce 30% emissions in steelmaking and 40% in shipping by 3030 while targeting to become overall net-zero by 2050 (BHP, 2025). Therefore, BHP will have to take some active steps towards sustainability in such a way that the targets can be met well before 2050.</w:t>
      </w:r>
    </w:p>
    <w:p w14:paraId="1FB250DF" w14:textId="77777777" w:rsidR="00A70970" w:rsidRPr="007333DD" w:rsidRDefault="008017AD">
      <w:pPr>
        <w:jc w:val="center"/>
      </w:pPr>
      <w:r w:rsidRPr="007333DD">
        <w:rPr>
          <w:noProof/>
          <w:lang w:val="en-IN"/>
        </w:rPr>
        <w:drawing>
          <wp:inline distT="114300" distB="114300" distL="114300" distR="114300" wp14:anchorId="6F6C9346" wp14:editId="335ADBDE">
            <wp:extent cx="5731200" cy="21844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2184400"/>
                    </a:xfrm>
                    <a:prstGeom prst="rect">
                      <a:avLst/>
                    </a:prstGeom>
                    <a:ln w="12700">
                      <a:solidFill>
                        <a:srgbClr val="000000"/>
                      </a:solidFill>
                      <a:prstDash val="solid"/>
                    </a:ln>
                  </pic:spPr>
                </pic:pic>
              </a:graphicData>
            </a:graphic>
          </wp:inline>
        </w:drawing>
      </w:r>
    </w:p>
    <w:p w14:paraId="16D53EAD" w14:textId="77777777" w:rsidR="00A70970" w:rsidRPr="007333DD" w:rsidRDefault="008017AD">
      <w:pPr>
        <w:jc w:val="center"/>
        <w:rPr>
          <w:b/>
          <w:bCs/>
        </w:rPr>
      </w:pPr>
      <w:r w:rsidRPr="007333DD">
        <w:rPr>
          <w:b/>
          <w:bCs/>
        </w:rPr>
        <w:t>Figure 9: Sustainability targets of BHP</w:t>
      </w:r>
    </w:p>
    <w:p w14:paraId="75CFDB5B" w14:textId="77777777" w:rsidR="00A56C1F" w:rsidRPr="007333DD" w:rsidRDefault="008017AD" w:rsidP="0009289E">
      <w:pPr>
        <w:jc w:val="center"/>
      </w:pPr>
      <w:r w:rsidRPr="007333DD">
        <w:t>(Source: BHP, 2025)</w:t>
      </w:r>
    </w:p>
    <w:p w14:paraId="452CB042" w14:textId="77777777" w:rsidR="00A36A31" w:rsidRPr="007333DD" w:rsidRDefault="00A56C1F" w:rsidP="00A56C1F">
      <w:pPr>
        <w:pStyle w:val="Heading2"/>
      </w:pPr>
      <w:bookmarkStart w:id="7" w:name="_Toc235707639"/>
      <w:r w:rsidRPr="007333DD">
        <w:t>Opportunities and threats</w:t>
      </w:r>
      <w:bookmarkEnd w:id="7"/>
    </w:p>
    <w:p w14:paraId="4CCA7A44" w14:textId="77777777" w:rsidR="00EC77E1" w:rsidRPr="007333DD" w:rsidRDefault="00EC77E1" w:rsidP="004F1777">
      <w:pPr>
        <w:rPr>
          <w:b/>
        </w:rPr>
      </w:pPr>
      <w:r w:rsidRPr="007333DD">
        <w:rPr>
          <w:b/>
        </w:rPr>
        <w:t xml:space="preserve">Opportunities </w:t>
      </w:r>
    </w:p>
    <w:p w14:paraId="1A19FCA4" w14:textId="2448A2BC" w:rsidR="004F1777" w:rsidRPr="007333DD" w:rsidRDefault="00EC77E1" w:rsidP="004C0E81">
      <w:pPr>
        <w:pStyle w:val="ListParagraph"/>
        <w:numPr>
          <w:ilvl w:val="0"/>
          <w:numId w:val="4"/>
        </w:numPr>
        <w:spacing w:line="360" w:lineRule="auto"/>
        <w:jc w:val="both"/>
        <w:rPr>
          <w:rFonts w:ascii="Arial" w:hAnsi="Arial" w:cs="Arial"/>
          <w:sz w:val="24"/>
          <w:szCs w:val="24"/>
        </w:rPr>
      </w:pPr>
      <w:r w:rsidRPr="007333DD">
        <w:rPr>
          <w:rFonts w:ascii="Arial" w:hAnsi="Arial" w:cs="Arial"/>
          <w:b/>
          <w:i/>
          <w:sz w:val="24"/>
          <w:szCs w:val="24"/>
        </w:rPr>
        <w:t xml:space="preserve">Government funding and clean energy: </w:t>
      </w:r>
      <w:r w:rsidR="004F1777" w:rsidRPr="007333DD">
        <w:rPr>
          <w:rFonts w:ascii="Arial" w:hAnsi="Arial" w:cs="Arial"/>
          <w:sz w:val="24"/>
          <w:szCs w:val="24"/>
        </w:rPr>
        <w:t>Investment by government, such as $22.7 billion in renewables in Australia and $1 trillion grid expansion in Canada, can provide infrastructure support for decarbonisation in BHP</w:t>
      </w:r>
      <w:r w:rsidR="009C5655" w:rsidRPr="007333DD">
        <w:rPr>
          <w:rFonts w:ascii="Arial" w:hAnsi="Arial" w:cs="Arial"/>
          <w:sz w:val="24"/>
          <w:szCs w:val="24"/>
        </w:rPr>
        <w:t xml:space="preserve"> (Climate Action Tracker, 2025; </w:t>
      </w:r>
      <w:r w:rsidR="004C0E81" w:rsidRPr="007333DD">
        <w:rPr>
          <w:rFonts w:ascii="Arial" w:hAnsi="Arial" w:cs="Arial"/>
          <w:sz w:val="24"/>
          <w:szCs w:val="24"/>
        </w:rPr>
        <w:t>Ford, 2026</w:t>
      </w:r>
      <w:r w:rsidR="009C5655" w:rsidRPr="007333DD">
        <w:rPr>
          <w:rFonts w:ascii="Arial" w:hAnsi="Arial" w:cs="Arial"/>
          <w:sz w:val="24"/>
          <w:szCs w:val="24"/>
        </w:rPr>
        <w:t>)</w:t>
      </w:r>
      <w:r w:rsidR="004F1777" w:rsidRPr="007333DD">
        <w:rPr>
          <w:rFonts w:ascii="Arial" w:hAnsi="Arial" w:cs="Arial"/>
          <w:sz w:val="24"/>
          <w:szCs w:val="24"/>
        </w:rPr>
        <w:t>.</w:t>
      </w:r>
    </w:p>
    <w:p w14:paraId="48BD2346" w14:textId="450672B8" w:rsidR="004F1777" w:rsidRPr="007333DD" w:rsidRDefault="004F1777" w:rsidP="005F174E">
      <w:pPr>
        <w:pStyle w:val="ListParagraph"/>
        <w:numPr>
          <w:ilvl w:val="0"/>
          <w:numId w:val="4"/>
        </w:numPr>
        <w:spacing w:line="360" w:lineRule="auto"/>
        <w:jc w:val="both"/>
        <w:rPr>
          <w:b/>
          <w:i/>
        </w:rPr>
      </w:pPr>
      <w:r w:rsidRPr="007333DD">
        <w:rPr>
          <w:rFonts w:ascii="Arial" w:hAnsi="Arial" w:cs="Arial"/>
          <w:b/>
          <w:i/>
          <w:sz w:val="24"/>
          <w:szCs w:val="24"/>
        </w:rPr>
        <w:t>Shifting market demand:</w:t>
      </w:r>
      <w:r w:rsidRPr="007333DD">
        <w:rPr>
          <w:rFonts w:ascii="Arial" w:hAnsi="Arial" w:cs="Arial"/>
          <w:sz w:val="24"/>
          <w:szCs w:val="24"/>
        </w:rPr>
        <w:t xml:space="preserve"> 76% consumers in Australia prefer sustainability and the steel sector in Canada is focusing on net-zero by 2050</w:t>
      </w:r>
      <w:r w:rsidR="007D08E7" w:rsidRPr="007333DD">
        <w:rPr>
          <w:rFonts w:ascii="Arial" w:hAnsi="Arial" w:cs="Arial"/>
          <w:sz w:val="24"/>
          <w:szCs w:val="24"/>
        </w:rPr>
        <w:t xml:space="preserve"> (</w:t>
      </w:r>
      <w:r w:rsidR="005F174E" w:rsidRPr="007333DD">
        <w:rPr>
          <w:rFonts w:ascii="Arial" w:hAnsi="Arial" w:cs="Arial"/>
          <w:sz w:val="24"/>
          <w:szCs w:val="24"/>
        </w:rPr>
        <w:t xml:space="preserve">Sustainability </w:t>
      </w:r>
      <w:r w:rsidR="005F174E" w:rsidRPr="007333DD">
        <w:rPr>
          <w:rFonts w:ascii="Arial" w:hAnsi="Arial" w:cs="Arial"/>
          <w:sz w:val="24"/>
          <w:szCs w:val="24"/>
        </w:rPr>
        <w:lastRenderedPageBreak/>
        <w:t xml:space="preserve">Online, 2025; </w:t>
      </w:r>
      <w:r w:rsidR="007D08E7" w:rsidRPr="007333DD">
        <w:rPr>
          <w:rFonts w:ascii="Arial" w:hAnsi="Arial" w:cs="Arial"/>
          <w:sz w:val="24"/>
          <w:szCs w:val="24"/>
        </w:rPr>
        <w:t>IEA, 2026)</w:t>
      </w:r>
      <w:r w:rsidRPr="007333DD">
        <w:rPr>
          <w:rFonts w:ascii="Arial" w:hAnsi="Arial" w:cs="Arial"/>
          <w:sz w:val="24"/>
          <w:szCs w:val="24"/>
        </w:rPr>
        <w:t>. These creates demand for sustainable supply chains and low-carbon minerals.</w:t>
      </w:r>
    </w:p>
    <w:p w14:paraId="604444F2" w14:textId="77777777" w:rsidR="004F1777" w:rsidRPr="007333DD" w:rsidRDefault="004F1777" w:rsidP="004F1777">
      <w:pPr>
        <w:rPr>
          <w:b/>
        </w:rPr>
      </w:pPr>
      <w:r w:rsidRPr="007333DD">
        <w:rPr>
          <w:b/>
        </w:rPr>
        <w:t>Threats</w:t>
      </w:r>
    </w:p>
    <w:p w14:paraId="702F1247" w14:textId="0A58251E" w:rsidR="009C5655" w:rsidRPr="007333DD" w:rsidRDefault="00006400" w:rsidP="009C5655">
      <w:pPr>
        <w:pStyle w:val="ListParagraph"/>
        <w:numPr>
          <w:ilvl w:val="0"/>
          <w:numId w:val="5"/>
        </w:numPr>
        <w:spacing w:line="360" w:lineRule="auto"/>
        <w:jc w:val="both"/>
        <w:rPr>
          <w:rFonts w:ascii="Arial" w:hAnsi="Arial" w:cs="Arial"/>
          <w:sz w:val="24"/>
        </w:rPr>
      </w:pPr>
      <w:r w:rsidRPr="007333DD">
        <w:rPr>
          <w:rFonts w:ascii="Arial" w:hAnsi="Arial" w:cs="Arial"/>
          <w:b/>
          <w:i/>
          <w:sz w:val="24"/>
        </w:rPr>
        <w:t xml:space="preserve">Inadequate policy environments: </w:t>
      </w:r>
      <w:r w:rsidR="002E0152" w:rsidRPr="007333DD">
        <w:rPr>
          <w:rFonts w:ascii="Arial" w:hAnsi="Arial" w:cs="Arial"/>
          <w:sz w:val="24"/>
        </w:rPr>
        <w:t>H</w:t>
      </w:r>
      <w:r w:rsidR="009C5655" w:rsidRPr="007333DD">
        <w:rPr>
          <w:rFonts w:ascii="Arial" w:hAnsi="Arial" w:cs="Arial"/>
          <w:sz w:val="24"/>
        </w:rPr>
        <w:t>igh global emissions and policy shortfalls, especially in the US can expose BHP to reputational pressures and climate impacts to accelerate its 2050 targets.</w:t>
      </w:r>
    </w:p>
    <w:p w14:paraId="4E537651" w14:textId="3E28F4E5" w:rsidR="00A70970" w:rsidRPr="007333DD" w:rsidRDefault="009C5655" w:rsidP="006E2938">
      <w:pPr>
        <w:pStyle w:val="ListParagraph"/>
        <w:numPr>
          <w:ilvl w:val="0"/>
          <w:numId w:val="5"/>
        </w:numPr>
        <w:spacing w:line="360" w:lineRule="auto"/>
        <w:jc w:val="both"/>
        <w:rPr>
          <w:b/>
          <w:i/>
        </w:rPr>
      </w:pPr>
      <w:r w:rsidRPr="007333DD">
        <w:rPr>
          <w:rFonts w:ascii="Arial" w:hAnsi="Arial" w:cs="Arial"/>
          <w:b/>
          <w:i/>
          <w:sz w:val="24"/>
        </w:rPr>
        <w:t>Regulatory compliance issue:</w:t>
      </w:r>
      <w:r w:rsidRPr="007333DD">
        <w:rPr>
          <w:rFonts w:ascii="Arial" w:hAnsi="Arial" w:cs="Arial"/>
          <w:sz w:val="24"/>
        </w:rPr>
        <w:t xml:space="preserve"> Mandatory GHG emission disclosure under EPBC Act of Australia, and the Clean Air Act by the US can hike regulatory scrutiny for BHP</w:t>
      </w:r>
      <w:r w:rsidR="00640749" w:rsidRPr="007333DD">
        <w:rPr>
          <w:rFonts w:ascii="Arial" w:hAnsi="Arial" w:cs="Arial"/>
          <w:sz w:val="24"/>
        </w:rPr>
        <w:t xml:space="preserve"> (Gibson, 2026; </w:t>
      </w:r>
      <w:r w:rsidR="006E2938" w:rsidRPr="007333DD">
        <w:rPr>
          <w:rFonts w:ascii="Arial" w:hAnsi="Arial" w:cs="Arial"/>
          <w:sz w:val="24"/>
        </w:rPr>
        <w:t>EPA, 2025</w:t>
      </w:r>
      <w:r w:rsidR="00640749" w:rsidRPr="007333DD">
        <w:rPr>
          <w:rFonts w:ascii="Arial" w:hAnsi="Arial" w:cs="Arial"/>
          <w:sz w:val="24"/>
        </w:rPr>
        <w:t>)</w:t>
      </w:r>
      <w:r w:rsidRPr="007333DD">
        <w:rPr>
          <w:rFonts w:ascii="Arial" w:hAnsi="Arial" w:cs="Arial"/>
          <w:sz w:val="24"/>
        </w:rPr>
        <w:t xml:space="preserve">. </w:t>
      </w:r>
      <w:r w:rsidR="008017AD" w:rsidRPr="007333DD">
        <w:rPr>
          <w:b/>
          <w:i/>
        </w:rPr>
        <w:br w:type="page"/>
      </w:r>
    </w:p>
    <w:p w14:paraId="72EED7BE" w14:textId="77777777" w:rsidR="00A70970" w:rsidRPr="007333DD" w:rsidRDefault="008017AD">
      <w:pPr>
        <w:pStyle w:val="Heading1"/>
      </w:pPr>
      <w:bookmarkStart w:id="8" w:name="_Toc235707640"/>
      <w:r w:rsidRPr="007333DD">
        <w:lastRenderedPageBreak/>
        <w:t>Task 2: Strategic Growth and Competitive Positioning</w:t>
      </w:r>
      <w:bookmarkEnd w:id="8"/>
    </w:p>
    <w:p w14:paraId="4FD77774" w14:textId="3AA2856D" w:rsidR="00A70970" w:rsidRPr="007333DD" w:rsidRDefault="008017AD" w:rsidP="00BD03A0">
      <w:pPr>
        <w:pStyle w:val="Heading2"/>
      </w:pPr>
      <w:bookmarkStart w:id="9" w:name="_Toc235707641"/>
      <w:r w:rsidRPr="007333DD">
        <w:t>Strategic growth approach</w:t>
      </w:r>
      <w:bookmarkEnd w:id="9"/>
    </w:p>
    <w:p w14:paraId="59A1571D" w14:textId="77777777" w:rsidR="009A479A" w:rsidRPr="007333DD" w:rsidRDefault="009A479A" w:rsidP="00BD03A0">
      <w:r w:rsidRPr="007333DD">
        <w:t xml:space="preserve">Factors such as the Australian government’s Climate Chance Act that focuses on targeting to reduce emissions to 43% below 2005 levels by 2030, accelerating the intensifying environmental mandates that are faced by BHP (DCCEEW, 2025). For navigating these type or regulatory caps and capitalising on hiking decarbonisation demands on a global level, it is crucial for BHP to focus on </w:t>
      </w:r>
      <w:r w:rsidRPr="007333DD">
        <w:rPr>
          <w:b/>
          <w:i/>
        </w:rPr>
        <w:t>market penetration strategy</w:t>
      </w:r>
      <w:r w:rsidRPr="007333DD">
        <w:t xml:space="preserve"> within its current iron industrial B2B markets. Market penetration strategy of the Ansoff matrix focuses on the selling of the existing services or products to the current market to increase market share through loyalty, boosting marketing, or adjusting pricing (Hasselwander, 2024; </w:t>
      </w:r>
      <w:r w:rsidRPr="007333DD">
        <w:rPr>
          <w:shd w:val="clear" w:color="auto" w:fill="FFFFFF"/>
        </w:rPr>
        <w:t>Aditiya and Kirana, 2025</w:t>
      </w:r>
      <w:r w:rsidRPr="007333DD">
        <w:t xml:space="preserve">). BHP can offer its markets a modified and highly sustainable version of its core product (iron). As per the study by Skaf, </w:t>
      </w:r>
      <w:proofErr w:type="spellStart"/>
      <w:r w:rsidRPr="007333DD">
        <w:t>Tiruta</w:t>
      </w:r>
      <w:proofErr w:type="spellEnd"/>
      <w:r w:rsidRPr="007333DD">
        <w:t xml:space="preserve">-Barna, and Ahmadi (2025), the usage of renewable energy sources reduces production related emissions by almost 83%, indicating the benefits of green iron production. </w:t>
      </w:r>
    </w:p>
    <w:p w14:paraId="1D97D2C5" w14:textId="77777777" w:rsidR="009A479A" w:rsidRPr="007333DD" w:rsidRDefault="009A479A" w:rsidP="00BD03A0">
      <w:pPr>
        <w:jc w:val="center"/>
      </w:pPr>
      <w:r w:rsidRPr="007333DD">
        <w:rPr>
          <w:noProof/>
          <w:lang w:val="en-IN"/>
        </w:rPr>
        <w:drawing>
          <wp:inline distT="0" distB="0" distL="0" distR="0" wp14:anchorId="38E48F70" wp14:editId="335F8BB6">
            <wp:extent cx="5731510" cy="3514090"/>
            <wp:effectExtent l="0" t="0" r="2540" b="0"/>
            <wp:docPr id="334620081" name="Picture 334620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Lst>
                    </a:blip>
                    <a:stretch>
                      <a:fillRect/>
                    </a:stretch>
                  </pic:blipFill>
                  <pic:spPr>
                    <a:xfrm>
                      <a:off x="0" y="0"/>
                      <a:ext cx="5731510" cy="3514090"/>
                    </a:xfrm>
                    <a:prstGeom prst="rect">
                      <a:avLst/>
                    </a:prstGeom>
                  </pic:spPr>
                </pic:pic>
              </a:graphicData>
            </a:graphic>
          </wp:inline>
        </w:drawing>
      </w:r>
    </w:p>
    <w:p w14:paraId="647DA43C" w14:textId="7A4FCF17" w:rsidR="009A479A" w:rsidRPr="007333DD" w:rsidRDefault="009A479A" w:rsidP="00BD03A0">
      <w:pPr>
        <w:jc w:val="center"/>
        <w:rPr>
          <w:b/>
        </w:rPr>
      </w:pPr>
      <w:r w:rsidRPr="007333DD">
        <w:rPr>
          <w:b/>
        </w:rPr>
        <w:t xml:space="preserve">Figure </w:t>
      </w:r>
      <w:r w:rsidR="0009289E" w:rsidRPr="007333DD">
        <w:rPr>
          <w:b/>
        </w:rPr>
        <w:t>10</w:t>
      </w:r>
      <w:r w:rsidRPr="007333DD">
        <w:rPr>
          <w:b/>
        </w:rPr>
        <w:t>: Ansoff matrix</w:t>
      </w:r>
    </w:p>
    <w:p w14:paraId="43127560" w14:textId="77777777" w:rsidR="009A479A" w:rsidRPr="007333DD" w:rsidRDefault="009A479A" w:rsidP="00BD03A0">
      <w:pPr>
        <w:jc w:val="center"/>
      </w:pPr>
      <w:r w:rsidRPr="007333DD">
        <w:t>(Source: Inspired from Aditiya and Kirana, 2025)</w:t>
      </w:r>
    </w:p>
    <w:p w14:paraId="362DCD13" w14:textId="77777777" w:rsidR="009A479A" w:rsidRPr="007333DD" w:rsidRDefault="009A479A" w:rsidP="00BD03A0">
      <w:r w:rsidRPr="007333DD">
        <w:lastRenderedPageBreak/>
        <w:t xml:space="preserve">BHP has been able to reduce its operational (Scope 1 and 2) GHG emissions by about 36% by FY2025 against a FY2020 baseline (BHP, 2026). The organisation is focusing on the production scaling of traceable, certified low-carbon copper and battery-grade nickel. In this context, the firm can shift from traditional high carbon profile and standard market price iron to modified green iron with premium eco-contracts. </w:t>
      </w:r>
    </w:p>
    <w:p w14:paraId="16212CA5" w14:textId="77777777" w:rsidR="009A479A" w:rsidRPr="007333DD" w:rsidRDefault="009A479A" w:rsidP="00BD03A0">
      <w:pPr>
        <w:jc w:val="center"/>
      </w:pPr>
      <w:r w:rsidRPr="007333DD">
        <w:rPr>
          <w:noProof/>
          <w:lang w:val="en-IN"/>
        </w:rPr>
        <w:drawing>
          <wp:inline distT="0" distB="0" distL="0" distR="0" wp14:anchorId="737F9EA7" wp14:editId="01F66F32">
            <wp:extent cx="5448379" cy="1294790"/>
            <wp:effectExtent l="0" t="0" r="0" b="635"/>
            <wp:docPr id="52670975" name="Picture 52670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92168" cy="1305196"/>
                    </a:xfrm>
                    <a:prstGeom prst="rect">
                      <a:avLst/>
                    </a:prstGeom>
                  </pic:spPr>
                </pic:pic>
              </a:graphicData>
            </a:graphic>
          </wp:inline>
        </w:drawing>
      </w:r>
    </w:p>
    <w:p w14:paraId="11BA6826" w14:textId="5771F418" w:rsidR="009A479A" w:rsidRPr="007333DD" w:rsidRDefault="009A479A" w:rsidP="00BD03A0">
      <w:pPr>
        <w:jc w:val="center"/>
        <w:rPr>
          <w:b/>
        </w:rPr>
      </w:pPr>
      <w:r w:rsidRPr="007333DD">
        <w:rPr>
          <w:b/>
        </w:rPr>
        <w:t xml:space="preserve">Figure </w:t>
      </w:r>
      <w:r w:rsidR="0009289E" w:rsidRPr="007333DD">
        <w:rPr>
          <w:b/>
        </w:rPr>
        <w:t>11</w:t>
      </w:r>
      <w:r w:rsidRPr="007333DD">
        <w:rPr>
          <w:b/>
        </w:rPr>
        <w:t>: Market penetration process</w:t>
      </w:r>
    </w:p>
    <w:p w14:paraId="373A21BE" w14:textId="77777777" w:rsidR="009A479A" w:rsidRPr="007333DD" w:rsidRDefault="009A479A" w:rsidP="00BD03A0">
      <w:pPr>
        <w:jc w:val="center"/>
      </w:pPr>
      <w:r w:rsidRPr="007333DD">
        <w:t xml:space="preserve">(Source: Inspired from Skaf, </w:t>
      </w:r>
      <w:proofErr w:type="spellStart"/>
      <w:r w:rsidRPr="007333DD">
        <w:t>Tiruta</w:t>
      </w:r>
      <w:proofErr w:type="spellEnd"/>
      <w:r w:rsidRPr="007333DD">
        <w:t>-Barna, and Ahmadi, 2025)</w:t>
      </w:r>
    </w:p>
    <w:p w14:paraId="4C2D48BE" w14:textId="77777777" w:rsidR="009A479A" w:rsidRPr="007333DD" w:rsidRDefault="009A479A" w:rsidP="00BD03A0">
      <w:r w:rsidRPr="007333DD">
        <w:t xml:space="preserve">The integration of renewable PPAs (Power purchase agreements) has assisted BHP to transform its Escondida asset to 100% renewable electricity (IM, 2026). Iron ore operations in BHP’s Pilbara is supplied by 190MV </w:t>
      </w:r>
      <w:proofErr w:type="spellStart"/>
      <w:r w:rsidRPr="007333DD">
        <w:t>Yarnima</w:t>
      </w:r>
      <w:proofErr w:type="spellEnd"/>
      <w:r w:rsidRPr="007333DD">
        <w:t xml:space="preserve"> gas fired generator that produces power at an emission level of 35% below the Australian average (Parkinson, 2023). BHP is planning on building 550 MV of wind, solar, and battery storage in Pilbara for decarbonisation and electrification of global mining operations and cost cutting. The firm also signed a landmark agreement with </w:t>
      </w:r>
      <w:proofErr w:type="spellStart"/>
      <w:r w:rsidRPr="007333DD">
        <w:t>Neoen</w:t>
      </w:r>
      <w:proofErr w:type="spellEnd"/>
      <w:r w:rsidRPr="007333DD">
        <w:t xml:space="preserve"> for supplying 70 MW of firmed renewable energy to BHP’s Olympic Dam copper refinery (</w:t>
      </w:r>
      <w:proofErr w:type="spellStart"/>
      <w:r w:rsidRPr="007333DD">
        <w:t>Neoen</w:t>
      </w:r>
      <w:proofErr w:type="spellEnd"/>
      <w:r w:rsidRPr="007333DD">
        <w:t xml:space="preserve">, 2026). Hence, BHP can deliver traceable, low-emission iron ore to established steel manufacturing partners facing rising penalties. </w:t>
      </w:r>
    </w:p>
    <w:p w14:paraId="004C8F3F" w14:textId="77777777" w:rsidR="009A479A" w:rsidRPr="007333DD" w:rsidRDefault="009A479A" w:rsidP="00BD03A0">
      <w:r w:rsidRPr="007333DD">
        <w:rPr>
          <w:noProof/>
          <w:lang w:val="en-IN"/>
        </w:rPr>
        <w:lastRenderedPageBreak/>
        <w:drawing>
          <wp:inline distT="0" distB="0" distL="0" distR="0" wp14:anchorId="661494D3" wp14:editId="3E9E3D51">
            <wp:extent cx="5603240" cy="4762500"/>
            <wp:effectExtent l="0" t="0" r="0" b="0"/>
            <wp:docPr id="881470555" name="Picture 881470555" descr="https://reneweconomy.com.au/wp-content/uploads/2023/06/bhp-mine-588x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neweconomy.com.au/wp-content/uploads/2023/06/bhp-mine-588x500.jpg"/>
                    <pic:cNvPicPr>
                      <a:picLocks noChangeAspect="1" noChangeArrowheads="1"/>
                    </pic:cNvPicPr>
                  </pic:nvPicPr>
                  <pic:blipFill>
                    <a:blip r:embed="rId20">
                      <a:extLst>
                        <a:ext uri="{BEBA8EAE-BF5A-486C-A8C5-ECC9F3942E4B}">
                          <a14:imgProps xmlns:a14="http://schemas.microsoft.com/office/drawing/2010/main">
                            <a14:imgLayer r:embed="rId2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603240" cy="4762500"/>
                    </a:xfrm>
                    <a:prstGeom prst="rect">
                      <a:avLst/>
                    </a:prstGeom>
                    <a:noFill/>
                    <a:ln>
                      <a:noFill/>
                    </a:ln>
                  </pic:spPr>
                </pic:pic>
              </a:graphicData>
            </a:graphic>
          </wp:inline>
        </w:drawing>
      </w:r>
    </w:p>
    <w:p w14:paraId="14201EC9" w14:textId="24A53DC9" w:rsidR="009A479A" w:rsidRPr="007333DD" w:rsidRDefault="009A479A" w:rsidP="00BD03A0">
      <w:pPr>
        <w:jc w:val="center"/>
        <w:rPr>
          <w:b/>
        </w:rPr>
      </w:pPr>
      <w:r w:rsidRPr="007333DD">
        <w:rPr>
          <w:b/>
        </w:rPr>
        <w:t xml:space="preserve">Figure </w:t>
      </w:r>
      <w:r w:rsidR="0009289E" w:rsidRPr="007333DD">
        <w:rPr>
          <w:b/>
        </w:rPr>
        <w:t>12</w:t>
      </w:r>
      <w:r w:rsidRPr="007333DD">
        <w:rPr>
          <w:b/>
        </w:rPr>
        <w:t>: Decarbonisation and electrification planning by BHP for Pilbara</w:t>
      </w:r>
    </w:p>
    <w:p w14:paraId="67B1CEEE" w14:textId="2F49AFA8" w:rsidR="006B409C" w:rsidRPr="007333DD" w:rsidRDefault="009A479A" w:rsidP="00BD03A0">
      <w:pPr>
        <w:jc w:val="center"/>
      </w:pPr>
      <w:r w:rsidRPr="007333DD">
        <w:t>(Source: Parkinson, 2023)</w:t>
      </w:r>
    </w:p>
    <w:p w14:paraId="180E787B" w14:textId="17239E5C" w:rsidR="00A70970" w:rsidRPr="007333DD" w:rsidRDefault="008017AD" w:rsidP="00BD03A0">
      <w:pPr>
        <w:pStyle w:val="Heading2"/>
      </w:pPr>
      <w:bookmarkStart w:id="10" w:name="_Toc235707642"/>
      <w:r w:rsidRPr="007333DD">
        <w:t>Achieving competitive positioning</w:t>
      </w:r>
      <w:bookmarkEnd w:id="10"/>
    </w:p>
    <w:p w14:paraId="62C62668" w14:textId="77777777" w:rsidR="009A479A" w:rsidRPr="007333DD" w:rsidRDefault="009A479A" w:rsidP="00BD03A0">
      <w:pPr>
        <w:rPr>
          <w:b/>
        </w:rPr>
      </w:pPr>
      <w:r w:rsidRPr="007333DD">
        <w:rPr>
          <w:b/>
        </w:rPr>
        <w:t>Porter’s Generic Strategies</w:t>
      </w:r>
    </w:p>
    <w:p w14:paraId="66BC4676" w14:textId="4F15DCC6" w:rsidR="009A479A" w:rsidRPr="007333DD" w:rsidRDefault="009A479A" w:rsidP="00BD03A0">
      <w:r w:rsidRPr="007333DD">
        <w:t xml:space="preserve">BHP has cost leadership through the WAIO (Western Australian Iron Ore) operations of the firm that assists in delivering low C1 cash costs (BHP, 2026). The company can attain competitive positioning through </w:t>
      </w:r>
      <w:r w:rsidRPr="007333DD">
        <w:rPr>
          <w:b/>
          <w:i/>
        </w:rPr>
        <w:t>differentiation strategy</w:t>
      </w:r>
      <w:r w:rsidRPr="007333DD">
        <w:t xml:space="preserve">. According to </w:t>
      </w:r>
      <w:proofErr w:type="spellStart"/>
      <w:r w:rsidRPr="007333DD">
        <w:rPr>
          <w:shd w:val="clear" w:color="auto" w:fill="FFFFFF"/>
        </w:rPr>
        <w:t>Imbwaga</w:t>
      </w:r>
      <w:proofErr w:type="spellEnd"/>
      <w:r w:rsidRPr="007333DD">
        <w:rPr>
          <w:shd w:val="clear" w:color="auto" w:fill="FFFFFF"/>
        </w:rPr>
        <w:t xml:space="preserve"> (2023), c</w:t>
      </w:r>
      <w:r w:rsidRPr="007333DD">
        <w:t xml:space="preserve">ustomers incline towards firms that provides differentiated quality products at affordable prices, and differentiation and cost leadership has a positive effect on organisational performance. The differentiation strategy of the porter’s generic strategies is an approach that focuses on seeking a unique element that the market demands and then the firm narrows down to serve this need. </w:t>
      </w:r>
    </w:p>
    <w:p w14:paraId="5FE7FF2C" w14:textId="77777777" w:rsidR="009A479A" w:rsidRPr="007333DD" w:rsidRDefault="009A479A" w:rsidP="00BD03A0">
      <w:r w:rsidRPr="007333DD">
        <w:rPr>
          <w:noProof/>
          <w:lang w:val="en-IN"/>
        </w:rPr>
        <w:lastRenderedPageBreak/>
        <w:drawing>
          <wp:inline distT="0" distB="0" distL="0" distR="0" wp14:anchorId="270166EE" wp14:editId="7BD67F44">
            <wp:extent cx="5305425" cy="3438525"/>
            <wp:effectExtent l="0" t="0" r="9525" b="9525"/>
            <wp:docPr id="424186712" name="Picture 424186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05425" cy="3438525"/>
                    </a:xfrm>
                    <a:prstGeom prst="rect">
                      <a:avLst/>
                    </a:prstGeom>
                  </pic:spPr>
                </pic:pic>
              </a:graphicData>
            </a:graphic>
          </wp:inline>
        </w:drawing>
      </w:r>
    </w:p>
    <w:p w14:paraId="623520CF" w14:textId="3EF28EFE" w:rsidR="009A479A" w:rsidRPr="007333DD" w:rsidRDefault="009A479A" w:rsidP="00BD03A0">
      <w:pPr>
        <w:jc w:val="center"/>
        <w:rPr>
          <w:b/>
          <w:bCs/>
        </w:rPr>
      </w:pPr>
      <w:r w:rsidRPr="007333DD">
        <w:rPr>
          <w:b/>
          <w:bCs/>
        </w:rPr>
        <w:t>Figure</w:t>
      </w:r>
      <w:r w:rsidR="0009289E" w:rsidRPr="007333DD">
        <w:rPr>
          <w:b/>
          <w:bCs/>
        </w:rPr>
        <w:t xml:space="preserve"> 13</w:t>
      </w:r>
      <w:r w:rsidRPr="007333DD">
        <w:rPr>
          <w:b/>
          <w:bCs/>
        </w:rPr>
        <w:t>: Porter’s generic strategies</w:t>
      </w:r>
    </w:p>
    <w:p w14:paraId="2B389FA2" w14:textId="77777777" w:rsidR="009A479A" w:rsidRPr="007333DD" w:rsidRDefault="009A479A" w:rsidP="00BD03A0">
      <w:pPr>
        <w:jc w:val="center"/>
        <w:rPr>
          <w:b/>
          <w:bCs/>
        </w:rPr>
      </w:pPr>
      <w:r w:rsidRPr="007333DD">
        <w:t>(Source: Inspired from class material lecture 11, slide 15)</w:t>
      </w:r>
    </w:p>
    <w:p w14:paraId="3650DC0C" w14:textId="77777777" w:rsidR="009A479A" w:rsidRPr="007333DD" w:rsidRDefault="009A479A" w:rsidP="00BD03A0">
      <w:pPr>
        <w:rPr>
          <w:b/>
        </w:rPr>
      </w:pPr>
      <w:r w:rsidRPr="007333DD">
        <w:rPr>
          <w:b/>
        </w:rPr>
        <w:t>Porter’s five forces analysis</w:t>
      </w:r>
    </w:p>
    <w:p w14:paraId="57169C2A" w14:textId="77777777" w:rsidR="009A479A" w:rsidRPr="007333DD" w:rsidRDefault="009A479A" w:rsidP="00B07AB6">
      <w:pPr>
        <w:jc w:val="center"/>
        <w:rPr>
          <w:b/>
        </w:rPr>
      </w:pPr>
      <w:r w:rsidRPr="007333DD">
        <w:rPr>
          <w:noProof/>
          <w:lang w:val="en-IN"/>
        </w:rPr>
        <w:drawing>
          <wp:inline distT="0" distB="0" distL="0" distR="0" wp14:anchorId="6EDD467E" wp14:editId="0D84072C">
            <wp:extent cx="4644428" cy="3140881"/>
            <wp:effectExtent l="0" t="0" r="3810" b="2540"/>
            <wp:docPr id="1513193285" name="Picture 1513193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49244" cy="3144138"/>
                    </a:xfrm>
                    <a:prstGeom prst="rect">
                      <a:avLst/>
                    </a:prstGeom>
                  </pic:spPr>
                </pic:pic>
              </a:graphicData>
            </a:graphic>
          </wp:inline>
        </w:drawing>
      </w:r>
    </w:p>
    <w:p w14:paraId="1971CF00" w14:textId="29CA9E46" w:rsidR="009A479A" w:rsidRPr="007333DD" w:rsidRDefault="009A479A" w:rsidP="00BD03A0">
      <w:pPr>
        <w:jc w:val="center"/>
        <w:rPr>
          <w:b/>
          <w:bCs/>
        </w:rPr>
      </w:pPr>
      <w:r w:rsidRPr="007333DD">
        <w:rPr>
          <w:b/>
          <w:bCs/>
        </w:rPr>
        <w:t>Figure</w:t>
      </w:r>
      <w:r w:rsidR="0009289E" w:rsidRPr="007333DD">
        <w:rPr>
          <w:b/>
          <w:bCs/>
        </w:rPr>
        <w:t xml:space="preserve"> 14</w:t>
      </w:r>
      <w:r w:rsidRPr="007333DD">
        <w:rPr>
          <w:b/>
          <w:bCs/>
        </w:rPr>
        <w:t>: Porter’s five forces</w:t>
      </w:r>
    </w:p>
    <w:p w14:paraId="3E1F0160" w14:textId="77777777" w:rsidR="009A479A" w:rsidRPr="007333DD" w:rsidRDefault="009A479A" w:rsidP="00BD03A0">
      <w:pPr>
        <w:jc w:val="center"/>
        <w:rPr>
          <w:b/>
          <w:bCs/>
        </w:rPr>
      </w:pPr>
      <w:r w:rsidRPr="007333DD">
        <w:t>(Source: Class material lecture 11, slide 4)</w:t>
      </w:r>
    </w:p>
    <w:p w14:paraId="46849990" w14:textId="77777777" w:rsidR="009A479A" w:rsidRPr="007333DD" w:rsidRDefault="009A479A" w:rsidP="00BD03A0">
      <w:pPr>
        <w:pStyle w:val="ListParagraph"/>
        <w:numPr>
          <w:ilvl w:val="0"/>
          <w:numId w:val="2"/>
        </w:numPr>
        <w:spacing w:line="360" w:lineRule="auto"/>
        <w:jc w:val="both"/>
        <w:rPr>
          <w:rFonts w:ascii="Arial" w:hAnsi="Arial" w:cs="Arial"/>
          <w:sz w:val="24"/>
          <w:szCs w:val="24"/>
        </w:rPr>
      </w:pPr>
      <w:r w:rsidRPr="007333DD">
        <w:rPr>
          <w:rFonts w:ascii="Arial" w:hAnsi="Arial" w:cs="Arial"/>
          <w:b/>
          <w:sz w:val="24"/>
          <w:szCs w:val="24"/>
        </w:rPr>
        <w:lastRenderedPageBreak/>
        <w:t xml:space="preserve">Competitive rivalry: </w:t>
      </w:r>
      <w:r w:rsidRPr="007333DD">
        <w:rPr>
          <w:rFonts w:ascii="Arial" w:hAnsi="Arial" w:cs="Arial"/>
          <w:sz w:val="24"/>
          <w:szCs w:val="24"/>
        </w:rPr>
        <w:t>Dominant global resource giants such as Rio Tinto, Zijin Mining, and Southern Copper with market capitalisation of 160.4 billion, 125.6 billion, and 147.0 billion respectively increases rivalry for BHP (</w:t>
      </w:r>
      <w:r w:rsidRPr="007333DD">
        <w:rPr>
          <w:rFonts w:ascii="Arial" w:eastAsia="Arial" w:hAnsi="Arial" w:cs="Arial"/>
          <w:sz w:val="24"/>
          <w:szCs w:val="24"/>
        </w:rPr>
        <w:t>Mining, 2025)</w:t>
      </w:r>
      <w:r w:rsidRPr="007333DD">
        <w:rPr>
          <w:rFonts w:ascii="Arial" w:hAnsi="Arial" w:cs="Arial"/>
          <w:sz w:val="24"/>
          <w:szCs w:val="24"/>
        </w:rPr>
        <w:t xml:space="preserve">. BHP’s market capitalisation is 180.5 billion with 17.7% of TYD change. Modifying green iron ore can improve competitiveness by differentiation. </w:t>
      </w:r>
    </w:p>
    <w:p w14:paraId="68041369" w14:textId="77777777" w:rsidR="009A479A" w:rsidRPr="007333DD" w:rsidRDefault="009A479A" w:rsidP="00BD03A0">
      <w:pPr>
        <w:rPr>
          <w:b/>
        </w:rPr>
      </w:pPr>
      <w:r w:rsidRPr="007333DD">
        <w:rPr>
          <w:noProof/>
          <w:lang w:val="en-IN"/>
        </w:rPr>
        <w:drawing>
          <wp:inline distT="0" distB="0" distL="0" distR="0" wp14:anchorId="4F69ABAD" wp14:editId="23EBEAB5">
            <wp:extent cx="5731510" cy="1868170"/>
            <wp:effectExtent l="0" t="0" r="2540" b="0"/>
            <wp:docPr id="623761283" name="Picture 623761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868170"/>
                    </a:xfrm>
                    <a:prstGeom prst="rect">
                      <a:avLst/>
                    </a:prstGeom>
                  </pic:spPr>
                </pic:pic>
              </a:graphicData>
            </a:graphic>
          </wp:inline>
        </w:drawing>
      </w:r>
      <w:r w:rsidRPr="007333DD">
        <w:rPr>
          <w:b/>
        </w:rPr>
        <w:t xml:space="preserve">  </w:t>
      </w:r>
    </w:p>
    <w:p w14:paraId="7F6984C6" w14:textId="269F8FB8" w:rsidR="009A479A" w:rsidRPr="007333DD" w:rsidRDefault="009A479A" w:rsidP="00BD03A0">
      <w:pPr>
        <w:jc w:val="center"/>
        <w:rPr>
          <w:b/>
          <w:bCs/>
        </w:rPr>
      </w:pPr>
      <w:r w:rsidRPr="007333DD">
        <w:rPr>
          <w:b/>
          <w:bCs/>
        </w:rPr>
        <w:t>Figure</w:t>
      </w:r>
      <w:r w:rsidR="0009289E" w:rsidRPr="007333DD">
        <w:rPr>
          <w:b/>
          <w:bCs/>
        </w:rPr>
        <w:t xml:space="preserve"> 15</w:t>
      </w:r>
      <w:r w:rsidRPr="007333DD">
        <w:rPr>
          <w:b/>
          <w:bCs/>
        </w:rPr>
        <w:t>: Top mining companies in the world</w:t>
      </w:r>
    </w:p>
    <w:p w14:paraId="0E1793C6" w14:textId="77777777" w:rsidR="009A479A" w:rsidRPr="007333DD" w:rsidRDefault="009A479A" w:rsidP="00BD03A0">
      <w:pPr>
        <w:jc w:val="center"/>
      </w:pPr>
      <w:r w:rsidRPr="007333DD">
        <w:t>(Source: Mining, 2025)</w:t>
      </w:r>
    </w:p>
    <w:p w14:paraId="398CBF83" w14:textId="77777777" w:rsidR="009A479A" w:rsidRPr="007333DD" w:rsidRDefault="009A479A" w:rsidP="00BD03A0">
      <w:pPr>
        <w:pStyle w:val="ListParagraph"/>
        <w:numPr>
          <w:ilvl w:val="0"/>
          <w:numId w:val="1"/>
        </w:numPr>
        <w:spacing w:line="360" w:lineRule="auto"/>
        <w:jc w:val="both"/>
        <w:rPr>
          <w:rFonts w:ascii="Arial" w:eastAsia="Arial" w:hAnsi="Arial" w:cs="Arial"/>
          <w:sz w:val="24"/>
          <w:szCs w:val="24"/>
        </w:rPr>
      </w:pPr>
      <w:r w:rsidRPr="007333DD">
        <w:rPr>
          <w:rFonts w:ascii="Arial" w:eastAsia="Arial" w:hAnsi="Arial" w:cs="Arial"/>
          <w:b/>
          <w:sz w:val="24"/>
          <w:szCs w:val="24"/>
        </w:rPr>
        <w:t>Threats of new entrants:</w:t>
      </w:r>
      <w:r w:rsidRPr="007333DD">
        <w:rPr>
          <w:rFonts w:ascii="Arial" w:eastAsia="Arial" w:hAnsi="Arial" w:cs="Arial"/>
          <w:sz w:val="24"/>
          <w:szCs w:val="24"/>
        </w:rPr>
        <w:t xml:space="preserve"> It is low due to staggering capital requirements and strict environmental regulations. Green iron ore can assist in overcoming the strict environmental regulation issues. </w:t>
      </w:r>
    </w:p>
    <w:p w14:paraId="679BE159" w14:textId="77777777" w:rsidR="009A479A" w:rsidRPr="007333DD" w:rsidRDefault="009A479A" w:rsidP="00BD03A0">
      <w:pPr>
        <w:pStyle w:val="ListParagraph"/>
        <w:numPr>
          <w:ilvl w:val="0"/>
          <w:numId w:val="1"/>
        </w:numPr>
        <w:spacing w:line="360" w:lineRule="auto"/>
        <w:jc w:val="both"/>
        <w:rPr>
          <w:rFonts w:ascii="Arial" w:eastAsia="Arial" w:hAnsi="Arial" w:cs="Arial"/>
          <w:b/>
          <w:sz w:val="24"/>
          <w:szCs w:val="24"/>
        </w:rPr>
      </w:pPr>
      <w:r w:rsidRPr="007333DD">
        <w:rPr>
          <w:rFonts w:ascii="Arial" w:eastAsia="Arial" w:hAnsi="Arial" w:cs="Arial"/>
          <w:b/>
          <w:sz w:val="24"/>
          <w:szCs w:val="24"/>
        </w:rPr>
        <w:t xml:space="preserve">Bargaining power of buyers: </w:t>
      </w:r>
      <w:r w:rsidRPr="007333DD">
        <w:rPr>
          <w:rFonts w:ascii="Arial" w:eastAsia="Arial" w:hAnsi="Arial" w:cs="Arial"/>
          <w:sz w:val="24"/>
          <w:szCs w:val="24"/>
        </w:rPr>
        <w:t xml:space="preserve">Buyers showcase low power due to cost-leadership of BHP assist in offering highly competitive pricing. The firm holds industry-leading cost unit leadership in copper, specifically attaining a unit cost of about $1.12 per pound in Escondida mine (BHP, 2026). </w:t>
      </w:r>
    </w:p>
    <w:p w14:paraId="62210E96" w14:textId="77777777" w:rsidR="009A479A" w:rsidRPr="007333DD" w:rsidRDefault="009A479A" w:rsidP="00BD03A0">
      <w:pPr>
        <w:jc w:val="center"/>
      </w:pPr>
      <w:r w:rsidRPr="007333DD">
        <w:rPr>
          <w:noProof/>
          <w:lang w:val="en-IN"/>
        </w:rPr>
        <w:drawing>
          <wp:inline distT="0" distB="0" distL="0" distR="0" wp14:anchorId="2C97F9F2" wp14:editId="5D5C8ABC">
            <wp:extent cx="5731510" cy="1472330"/>
            <wp:effectExtent l="0" t="0" r="2540" b="0"/>
            <wp:docPr id="104664433" name="Picture 104664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472330"/>
                    </a:xfrm>
                    <a:prstGeom prst="rect">
                      <a:avLst/>
                    </a:prstGeom>
                  </pic:spPr>
                </pic:pic>
              </a:graphicData>
            </a:graphic>
          </wp:inline>
        </w:drawing>
      </w:r>
    </w:p>
    <w:p w14:paraId="293988FB" w14:textId="06120510" w:rsidR="009A479A" w:rsidRPr="007333DD" w:rsidRDefault="009A479A" w:rsidP="00BD03A0">
      <w:pPr>
        <w:jc w:val="center"/>
        <w:rPr>
          <w:b/>
          <w:bCs/>
        </w:rPr>
      </w:pPr>
      <w:r w:rsidRPr="007333DD">
        <w:t xml:space="preserve"> </w:t>
      </w:r>
      <w:r w:rsidRPr="007333DD">
        <w:rPr>
          <w:b/>
          <w:bCs/>
        </w:rPr>
        <w:t xml:space="preserve">Figure </w:t>
      </w:r>
      <w:r w:rsidR="0009289E" w:rsidRPr="007333DD">
        <w:rPr>
          <w:b/>
          <w:bCs/>
        </w:rPr>
        <w:t>16</w:t>
      </w:r>
      <w:r w:rsidRPr="007333DD">
        <w:rPr>
          <w:b/>
          <w:bCs/>
        </w:rPr>
        <w:t>: BHP’s unit cost and financial result</w:t>
      </w:r>
    </w:p>
    <w:p w14:paraId="1F48BBA9" w14:textId="77777777" w:rsidR="009A479A" w:rsidRPr="007333DD" w:rsidRDefault="009A479A" w:rsidP="00BD03A0">
      <w:pPr>
        <w:jc w:val="center"/>
      </w:pPr>
      <w:r w:rsidRPr="007333DD">
        <w:t>(Source: BHP, 2026)</w:t>
      </w:r>
    </w:p>
    <w:p w14:paraId="4453F7E5" w14:textId="77777777" w:rsidR="009A479A" w:rsidRPr="007333DD" w:rsidRDefault="009A479A" w:rsidP="00BD03A0">
      <w:pPr>
        <w:pStyle w:val="ListParagraph"/>
        <w:numPr>
          <w:ilvl w:val="0"/>
          <w:numId w:val="3"/>
        </w:numPr>
        <w:spacing w:line="360" w:lineRule="auto"/>
        <w:jc w:val="both"/>
        <w:rPr>
          <w:rFonts w:ascii="Arial" w:eastAsia="Arial" w:hAnsi="Arial" w:cs="Arial"/>
          <w:sz w:val="24"/>
          <w:szCs w:val="24"/>
        </w:rPr>
      </w:pPr>
      <w:r w:rsidRPr="007333DD">
        <w:rPr>
          <w:rFonts w:ascii="Arial" w:eastAsia="Arial" w:hAnsi="Arial" w:cs="Arial"/>
          <w:b/>
          <w:sz w:val="24"/>
          <w:szCs w:val="24"/>
        </w:rPr>
        <w:lastRenderedPageBreak/>
        <w:t>Bargaining power of suppliers:</w:t>
      </w:r>
      <w:r w:rsidRPr="007333DD">
        <w:rPr>
          <w:rFonts w:ascii="Arial" w:eastAsia="Arial" w:hAnsi="Arial" w:cs="Arial"/>
          <w:sz w:val="24"/>
          <w:szCs w:val="24"/>
        </w:rPr>
        <w:t xml:space="preserve"> Supplier’s power is moderate as securing proprietary carbon-abatement technologies can lower operational dependence on 3</w:t>
      </w:r>
      <w:r w:rsidRPr="007333DD">
        <w:rPr>
          <w:rFonts w:ascii="Arial" w:eastAsia="Arial" w:hAnsi="Arial" w:cs="Arial"/>
          <w:sz w:val="24"/>
          <w:szCs w:val="24"/>
          <w:vertAlign w:val="superscript"/>
        </w:rPr>
        <w:t>rd</w:t>
      </w:r>
      <w:r w:rsidRPr="007333DD">
        <w:rPr>
          <w:rFonts w:ascii="Arial" w:eastAsia="Arial" w:hAnsi="Arial" w:cs="Arial"/>
          <w:sz w:val="24"/>
          <w:szCs w:val="24"/>
        </w:rPr>
        <w:t xml:space="preserve"> party suppliers. </w:t>
      </w:r>
    </w:p>
    <w:p w14:paraId="6459DA31" w14:textId="77777777" w:rsidR="009A479A" w:rsidRPr="007333DD" w:rsidRDefault="009A479A" w:rsidP="00BD03A0">
      <w:pPr>
        <w:pStyle w:val="ListParagraph"/>
        <w:numPr>
          <w:ilvl w:val="0"/>
          <w:numId w:val="3"/>
        </w:numPr>
        <w:spacing w:line="360" w:lineRule="auto"/>
        <w:jc w:val="both"/>
        <w:rPr>
          <w:rFonts w:ascii="Arial" w:eastAsia="Arial" w:hAnsi="Arial" w:cs="Arial"/>
          <w:sz w:val="24"/>
          <w:szCs w:val="24"/>
        </w:rPr>
      </w:pPr>
      <w:r w:rsidRPr="007333DD">
        <w:rPr>
          <w:rFonts w:ascii="Arial" w:eastAsia="Arial" w:hAnsi="Arial" w:cs="Arial"/>
          <w:b/>
          <w:sz w:val="24"/>
          <w:szCs w:val="24"/>
        </w:rPr>
        <w:t>Threat of substitutes:</w:t>
      </w:r>
      <w:r w:rsidRPr="007333DD">
        <w:rPr>
          <w:rFonts w:ascii="Arial" w:eastAsia="Arial" w:hAnsi="Arial" w:cs="Arial"/>
          <w:sz w:val="24"/>
          <w:szCs w:val="24"/>
        </w:rPr>
        <w:t xml:space="preserve"> Substitution risk is low as green iron ore provide a zero-emission steelmaking value that traditional ores can fail to provide with the competitive pricing. </w:t>
      </w:r>
    </w:p>
    <w:p w14:paraId="66146702" w14:textId="77777777" w:rsidR="009A479A" w:rsidRPr="007333DD" w:rsidRDefault="009A479A" w:rsidP="00BD03A0">
      <w:r w:rsidRPr="007333DD">
        <w:rPr>
          <w:noProof/>
          <w:lang w:val="en-IN"/>
        </w:rPr>
        <w:drawing>
          <wp:inline distT="0" distB="0" distL="0" distR="0" wp14:anchorId="424335A0" wp14:editId="276D011C">
            <wp:extent cx="5731510" cy="3185795"/>
            <wp:effectExtent l="0" t="0" r="2540" b="0"/>
            <wp:docPr id="249553023" name="Picture 249553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85795"/>
                    </a:xfrm>
                    <a:prstGeom prst="rect">
                      <a:avLst/>
                    </a:prstGeom>
                  </pic:spPr>
                </pic:pic>
              </a:graphicData>
            </a:graphic>
          </wp:inline>
        </w:drawing>
      </w:r>
    </w:p>
    <w:p w14:paraId="37C0B66E" w14:textId="0FA74BC0" w:rsidR="009A479A" w:rsidRPr="007333DD" w:rsidRDefault="009A479A" w:rsidP="00BD03A0">
      <w:pPr>
        <w:jc w:val="center"/>
        <w:rPr>
          <w:b/>
          <w:bCs/>
        </w:rPr>
      </w:pPr>
      <w:r w:rsidRPr="007333DD">
        <w:t xml:space="preserve"> </w:t>
      </w:r>
      <w:r w:rsidRPr="007333DD">
        <w:rPr>
          <w:b/>
          <w:bCs/>
        </w:rPr>
        <w:t xml:space="preserve">Figure </w:t>
      </w:r>
      <w:r w:rsidR="0009289E" w:rsidRPr="007333DD">
        <w:rPr>
          <w:b/>
          <w:bCs/>
        </w:rPr>
        <w:t>17</w:t>
      </w:r>
      <w:r w:rsidRPr="007333DD">
        <w:rPr>
          <w:b/>
          <w:bCs/>
        </w:rPr>
        <w:t>: Positioning map</w:t>
      </w:r>
    </w:p>
    <w:p w14:paraId="11C484DA" w14:textId="772379B7" w:rsidR="006B409C" w:rsidRPr="007333DD" w:rsidRDefault="009A479A" w:rsidP="00BD03A0">
      <w:pPr>
        <w:jc w:val="center"/>
      </w:pPr>
      <w:r w:rsidRPr="007333DD">
        <w:t>(Source: BHP, 2026; Zijin Mining, 2025; Mining Visuals, 2026)</w:t>
      </w:r>
    </w:p>
    <w:p w14:paraId="7E30CA44" w14:textId="77777777" w:rsidR="00A70970" w:rsidRPr="007333DD" w:rsidRDefault="008017AD">
      <w:pPr>
        <w:pStyle w:val="Heading2"/>
      </w:pPr>
      <w:bookmarkStart w:id="11" w:name="_Toc235707643"/>
      <w:r w:rsidRPr="007333DD">
        <w:t>Benefits of lower-carbon business model in achieving competitive advantage</w:t>
      </w:r>
      <w:bookmarkEnd w:id="11"/>
    </w:p>
    <w:p w14:paraId="4213DAE2" w14:textId="755F9697" w:rsidR="00BD03A0" w:rsidRPr="007333DD" w:rsidRDefault="00BD03A0" w:rsidP="00BD03A0">
      <w:r w:rsidRPr="007333DD">
        <w:t>Shifting to a lower-carbon business model can assist BHP in attaining a competitive edge by reducing operational costs and improving the capability of the firm to avoid regul</w:t>
      </w:r>
      <w:r w:rsidR="00F56C3A" w:rsidRPr="007333DD">
        <w:t>atory risks.</w:t>
      </w:r>
      <w:r w:rsidRPr="007333DD">
        <w:t xml:space="preserve"> Sairanen and Aarikka-Stenroos (2024), </w:t>
      </w:r>
      <w:r w:rsidR="00F56C3A" w:rsidRPr="007333DD">
        <w:t>states</w:t>
      </w:r>
      <w:r w:rsidRPr="007333DD">
        <w:t xml:space="preserve"> that low-carbon business models consists of usage of technologies for carbon management, system and production optimisation, as well as policy shaping. This assists in resource efficiency, decarbonisation, and improved sustainability, enhanced brand image, and increased competitive advantage. Hence, BHP can minimise compliance cost under Australia’ Safeguard mechanism, protecting position as the most profitable, low-cost mining producer. </w:t>
      </w:r>
    </w:p>
    <w:p w14:paraId="0EC0DBC8" w14:textId="77777777" w:rsidR="00BD03A0" w:rsidRPr="007333DD" w:rsidRDefault="00BD03A0" w:rsidP="00BD03A0">
      <w:r w:rsidRPr="007333DD">
        <w:rPr>
          <w:noProof/>
          <w:lang w:val="en-IN"/>
        </w:rPr>
        <w:lastRenderedPageBreak/>
        <w:drawing>
          <wp:inline distT="0" distB="0" distL="0" distR="0" wp14:anchorId="0501DEFD" wp14:editId="33D442B6">
            <wp:extent cx="5731510" cy="3716641"/>
            <wp:effectExtent l="0" t="0" r="2540" b="0"/>
            <wp:docPr id="161191266" name="Picture 161191266" descr="https://ars.els-cdn.com/content/image/1-s2.0-S0019850124001627-gr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1-s2.0-S0019850124001627-gr6.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716641"/>
                    </a:xfrm>
                    <a:prstGeom prst="rect">
                      <a:avLst/>
                    </a:prstGeom>
                    <a:noFill/>
                    <a:ln>
                      <a:noFill/>
                    </a:ln>
                  </pic:spPr>
                </pic:pic>
              </a:graphicData>
            </a:graphic>
          </wp:inline>
        </w:drawing>
      </w:r>
    </w:p>
    <w:p w14:paraId="17BC4CAB" w14:textId="54B0D95F" w:rsidR="00BD03A0" w:rsidRPr="007333DD" w:rsidRDefault="00BD03A0" w:rsidP="00BD03A0">
      <w:pPr>
        <w:jc w:val="center"/>
        <w:rPr>
          <w:b/>
          <w:bCs/>
        </w:rPr>
      </w:pPr>
      <w:r w:rsidRPr="007333DD">
        <w:t xml:space="preserve"> </w:t>
      </w:r>
      <w:r w:rsidRPr="007333DD">
        <w:rPr>
          <w:b/>
          <w:bCs/>
        </w:rPr>
        <w:t xml:space="preserve">Figure </w:t>
      </w:r>
      <w:r w:rsidR="0009289E" w:rsidRPr="007333DD">
        <w:rPr>
          <w:b/>
          <w:bCs/>
        </w:rPr>
        <w:t>18</w:t>
      </w:r>
      <w:r w:rsidRPr="007333DD">
        <w:rPr>
          <w:b/>
          <w:bCs/>
        </w:rPr>
        <w:t>: Low-carbon business models</w:t>
      </w:r>
    </w:p>
    <w:p w14:paraId="3F4374E4" w14:textId="6D84C20C" w:rsidR="006B409C" w:rsidRPr="007333DD" w:rsidRDefault="00BD03A0" w:rsidP="00BD03A0">
      <w:pPr>
        <w:jc w:val="center"/>
      </w:pPr>
      <w:r w:rsidRPr="007333DD">
        <w:t>(Source: Sairanen and Aarikka-Stenroos, 2024)</w:t>
      </w:r>
    </w:p>
    <w:p w14:paraId="30CC8CC3" w14:textId="77777777" w:rsidR="00A70970" w:rsidRPr="007333DD" w:rsidRDefault="008017AD">
      <w:pPr>
        <w:pStyle w:val="Heading2"/>
      </w:pPr>
      <w:bookmarkStart w:id="12" w:name="_Toc235707644"/>
      <w:r w:rsidRPr="007333DD">
        <w:t>SERVQUAL model</w:t>
      </w:r>
      <w:bookmarkEnd w:id="12"/>
    </w:p>
    <w:p w14:paraId="4FAC935C" w14:textId="77777777" w:rsidR="00807C6E" w:rsidRPr="007333DD" w:rsidRDefault="00807C6E" w:rsidP="00807C6E">
      <w:r w:rsidRPr="007333DD">
        <w:t>The SERVQUAL model measures the gap between the expectations and actual perception of consumers regarding a product or service (class material lecture 10, slide 13).</w:t>
      </w:r>
    </w:p>
    <w:tbl>
      <w:tblPr>
        <w:tblStyle w:val="TableGrid"/>
        <w:tblW w:w="0" w:type="auto"/>
        <w:tblLook w:val="04A0" w:firstRow="1" w:lastRow="0" w:firstColumn="1" w:lastColumn="0" w:noHBand="0" w:noVBand="1"/>
      </w:tblPr>
      <w:tblGrid>
        <w:gridCol w:w="2111"/>
        <w:gridCol w:w="3696"/>
        <w:gridCol w:w="3209"/>
      </w:tblGrid>
      <w:tr w:rsidR="00807C6E" w:rsidRPr="007333DD" w14:paraId="3E3635F8" w14:textId="77777777" w:rsidTr="004C1EAA">
        <w:tc>
          <w:tcPr>
            <w:tcW w:w="2111" w:type="dxa"/>
          </w:tcPr>
          <w:p w14:paraId="2A9E2191" w14:textId="77777777" w:rsidR="00807C6E" w:rsidRPr="007333DD" w:rsidRDefault="00807C6E" w:rsidP="00807C6E">
            <w:pPr>
              <w:spacing w:line="360" w:lineRule="auto"/>
              <w:jc w:val="center"/>
              <w:rPr>
                <w:rFonts w:ascii="Arial" w:hAnsi="Arial" w:cs="Arial"/>
                <w:b/>
                <w:sz w:val="24"/>
                <w:szCs w:val="24"/>
              </w:rPr>
            </w:pPr>
            <w:r w:rsidRPr="007333DD">
              <w:rPr>
                <w:rFonts w:ascii="Arial" w:hAnsi="Arial" w:cs="Arial"/>
                <w:b/>
                <w:sz w:val="24"/>
                <w:szCs w:val="24"/>
              </w:rPr>
              <w:t>SERVQUAL dimensions</w:t>
            </w:r>
          </w:p>
        </w:tc>
        <w:tc>
          <w:tcPr>
            <w:tcW w:w="3696" w:type="dxa"/>
          </w:tcPr>
          <w:p w14:paraId="0F7A75CB" w14:textId="77777777" w:rsidR="00807C6E" w:rsidRPr="007333DD" w:rsidRDefault="00807C6E" w:rsidP="00807C6E">
            <w:pPr>
              <w:spacing w:line="360" w:lineRule="auto"/>
              <w:jc w:val="center"/>
              <w:rPr>
                <w:rFonts w:ascii="Arial" w:hAnsi="Arial" w:cs="Arial"/>
                <w:b/>
                <w:sz w:val="24"/>
                <w:szCs w:val="24"/>
              </w:rPr>
            </w:pPr>
            <w:r w:rsidRPr="007333DD">
              <w:rPr>
                <w:rFonts w:ascii="Arial" w:hAnsi="Arial" w:cs="Arial"/>
                <w:b/>
                <w:sz w:val="24"/>
                <w:szCs w:val="24"/>
              </w:rPr>
              <w:t>Application</w:t>
            </w:r>
          </w:p>
        </w:tc>
        <w:tc>
          <w:tcPr>
            <w:tcW w:w="3209" w:type="dxa"/>
          </w:tcPr>
          <w:p w14:paraId="6805B679" w14:textId="77777777" w:rsidR="00807C6E" w:rsidRPr="007333DD" w:rsidRDefault="00807C6E" w:rsidP="00807C6E">
            <w:pPr>
              <w:spacing w:line="360" w:lineRule="auto"/>
              <w:jc w:val="center"/>
              <w:rPr>
                <w:rFonts w:ascii="Arial" w:hAnsi="Arial" w:cs="Arial"/>
                <w:b/>
                <w:sz w:val="24"/>
                <w:szCs w:val="24"/>
              </w:rPr>
            </w:pPr>
            <w:r w:rsidRPr="007333DD">
              <w:rPr>
                <w:rFonts w:ascii="Arial" w:hAnsi="Arial" w:cs="Arial"/>
                <w:b/>
                <w:sz w:val="24"/>
                <w:szCs w:val="24"/>
              </w:rPr>
              <w:t>Outcomes</w:t>
            </w:r>
          </w:p>
        </w:tc>
      </w:tr>
      <w:tr w:rsidR="00807C6E" w:rsidRPr="007333DD" w14:paraId="2A9CC4FD" w14:textId="77777777" w:rsidTr="004C1EAA">
        <w:tc>
          <w:tcPr>
            <w:tcW w:w="2111" w:type="dxa"/>
          </w:tcPr>
          <w:p w14:paraId="40C14828" w14:textId="77777777" w:rsidR="00807C6E" w:rsidRPr="007333DD" w:rsidRDefault="00807C6E" w:rsidP="00807C6E">
            <w:pPr>
              <w:spacing w:line="360" w:lineRule="auto"/>
              <w:jc w:val="both"/>
              <w:rPr>
                <w:rFonts w:ascii="Arial" w:hAnsi="Arial" w:cs="Arial"/>
                <w:b/>
                <w:sz w:val="24"/>
                <w:szCs w:val="24"/>
              </w:rPr>
            </w:pPr>
            <w:r w:rsidRPr="007333DD">
              <w:rPr>
                <w:rFonts w:ascii="Arial" w:hAnsi="Arial" w:cs="Arial"/>
                <w:b/>
                <w:sz w:val="24"/>
                <w:szCs w:val="24"/>
              </w:rPr>
              <w:t>Reliability</w:t>
            </w:r>
          </w:p>
        </w:tc>
        <w:tc>
          <w:tcPr>
            <w:tcW w:w="3696" w:type="dxa"/>
          </w:tcPr>
          <w:p w14:paraId="51F9F0EF"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 xml:space="preserve">Focusing on consistent and uninterrupted bulk mineral delivery despite global logistical disruptions. </w:t>
            </w:r>
          </w:p>
        </w:tc>
        <w:tc>
          <w:tcPr>
            <w:tcW w:w="3209" w:type="dxa"/>
          </w:tcPr>
          <w:p w14:paraId="7C9CE8D2"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Maintaining iron ore production guidance at 255-265.5 Mt, ensuring market stability (</w:t>
            </w:r>
            <w:r w:rsidRPr="007333DD">
              <w:rPr>
                <w:rFonts w:ascii="Arial" w:eastAsia="Arial" w:hAnsi="Arial" w:cs="Arial"/>
                <w:sz w:val="24"/>
                <w:szCs w:val="24"/>
              </w:rPr>
              <w:t>BHP, 2025)</w:t>
            </w:r>
            <w:r w:rsidRPr="007333DD">
              <w:rPr>
                <w:rFonts w:ascii="Arial" w:hAnsi="Arial" w:cs="Arial"/>
                <w:sz w:val="24"/>
                <w:szCs w:val="24"/>
              </w:rPr>
              <w:t xml:space="preserve">. </w:t>
            </w:r>
          </w:p>
        </w:tc>
      </w:tr>
      <w:tr w:rsidR="00807C6E" w:rsidRPr="007333DD" w14:paraId="2B7EF1FC" w14:textId="77777777" w:rsidTr="004C1EAA">
        <w:tc>
          <w:tcPr>
            <w:tcW w:w="2111" w:type="dxa"/>
          </w:tcPr>
          <w:p w14:paraId="5B3DEBC2" w14:textId="77777777" w:rsidR="00807C6E" w:rsidRPr="007333DD" w:rsidRDefault="00807C6E" w:rsidP="00807C6E">
            <w:pPr>
              <w:spacing w:line="360" w:lineRule="auto"/>
              <w:jc w:val="both"/>
              <w:rPr>
                <w:rFonts w:ascii="Arial" w:hAnsi="Arial" w:cs="Arial"/>
                <w:b/>
                <w:sz w:val="24"/>
                <w:szCs w:val="24"/>
              </w:rPr>
            </w:pPr>
            <w:r w:rsidRPr="007333DD">
              <w:rPr>
                <w:rFonts w:ascii="Arial" w:hAnsi="Arial" w:cs="Arial"/>
                <w:b/>
                <w:sz w:val="24"/>
                <w:szCs w:val="24"/>
              </w:rPr>
              <w:t>Responsiveness</w:t>
            </w:r>
          </w:p>
        </w:tc>
        <w:tc>
          <w:tcPr>
            <w:tcW w:w="3696" w:type="dxa"/>
          </w:tcPr>
          <w:p w14:paraId="718A671C"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 xml:space="preserve">Deploying localised carbon-accounting data for satisfying industrial green mandates. </w:t>
            </w:r>
          </w:p>
        </w:tc>
        <w:tc>
          <w:tcPr>
            <w:tcW w:w="3209" w:type="dxa"/>
          </w:tcPr>
          <w:p w14:paraId="65A2A41E"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About 100% operated copper secured internal copper mark status (</w:t>
            </w:r>
            <w:r w:rsidRPr="007333DD">
              <w:rPr>
                <w:rFonts w:ascii="Arial" w:eastAsia="Arial" w:hAnsi="Arial" w:cs="Arial"/>
                <w:sz w:val="24"/>
                <w:szCs w:val="24"/>
              </w:rPr>
              <w:t>BHP, 2023)</w:t>
            </w:r>
            <w:r w:rsidRPr="007333DD">
              <w:rPr>
                <w:rFonts w:ascii="Arial" w:hAnsi="Arial" w:cs="Arial"/>
                <w:sz w:val="24"/>
                <w:szCs w:val="24"/>
              </w:rPr>
              <w:t xml:space="preserve">. </w:t>
            </w:r>
          </w:p>
        </w:tc>
      </w:tr>
      <w:tr w:rsidR="00807C6E" w:rsidRPr="007333DD" w14:paraId="324E83D4" w14:textId="77777777" w:rsidTr="004C1EAA">
        <w:tc>
          <w:tcPr>
            <w:tcW w:w="2111" w:type="dxa"/>
          </w:tcPr>
          <w:p w14:paraId="40161748" w14:textId="77777777" w:rsidR="00807C6E" w:rsidRPr="007333DD" w:rsidRDefault="00807C6E" w:rsidP="00807C6E">
            <w:pPr>
              <w:spacing w:line="360" w:lineRule="auto"/>
              <w:jc w:val="both"/>
              <w:rPr>
                <w:rFonts w:ascii="Arial" w:hAnsi="Arial" w:cs="Arial"/>
                <w:b/>
                <w:sz w:val="24"/>
                <w:szCs w:val="24"/>
              </w:rPr>
            </w:pPr>
            <w:r w:rsidRPr="007333DD">
              <w:rPr>
                <w:rFonts w:ascii="Arial" w:hAnsi="Arial" w:cs="Arial"/>
                <w:b/>
                <w:sz w:val="24"/>
                <w:szCs w:val="24"/>
              </w:rPr>
              <w:lastRenderedPageBreak/>
              <w:t>Assurance</w:t>
            </w:r>
          </w:p>
        </w:tc>
        <w:tc>
          <w:tcPr>
            <w:tcW w:w="3696" w:type="dxa"/>
          </w:tcPr>
          <w:p w14:paraId="2A87EA9E"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 xml:space="preserve">Ensuring transparent ESG disclosures, backed by resilient, strict budget allocations. </w:t>
            </w:r>
          </w:p>
        </w:tc>
        <w:tc>
          <w:tcPr>
            <w:tcW w:w="3209" w:type="dxa"/>
          </w:tcPr>
          <w:p w14:paraId="3B40717C"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Generated about $5.6 billion EBITDA showcasing 63% of growth in 2025 (</w:t>
            </w:r>
            <w:r w:rsidRPr="007333DD">
              <w:rPr>
                <w:rFonts w:ascii="Arial" w:eastAsia="Arial" w:hAnsi="Arial" w:cs="Arial"/>
              </w:rPr>
              <w:t>BHP, 2026)</w:t>
            </w:r>
            <w:r w:rsidRPr="007333DD">
              <w:rPr>
                <w:rFonts w:ascii="Arial" w:hAnsi="Arial" w:cs="Arial"/>
                <w:sz w:val="24"/>
                <w:szCs w:val="24"/>
              </w:rPr>
              <w:t xml:space="preserve">. </w:t>
            </w:r>
          </w:p>
        </w:tc>
      </w:tr>
      <w:tr w:rsidR="00807C6E" w:rsidRPr="007333DD" w14:paraId="3AB8F523" w14:textId="77777777" w:rsidTr="004C1EAA">
        <w:tc>
          <w:tcPr>
            <w:tcW w:w="2111" w:type="dxa"/>
          </w:tcPr>
          <w:p w14:paraId="0924376F" w14:textId="77777777" w:rsidR="00807C6E" w:rsidRPr="007333DD" w:rsidRDefault="00807C6E" w:rsidP="00807C6E">
            <w:pPr>
              <w:spacing w:line="360" w:lineRule="auto"/>
              <w:jc w:val="both"/>
              <w:rPr>
                <w:rFonts w:ascii="Arial" w:hAnsi="Arial" w:cs="Arial"/>
                <w:b/>
                <w:sz w:val="24"/>
                <w:szCs w:val="24"/>
              </w:rPr>
            </w:pPr>
            <w:r w:rsidRPr="007333DD">
              <w:rPr>
                <w:rFonts w:ascii="Arial" w:hAnsi="Arial" w:cs="Arial"/>
                <w:b/>
                <w:sz w:val="24"/>
                <w:szCs w:val="24"/>
              </w:rPr>
              <w:t>Empathy</w:t>
            </w:r>
          </w:p>
        </w:tc>
        <w:tc>
          <w:tcPr>
            <w:tcW w:w="3696" w:type="dxa"/>
          </w:tcPr>
          <w:p w14:paraId="4D6F4184"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Structural community engagement and proactive economic value.</w:t>
            </w:r>
          </w:p>
        </w:tc>
        <w:tc>
          <w:tcPr>
            <w:tcW w:w="3209" w:type="dxa"/>
          </w:tcPr>
          <w:p w14:paraId="40313487"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Economic contribution of $46.8 billion and $128 million on community in FY2025 (</w:t>
            </w:r>
            <w:r w:rsidRPr="007333DD">
              <w:rPr>
                <w:rFonts w:ascii="Arial" w:eastAsia="Arial" w:hAnsi="Arial" w:cs="Arial"/>
                <w:sz w:val="24"/>
                <w:szCs w:val="24"/>
              </w:rPr>
              <w:t>BHP, 2025)</w:t>
            </w:r>
            <w:r w:rsidRPr="007333DD">
              <w:rPr>
                <w:rFonts w:ascii="Arial" w:hAnsi="Arial" w:cs="Arial"/>
                <w:sz w:val="24"/>
                <w:szCs w:val="24"/>
              </w:rPr>
              <w:t xml:space="preserve">.  </w:t>
            </w:r>
          </w:p>
        </w:tc>
      </w:tr>
      <w:tr w:rsidR="00807C6E" w:rsidRPr="007333DD" w14:paraId="6F505CC1" w14:textId="77777777" w:rsidTr="004C1EAA">
        <w:tc>
          <w:tcPr>
            <w:tcW w:w="2111" w:type="dxa"/>
          </w:tcPr>
          <w:p w14:paraId="64A10E3D" w14:textId="77777777" w:rsidR="00807C6E" w:rsidRPr="007333DD" w:rsidRDefault="00807C6E" w:rsidP="00807C6E">
            <w:pPr>
              <w:spacing w:line="360" w:lineRule="auto"/>
              <w:jc w:val="both"/>
              <w:rPr>
                <w:rFonts w:ascii="Arial" w:hAnsi="Arial" w:cs="Arial"/>
                <w:b/>
                <w:sz w:val="24"/>
                <w:szCs w:val="24"/>
              </w:rPr>
            </w:pPr>
            <w:r w:rsidRPr="007333DD">
              <w:rPr>
                <w:rFonts w:ascii="Arial" w:hAnsi="Arial" w:cs="Arial"/>
                <w:b/>
                <w:sz w:val="24"/>
                <w:szCs w:val="24"/>
              </w:rPr>
              <w:t>Tangibles</w:t>
            </w:r>
          </w:p>
        </w:tc>
        <w:tc>
          <w:tcPr>
            <w:tcW w:w="3696" w:type="dxa"/>
          </w:tcPr>
          <w:p w14:paraId="11AC21CA"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 xml:space="preserve">Investment in digital infrastructure consisting of electrified haulage and real-time tracking.  </w:t>
            </w:r>
          </w:p>
        </w:tc>
        <w:tc>
          <w:tcPr>
            <w:tcW w:w="3209" w:type="dxa"/>
          </w:tcPr>
          <w:p w14:paraId="1398FDE1" w14:textId="77777777" w:rsidR="00807C6E" w:rsidRPr="007333DD" w:rsidRDefault="00807C6E" w:rsidP="00807C6E">
            <w:pPr>
              <w:spacing w:line="360" w:lineRule="auto"/>
              <w:jc w:val="both"/>
              <w:rPr>
                <w:rFonts w:ascii="Arial" w:hAnsi="Arial" w:cs="Arial"/>
                <w:sz w:val="24"/>
                <w:szCs w:val="24"/>
              </w:rPr>
            </w:pPr>
            <w:r w:rsidRPr="007333DD">
              <w:rPr>
                <w:rFonts w:ascii="Arial" w:hAnsi="Arial" w:cs="Arial"/>
                <w:sz w:val="24"/>
                <w:szCs w:val="24"/>
              </w:rPr>
              <w:t>About $10.5 billion is allocated into low emission projects for transforming the operational footprint (</w:t>
            </w:r>
            <w:r w:rsidRPr="007333DD">
              <w:rPr>
                <w:rFonts w:ascii="Arial" w:eastAsia="Arial" w:hAnsi="Arial" w:cs="Arial"/>
                <w:sz w:val="24"/>
                <w:szCs w:val="24"/>
              </w:rPr>
              <w:t>BHP, 2026)</w:t>
            </w:r>
            <w:r w:rsidRPr="007333DD">
              <w:rPr>
                <w:rFonts w:ascii="Arial" w:hAnsi="Arial" w:cs="Arial"/>
                <w:sz w:val="24"/>
                <w:szCs w:val="24"/>
              </w:rPr>
              <w:t xml:space="preserve">. </w:t>
            </w:r>
          </w:p>
        </w:tc>
      </w:tr>
    </w:tbl>
    <w:p w14:paraId="790344E8" w14:textId="77777777" w:rsidR="00807C6E" w:rsidRPr="007333DD" w:rsidRDefault="00807C6E" w:rsidP="00807C6E">
      <w:pPr>
        <w:spacing w:before="240"/>
        <w:jc w:val="center"/>
        <w:rPr>
          <w:b/>
        </w:rPr>
      </w:pPr>
      <w:r w:rsidRPr="007333DD">
        <w:rPr>
          <w:b/>
        </w:rPr>
        <w:t>Table 1: SERVQAL analysis</w:t>
      </w:r>
    </w:p>
    <w:p w14:paraId="7CABDFED" w14:textId="0D776E99" w:rsidR="006B409C" w:rsidRPr="007333DD" w:rsidRDefault="00807C6E" w:rsidP="00807C6E">
      <w:pPr>
        <w:jc w:val="center"/>
      </w:pPr>
      <w:r w:rsidRPr="007333DD">
        <w:t>(Source: Inspired from class material lecture 10, slide 15)</w:t>
      </w:r>
      <w:r w:rsidRPr="007333DD">
        <w:br w:type="page"/>
      </w:r>
    </w:p>
    <w:p w14:paraId="7F7621DD" w14:textId="2BC89C6A" w:rsidR="00A70970" w:rsidRPr="007333DD" w:rsidRDefault="008017AD" w:rsidP="00B75E4F">
      <w:pPr>
        <w:pStyle w:val="Heading1"/>
      </w:pPr>
      <w:bookmarkStart w:id="13" w:name="_Toc235707645"/>
      <w:r w:rsidRPr="007333DD">
        <w:lastRenderedPageBreak/>
        <w:t>Task 3: Critical Reflection on AI Usage</w:t>
      </w:r>
      <w:bookmarkEnd w:id="13"/>
    </w:p>
    <w:p w14:paraId="71FE1364" w14:textId="77777777" w:rsidR="00A70970" w:rsidRPr="007333DD" w:rsidRDefault="008017AD">
      <w:pPr>
        <w:pStyle w:val="Heading2"/>
      </w:pPr>
      <w:bookmarkStart w:id="14" w:name="_Toc235707646"/>
      <w:r w:rsidRPr="007333DD">
        <w:t>Tool disclosure</w:t>
      </w:r>
      <w:bookmarkEnd w:id="14"/>
    </w:p>
    <w:p w14:paraId="3B3AEA20" w14:textId="77777777" w:rsidR="00A70970" w:rsidRPr="007333DD" w:rsidRDefault="008017AD">
      <w:r w:rsidRPr="007333DD">
        <w:t>While executing this task, I have extensively used Google Gemini for finding out quick data and information about different data and information. As can be seen in the figure below, Google Gemini has been quite helpful in finding out the initiatives by the Australian government, Canadian government and the United States government regarding the reduction in GHG emissions. This particular AI-tool has also been used for finding out the benefits of a low carbon business model. In other words, it can also be stated that using the Google Gemini has proved to be quite beneficial in terms of saving time in conducting this report regarding reduction of greenhouse gases. Apart from that, I have also ensured cross-checking of the data and information generated by Google Gemini for maintaining authenticity and reliability in this project.</w:t>
      </w:r>
    </w:p>
    <w:p w14:paraId="5E349EC5" w14:textId="77777777" w:rsidR="00A70970" w:rsidRPr="007333DD" w:rsidRDefault="008017AD">
      <w:pPr>
        <w:jc w:val="center"/>
      </w:pPr>
      <w:r w:rsidRPr="007333DD">
        <w:rPr>
          <w:noProof/>
          <w:lang w:val="en-IN"/>
        </w:rPr>
        <w:drawing>
          <wp:inline distT="114300" distB="114300" distL="114300" distR="114300" wp14:anchorId="3DC46ED3" wp14:editId="636F3FC5">
            <wp:extent cx="5142368" cy="2426329"/>
            <wp:effectExtent l="0" t="0" r="127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8"/>
                    <a:srcRect/>
                    <a:stretch>
                      <a:fillRect/>
                    </a:stretch>
                  </pic:blipFill>
                  <pic:spPr>
                    <a:xfrm>
                      <a:off x="0" y="0"/>
                      <a:ext cx="5148698" cy="2429316"/>
                    </a:xfrm>
                    <a:prstGeom prst="rect">
                      <a:avLst/>
                    </a:prstGeom>
                    <a:ln/>
                  </pic:spPr>
                </pic:pic>
              </a:graphicData>
            </a:graphic>
          </wp:inline>
        </w:drawing>
      </w:r>
    </w:p>
    <w:p w14:paraId="23BBE0E8" w14:textId="0FA88DAB" w:rsidR="00A70970" w:rsidRPr="007333DD" w:rsidRDefault="008017AD">
      <w:pPr>
        <w:jc w:val="center"/>
        <w:rPr>
          <w:b/>
          <w:bCs/>
        </w:rPr>
      </w:pPr>
      <w:r w:rsidRPr="007333DD">
        <w:rPr>
          <w:b/>
          <w:bCs/>
        </w:rPr>
        <w:t xml:space="preserve">Figure </w:t>
      </w:r>
      <w:r w:rsidR="0009289E" w:rsidRPr="007333DD">
        <w:rPr>
          <w:b/>
          <w:bCs/>
        </w:rPr>
        <w:t>19</w:t>
      </w:r>
      <w:r w:rsidRPr="007333DD">
        <w:rPr>
          <w:b/>
          <w:bCs/>
        </w:rPr>
        <w:t>: Prompt on Google Gemini</w:t>
      </w:r>
    </w:p>
    <w:p w14:paraId="79AFE8FD" w14:textId="77777777" w:rsidR="00A70970" w:rsidRPr="007333DD" w:rsidRDefault="008017AD">
      <w:pPr>
        <w:jc w:val="center"/>
      </w:pPr>
      <w:r w:rsidRPr="007333DD">
        <w:t>(Source: Google Gemini, 2026)</w:t>
      </w:r>
    </w:p>
    <w:p w14:paraId="6C8A2167" w14:textId="77777777" w:rsidR="00A70970" w:rsidRPr="007333DD" w:rsidRDefault="008017AD">
      <w:pPr>
        <w:pStyle w:val="Heading2"/>
      </w:pPr>
      <w:bookmarkStart w:id="15" w:name="_Toc235707647"/>
      <w:r w:rsidRPr="007333DD">
        <w:t>Critical evaluation of AI output</w:t>
      </w:r>
      <w:bookmarkEnd w:id="15"/>
    </w:p>
    <w:p w14:paraId="0A30510D" w14:textId="77777777" w:rsidR="00A70970" w:rsidRPr="007333DD" w:rsidRDefault="008017AD">
      <w:r w:rsidRPr="007333DD">
        <w:t xml:space="preserve">There are several instances, where Google Gemini has answered my questions in a generic format that too with inauthentic references and citations. Hence, in this case, I have focused on ensuring proper cross-checking of the collected data so that reliability can be incorporated within the report in every possible manner. On the contrary, it is evident that the </w:t>
      </w:r>
      <w:proofErr w:type="spellStart"/>
      <w:r w:rsidRPr="007333DD">
        <w:t>numericals</w:t>
      </w:r>
      <w:proofErr w:type="spellEnd"/>
      <w:r w:rsidRPr="007333DD">
        <w:t xml:space="preserve"> presented by Gemini were quite different </w:t>
      </w:r>
      <w:r w:rsidRPr="007333DD">
        <w:lastRenderedPageBreak/>
        <w:t>compared to that of authentic sources such as news articles, websites, annual reports and company reports. In such a situation, it can be stated that though AI-tools can be quite beneficial in finding out the basic data regarding a particular topic, the same needs to be cross-checked in a proper way for maintaining authenticity in every possible way.</w:t>
      </w:r>
    </w:p>
    <w:p w14:paraId="7AA21119" w14:textId="77777777" w:rsidR="00A70970" w:rsidRPr="007333DD" w:rsidRDefault="008017AD">
      <w:pPr>
        <w:pStyle w:val="Heading2"/>
      </w:pPr>
      <w:bookmarkStart w:id="16" w:name="_Toc235707648"/>
      <w:r w:rsidRPr="007333DD">
        <w:t>Contribution analysis</w:t>
      </w:r>
      <w:bookmarkEnd w:id="16"/>
    </w:p>
    <w:p w14:paraId="3676E0D2" w14:textId="77777777" w:rsidR="00A70970" w:rsidRPr="007333DD" w:rsidRDefault="008017AD">
      <w:r w:rsidRPr="007333DD">
        <w:t xml:space="preserve">At the very first stage of this project, the assignment brief was uploaded to Google Gemini for developing an appropriate structure. In this case, it is observed that in point 3.1, Gemini has suggested </w:t>
      </w:r>
      <w:r w:rsidRPr="007333DD">
        <w:rPr>
          <w:i/>
          <w:iCs/>
        </w:rPr>
        <w:t xml:space="preserve">‘output verification’ </w:t>
      </w:r>
      <w:r w:rsidRPr="007333DD">
        <w:t>instead of contribution analysis. Further, it is also noticed that in the AI-generated structure, there was nothing new compared to the assignment brief. On the contrary, considering the used structure in this report, it has critically analysed the current situation of greenhouse emissions in different countries such as Australia, Canada and the United States so that the current standings of BHP can be determined in a proper way. Further, models such as Ansoff Matrix, Porter’s Generic Strategies, Porter’s Five Forces and Positioning have been used in this report for determining the future strategies of BHP in the concerned international markets. Hence, it can be stated that the manual structure is way better compared to that of the AI-generated structure in many ways.</w:t>
      </w:r>
    </w:p>
    <w:p w14:paraId="099BB222" w14:textId="77777777" w:rsidR="00A70970" w:rsidRPr="007333DD" w:rsidRDefault="008017AD">
      <w:pPr>
        <w:jc w:val="center"/>
      </w:pPr>
      <w:r w:rsidRPr="007333DD">
        <w:rPr>
          <w:noProof/>
          <w:lang w:val="en-IN"/>
        </w:rPr>
        <w:drawing>
          <wp:inline distT="114300" distB="114300" distL="114300" distR="114300" wp14:anchorId="2709B1AB" wp14:editId="6F09D9D2">
            <wp:extent cx="4689695" cy="2824681"/>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9"/>
                    <a:srcRect/>
                    <a:stretch>
                      <a:fillRect/>
                    </a:stretch>
                  </pic:blipFill>
                  <pic:spPr>
                    <a:xfrm>
                      <a:off x="0" y="0"/>
                      <a:ext cx="4691246" cy="2825615"/>
                    </a:xfrm>
                    <a:prstGeom prst="rect">
                      <a:avLst/>
                    </a:prstGeom>
                    <a:ln/>
                  </pic:spPr>
                </pic:pic>
              </a:graphicData>
            </a:graphic>
          </wp:inline>
        </w:drawing>
      </w:r>
    </w:p>
    <w:p w14:paraId="350D6DA9" w14:textId="6F9FE80B" w:rsidR="00A70970" w:rsidRPr="007333DD" w:rsidRDefault="008017AD">
      <w:pPr>
        <w:jc w:val="center"/>
        <w:rPr>
          <w:b/>
          <w:bCs/>
        </w:rPr>
      </w:pPr>
      <w:r w:rsidRPr="007333DD">
        <w:rPr>
          <w:b/>
          <w:bCs/>
        </w:rPr>
        <w:t xml:space="preserve">Figure </w:t>
      </w:r>
      <w:r w:rsidR="0009289E" w:rsidRPr="007333DD">
        <w:rPr>
          <w:b/>
          <w:bCs/>
        </w:rPr>
        <w:t>20</w:t>
      </w:r>
      <w:r w:rsidRPr="007333DD">
        <w:rPr>
          <w:b/>
          <w:bCs/>
        </w:rPr>
        <w:t>: Developing structure using Google Gemini</w:t>
      </w:r>
    </w:p>
    <w:p w14:paraId="5F34C5C8" w14:textId="77777777" w:rsidR="00A70970" w:rsidRPr="007333DD" w:rsidRDefault="008017AD">
      <w:pPr>
        <w:jc w:val="center"/>
      </w:pPr>
      <w:r w:rsidRPr="007333DD">
        <w:t>(Source: Google Gemini, 2026)</w:t>
      </w:r>
    </w:p>
    <w:p w14:paraId="06947E40" w14:textId="77777777" w:rsidR="00A70970" w:rsidRPr="007333DD" w:rsidRDefault="008017AD">
      <w:pPr>
        <w:pStyle w:val="Heading2"/>
      </w:pPr>
      <w:bookmarkStart w:id="17" w:name="_Toc235707649"/>
      <w:r w:rsidRPr="007333DD">
        <w:lastRenderedPageBreak/>
        <w:t>Ethical and professional reflection</w:t>
      </w:r>
      <w:bookmarkEnd w:id="17"/>
    </w:p>
    <w:p w14:paraId="0CBE198F" w14:textId="3E9A67A9" w:rsidR="00EE0D6C" w:rsidRPr="007333DD" w:rsidRDefault="008017AD" w:rsidP="00EE0D6C">
      <w:r w:rsidRPr="007333DD">
        <w:t>Considering the ethics and professional reflection, the results generated by the AI-tools were not trusted and used blindly but were rechecked and re-assured from reliable sources for maintaining authenticity in every possible form. In many cases, it is evident that a failure to perform such fact-checks can result in misinformation which further can make the report lucid and inauthentic in nature.</w:t>
      </w:r>
      <w:bookmarkStart w:id="18" w:name="_83kduoo9z1if" w:colFirst="0" w:colLast="0"/>
      <w:bookmarkEnd w:id="18"/>
    </w:p>
    <w:p w14:paraId="448790BE" w14:textId="77777777" w:rsidR="00EE0D6C" w:rsidRPr="007333DD" w:rsidRDefault="00EE0D6C">
      <w:r w:rsidRPr="007333DD">
        <w:br w:type="page"/>
      </w:r>
    </w:p>
    <w:p w14:paraId="31F27C61" w14:textId="0922FC47" w:rsidR="00A70970" w:rsidRPr="007333DD" w:rsidRDefault="00EE0D6C" w:rsidP="00EE0D6C">
      <w:pPr>
        <w:pStyle w:val="Heading1"/>
      </w:pPr>
      <w:bookmarkStart w:id="19" w:name="_Toc235707650"/>
      <w:r w:rsidRPr="007333DD">
        <w:lastRenderedPageBreak/>
        <w:t>Conclusion</w:t>
      </w:r>
      <w:bookmarkEnd w:id="19"/>
      <w:r w:rsidRPr="007333DD">
        <w:t xml:space="preserve"> </w:t>
      </w:r>
    </w:p>
    <w:p w14:paraId="0980F388" w14:textId="44A8D631" w:rsidR="00EE0D6C" w:rsidRPr="007333DD" w:rsidRDefault="00470E09">
      <w:pPr>
        <w:rPr>
          <w:b/>
          <w:bCs/>
          <w:sz w:val="28"/>
          <w:szCs w:val="28"/>
        </w:rPr>
      </w:pPr>
      <w:r w:rsidRPr="007333DD">
        <w:t xml:space="preserve">In conclusion, the low-cost operations and strong market position of BHP provides it with a solid foundation to operate around the tightening global carbon regulations in Australia, the US, and Canada. </w:t>
      </w:r>
      <w:r w:rsidR="005A6FFD" w:rsidRPr="007333DD">
        <w:t xml:space="preserve">The usage of the market penetration strategy can be effective for BHP to differentiate its portfolio through mineral traceability and green iron. Focusing on service-driven and low-carbon business model can be effective for overcoming regulatory risks and securing long-term competitive advantage. </w:t>
      </w:r>
      <w:r w:rsidR="00EE0D6C" w:rsidRPr="007333DD">
        <w:br w:type="page"/>
      </w:r>
    </w:p>
    <w:p w14:paraId="73E73D77" w14:textId="42B3DF0E" w:rsidR="00A70970" w:rsidRPr="007333DD" w:rsidRDefault="008017AD">
      <w:pPr>
        <w:pStyle w:val="Heading1"/>
      </w:pPr>
      <w:bookmarkStart w:id="20" w:name="_Toc235707651"/>
      <w:r w:rsidRPr="007333DD">
        <w:lastRenderedPageBreak/>
        <w:t>Reference list</w:t>
      </w:r>
      <w:bookmarkEnd w:id="20"/>
    </w:p>
    <w:p w14:paraId="5A5C9872" w14:textId="77777777" w:rsidR="00A34648" w:rsidRPr="007333DD" w:rsidRDefault="00A34648" w:rsidP="007C24C9">
      <w:pPr>
        <w:rPr>
          <w:shd w:val="clear" w:color="auto" w:fill="FFFFFF"/>
        </w:rPr>
      </w:pPr>
      <w:r w:rsidRPr="007333DD">
        <w:rPr>
          <w:shd w:val="clear" w:color="auto" w:fill="FFFFFF"/>
        </w:rPr>
        <w:t xml:space="preserve">Aditiya, S. and Kirana, D.H.K. (2025). </w:t>
      </w:r>
      <w:proofErr w:type="spellStart"/>
      <w:r w:rsidRPr="007333DD">
        <w:rPr>
          <w:shd w:val="clear" w:color="auto" w:fill="FFFFFF"/>
        </w:rPr>
        <w:t>Smarteye</w:t>
      </w:r>
      <w:proofErr w:type="spellEnd"/>
      <w:r w:rsidRPr="007333DD">
        <w:rPr>
          <w:shd w:val="clear" w:color="auto" w:fill="FFFFFF"/>
        </w:rPr>
        <w:t>. id’s Business Expansion Strategy for Global Market Penetration through the Ansoff Matrix. </w:t>
      </w:r>
      <w:r w:rsidRPr="007333DD">
        <w:rPr>
          <w:i/>
          <w:iCs/>
          <w:shd w:val="clear" w:color="auto" w:fill="FFFFFF"/>
        </w:rPr>
        <w:t>International Journal of Management and Business Economics</w:t>
      </w:r>
      <w:r w:rsidRPr="007333DD">
        <w:rPr>
          <w:shd w:val="clear" w:color="auto" w:fill="FFFFFF"/>
        </w:rPr>
        <w:t>, </w:t>
      </w:r>
      <w:r w:rsidRPr="007333DD">
        <w:rPr>
          <w:i/>
          <w:iCs/>
          <w:shd w:val="clear" w:color="auto" w:fill="FFFFFF"/>
        </w:rPr>
        <w:t>3</w:t>
      </w:r>
      <w:r w:rsidRPr="007333DD">
        <w:rPr>
          <w:shd w:val="clear" w:color="auto" w:fill="FFFFFF"/>
        </w:rPr>
        <w:t xml:space="preserve">(2), pp.60-65. </w:t>
      </w:r>
      <w:hyperlink r:id="rId30" w:history="1">
        <w:r w:rsidRPr="007333DD">
          <w:rPr>
            <w:rStyle w:val="Hyperlink"/>
            <w:color w:val="auto"/>
            <w:shd w:val="clear" w:color="auto" w:fill="FFFFFF"/>
          </w:rPr>
          <w:t>https://doi.org/10.58540/ijmebe.v3i2.705</w:t>
        </w:r>
      </w:hyperlink>
      <w:r w:rsidRPr="007333DD">
        <w:rPr>
          <w:shd w:val="clear" w:color="auto" w:fill="FFFFFF"/>
        </w:rPr>
        <w:t xml:space="preserve"> </w:t>
      </w:r>
    </w:p>
    <w:p w14:paraId="2D513E8F" w14:textId="77777777" w:rsidR="00A34648" w:rsidRPr="007333DD" w:rsidRDefault="00A34648">
      <w:r w:rsidRPr="007333DD">
        <w:t xml:space="preserve">Australian Institute of Packaging (2025). </w:t>
      </w:r>
      <w:r w:rsidRPr="007333DD">
        <w:rPr>
          <w:i/>
          <w:iCs/>
        </w:rPr>
        <w:t xml:space="preserve">32% of urban Australians prefer products that in eco-friendly packaging. </w:t>
      </w:r>
      <w:r w:rsidRPr="007333DD">
        <w:t xml:space="preserve">[Online]. Available at: </w:t>
      </w:r>
      <w:hyperlink r:id="rId31">
        <w:r w:rsidRPr="007333DD">
          <w:rPr>
            <w:u w:val="single"/>
          </w:rPr>
          <w:t>https://aipack.com.au/32-of-urban-australians-prefer-products-that-in-eco-friendly-packaging/</w:t>
        </w:r>
      </w:hyperlink>
      <w:r w:rsidRPr="007333DD">
        <w:t xml:space="preserve"> [Accessed on: 04 July 2026]</w:t>
      </w:r>
    </w:p>
    <w:p w14:paraId="20D9B211" w14:textId="77777777" w:rsidR="00A34648" w:rsidRPr="007333DD" w:rsidRDefault="00A34648" w:rsidP="007C24C9">
      <w:pPr>
        <w:rPr>
          <w:i/>
          <w:iCs/>
        </w:rPr>
      </w:pPr>
      <w:r w:rsidRPr="007333DD">
        <w:t xml:space="preserve">BHP (2023). </w:t>
      </w:r>
      <w:r w:rsidRPr="007333DD">
        <w:rPr>
          <w:i/>
          <w:iCs/>
        </w:rPr>
        <w:t xml:space="preserve">Independent Reasonable Assurance Report to the Management and Directors of BHP Group Limited and BHP Olympic Dam Corporation Pty Ltd. </w:t>
      </w:r>
      <w:r w:rsidRPr="007333DD">
        <w:t xml:space="preserve">[Online]. Available at: </w:t>
      </w:r>
      <w:hyperlink r:id="rId32" w:history="1">
        <w:r w:rsidRPr="007333DD">
          <w:rPr>
            <w:rStyle w:val="Hyperlink"/>
            <w:color w:val="auto"/>
          </w:rPr>
          <w:t>https://www.bhp.com/-/media/project/bhp1ip/bhp-com-en/documents/sustainability/2023/bhp-copper-mark-assurance-statement---olympic-dam.pdf</w:t>
        </w:r>
      </w:hyperlink>
      <w:r w:rsidRPr="007333DD">
        <w:t xml:space="preserve"> [Accessed on: 08 July 2026]</w:t>
      </w:r>
    </w:p>
    <w:p w14:paraId="5A90FFE7" w14:textId="77777777" w:rsidR="00A34648" w:rsidRPr="007333DD" w:rsidRDefault="00A34648" w:rsidP="007C24C9">
      <w:r w:rsidRPr="007333DD">
        <w:t xml:space="preserve">BHP (2025). </w:t>
      </w:r>
      <w:r w:rsidRPr="007333DD">
        <w:rPr>
          <w:i/>
          <w:iCs/>
        </w:rPr>
        <w:t xml:space="preserve">Economic Contribution Report 2025. </w:t>
      </w:r>
      <w:r w:rsidRPr="007333DD">
        <w:t xml:space="preserve">[Online]. Available at: </w:t>
      </w:r>
      <w:hyperlink r:id="rId33" w:history="1">
        <w:r w:rsidRPr="007333DD">
          <w:rPr>
            <w:rStyle w:val="Hyperlink"/>
            <w:color w:val="auto"/>
          </w:rPr>
          <w:t>https://www.bhp.com/-/media/documents/investors/annual-reports/2025/250819_bhpeconomiccontributionreport2025.pdf</w:t>
        </w:r>
      </w:hyperlink>
      <w:r w:rsidRPr="007333DD">
        <w:t xml:space="preserve"> [Accessed on: 08 July 2026]</w:t>
      </w:r>
    </w:p>
    <w:p w14:paraId="07B636EF" w14:textId="77777777" w:rsidR="00A34648" w:rsidRPr="007333DD" w:rsidRDefault="00A34648" w:rsidP="007C24C9">
      <w:r w:rsidRPr="007333DD">
        <w:t xml:space="preserve">BHP (2025). </w:t>
      </w:r>
      <w:r w:rsidRPr="007333DD">
        <w:rPr>
          <w:i/>
          <w:iCs/>
        </w:rPr>
        <w:t xml:space="preserve">Operational review for the year ended 30 June 2025. </w:t>
      </w:r>
      <w:r w:rsidRPr="007333DD">
        <w:t>[Online]. Available at:</w:t>
      </w:r>
      <w:hyperlink r:id="rId34">
        <w:r w:rsidRPr="007333DD">
          <w:t xml:space="preserve"> </w:t>
        </w:r>
      </w:hyperlink>
      <w:hyperlink r:id="rId35" w:history="1">
        <w:r w:rsidRPr="007333DD">
          <w:rPr>
            <w:rStyle w:val="Hyperlink"/>
            <w:color w:val="auto"/>
          </w:rPr>
          <w:t>https://www.bhp.com/-/media/documents/media/reports-and-presentations/2026/260217_bhpresultsforthehalfyearended31dec2025_exchangerelease.pdf</w:t>
        </w:r>
      </w:hyperlink>
      <w:r w:rsidRPr="007333DD">
        <w:t xml:space="preserve"> [Accessed on: 08 July 2026]</w:t>
      </w:r>
    </w:p>
    <w:p w14:paraId="74662585" w14:textId="77777777" w:rsidR="00A34648" w:rsidRPr="007333DD" w:rsidRDefault="00A34648">
      <w:r w:rsidRPr="007333DD">
        <w:t xml:space="preserve">BHP (2025). </w:t>
      </w:r>
      <w:r w:rsidRPr="007333DD">
        <w:rPr>
          <w:i/>
          <w:iCs/>
        </w:rPr>
        <w:t xml:space="preserve">Our GHG emission reduction targets and goals. </w:t>
      </w:r>
      <w:r w:rsidRPr="007333DD">
        <w:t xml:space="preserve">[Online]. Available at: </w:t>
      </w:r>
      <w:hyperlink r:id="rId36">
        <w:r w:rsidRPr="007333DD">
          <w:rPr>
            <w:u w:val="single"/>
          </w:rPr>
          <w:t>https://www.bhp.com/-/media/documents/environment/2022/220721_bhp_decarbonisation_strategy.pdf</w:t>
        </w:r>
      </w:hyperlink>
      <w:r w:rsidRPr="007333DD">
        <w:t xml:space="preserve"> [Accessed on: 04 July 2026]</w:t>
      </w:r>
    </w:p>
    <w:p w14:paraId="0DBA5016" w14:textId="77777777" w:rsidR="00A34648" w:rsidRPr="007333DD" w:rsidRDefault="00A34648" w:rsidP="007C24C9">
      <w:r w:rsidRPr="007333DD">
        <w:t xml:space="preserve">BHP (2026). </w:t>
      </w:r>
      <w:r w:rsidRPr="007333DD">
        <w:rPr>
          <w:i/>
          <w:iCs/>
        </w:rPr>
        <w:t xml:space="preserve">About us. </w:t>
      </w:r>
      <w:r w:rsidRPr="007333DD">
        <w:t xml:space="preserve">[Online]. Available at: </w:t>
      </w:r>
      <w:hyperlink r:id="rId37" w:history="1">
        <w:r w:rsidRPr="007333DD">
          <w:rPr>
            <w:rStyle w:val="Hyperlink"/>
            <w:color w:val="auto"/>
          </w:rPr>
          <w:t>https://www.bhp.com/about</w:t>
        </w:r>
      </w:hyperlink>
      <w:r w:rsidRPr="007333DD">
        <w:t xml:space="preserve"> [Accessed on: 08 July 2026]</w:t>
      </w:r>
    </w:p>
    <w:p w14:paraId="3F9F1DB4" w14:textId="77777777" w:rsidR="00A34648" w:rsidRPr="007333DD" w:rsidRDefault="00A34648" w:rsidP="007C24C9">
      <w:r w:rsidRPr="007333DD">
        <w:t xml:space="preserve">BHP (2026). </w:t>
      </w:r>
      <w:r w:rsidRPr="007333DD">
        <w:rPr>
          <w:i/>
          <w:iCs/>
        </w:rPr>
        <w:t xml:space="preserve">Decarbonising our operations, responsibly and transparently. </w:t>
      </w:r>
      <w:r w:rsidRPr="007333DD">
        <w:t>[Online]. Available at:</w:t>
      </w:r>
      <w:hyperlink r:id="rId38">
        <w:r w:rsidRPr="007333DD">
          <w:t xml:space="preserve"> </w:t>
        </w:r>
      </w:hyperlink>
      <w:hyperlink r:id="rId39" w:history="1">
        <w:r w:rsidRPr="007333DD">
          <w:rPr>
            <w:rStyle w:val="Hyperlink"/>
            <w:color w:val="auto"/>
          </w:rPr>
          <w:t>https://www.bhp.com/about/progress</w:t>
        </w:r>
      </w:hyperlink>
      <w:r w:rsidRPr="007333DD">
        <w:t xml:space="preserve"> [Accessed on: 05 July 2026]</w:t>
      </w:r>
    </w:p>
    <w:p w14:paraId="564367B1" w14:textId="77777777" w:rsidR="00A34648" w:rsidRPr="007333DD" w:rsidRDefault="00A34648" w:rsidP="007C24C9">
      <w:r w:rsidRPr="007333DD">
        <w:lastRenderedPageBreak/>
        <w:t xml:space="preserve">BHP (2026). </w:t>
      </w:r>
      <w:r w:rsidRPr="007333DD">
        <w:rPr>
          <w:i/>
          <w:iCs/>
        </w:rPr>
        <w:t xml:space="preserve">The future is clear. It's happening now.. </w:t>
      </w:r>
      <w:r w:rsidRPr="007333DD">
        <w:t xml:space="preserve">[Online]. Available at: </w:t>
      </w:r>
      <w:hyperlink r:id="rId40" w:history="1">
        <w:r w:rsidRPr="007333DD">
          <w:rPr>
            <w:rStyle w:val="Hyperlink"/>
            <w:iCs/>
            <w:color w:val="auto"/>
          </w:rPr>
          <w:t>https://www.bhp.com/about/the-future-is-clear/better-future</w:t>
        </w:r>
      </w:hyperlink>
      <w:r w:rsidRPr="007333DD">
        <w:rPr>
          <w:iCs/>
        </w:rPr>
        <w:t xml:space="preserve"> </w:t>
      </w:r>
      <w:r w:rsidRPr="007333DD">
        <w:t>[Accessed on: 08 July 2026]</w:t>
      </w:r>
    </w:p>
    <w:p w14:paraId="72EDE151" w14:textId="77777777" w:rsidR="00A34648" w:rsidRPr="007333DD" w:rsidRDefault="00A34648">
      <w:r w:rsidRPr="007333DD">
        <w:t xml:space="preserve">Canadian Steel (2025). </w:t>
      </w:r>
      <w:r w:rsidRPr="007333DD">
        <w:rPr>
          <w:i/>
          <w:iCs/>
        </w:rPr>
        <w:t xml:space="preserve">Canada's Steel Industry: A SUSTAINABLE CHOICE. </w:t>
      </w:r>
      <w:r w:rsidRPr="007333DD">
        <w:t xml:space="preserve">[Online]. Available at: </w:t>
      </w:r>
      <w:hyperlink r:id="rId41">
        <w:r w:rsidRPr="007333DD">
          <w:rPr>
            <w:u w:val="single"/>
          </w:rPr>
          <w:t>https://canadiansteel.ca/files/resources/CSPA_Climate-Call-to-Action-EN.pdf</w:t>
        </w:r>
      </w:hyperlink>
      <w:r w:rsidRPr="007333DD">
        <w:t xml:space="preserve"> [Accessed on: 04 July 2026]</w:t>
      </w:r>
    </w:p>
    <w:p w14:paraId="2AE9CF79" w14:textId="77777777" w:rsidR="00A34648" w:rsidRPr="007333DD" w:rsidRDefault="00A34648">
      <w:r w:rsidRPr="007333DD">
        <w:t xml:space="preserve">Climate Action Tracker (2025 b). </w:t>
      </w:r>
      <w:r w:rsidRPr="007333DD">
        <w:rPr>
          <w:i/>
          <w:iCs/>
        </w:rPr>
        <w:t xml:space="preserve">Canada. </w:t>
      </w:r>
      <w:r w:rsidRPr="007333DD">
        <w:t xml:space="preserve">[Online]. Available at: </w:t>
      </w:r>
      <w:hyperlink r:id="rId42">
        <w:r w:rsidRPr="007333DD">
          <w:rPr>
            <w:u w:val="single"/>
          </w:rPr>
          <w:t>https://climateactiontracker.org/countries/canada/policies-action/</w:t>
        </w:r>
      </w:hyperlink>
      <w:r w:rsidRPr="007333DD">
        <w:t xml:space="preserve"> [Accessed on: 03 July 2026]</w:t>
      </w:r>
    </w:p>
    <w:p w14:paraId="66C90FEC" w14:textId="77777777" w:rsidR="00A34648" w:rsidRPr="007333DD" w:rsidRDefault="00A34648">
      <w:r w:rsidRPr="007333DD">
        <w:t xml:space="preserve">Climate Action Tracker (2025 c). </w:t>
      </w:r>
      <w:r w:rsidRPr="007333DD">
        <w:rPr>
          <w:i/>
          <w:iCs/>
        </w:rPr>
        <w:t xml:space="preserve">USA. </w:t>
      </w:r>
      <w:r w:rsidRPr="007333DD">
        <w:t xml:space="preserve">[Online]. Available at: </w:t>
      </w:r>
      <w:hyperlink r:id="rId43">
        <w:r w:rsidRPr="007333DD">
          <w:rPr>
            <w:u w:val="single"/>
          </w:rPr>
          <w:t>https://climateactiontracker.org/countries/usa/policies-action/</w:t>
        </w:r>
      </w:hyperlink>
      <w:r w:rsidRPr="007333DD">
        <w:t xml:space="preserve"> [Accessed on: 03 July 2026]</w:t>
      </w:r>
    </w:p>
    <w:p w14:paraId="4A74CF10" w14:textId="77777777" w:rsidR="00A34648" w:rsidRPr="007333DD" w:rsidRDefault="00A34648">
      <w:r w:rsidRPr="007333DD">
        <w:t xml:space="preserve">Climate Action Tracker (2025). </w:t>
      </w:r>
      <w:r w:rsidRPr="007333DD">
        <w:rPr>
          <w:i/>
          <w:iCs/>
        </w:rPr>
        <w:t xml:space="preserve">Australia. </w:t>
      </w:r>
      <w:r w:rsidRPr="007333DD">
        <w:t xml:space="preserve">[Online]. Available at: </w:t>
      </w:r>
      <w:hyperlink r:id="rId44">
        <w:r w:rsidRPr="007333DD">
          <w:rPr>
            <w:u w:val="single"/>
          </w:rPr>
          <w:t>https://climateactiontracker.org/countries/australia/</w:t>
        </w:r>
      </w:hyperlink>
      <w:r w:rsidRPr="007333DD">
        <w:t xml:space="preserve"> [Accessed on: 03 July 2026]</w:t>
      </w:r>
    </w:p>
    <w:p w14:paraId="7E387C17" w14:textId="77777777" w:rsidR="00A34648" w:rsidRPr="007333DD" w:rsidRDefault="00A34648" w:rsidP="007C24C9">
      <w:r w:rsidRPr="007333DD">
        <w:t xml:space="preserve">DCCEEW (2025). </w:t>
      </w:r>
      <w:r w:rsidRPr="007333DD">
        <w:rPr>
          <w:i/>
          <w:iCs/>
        </w:rPr>
        <w:t xml:space="preserve">Net Zero. </w:t>
      </w:r>
      <w:r w:rsidRPr="007333DD">
        <w:t>[Online]. Available at:</w:t>
      </w:r>
      <w:hyperlink r:id="rId45">
        <w:r w:rsidRPr="007333DD">
          <w:t xml:space="preserve"> </w:t>
        </w:r>
      </w:hyperlink>
      <w:hyperlink r:id="rId46" w:history="1">
        <w:r w:rsidRPr="007333DD">
          <w:rPr>
            <w:rStyle w:val="Hyperlink"/>
            <w:color w:val="auto"/>
          </w:rPr>
          <w:t>https://www.dcceew.gov.au/climate-change/emissions-reduction/net-zero</w:t>
        </w:r>
      </w:hyperlink>
      <w:r w:rsidRPr="007333DD">
        <w:t xml:space="preserve"> [Accessed on: 05 July 2026]</w:t>
      </w:r>
    </w:p>
    <w:p w14:paraId="57FD720B" w14:textId="77777777" w:rsidR="00A34648" w:rsidRPr="007333DD" w:rsidRDefault="00A34648">
      <w:r w:rsidRPr="007333DD">
        <w:t xml:space="preserve">EPA (2025). </w:t>
      </w:r>
      <w:r w:rsidRPr="007333DD">
        <w:rPr>
          <w:i/>
          <w:iCs/>
        </w:rPr>
        <w:t xml:space="preserve">Climate Change Regulatory Actions and Initiatives. </w:t>
      </w:r>
      <w:r w:rsidRPr="007333DD">
        <w:t xml:space="preserve">[Online]. Available at: </w:t>
      </w:r>
      <w:hyperlink r:id="rId47">
        <w:r w:rsidRPr="007333DD">
          <w:rPr>
            <w:u w:val="single"/>
          </w:rPr>
          <w:t>https://www.epa.gov/climate-change/climate-change-regulatory-actions-and-initiatives</w:t>
        </w:r>
      </w:hyperlink>
      <w:r w:rsidRPr="007333DD">
        <w:t xml:space="preserve"> [Accessed on: 03 July 2026]</w:t>
      </w:r>
    </w:p>
    <w:p w14:paraId="310CFB38" w14:textId="77777777" w:rsidR="00A34648" w:rsidRPr="007333DD" w:rsidRDefault="00A34648">
      <w:r w:rsidRPr="007333DD">
        <w:t xml:space="preserve">Forbes (2026). </w:t>
      </w:r>
      <w:r w:rsidRPr="007333DD">
        <w:rPr>
          <w:i/>
          <w:iCs/>
        </w:rPr>
        <w:t xml:space="preserve">BHP Group. </w:t>
      </w:r>
      <w:r w:rsidRPr="007333DD">
        <w:t xml:space="preserve">[Online]. Available at: </w:t>
      </w:r>
      <w:hyperlink r:id="rId48" w:history="1">
        <w:r w:rsidRPr="007333DD">
          <w:rPr>
            <w:rStyle w:val="Hyperlink"/>
            <w:color w:val="auto"/>
          </w:rPr>
          <w:t>https://www.forbes.com/companies/bhp-group/</w:t>
        </w:r>
      </w:hyperlink>
      <w:r w:rsidRPr="007333DD">
        <w:t xml:space="preserve"> [Accessed on: 07 July 2026]</w:t>
      </w:r>
    </w:p>
    <w:p w14:paraId="5A0E6A69" w14:textId="77777777" w:rsidR="00A34648" w:rsidRPr="007333DD" w:rsidRDefault="00A34648">
      <w:r w:rsidRPr="007333DD">
        <w:t xml:space="preserve">Ford, N. (2026). </w:t>
      </w:r>
      <w:r w:rsidRPr="007333DD">
        <w:rPr>
          <w:i/>
          <w:iCs/>
        </w:rPr>
        <w:t xml:space="preserve">Canada carves role for gas in clean power grid strategy. </w:t>
      </w:r>
      <w:r w:rsidRPr="007333DD">
        <w:t xml:space="preserve">[Online]. Available at: </w:t>
      </w:r>
      <w:hyperlink r:id="rId49">
        <w:r w:rsidRPr="007333DD">
          <w:rPr>
            <w:u w:val="single"/>
          </w:rPr>
          <w:t>https://www.reuters.com/business/energy/canada-carves-role-gas-clean-power-grid-strategy--reeii-2026-07-07/</w:t>
        </w:r>
      </w:hyperlink>
      <w:r w:rsidRPr="007333DD">
        <w:t xml:space="preserve"> [Accessed on: 03 July 2026]</w:t>
      </w:r>
    </w:p>
    <w:p w14:paraId="76151A87" w14:textId="77777777" w:rsidR="00A34648" w:rsidRPr="007333DD" w:rsidRDefault="00A34648">
      <w:r w:rsidRPr="007333DD">
        <w:t xml:space="preserve">Gibson, E. (2026). </w:t>
      </w:r>
      <w:r w:rsidRPr="007333DD">
        <w:rPr>
          <w:i/>
          <w:iCs/>
        </w:rPr>
        <w:t xml:space="preserve">EPBC Act reforms: disclosure of greenhouse gas emissions information. </w:t>
      </w:r>
      <w:r w:rsidRPr="007333DD">
        <w:t xml:space="preserve">[Online]. Available at: </w:t>
      </w:r>
      <w:hyperlink r:id="rId50">
        <w:r w:rsidRPr="007333DD">
          <w:rPr>
            <w:u w:val="single"/>
          </w:rPr>
          <w:t>https://www.aph.gov.au/About_Parliament/Parliamentary_departments/Parliamentar</w:t>
        </w:r>
        <w:r w:rsidRPr="007333DD">
          <w:rPr>
            <w:u w:val="single"/>
          </w:rPr>
          <w:lastRenderedPageBreak/>
          <w:t>y_Library/Research/FlagPost/2026/April/EPBC_Act_reforms_-_disclosure_of_greenhouse_gas_emissions_information</w:t>
        </w:r>
      </w:hyperlink>
      <w:r w:rsidRPr="007333DD">
        <w:t xml:space="preserve"> [Accessed on: 03 July 2026]</w:t>
      </w:r>
    </w:p>
    <w:p w14:paraId="22A7ABD3" w14:textId="77777777" w:rsidR="00A34648" w:rsidRPr="007333DD" w:rsidRDefault="00A34648">
      <w:r w:rsidRPr="007333DD">
        <w:t xml:space="preserve">Government of Canada (2025 b). </w:t>
      </w:r>
      <w:r w:rsidRPr="007333DD">
        <w:rPr>
          <w:i/>
          <w:iCs/>
        </w:rPr>
        <w:t xml:space="preserve">Canada’s Steel Industry aiming for net zero CO2 by 2050. </w:t>
      </w:r>
      <w:r w:rsidRPr="007333DD">
        <w:t xml:space="preserve">[Online]. Available at: </w:t>
      </w:r>
      <w:hyperlink r:id="rId51">
        <w:r w:rsidRPr="007333DD">
          <w:rPr>
            <w:u w:val="single"/>
          </w:rPr>
          <w:t>https://natural-resources.canada.ca/stories/cipec-news/canada-s-steel-industry-aiming-net-zero-co2-2050</w:t>
        </w:r>
      </w:hyperlink>
      <w:r w:rsidRPr="007333DD">
        <w:t xml:space="preserve"> [Accessed on: 04 July 2026]</w:t>
      </w:r>
    </w:p>
    <w:p w14:paraId="15777E05" w14:textId="77777777" w:rsidR="00A34648" w:rsidRPr="007333DD" w:rsidRDefault="00A34648">
      <w:r w:rsidRPr="007333DD">
        <w:t xml:space="preserve">Government of Canada (2025). </w:t>
      </w:r>
      <w:r w:rsidRPr="007333DD">
        <w:rPr>
          <w:i/>
          <w:iCs/>
        </w:rPr>
        <w:t xml:space="preserve">Greenhouse gas emissions. </w:t>
      </w:r>
      <w:r w:rsidRPr="007333DD">
        <w:t xml:space="preserve">[Online]. Available at: </w:t>
      </w:r>
      <w:hyperlink r:id="rId52">
        <w:r w:rsidRPr="007333DD">
          <w:rPr>
            <w:u w:val="single"/>
          </w:rPr>
          <w:t>https://www.canada.ca/en/environment-climate-change/services/environmental-indicators/greenhouse-gas-emissions.html</w:t>
        </w:r>
      </w:hyperlink>
      <w:r w:rsidRPr="007333DD">
        <w:t xml:space="preserve"> [Accessed on: 03 July 2026]</w:t>
      </w:r>
    </w:p>
    <w:p w14:paraId="242A3A6B" w14:textId="77777777" w:rsidR="00A34648" w:rsidRPr="007333DD" w:rsidRDefault="00A34648" w:rsidP="007C24C9">
      <w:pPr>
        <w:rPr>
          <w:shd w:val="clear" w:color="auto" w:fill="FFFFFF"/>
        </w:rPr>
      </w:pPr>
      <w:r w:rsidRPr="007333DD">
        <w:rPr>
          <w:shd w:val="clear" w:color="auto" w:fill="FFFFFF"/>
        </w:rPr>
        <w:t>Hasselwander, M. (2024). Digital platforms’ growth strategies and the rise of super apps. </w:t>
      </w:r>
      <w:proofErr w:type="spellStart"/>
      <w:r w:rsidRPr="007333DD">
        <w:rPr>
          <w:i/>
          <w:iCs/>
          <w:shd w:val="clear" w:color="auto" w:fill="FFFFFF"/>
        </w:rPr>
        <w:t>Heliyon</w:t>
      </w:r>
      <w:proofErr w:type="spellEnd"/>
      <w:r w:rsidRPr="007333DD">
        <w:rPr>
          <w:shd w:val="clear" w:color="auto" w:fill="FFFFFF"/>
        </w:rPr>
        <w:t>, </w:t>
      </w:r>
      <w:r w:rsidRPr="007333DD">
        <w:rPr>
          <w:i/>
          <w:iCs/>
          <w:shd w:val="clear" w:color="auto" w:fill="FFFFFF"/>
        </w:rPr>
        <w:t>10</w:t>
      </w:r>
      <w:r w:rsidRPr="007333DD">
        <w:rPr>
          <w:shd w:val="clear" w:color="auto" w:fill="FFFFFF"/>
        </w:rPr>
        <w:t xml:space="preserve">(5). </w:t>
      </w:r>
      <w:hyperlink r:id="rId53" w:history="1">
        <w:r w:rsidRPr="007333DD">
          <w:rPr>
            <w:rStyle w:val="Hyperlink"/>
            <w:color w:val="auto"/>
            <w:shd w:val="clear" w:color="auto" w:fill="FFFFFF"/>
          </w:rPr>
          <w:t>https://doi.org/10.1016/j.heliyon.2024.e25856</w:t>
        </w:r>
      </w:hyperlink>
      <w:r w:rsidRPr="007333DD">
        <w:rPr>
          <w:shd w:val="clear" w:color="auto" w:fill="FFFFFF"/>
        </w:rPr>
        <w:t xml:space="preserve"> </w:t>
      </w:r>
    </w:p>
    <w:p w14:paraId="030FE1FB" w14:textId="77777777" w:rsidR="00A34648" w:rsidRPr="007333DD" w:rsidRDefault="00A34648">
      <w:r w:rsidRPr="007333DD">
        <w:t xml:space="preserve">IEA (2026). </w:t>
      </w:r>
      <w:r w:rsidRPr="007333DD">
        <w:rPr>
          <w:i/>
          <w:iCs/>
        </w:rPr>
        <w:t xml:space="preserve">Net Zero Emissions by 2050 Accountability Act. </w:t>
      </w:r>
      <w:r w:rsidRPr="007333DD">
        <w:t xml:space="preserve">[Online]. Available at: </w:t>
      </w:r>
      <w:hyperlink r:id="rId54">
        <w:r w:rsidRPr="007333DD">
          <w:rPr>
            <w:u w:val="single"/>
          </w:rPr>
          <w:t>https://www.iea.org/policies/12673-net-zero-emissions-by-2050-accountability-act</w:t>
        </w:r>
      </w:hyperlink>
      <w:r w:rsidRPr="007333DD">
        <w:t xml:space="preserve"> [Accessed on: 03 July 2026]</w:t>
      </w:r>
    </w:p>
    <w:p w14:paraId="135D1C20" w14:textId="77777777" w:rsidR="00A34648" w:rsidRPr="007333DD" w:rsidRDefault="00A34648" w:rsidP="007C24C9">
      <w:r w:rsidRPr="007333DD">
        <w:t xml:space="preserve">IM (2026). </w:t>
      </w:r>
      <w:r w:rsidRPr="007333DD">
        <w:rPr>
          <w:i/>
          <w:iCs/>
        </w:rPr>
        <w:t xml:space="preserve">BHP advances renewable power supply and storage at Escondida &amp; Spence. </w:t>
      </w:r>
      <w:r w:rsidRPr="007333DD">
        <w:t>[Online]. Available at:</w:t>
      </w:r>
      <w:hyperlink r:id="rId55">
        <w:r w:rsidRPr="007333DD">
          <w:t xml:space="preserve"> </w:t>
        </w:r>
      </w:hyperlink>
      <w:hyperlink r:id="rId56" w:history="1">
        <w:r w:rsidRPr="007333DD">
          <w:rPr>
            <w:rStyle w:val="Hyperlink"/>
            <w:color w:val="auto"/>
          </w:rPr>
          <w:t>https://im-mining.com/2026/06/01/bhp-advances-renewable-power-supply-and-storage-at-escondida-spence/</w:t>
        </w:r>
      </w:hyperlink>
      <w:r w:rsidRPr="007333DD">
        <w:t xml:space="preserve"> [Accessed on: 05 July 2026]</w:t>
      </w:r>
    </w:p>
    <w:p w14:paraId="760CA51B" w14:textId="77777777" w:rsidR="00A34648" w:rsidRPr="007333DD" w:rsidRDefault="00A34648" w:rsidP="007C24C9">
      <w:pPr>
        <w:rPr>
          <w:shd w:val="clear" w:color="auto" w:fill="FFFFFF"/>
        </w:rPr>
      </w:pPr>
      <w:proofErr w:type="spellStart"/>
      <w:r w:rsidRPr="007333DD">
        <w:rPr>
          <w:shd w:val="clear" w:color="auto" w:fill="FFFFFF"/>
        </w:rPr>
        <w:t>Imbwaga</w:t>
      </w:r>
      <w:proofErr w:type="spellEnd"/>
      <w:r w:rsidRPr="007333DD">
        <w:rPr>
          <w:shd w:val="clear" w:color="auto" w:fill="FFFFFF"/>
        </w:rPr>
        <w:t xml:space="preserve">, E. (2023). Effect of Porter’s Generic Strategies on Firm Performance of Tyre Dealers in Nairobi County, Kenya. </w:t>
      </w:r>
      <w:hyperlink r:id="rId57" w:history="1">
        <w:r w:rsidRPr="007333DD">
          <w:rPr>
            <w:rStyle w:val="Hyperlink"/>
            <w:color w:val="auto"/>
            <w:shd w:val="clear" w:color="auto" w:fill="FFFFFF"/>
          </w:rPr>
          <w:t>http://ir.kabarak.ac.ke/handle/123456789/1543</w:t>
        </w:r>
      </w:hyperlink>
      <w:r w:rsidRPr="007333DD">
        <w:rPr>
          <w:shd w:val="clear" w:color="auto" w:fill="FFFFFF"/>
        </w:rPr>
        <w:t xml:space="preserve"> </w:t>
      </w:r>
    </w:p>
    <w:p w14:paraId="5E26F777" w14:textId="77777777" w:rsidR="00A34648" w:rsidRPr="007333DD" w:rsidRDefault="00A34648">
      <w:r w:rsidRPr="007333DD">
        <w:t xml:space="preserve">Kotler, P, (2015) </w:t>
      </w:r>
      <w:r w:rsidRPr="007333DD">
        <w:rPr>
          <w:i/>
          <w:iCs/>
        </w:rPr>
        <w:t>Marketing</w:t>
      </w:r>
      <w:r w:rsidRPr="007333DD">
        <w:t>. 9th ed., Frenchs Forest, N.S.W., Pearson Australia, New South Wales.</w:t>
      </w:r>
    </w:p>
    <w:p w14:paraId="17F07769" w14:textId="77777777" w:rsidR="00A34648" w:rsidRPr="007333DD" w:rsidRDefault="00A34648" w:rsidP="007C24C9">
      <w:r w:rsidRPr="007333DD">
        <w:t xml:space="preserve">Mining (2025). </w:t>
      </w:r>
      <w:r w:rsidRPr="007333DD">
        <w:rPr>
          <w:i/>
          <w:iCs/>
        </w:rPr>
        <w:t xml:space="preserve">The top 50 biggest mining companies in the world. </w:t>
      </w:r>
      <w:r w:rsidRPr="007333DD">
        <w:t>[Online]. Available at:</w:t>
      </w:r>
      <w:hyperlink r:id="rId58">
        <w:r w:rsidRPr="007333DD">
          <w:t xml:space="preserve"> </w:t>
        </w:r>
      </w:hyperlink>
      <w:hyperlink r:id="rId59" w:history="1">
        <w:r w:rsidRPr="007333DD">
          <w:rPr>
            <w:rStyle w:val="Hyperlink"/>
            <w:color w:val="auto"/>
          </w:rPr>
          <w:t>https://www.mining.com/top-50-biggest-mining-companies/</w:t>
        </w:r>
      </w:hyperlink>
      <w:r w:rsidRPr="007333DD">
        <w:t xml:space="preserve"> [Accessed on: 06 July 2026]</w:t>
      </w:r>
    </w:p>
    <w:p w14:paraId="7F21AF30" w14:textId="77777777" w:rsidR="00A34648" w:rsidRPr="007333DD" w:rsidRDefault="00A34648" w:rsidP="007C24C9">
      <w:r w:rsidRPr="007333DD">
        <w:t xml:space="preserve">Mining Visuals (2026). </w:t>
      </w:r>
      <w:r w:rsidRPr="007333DD">
        <w:rPr>
          <w:i/>
          <w:iCs/>
        </w:rPr>
        <w:t xml:space="preserve">The Cost of Mining Copper: A 2024–2025 Update. </w:t>
      </w:r>
      <w:r w:rsidRPr="007333DD">
        <w:t>[Online]. Available at:</w:t>
      </w:r>
      <w:hyperlink r:id="rId60">
        <w:r w:rsidRPr="007333DD">
          <w:t xml:space="preserve"> </w:t>
        </w:r>
      </w:hyperlink>
      <w:hyperlink r:id="rId61" w:history="1">
        <w:r w:rsidRPr="007333DD">
          <w:rPr>
            <w:rStyle w:val="Hyperlink"/>
            <w:color w:val="auto"/>
          </w:rPr>
          <w:t>https://www.miningvisuals.com/post/the-cost-of-mining-copper-a-2024-2025-update</w:t>
        </w:r>
      </w:hyperlink>
      <w:r w:rsidRPr="007333DD">
        <w:t xml:space="preserve"> [Accessed on: 07 July 2026]</w:t>
      </w:r>
    </w:p>
    <w:p w14:paraId="4A4ABF8B" w14:textId="77777777" w:rsidR="00A34648" w:rsidRPr="007333DD" w:rsidRDefault="00A34648" w:rsidP="007C24C9">
      <w:proofErr w:type="spellStart"/>
      <w:r w:rsidRPr="007333DD">
        <w:t>Neoen</w:t>
      </w:r>
      <w:proofErr w:type="spellEnd"/>
      <w:r w:rsidRPr="007333DD">
        <w:t xml:space="preserve"> (2026). </w:t>
      </w:r>
      <w:proofErr w:type="spellStart"/>
      <w:r w:rsidRPr="007333DD">
        <w:rPr>
          <w:i/>
          <w:iCs/>
        </w:rPr>
        <w:t>Neoen</w:t>
      </w:r>
      <w:proofErr w:type="spellEnd"/>
      <w:r w:rsidRPr="007333DD">
        <w:rPr>
          <w:i/>
          <w:iCs/>
        </w:rPr>
        <w:t xml:space="preserve"> and BHP sign a 70 MW renewable energy baseload contract in South Australia. </w:t>
      </w:r>
      <w:r w:rsidRPr="007333DD">
        <w:t>[Online]. Available at:</w:t>
      </w:r>
      <w:hyperlink r:id="rId62">
        <w:r w:rsidRPr="007333DD">
          <w:t xml:space="preserve"> </w:t>
        </w:r>
      </w:hyperlink>
      <w:hyperlink r:id="rId63" w:history="1">
        <w:r w:rsidRPr="007333DD">
          <w:rPr>
            <w:rStyle w:val="Hyperlink"/>
            <w:color w:val="auto"/>
          </w:rPr>
          <w:t>https://neoen.com/es/innovations/neoen-bhp-</w:t>
        </w:r>
        <w:r w:rsidRPr="007333DD">
          <w:rPr>
            <w:rStyle w:val="Hyperlink"/>
            <w:color w:val="auto"/>
          </w:rPr>
          <w:lastRenderedPageBreak/>
          <w:t>sign-70mw-renewable-energy-baseload-contract-south-australia/</w:t>
        </w:r>
      </w:hyperlink>
      <w:r w:rsidRPr="007333DD">
        <w:t xml:space="preserve"> [Accessed on: 05 July 2026]</w:t>
      </w:r>
    </w:p>
    <w:p w14:paraId="30A3221F" w14:textId="77777777" w:rsidR="00A34648" w:rsidRPr="007333DD" w:rsidRDefault="00A34648" w:rsidP="007C24C9">
      <w:r w:rsidRPr="007333DD">
        <w:t xml:space="preserve">Parkinson, G. (2023). </w:t>
      </w:r>
      <w:r w:rsidRPr="007333DD">
        <w:rPr>
          <w:i/>
          <w:iCs/>
        </w:rPr>
        <w:t xml:space="preserve">BHP plans 550MW of wind, solar and storage as Pilbara mines go electric. </w:t>
      </w:r>
      <w:r w:rsidRPr="007333DD">
        <w:t>[Online]. Available at:</w:t>
      </w:r>
      <w:hyperlink r:id="rId64">
        <w:r w:rsidRPr="007333DD">
          <w:t xml:space="preserve"> </w:t>
        </w:r>
      </w:hyperlink>
      <w:hyperlink r:id="rId65" w:history="1">
        <w:r w:rsidRPr="007333DD">
          <w:rPr>
            <w:rStyle w:val="Hyperlink"/>
            <w:color w:val="auto"/>
          </w:rPr>
          <w:t>https://reneweconomy.com.au/bhp-plans-550mw-of-wind-solar-and-storage-as-pilbara-mines-go-electric/</w:t>
        </w:r>
      </w:hyperlink>
      <w:r w:rsidRPr="007333DD">
        <w:t xml:space="preserve"> [Accessed on: 05 July 2026]</w:t>
      </w:r>
    </w:p>
    <w:p w14:paraId="7D60C4F1" w14:textId="77777777" w:rsidR="00A34648" w:rsidRPr="007333DD" w:rsidRDefault="00A34648">
      <w:r w:rsidRPr="007333DD">
        <w:t xml:space="preserve">Ritchie, H. (2025). </w:t>
      </w:r>
      <w:r w:rsidRPr="007333DD">
        <w:rPr>
          <w:i/>
          <w:iCs/>
        </w:rPr>
        <w:t xml:space="preserve">Which countries have contributed the most to historical CO₂ emissions? </w:t>
      </w:r>
      <w:r w:rsidRPr="007333DD">
        <w:t xml:space="preserve">[Online]. Available at: </w:t>
      </w:r>
      <w:hyperlink r:id="rId66">
        <w:r w:rsidRPr="007333DD">
          <w:rPr>
            <w:u w:val="single"/>
          </w:rPr>
          <w:t>https://ourworldindata.org/data-insights/which-countries-have-contributed-the-most-to-historical-co-emissions</w:t>
        </w:r>
      </w:hyperlink>
      <w:r w:rsidRPr="007333DD">
        <w:t xml:space="preserve"> [Accessed on: 03 July 2026]</w:t>
      </w:r>
    </w:p>
    <w:p w14:paraId="04704EE9" w14:textId="77777777" w:rsidR="00A34648" w:rsidRPr="007333DD" w:rsidRDefault="00A34648">
      <w:r w:rsidRPr="007333DD">
        <w:t xml:space="preserve">Ritchie, H. and Rosado, P. (2025). </w:t>
      </w:r>
      <w:r w:rsidRPr="007333DD">
        <w:rPr>
          <w:i/>
          <w:iCs/>
        </w:rPr>
        <w:t xml:space="preserve">CO₂ and Greenhouse Gas Emissions. </w:t>
      </w:r>
      <w:r w:rsidRPr="007333DD">
        <w:t xml:space="preserve">[Online]. Available at: </w:t>
      </w:r>
      <w:hyperlink r:id="rId67">
        <w:r w:rsidRPr="007333DD">
          <w:rPr>
            <w:u w:val="single"/>
          </w:rPr>
          <w:t>https://ourworldindata.org/profile/co2/united-states</w:t>
        </w:r>
      </w:hyperlink>
      <w:r w:rsidRPr="007333DD">
        <w:t xml:space="preserve"> [Accessed on: 03 July 2026]</w:t>
      </w:r>
    </w:p>
    <w:p w14:paraId="638FEFC6" w14:textId="77777777" w:rsidR="00A34648" w:rsidRPr="007333DD" w:rsidRDefault="00A34648" w:rsidP="007C24C9">
      <w:r w:rsidRPr="007333DD">
        <w:t>Sairanen, M. and Aarikka-Stenroos, L. (2024). Low-carbon business models: Review and typology. </w:t>
      </w:r>
      <w:r w:rsidRPr="007333DD">
        <w:rPr>
          <w:i/>
          <w:iCs/>
        </w:rPr>
        <w:t>Industrial Marketing Management</w:t>
      </w:r>
      <w:r w:rsidRPr="007333DD">
        <w:t>, </w:t>
      </w:r>
      <w:r w:rsidRPr="007333DD">
        <w:rPr>
          <w:i/>
          <w:iCs/>
        </w:rPr>
        <w:t>123</w:t>
      </w:r>
      <w:r w:rsidRPr="007333DD">
        <w:t xml:space="preserve">, pp.222-250. </w:t>
      </w:r>
      <w:hyperlink r:id="rId68" w:history="1">
        <w:r w:rsidRPr="007333DD">
          <w:rPr>
            <w:rStyle w:val="Hyperlink"/>
            <w:color w:val="auto"/>
          </w:rPr>
          <w:t>https://doi.org/10.1016/j.indmarman.2024.10.001</w:t>
        </w:r>
      </w:hyperlink>
      <w:r w:rsidRPr="007333DD">
        <w:t xml:space="preserve"> </w:t>
      </w:r>
    </w:p>
    <w:p w14:paraId="23EE6270" w14:textId="77777777" w:rsidR="00A34648" w:rsidRPr="007333DD" w:rsidRDefault="00A34648">
      <w:pPr>
        <w:rPr>
          <w:shd w:val="clear" w:color="auto" w:fill="FFFFFF"/>
        </w:rPr>
      </w:pPr>
      <w:r w:rsidRPr="007333DD">
        <w:rPr>
          <w:shd w:val="clear" w:color="auto" w:fill="FFFFFF"/>
        </w:rPr>
        <w:t xml:space="preserve">Skaf, A., </w:t>
      </w:r>
      <w:proofErr w:type="spellStart"/>
      <w:r w:rsidRPr="007333DD">
        <w:rPr>
          <w:shd w:val="clear" w:color="auto" w:fill="FFFFFF"/>
        </w:rPr>
        <w:t>Tiruta</w:t>
      </w:r>
      <w:proofErr w:type="spellEnd"/>
      <w:r w:rsidRPr="007333DD">
        <w:rPr>
          <w:shd w:val="clear" w:color="auto" w:fill="FFFFFF"/>
        </w:rPr>
        <w:t>-Barna, L. and Ahmadi, A. (2025). Technical and environmental assessment of new green iron production strategies using hydrogen. </w:t>
      </w:r>
      <w:r w:rsidRPr="007333DD">
        <w:rPr>
          <w:i/>
          <w:iCs/>
          <w:shd w:val="clear" w:color="auto" w:fill="FFFFFF"/>
        </w:rPr>
        <w:t>Journal of Cleaner Production</w:t>
      </w:r>
      <w:r w:rsidRPr="007333DD">
        <w:rPr>
          <w:shd w:val="clear" w:color="auto" w:fill="FFFFFF"/>
        </w:rPr>
        <w:t>, </w:t>
      </w:r>
      <w:r w:rsidRPr="007333DD">
        <w:rPr>
          <w:i/>
          <w:iCs/>
          <w:shd w:val="clear" w:color="auto" w:fill="FFFFFF"/>
        </w:rPr>
        <w:t>532</w:t>
      </w:r>
      <w:r w:rsidRPr="007333DD">
        <w:rPr>
          <w:shd w:val="clear" w:color="auto" w:fill="FFFFFF"/>
        </w:rPr>
        <w:t xml:space="preserve">, p.146970. </w:t>
      </w:r>
      <w:hyperlink r:id="rId69" w:history="1">
        <w:r w:rsidRPr="007333DD">
          <w:rPr>
            <w:rStyle w:val="Hyperlink"/>
            <w:color w:val="auto"/>
            <w:shd w:val="clear" w:color="auto" w:fill="FFFFFF"/>
          </w:rPr>
          <w:t>https://doi.org/10.1016/j.jclepro.2025.146970</w:t>
        </w:r>
      </w:hyperlink>
      <w:r w:rsidRPr="007333DD">
        <w:rPr>
          <w:shd w:val="clear" w:color="auto" w:fill="FFFFFF"/>
        </w:rPr>
        <w:t xml:space="preserve"> </w:t>
      </w:r>
    </w:p>
    <w:p w14:paraId="0B431E8F" w14:textId="77777777" w:rsidR="00A34648" w:rsidRPr="007333DD" w:rsidRDefault="00A34648">
      <w:r w:rsidRPr="007333DD">
        <w:t xml:space="preserve">Sustainability Online (2025). </w:t>
      </w:r>
      <w:r w:rsidRPr="007333DD">
        <w:rPr>
          <w:i/>
          <w:iCs/>
        </w:rPr>
        <w:t xml:space="preserve">Three quarters of Australians factor sustainability into their purchasing decisions. </w:t>
      </w:r>
      <w:r w:rsidRPr="007333DD">
        <w:t xml:space="preserve">[Online]. Available at: </w:t>
      </w:r>
      <w:hyperlink r:id="rId70">
        <w:r w:rsidRPr="007333DD">
          <w:rPr>
            <w:u w:val="single"/>
          </w:rPr>
          <w:t>https://sustainabilityonline.net/research/three-quarters-of-australians-factor-sustainability-into-their-purchasing-decisions/</w:t>
        </w:r>
      </w:hyperlink>
      <w:r w:rsidRPr="007333DD">
        <w:t xml:space="preserve"> [Accessed on: 04 July 2026]</w:t>
      </w:r>
    </w:p>
    <w:p w14:paraId="28F80C72" w14:textId="77777777" w:rsidR="00A34648" w:rsidRPr="007333DD" w:rsidRDefault="00A34648">
      <w:r w:rsidRPr="007333DD">
        <w:t xml:space="preserve">UNFCCC (2025). </w:t>
      </w:r>
      <w:r w:rsidRPr="007333DD">
        <w:rPr>
          <w:i/>
          <w:iCs/>
        </w:rPr>
        <w:t xml:space="preserve">Australia’s 2035 Nationally Determined Contribution. </w:t>
      </w:r>
      <w:r w:rsidRPr="007333DD">
        <w:t xml:space="preserve">[Online]. Available at: </w:t>
      </w:r>
      <w:hyperlink r:id="rId71">
        <w:r w:rsidRPr="007333DD">
          <w:rPr>
            <w:u w:val="single"/>
          </w:rPr>
          <w:t>https://unfccc.int/sites/default/files/2025-09/Australias%20Second%20NDC.pdf</w:t>
        </w:r>
      </w:hyperlink>
      <w:r w:rsidRPr="007333DD">
        <w:t xml:space="preserve"> [Accessed on: 03 July 2026]</w:t>
      </w:r>
    </w:p>
    <w:p w14:paraId="4F02499B" w14:textId="77777777" w:rsidR="00A34648" w:rsidRPr="007333DD" w:rsidRDefault="00A34648">
      <w:r w:rsidRPr="007333DD">
        <w:t xml:space="preserve">Zijin Mining (2025). </w:t>
      </w:r>
      <w:r w:rsidRPr="007333DD">
        <w:rPr>
          <w:i/>
          <w:iCs/>
        </w:rPr>
        <w:t xml:space="preserve">ANNUAL RESULTS ANNOUNCEMENT FOR THE YEAR ENDED 31 DECEMBER 2024. </w:t>
      </w:r>
      <w:r w:rsidRPr="007333DD">
        <w:t>[Online]. Available at:</w:t>
      </w:r>
      <w:hyperlink r:id="rId72">
        <w:r w:rsidRPr="007333DD">
          <w:t xml:space="preserve"> </w:t>
        </w:r>
      </w:hyperlink>
      <w:hyperlink r:id="rId73" w:history="1">
        <w:r w:rsidRPr="007333DD">
          <w:rPr>
            <w:rStyle w:val="Hyperlink"/>
            <w:color w:val="auto"/>
          </w:rPr>
          <w:t>https://ru.zijinmining.com/upload/file/2025/03/25/0c4d55bdb3ac419ea7792571d6008267.pdf</w:t>
        </w:r>
      </w:hyperlink>
      <w:r w:rsidRPr="007333DD">
        <w:t xml:space="preserve"> [Accessed on: 07 July 2026]</w:t>
      </w:r>
    </w:p>
    <w:sectPr w:rsidR="00A34648" w:rsidRPr="007333DD" w:rsidSect="0038503F">
      <w:footerReference w:type="default" r:id="rId74"/>
      <w:footerReference w:type="first" r:id="rId7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5478B" w14:textId="77777777" w:rsidR="006B267F" w:rsidRDefault="006B267F">
      <w:pPr>
        <w:spacing w:after="0" w:line="240" w:lineRule="auto"/>
      </w:pPr>
      <w:r>
        <w:separator/>
      </w:r>
    </w:p>
  </w:endnote>
  <w:endnote w:type="continuationSeparator" w:id="0">
    <w:p w14:paraId="52609853" w14:textId="77777777" w:rsidR="006B267F" w:rsidRDefault="006B2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1" w:fontKey="{1934637C-0124-4AD0-BC39-3F217CEDFADE}"/>
    <w:embedBold r:id="rId2" w:fontKey="{3C0A7575-E305-4EE8-AE7F-97408EBDB0DA}"/>
    <w:embedBoldItalic r:id="rId3" w:fontKey="{8C5C44D3-C260-4E6B-89D1-4296589FF9FB}"/>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4" w:fontKey="{6A942837-45D4-4726-A8C5-6FD0468763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3C488" w14:textId="4DDC950F" w:rsidR="00A70970" w:rsidRDefault="008017AD">
    <w:pPr>
      <w:jc w:val="right"/>
      <w:rPr>
        <w:b/>
        <w:bCs/>
        <w:i/>
        <w:iCs/>
        <w:sz w:val="20"/>
        <w:szCs w:val="20"/>
      </w:rPr>
    </w:pPr>
    <w:r>
      <w:rPr>
        <w:b/>
        <w:bCs/>
        <w:i/>
        <w:iCs/>
        <w:sz w:val="20"/>
        <w:szCs w:val="20"/>
      </w:rPr>
      <w:fldChar w:fldCharType="begin"/>
    </w:r>
    <w:r>
      <w:rPr>
        <w:b/>
        <w:bCs/>
        <w:i/>
        <w:iCs/>
        <w:sz w:val="20"/>
        <w:szCs w:val="20"/>
      </w:rPr>
      <w:instrText>PAGE</w:instrText>
    </w:r>
    <w:r>
      <w:rPr>
        <w:b/>
        <w:bCs/>
        <w:i/>
        <w:iCs/>
        <w:sz w:val="20"/>
        <w:szCs w:val="20"/>
      </w:rPr>
      <w:fldChar w:fldCharType="separate"/>
    </w:r>
    <w:r w:rsidR="00A34648">
      <w:rPr>
        <w:b/>
        <w:bCs/>
        <w:i/>
        <w:iCs/>
        <w:noProof/>
        <w:sz w:val="20"/>
        <w:szCs w:val="20"/>
      </w:rPr>
      <w:t>19</w:t>
    </w:r>
    <w:r>
      <w:rPr>
        <w:b/>
        <w:bCs/>
        <w:i/>
        <w:iCs/>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EF408E" w14:textId="77777777" w:rsidR="00A70970" w:rsidRDefault="00A7097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58A6F" w14:textId="77777777" w:rsidR="006B267F" w:rsidRDefault="006B267F">
      <w:pPr>
        <w:spacing w:after="0" w:line="240" w:lineRule="auto"/>
      </w:pPr>
      <w:r>
        <w:separator/>
      </w:r>
    </w:p>
  </w:footnote>
  <w:footnote w:type="continuationSeparator" w:id="0">
    <w:p w14:paraId="65FE914D" w14:textId="77777777" w:rsidR="006B267F" w:rsidRDefault="006B2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0459E"/>
    <w:multiLevelType w:val="hybridMultilevel"/>
    <w:tmpl w:val="E3B2DF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9C46004"/>
    <w:multiLevelType w:val="hybridMultilevel"/>
    <w:tmpl w:val="DEF4F1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AFB6C05"/>
    <w:multiLevelType w:val="hybridMultilevel"/>
    <w:tmpl w:val="A5008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4DF0F15"/>
    <w:multiLevelType w:val="hybridMultilevel"/>
    <w:tmpl w:val="819CAA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FC44F99"/>
    <w:multiLevelType w:val="hybridMultilevel"/>
    <w:tmpl w:val="B69876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21765551">
    <w:abstractNumId w:val="1"/>
  </w:num>
  <w:num w:numId="2" w16cid:durableId="1986548616">
    <w:abstractNumId w:val="0"/>
  </w:num>
  <w:num w:numId="3" w16cid:durableId="810173762">
    <w:abstractNumId w:val="2"/>
  </w:num>
  <w:num w:numId="4" w16cid:durableId="192957813">
    <w:abstractNumId w:val="4"/>
  </w:num>
  <w:num w:numId="5" w16cid:durableId="1075107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970"/>
    <w:rsid w:val="00006400"/>
    <w:rsid w:val="00036776"/>
    <w:rsid w:val="000744AB"/>
    <w:rsid w:val="0009289E"/>
    <w:rsid w:val="000B3AE1"/>
    <w:rsid w:val="000D5DC7"/>
    <w:rsid w:val="00127707"/>
    <w:rsid w:val="0016542B"/>
    <w:rsid w:val="001D74CF"/>
    <w:rsid w:val="00272295"/>
    <w:rsid w:val="00277263"/>
    <w:rsid w:val="002B361F"/>
    <w:rsid w:val="002E0152"/>
    <w:rsid w:val="00310EB5"/>
    <w:rsid w:val="00316792"/>
    <w:rsid w:val="00362178"/>
    <w:rsid w:val="0038503F"/>
    <w:rsid w:val="00390653"/>
    <w:rsid w:val="003A5BDD"/>
    <w:rsid w:val="003E26F4"/>
    <w:rsid w:val="004633FE"/>
    <w:rsid w:val="00470E09"/>
    <w:rsid w:val="00474BB3"/>
    <w:rsid w:val="004855A2"/>
    <w:rsid w:val="004C0E81"/>
    <w:rsid w:val="004F1777"/>
    <w:rsid w:val="0056332C"/>
    <w:rsid w:val="005A256E"/>
    <w:rsid w:val="005A6FFD"/>
    <w:rsid w:val="005C215B"/>
    <w:rsid w:val="005F174E"/>
    <w:rsid w:val="0060315B"/>
    <w:rsid w:val="00640749"/>
    <w:rsid w:val="006A1AFD"/>
    <w:rsid w:val="006B267F"/>
    <w:rsid w:val="006B409C"/>
    <w:rsid w:val="006B6836"/>
    <w:rsid w:val="006E2938"/>
    <w:rsid w:val="007333DD"/>
    <w:rsid w:val="00743528"/>
    <w:rsid w:val="007702B4"/>
    <w:rsid w:val="007C24C9"/>
    <w:rsid w:val="007D08E7"/>
    <w:rsid w:val="008017AD"/>
    <w:rsid w:val="00807C6E"/>
    <w:rsid w:val="008F73C9"/>
    <w:rsid w:val="009A479A"/>
    <w:rsid w:val="009C5655"/>
    <w:rsid w:val="009E5C38"/>
    <w:rsid w:val="00A34648"/>
    <w:rsid w:val="00A36A31"/>
    <w:rsid w:val="00A56C1F"/>
    <w:rsid w:val="00A63A0A"/>
    <w:rsid w:val="00A70970"/>
    <w:rsid w:val="00A955EF"/>
    <w:rsid w:val="00AC7B9C"/>
    <w:rsid w:val="00B0469B"/>
    <w:rsid w:val="00B07AB6"/>
    <w:rsid w:val="00B75E4F"/>
    <w:rsid w:val="00BD03A0"/>
    <w:rsid w:val="00BF5ED9"/>
    <w:rsid w:val="00C1552D"/>
    <w:rsid w:val="00CC22FA"/>
    <w:rsid w:val="00CC57EB"/>
    <w:rsid w:val="00CC6B6C"/>
    <w:rsid w:val="00D023E9"/>
    <w:rsid w:val="00D5035F"/>
    <w:rsid w:val="00D566D8"/>
    <w:rsid w:val="00D74E6C"/>
    <w:rsid w:val="00D7590F"/>
    <w:rsid w:val="00D94D9E"/>
    <w:rsid w:val="00DD1EE0"/>
    <w:rsid w:val="00E028DA"/>
    <w:rsid w:val="00EC77E1"/>
    <w:rsid w:val="00EE0D6C"/>
    <w:rsid w:val="00F06062"/>
    <w:rsid w:val="00F56C3A"/>
    <w:rsid w:val="00F94BA4"/>
    <w:rsid w:val="00FD35D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DFF47"/>
  <w15:docId w15:val="{1FAA2C8B-EBBB-46A1-9161-0DF7ADB89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TableParagraph">
    <w:name w:val="Table Paragraph"/>
    <w:basedOn w:val="Normal"/>
    <w:uiPriority w:val="1"/>
    <w:qFormat/>
    <w:rsid w:val="00F06062"/>
    <w:pPr>
      <w:widowControl w:val="0"/>
      <w:autoSpaceDE w:val="0"/>
      <w:autoSpaceDN w:val="0"/>
      <w:spacing w:after="0" w:line="240" w:lineRule="auto"/>
      <w:ind w:left="107"/>
      <w:jc w:val="left"/>
    </w:pPr>
    <w:rPr>
      <w:rFonts w:ascii="Arial MT" w:eastAsia="Arial MT" w:hAnsi="Arial MT" w:cs="Arial MT"/>
      <w:sz w:val="22"/>
      <w:szCs w:val="22"/>
      <w:lang w:val="en-US" w:eastAsia="en-US"/>
    </w:rPr>
  </w:style>
  <w:style w:type="paragraph" w:styleId="ListParagraph">
    <w:name w:val="List Paragraph"/>
    <w:basedOn w:val="Normal"/>
    <w:uiPriority w:val="34"/>
    <w:qFormat/>
    <w:rsid w:val="009A479A"/>
    <w:pPr>
      <w:spacing w:after="160" w:line="259" w:lineRule="auto"/>
      <w:ind w:left="720"/>
      <w:contextualSpacing/>
      <w:jc w:val="left"/>
    </w:pPr>
    <w:rPr>
      <w:rFonts w:asciiTheme="minorHAnsi" w:eastAsiaTheme="minorHAnsi" w:hAnsiTheme="minorHAnsi" w:cstheme="minorBidi"/>
      <w:sz w:val="22"/>
      <w:szCs w:val="22"/>
      <w:lang w:val="en-IN" w:eastAsia="en-US"/>
    </w:rPr>
  </w:style>
  <w:style w:type="table" w:styleId="TableGrid">
    <w:name w:val="Table Grid"/>
    <w:basedOn w:val="TableNormal"/>
    <w:uiPriority w:val="39"/>
    <w:rsid w:val="00807C6E"/>
    <w:pPr>
      <w:spacing w:after="0" w:line="240" w:lineRule="auto"/>
      <w:jc w:val="left"/>
    </w:pPr>
    <w:rPr>
      <w:rFonts w:asciiTheme="minorHAnsi" w:eastAsiaTheme="minorHAnsi" w:hAnsiTheme="minorHAnsi" w:cstheme="minorBidi"/>
      <w:sz w:val="22"/>
      <w:szCs w:val="2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24C9"/>
    <w:rPr>
      <w:color w:val="0000FF" w:themeColor="hyperlink"/>
      <w:u w:val="single"/>
    </w:rPr>
  </w:style>
  <w:style w:type="paragraph" w:styleId="TOC1">
    <w:name w:val="toc 1"/>
    <w:basedOn w:val="Normal"/>
    <w:next w:val="Normal"/>
    <w:autoRedefine/>
    <w:uiPriority w:val="39"/>
    <w:unhideWhenUsed/>
    <w:rsid w:val="00D566D8"/>
    <w:pPr>
      <w:tabs>
        <w:tab w:val="right" w:leader="dot" w:pos="9019"/>
      </w:tabs>
      <w:spacing w:after="100"/>
      <w:jc w:val="center"/>
    </w:pPr>
    <w:rPr>
      <w:b/>
      <w:bCs/>
      <w:noProof/>
    </w:rPr>
  </w:style>
  <w:style w:type="paragraph" w:styleId="TOC2">
    <w:name w:val="toc 2"/>
    <w:basedOn w:val="Normal"/>
    <w:next w:val="Normal"/>
    <w:autoRedefine/>
    <w:uiPriority w:val="39"/>
    <w:unhideWhenUsed/>
    <w:rsid w:val="00D566D8"/>
    <w:pPr>
      <w:spacing w:after="100"/>
      <w:ind w:left="240"/>
    </w:pPr>
  </w:style>
  <w:style w:type="paragraph" w:styleId="TOC3">
    <w:name w:val="toc 3"/>
    <w:basedOn w:val="Normal"/>
    <w:next w:val="Normal"/>
    <w:autoRedefine/>
    <w:uiPriority w:val="39"/>
    <w:unhideWhenUsed/>
    <w:rsid w:val="00D566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39562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microsoft.com/office/2007/relationships/hdphoto" Target="media/hdphoto2.wdp"/><Relationship Id="rId42" Type="http://schemas.openxmlformats.org/officeDocument/2006/relationships/hyperlink" Target="https://climateactiontracker.org/countries/canada/policies-action/" TargetMode="External"/><Relationship Id="rId47" Type="http://schemas.openxmlformats.org/officeDocument/2006/relationships/hyperlink" Target="https://www.epa.gov/climate-change/climate-change-regulatory-actions-and-initiatives" TargetMode="External"/><Relationship Id="rId63" Type="http://schemas.openxmlformats.org/officeDocument/2006/relationships/hyperlink" Target="https://neoen.com/es/innovations/neoen-bhp-sign-70mw-renewable-energy-baseload-contract-south-australia/" TargetMode="External"/><Relationship Id="rId68" Type="http://schemas.openxmlformats.org/officeDocument/2006/relationships/hyperlink" Target="https://doi.org/10.1016/j.indmarman.2024.10.001" TargetMode="External"/><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s://www.bhp.com/-/media/project/bhp1ip/bhp-com-en/documents/sustainability/2023/bhp-copper-mark-assurance-statement---olympic-dam.pdf" TargetMode="External"/><Relationship Id="rId37" Type="http://schemas.openxmlformats.org/officeDocument/2006/relationships/hyperlink" Target="https://www.bhp.com/about" TargetMode="External"/><Relationship Id="rId40" Type="http://schemas.openxmlformats.org/officeDocument/2006/relationships/hyperlink" Target="https://www.bhp.com/about/the-future-is-clear/better-future" TargetMode="External"/><Relationship Id="rId45" Type="http://schemas.openxmlformats.org/officeDocument/2006/relationships/hyperlink" Target="https://im-mining.com/2025/03/28/codelco-overcomes-bottlenecks-to-boost-copper-production-in-2024/" TargetMode="External"/><Relationship Id="rId53" Type="http://schemas.openxmlformats.org/officeDocument/2006/relationships/hyperlink" Target="https://doi.org/10.1016/j.heliyon.2024.e25856" TargetMode="External"/><Relationship Id="rId58" Type="http://schemas.openxmlformats.org/officeDocument/2006/relationships/hyperlink" Target="https://im-mining.com/2025/03/28/codelco-overcomes-bottlenecks-to-boost-copper-production-in-2024/" TargetMode="External"/><Relationship Id="rId66" Type="http://schemas.openxmlformats.org/officeDocument/2006/relationships/hyperlink" Target="https://ourworldindata.org/data-insights/which-countries-have-contributed-the-most-to-historical-co-emissions"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miningvisuals.com/post/the-cost-of-mining-copper-a-2024-2025-update" TargetMode="Externa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hyperlink" Target="https://doi.org/10.58540/ijmebe.v3i2.705" TargetMode="External"/><Relationship Id="rId35" Type="http://schemas.openxmlformats.org/officeDocument/2006/relationships/hyperlink" Target="https://www.bhp.com/-/media/documents/media/reports-and-presentations/2026/260217_bhpresultsforthehalfyearended31dec2025_exchangerelease.pdf" TargetMode="External"/><Relationship Id="rId43" Type="http://schemas.openxmlformats.org/officeDocument/2006/relationships/hyperlink" Target="https://climateactiontracker.org/countries/usa/policies-action/" TargetMode="External"/><Relationship Id="rId48" Type="http://schemas.openxmlformats.org/officeDocument/2006/relationships/hyperlink" Target="https://www.forbes.com/companies/bhp-group/" TargetMode="External"/><Relationship Id="rId56" Type="http://schemas.openxmlformats.org/officeDocument/2006/relationships/hyperlink" Target="https://im-mining.com/2026/06/01/bhp-advances-renewable-power-supply-and-storage-at-escondida-spence/" TargetMode="External"/><Relationship Id="rId64" Type="http://schemas.openxmlformats.org/officeDocument/2006/relationships/hyperlink" Target="https://im-mining.com/2025/03/28/codelco-overcomes-bottlenecks-to-boost-copper-production-in-2024/" TargetMode="External"/><Relationship Id="rId69" Type="http://schemas.openxmlformats.org/officeDocument/2006/relationships/hyperlink" Target="https://doi.org/10.1016/j.jclepro.2025.146970"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natural-resources.canada.ca/stories/cipec-news/canada-s-steel-industry-aiming-net-zero-co2-2050" TargetMode="External"/><Relationship Id="rId72" Type="http://schemas.openxmlformats.org/officeDocument/2006/relationships/hyperlink" Target="https://im-mining.com/2025/03/28/codelco-overcomes-bottlenecks-to-boost-copper-production-in-2024/"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hyperlink" Target="https://www.bhp.com/-/media/documents/investors/annual-reports/2025/250819_bhpeconomiccontributionreport2025.pdf" TargetMode="External"/><Relationship Id="rId38" Type="http://schemas.openxmlformats.org/officeDocument/2006/relationships/hyperlink" Target="https://im-mining.com/2025/03/28/codelco-overcomes-bottlenecks-to-boost-copper-production-in-2024/" TargetMode="External"/><Relationship Id="rId46" Type="http://schemas.openxmlformats.org/officeDocument/2006/relationships/hyperlink" Target="https://www.dcceew.gov.au/climate-change/emissions-reduction/net-zero" TargetMode="External"/><Relationship Id="rId59" Type="http://schemas.openxmlformats.org/officeDocument/2006/relationships/hyperlink" Target="https://www.mining.com/top-50-biggest-mining-companies/" TargetMode="External"/><Relationship Id="rId67" Type="http://schemas.openxmlformats.org/officeDocument/2006/relationships/hyperlink" Target="https://ourworldindata.org/profile/co2/united-states" TargetMode="External"/><Relationship Id="rId20" Type="http://schemas.openxmlformats.org/officeDocument/2006/relationships/image" Target="media/image13.png"/><Relationship Id="rId41" Type="http://schemas.openxmlformats.org/officeDocument/2006/relationships/hyperlink" Target="https://canadiansteel.ca/files/resources/CSPA_Climate-Call-to-Action-EN.pdf" TargetMode="External"/><Relationship Id="rId54" Type="http://schemas.openxmlformats.org/officeDocument/2006/relationships/hyperlink" Target="https://www.iea.org/policies/12673-net-zero-emissions-by-2050-accountability-act" TargetMode="External"/><Relationship Id="rId62" Type="http://schemas.openxmlformats.org/officeDocument/2006/relationships/hyperlink" Target="https://im-mining.com/2025/03/28/codelco-overcomes-bottlenecks-to-boost-copper-production-in-2024/" TargetMode="External"/><Relationship Id="rId70" Type="http://schemas.openxmlformats.org/officeDocument/2006/relationships/hyperlink" Target="https://sustainabilityonline.net/research/three-quarters-of-australians-factor-sustainability-into-their-purchasing-decisions/" TargetMode="External"/><Relationship Id="rId75"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bhp.com/-/media/documents/environment/2022/220721_bhp_decarbonisation_strategy.pdf" TargetMode="External"/><Relationship Id="rId49" Type="http://schemas.openxmlformats.org/officeDocument/2006/relationships/hyperlink" Target="https://www.reuters.com/business/energy/canada-carves-role-gas-clean-power-grid-strategy--reeii-2026-07-07/" TargetMode="External"/><Relationship Id="rId57" Type="http://schemas.openxmlformats.org/officeDocument/2006/relationships/hyperlink" Target="http://ir.kabarak.ac.ke/handle/123456789/1543" TargetMode="External"/><Relationship Id="rId10" Type="http://schemas.openxmlformats.org/officeDocument/2006/relationships/image" Target="media/image4.png"/><Relationship Id="rId31" Type="http://schemas.openxmlformats.org/officeDocument/2006/relationships/hyperlink" Target="https://aipack.com.au/32-of-urban-australians-prefer-products-that-in-eco-friendly-packaging/" TargetMode="External"/><Relationship Id="rId44" Type="http://schemas.openxmlformats.org/officeDocument/2006/relationships/hyperlink" Target="https://climateactiontracker.org/countries/australia/" TargetMode="External"/><Relationship Id="rId52" Type="http://schemas.openxmlformats.org/officeDocument/2006/relationships/hyperlink" Target="https://www.canada.ca/en/environment-climate-change/services/environmental-indicators/greenhouse-gas-emissions.html" TargetMode="External"/><Relationship Id="rId60" Type="http://schemas.openxmlformats.org/officeDocument/2006/relationships/hyperlink" Target="https://im-mining.com/2025/03/28/codelco-overcomes-bottlenecks-to-boost-copper-production-in-2024/" TargetMode="External"/><Relationship Id="rId65" Type="http://schemas.openxmlformats.org/officeDocument/2006/relationships/hyperlink" Target="https://reneweconomy.com.au/bhp-plans-550mw-of-wind-solar-and-storage-as-pilbara-mines-go-electric/" TargetMode="External"/><Relationship Id="rId73" Type="http://schemas.openxmlformats.org/officeDocument/2006/relationships/hyperlink" Target="https://ru.zijinmining.com/upload/file/2025/03/25/0c4d55bdb3ac419ea7792571d6008267.pdf"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microsoft.com/office/2007/relationships/hdphoto" Target="media/hdphoto1.wdp"/><Relationship Id="rId39" Type="http://schemas.openxmlformats.org/officeDocument/2006/relationships/hyperlink" Target="https://www.bhp.com/about/progress" TargetMode="External"/><Relationship Id="rId34" Type="http://schemas.openxmlformats.org/officeDocument/2006/relationships/hyperlink" Target="https://im-mining.com/2025/03/28/codelco-overcomes-bottlenecks-to-boost-copper-production-in-2024/" TargetMode="External"/><Relationship Id="rId50" Type="http://schemas.openxmlformats.org/officeDocument/2006/relationships/hyperlink" Target="https://www.aph.gov.au/About_Parliament/Parliamentary_departments/Parliamentary_Library/Research/FlagPost/2026/April/EPBC_Act_reforms_-_disclosure_of_greenhouse_gas_emissions_information" TargetMode="External"/><Relationship Id="rId55" Type="http://schemas.openxmlformats.org/officeDocument/2006/relationships/hyperlink" Target="https://im-mining.com/2025/03/28/codelco-overcomes-bottlenecks-to-boost-copper-production-in-2024/"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unfccc.int/sites/default/files/2025-09/Australias%20Second%20NDC.pdf" TargetMode="External"/><Relationship Id="rId2" Type="http://schemas.openxmlformats.org/officeDocument/2006/relationships/styles" Target="styles.xml"/><Relationship Id="rId29" Type="http://schemas.openxmlformats.org/officeDocument/2006/relationships/image" Target="media/image2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27</Pages>
  <Words>4685</Words>
  <Characters>26710</Characters>
  <Application>Microsoft Office Word</Application>
  <DocSecurity>0</DocSecurity>
  <Lines>222</Lines>
  <Paragraphs>62</Paragraphs>
  <ScaleCrop>false</ScaleCrop>
  <Company/>
  <LinksUpToDate>false</LinksUpToDate>
  <CharactersWithSpaces>31333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Pawar (2543471)</cp:lastModifiedBy>
  <cp:revision>14</cp:revision>
  <dcterms:created xsi:type="dcterms:W3CDTF">2026-07-10T16:19:00Z</dcterms:created>
  <dcterms:modified xsi:type="dcterms:W3CDTF">2026-07-24T01:49:00Z</dcterms:modified>
</cp:coreProperties>
</file>