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B7662" w14:textId="09B1F0E4" w:rsidR="00CF4F7A" w:rsidRPr="00580865" w:rsidRDefault="006009F8" w:rsidP="006009F8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580865">
        <w:rPr>
          <w:rFonts w:ascii="Times New Roman" w:hAnsi="Times New Roman" w:cs="Times New Roman"/>
          <w:b/>
          <w:bCs/>
          <w:sz w:val="20"/>
          <w:szCs w:val="20"/>
          <w:u w:val="single"/>
        </w:rPr>
        <w:t>Critically examine the literary and artistic representations of chthonic deities in the Graeco-Roman world.</w:t>
      </w:r>
    </w:p>
    <w:p w14:paraId="0A730B9C" w14:textId="266890BB" w:rsidR="006009F8" w:rsidRDefault="006009F8" w:rsidP="00512CB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The </w:t>
      </w:r>
      <w:r w:rsidR="00882686">
        <w:rPr>
          <w:rFonts w:ascii="Times New Roman" w:hAnsi="Times New Roman" w:cs="Times New Roman"/>
          <w:sz w:val="20"/>
          <w:szCs w:val="20"/>
        </w:rPr>
        <w:t>Graeco-Roman</w:t>
      </w:r>
      <w:r>
        <w:rPr>
          <w:rFonts w:ascii="Times New Roman" w:hAnsi="Times New Roman" w:cs="Times New Roman"/>
          <w:sz w:val="20"/>
          <w:szCs w:val="20"/>
        </w:rPr>
        <w:t xml:space="preserve"> chthonic deities, gods inhabiting, embodying, or linked to the underworld, are perhaps the most interesting members of their pantheon</w:t>
      </w:r>
      <w:r w:rsidR="00C0091E">
        <w:rPr>
          <w:rFonts w:ascii="Times New Roman" w:hAnsi="Times New Roman" w:cs="Times New Roman"/>
          <w:sz w:val="20"/>
          <w:szCs w:val="20"/>
        </w:rPr>
        <w:t>.</w:t>
      </w:r>
      <w:r w:rsidR="003510EA">
        <w:rPr>
          <w:rFonts w:ascii="Times New Roman" w:hAnsi="Times New Roman" w:cs="Times New Roman"/>
          <w:sz w:val="20"/>
          <w:szCs w:val="20"/>
        </w:rPr>
        <w:t xml:space="preserve"> They are numerous, </w:t>
      </w:r>
      <w:r w:rsidR="00882686">
        <w:rPr>
          <w:rFonts w:ascii="Times New Roman" w:hAnsi="Times New Roman" w:cs="Times New Roman"/>
          <w:sz w:val="20"/>
          <w:szCs w:val="20"/>
        </w:rPr>
        <w:t>and as such</w:t>
      </w:r>
      <w:r w:rsidR="003510EA">
        <w:rPr>
          <w:rFonts w:ascii="Times New Roman" w:hAnsi="Times New Roman" w:cs="Times New Roman"/>
          <w:sz w:val="20"/>
          <w:szCs w:val="20"/>
        </w:rPr>
        <w:t xml:space="preserve"> this essay shall focus on</w:t>
      </w:r>
      <w:r w:rsidR="00D259BD">
        <w:rPr>
          <w:rFonts w:ascii="Times New Roman" w:hAnsi="Times New Roman" w:cs="Times New Roman"/>
          <w:sz w:val="20"/>
          <w:szCs w:val="20"/>
        </w:rPr>
        <w:t xml:space="preserve"> only </w:t>
      </w:r>
      <w:r w:rsidR="00A7553C">
        <w:rPr>
          <w:rFonts w:ascii="Times New Roman" w:hAnsi="Times New Roman" w:cs="Times New Roman"/>
          <w:sz w:val="20"/>
          <w:szCs w:val="20"/>
        </w:rPr>
        <w:t>two</w:t>
      </w:r>
      <w:r w:rsidR="00D259BD">
        <w:rPr>
          <w:rFonts w:ascii="Times New Roman" w:hAnsi="Times New Roman" w:cs="Times New Roman"/>
          <w:sz w:val="20"/>
          <w:szCs w:val="20"/>
        </w:rPr>
        <w:t>;</w:t>
      </w:r>
      <w:r w:rsidR="003510EA">
        <w:rPr>
          <w:rFonts w:ascii="Times New Roman" w:hAnsi="Times New Roman" w:cs="Times New Roman"/>
          <w:sz w:val="20"/>
          <w:szCs w:val="20"/>
        </w:rPr>
        <w:t xml:space="preserve"> Charo</w:t>
      </w:r>
      <w:r w:rsidR="00D23C59">
        <w:rPr>
          <w:rFonts w:ascii="Times New Roman" w:hAnsi="Times New Roman" w:cs="Times New Roman"/>
          <w:sz w:val="20"/>
          <w:szCs w:val="20"/>
        </w:rPr>
        <w:t>n</w:t>
      </w:r>
      <w:r w:rsidR="00A7553C">
        <w:rPr>
          <w:rFonts w:ascii="Times New Roman" w:hAnsi="Times New Roman" w:cs="Times New Roman"/>
          <w:sz w:val="20"/>
          <w:szCs w:val="20"/>
        </w:rPr>
        <w:t>, and Hades</w:t>
      </w:r>
      <w:r w:rsidR="00D23C59">
        <w:rPr>
          <w:rFonts w:ascii="Times New Roman" w:hAnsi="Times New Roman" w:cs="Times New Roman"/>
          <w:sz w:val="20"/>
          <w:szCs w:val="20"/>
        </w:rPr>
        <w:t>.</w:t>
      </w:r>
      <w:r w:rsidR="00512CB5">
        <w:rPr>
          <w:rFonts w:ascii="Times New Roman" w:hAnsi="Times New Roman" w:cs="Times New Roman"/>
          <w:sz w:val="20"/>
          <w:szCs w:val="20"/>
        </w:rPr>
        <w:t xml:space="preserve"> </w:t>
      </w:r>
      <w:r w:rsidR="00765682">
        <w:rPr>
          <w:rFonts w:ascii="Times New Roman" w:hAnsi="Times New Roman" w:cs="Times New Roman"/>
          <w:sz w:val="20"/>
          <w:szCs w:val="20"/>
        </w:rPr>
        <w:t>T</w:t>
      </w:r>
      <w:r w:rsidR="00512CB5">
        <w:rPr>
          <w:rFonts w:ascii="Times New Roman" w:hAnsi="Times New Roman" w:cs="Times New Roman"/>
          <w:sz w:val="20"/>
          <w:szCs w:val="20"/>
        </w:rPr>
        <w:t>hey are also mysterious</w:t>
      </w:r>
      <w:r w:rsidR="0085150D">
        <w:rPr>
          <w:rFonts w:ascii="Times New Roman" w:hAnsi="Times New Roman" w:cs="Times New Roman"/>
          <w:sz w:val="20"/>
          <w:szCs w:val="20"/>
        </w:rPr>
        <w:t>;</w:t>
      </w:r>
      <w:r w:rsidR="003510EA">
        <w:rPr>
          <w:rFonts w:ascii="Times New Roman" w:hAnsi="Times New Roman" w:cs="Times New Roman"/>
          <w:sz w:val="20"/>
          <w:szCs w:val="20"/>
        </w:rPr>
        <w:t xml:space="preserve"> </w:t>
      </w:r>
      <w:r w:rsidR="0085150D">
        <w:rPr>
          <w:rFonts w:ascii="Times New Roman" w:hAnsi="Times New Roman" w:cs="Times New Roman"/>
          <w:sz w:val="20"/>
          <w:szCs w:val="20"/>
        </w:rPr>
        <w:t xml:space="preserve">artistic </w:t>
      </w:r>
      <w:r w:rsidR="003510EA">
        <w:rPr>
          <w:rFonts w:ascii="Times New Roman" w:hAnsi="Times New Roman" w:cs="Times New Roman"/>
          <w:sz w:val="20"/>
          <w:szCs w:val="20"/>
        </w:rPr>
        <w:t>d</w:t>
      </w:r>
      <w:r w:rsidR="005C554C">
        <w:rPr>
          <w:rFonts w:ascii="Times New Roman" w:hAnsi="Times New Roman" w:cs="Times New Roman"/>
          <w:sz w:val="20"/>
          <w:szCs w:val="20"/>
        </w:rPr>
        <w:t>epictions are relatively rare</w:t>
      </w:r>
      <w:r w:rsidR="00740C8B">
        <w:rPr>
          <w:rFonts w:ascii="Times New Roman" w:hAnsi="Times New Roman" w:cs="Times New Roman"/>
          <w:sz w:val="20"/>
          <w:szCs w:val="20"/>
        </w:rPr>
        <w:t xml:space="preserve"> on domestic products, and are </w:t>
      </w:r>
      <w:r w:rsidR="005C554C">
        <w:rPr>
          <w:rFonts w:ascii="Times New Roman" w:hAnsi="Times New Roman" w:cs="Times New Roman"/>
          <w:sz w:val="20"/>
          <w:szCs w:val="20"/>
        </w:rPr>
        <w:t>largely limited to representations o</w:t>
      </w:r>
      <w:r w:rsidR="00740C8B">
        <w:rPr>
          <w:rFonts w:ascii="Times New Roman" w:hAnsi="Times New Roman" w:cs="Times New Roman"/>
          <w:sz w:val="20"/>
          <w:szCs w:val="20"/>
        </w:rPr>
        <w:t xml:space="preserve">n cult items, and in tombs – in her chapter on </w:t>
      </w:r>
      <w:r w:rsidR="00F65619">
        <w:rPr>
          <w:rFonts w:ascii="Times New Roman" w:hAnsi="Times New Roman" w:cs="Times New Roman"/>
          <w:sz w:val="20"/>
          <w:szCs w:val="20"/>
        </w:rPr>
        <w:t>terracotta figures, Burn details how depictions of deities like Persephone were almost exclusively used within religious contexts</w:t>
      </w:r>
      <w:r w:rsidR="00F65619">
        <w:rPr>
          <w:rStyle w:val="FootnoteReference"/>
          <w:rFonts w:ascii="Times New Roman" w:hAnsi="Times New Roman" w:cs="Times New Roman"/>
          <w:sz w:val="20"/>
          <w:szCs w:val="20"/>
        </w:rPr>
        <w:footnoteReference w:id="1"/>
      </w:r>
      <w:r w:rsidR="00554339">
        <w:rPr>
          <w:rFonts w:ascii="Times New Roman" w:hAnsi="Times New Roman" w:cs="Times New Roman"/>
          <w:sz w:val="20"/>
          <w:szCs w:val="20"/>
        </w:rPr>
        <w:t xml:space="preserve">. </w:t>
      </w:r>
      <w:r w:rsidR="003510EA">
        <w:rPr>
          <w:rFonts w:ascii="Times New Roman" w:hAnsi="Times New Roman" w:cs="Times New Roman"/>
          <w:sz w:val="20"/>
          <w:szCs w:val="20"/>
        </w:rPr>
        <w:t>Also, m</w:t>
      </w:r>
      <w:r w:rsidR="008F13A8">
        <w:rPr>
          <w:rFonts w:ascii="Times New Roman" w:hAnsi="Times New Roman" w:cs="Times New Roman"/>
          <w:sz w:val="20"/>
          <w:szCs w:val="20"/>
        </w:rPr>
        <w:t>uch of the literature sur</w:t>
      </w:r>
      <w:bookmarkStart w:id="2" w:name="_GoBack"/>
      <w:bookmarkEnd w:id="2"/>
      <w:r w:rsidR="008F13A8">
        <w:rPr>
          <w:rFonts w:ascii="Times New Roman" w:hAnsi="Times New Roman" w:cs="Times New Roman"/>
          <w:sz w:val="20"/>
          <w:szCs w:val="20"/>
        </w:rPr>
        <w:t xml:space="preserve">rounding them comes in the form of katabases, in which </w:t>
      </w:r>
      <w:r w:rsidR="00D47F9B">
        <w:rPr>
          <w:rFonts w:ascii="Times New Roman" w:hAnsi="Times New Roman" w:cs="Times New Roman"/>
          <w:sz w:val="20"/>
          <w:szCs w:val="20"/>
        </w:rPr>
        <w:t>the chthonic gods, though not necessarily evil, become de</w:t>
      </w:r>
      <w:r w:rsidR="00264389">
        <w:rPr>
          <w:rFonts w:ascii="Times New Roman" w:hAnsi="Times New Roman" w:cs="Times New Roman"/>
          <w:sz w:val="20"/>
          <w:szCs w:val="20"/>
        </w:rPr>
        <w:t>-</w:t>
      </w:r>
      <w:r w:rsidR="00D47F9B">
        <w:rPr>
          <w:rFonts w:ascii="Times New Roman" w:hAnsi="Times New Roman" w:cs="Times New Roman"/>
          <w:sz w:val="20"/>
          <w:szCs w:val="20"/>
        </w:rPr>
        <w:t>facto antagonists</w:t>
      </w:r>
      <w:r w:rsidR="00EC3DE8">
        <w:rPr>
          <w:rFonts w:ascii="Times New Roman" w:hAnsi="Times New Roman" w:cs="Times New Roman"/>
          <w:sz w:val="20"/>
          <w:szCs w:val="20"/>
        </w:rPr>
        <w:t>, and as such these deities are</w:t>
      </w:r>
      <w:r w:rsidR="00283F4B">
        <w:rPr>
          <w:rFonts w:ascii="Times New Roman" w:hAnsi="Times New Roman" w:cs="Times New Roman"/>
          <w:sz w:val="20"/>
          <w:szCs w:val="20"/>
        </w:rPr>
        <w:t xml:space="preserve"> often</w:t>
      </w:r>
      <w:r w:rsidR="00EC3DE8">
        <w:rPr>
          <w:rFonts w:ascii="Times New Roman" w:hAnsi="Times New Roman" w:cs="Times New Roman"/>
          <w:sz w:val="20"/>
          <w:szCs w:val="20"/>
        </w:rPr>
        <w:t xml:space="preserve"> represented </w:t>
      </w:r>
      <w:r w:rsidR="00283F4B">
        <w:rPr>
          <w:rFonts w:ascii="Times New Roman" w:hAnsi="Times New Roman" w:cs="Times New Roman"/>
          <w:sz w:val="20"/>
          <w:szCs w:val="20"/>
        </w:rPr>
        <w:t>in a</w:t>
      </w:r>
      <w:r w:rsidR="00882686">
        <w:rPr>
          <w:rFonts w:ascii="Times New Roman" w:hAnsi="Times New Roman" w:cs="Times New Roman"/>
          <w:sz w:val="20"/>
          <w:szCs w:val="20"/>
        </w:rPr>
        <w:t xml:space="preserve"> negative</w:t>
      </w:r>
      <w:r w:rsidR="00D47F9B">
        <w:rPr>
          <w:rFonts w:ascii="Times New Roman" w:hAnsi="Times New Roman" w:cs="Times New Roman"/>
          <w:sz w:val="20"/>
          <w:szCs w:val="20"/>
        </w:rPr>
        <w:t xml:space="preserve">. Additionally, </w:t>
      </w:r>
      <w:r w:rsidR="00554339">
        <w:rPr>
          <w:rFonts w:ascii="Times New Roman" w:hAnsi="Times New Roman" w:cs="Times New Roman"/>
          <w:sz w:val="20"/>
          <w:szCs w:val="20"/>
        </w:rPr>
        <w:t xml:space="preserve">popular </w:t>
      </w:r>
      <w:r w:rsidR="002C6C68">
        <w:rPr>
          <w:rFonts w:ascii="Times New Roman" w:hAnsi="Times New Roman" w:cs="Times New Roman"/>
          <w:sz w:val="20"/>
          <w:szCs w:val="20"/>
        </w:rPr>
        <w:t>representations</w:t>
      </w:r>
      <w:r w:rsidR="00554339">
        <w:rPr>
          <w:rFonts w:ascii="Times New Roman" w:hAnsi="Times New Roman" w:cs="Times New Roman"/>
          <w:sz w:val="20"/>
          <w:szCs w:val="20"/>
        </w:rPr>
        <w:t xml:space="preserve"> of these gods, their realm, and their natures, is influenced by the conventions of later Judeo-Christian beliefs – the underworld is often, inappropriately, confounded with the Christian Hell; in his </w:t>
      </w:r>
      <w:r w:rsidR="00554339">
        <w:rPr>
          <w:rFonts w:ascii="Times New Roman" w:hAnsi="Times New Roman" w:cs="Times New Roman"/>
          <w:i/>
          <w:iCs/>
          <w:sz w:val="20"/>
          <w:szCs w:val="20"/>
        </w:rPr>
        <w:t>Divine Comedy</w:t>
      </w:r>
      <w:r w:rsidR="00554339">
        <w:rPr>
          <w:rFonts w:ascii="Times New Roman" w:hAnsi="Times New Roman" w:cs="Times New Roman"/>
          <w:sz w:val="20"/>
          <w:szCs w:val="20"/>
        </w:rPr>
        <w:t xml:space="preserve"> Dante </w:t>
      </w:r>
      <w:r w:rsidR="004B05B8">
        <w:rPr>
          <w:rFonts w:ascii="Times New Roman" w:hAnsi="Times New Roman" w:cs="Times New Roman"/>
          <w:sz w:val="20"/>
          <w:szCs w:val="20"/>
        </w:rPr>
        <w:t xml:space="preserve">names the innermost circle of Hell ‘Dis’, in reference to a Roman </w:t>
      </w:r>
      <w:r w:rsidR="008F13A8">
        <w:rPr>
          <w:rFonts w:ascii="Times New Roman" w:hAnsi="Times New Roman" w:cs="Times New Roman"/>
          <w:sz w:val="20"/>
          <w:szCs w:val="20"/>
        </w:rPr>
        <w:t>equivalent</w:t>
      </w:r>
      <w:r w:rsidR="004B05B8">
        <w:rPr>
          <w:rFonts w:ascii="Times New Roman" w:hAnsi="Times New Roman" w:cs="Times New Roman"/>
          <w:sz w:val="20"/>
          <w:szCs w:val="20"/>
        </w:rPr>
        <w:t xml:space="preserve"> of the chthonic god Hades ‘Dis Pater’</w:t>
      </w:r>
      <w:r w:rsidR="004B05B8">
        <w:rPr>
          <w:rStyle w:val="FootnoteReference"/>
          <w:rFonts w:ascii="Times New Roman" w:hAnsi="Times New Roman" w:cs="Times New Roman"/>
          <w:sz w:val="20"/>
          <w:szCs w:val="20"/>
        </w:rPr>
        <w:footnoteReference w:id="2"/>
      </w:r>
      <w:r w:rsidR="008F13A8">
        <w:rPr>
          <w:rFonts w:ascii="Times New Roman" w:hAnsi="Times New Roman" w:cs="Times New Roman"/>
          <w:sz w:val="20"/>
          <w:szCs w:val="20"/>
        </w:rPr>
        <w:t xml:space="preserve">. </w:t>
      </w:r>
      <w:r w:rsidR="00DC29F1">
        <w:rPr>
          <w:rFonts w:ascii="Times New Roman" w:hAnsi="Times New Roman" w:cs="Times New Roman"/>
          <w:sz w:val="20"/>
          <w:szCs w:val="20"/>
        </w:rPr>
        <w:t>Because of this last</w:t>
      </w:r>
      <w:r w:rsidR="00D47F9B">
        <w:rPr>
          <w:rFonts w:ascii="Times New Roman" w:hAnsi="Times New Roman" w:cs="Times New Roman"/>
          <w:sz w:val="20"/>
          <w:szCs w:val="20"/>
        </w:rPr>
        <w:t xml:space="preserve">, some of the scholarship surrounding these gods is inappropriately biased </w:t>
      </w:r>
      <w:r w:rsidR="00974F0C">
        <w:rPr>
          <w:rFonts w:ascii="Times New Roman" w:hAnsi="Times New Roman" w:cs="Times New Roman"/>
          <w:sz w:val="20"/>
          <w:szCs w:val="20"/>
        </w:rPr>
        <w:t>against</w:t>
      </w:r>
      <w:r w:rsidR="00D47F9B">
        <w:rPr>
          <w:rFonts w:ascii="Times New Roman" w:hAnsi="Times New Roman" w:cs="Times New Roman"/>
          <w:sz w:val="20"/>
          <w:szCs w:val="20"/>
        </w:rPr>
        <w:t xml:space="preserve"> them.</w:t>
      </w:r>
      <w:r w:rsidR="0042671C">
        <w:rPr>
          <w:rFonts w:ascii="Times New Roman" w:hAnsi="Times New Roman" w:cs="Times New Roman"/>
          <w:sz w:val="20"/>
          <w:szCs w:val="20"/>
        </w:rPr>
        <w:t xml:space="preserve"> Overall</w:t>
      </w:r>
      <w:r w:rsidR="00100B02">
        <w:rPr>
          <w:rFonts w:ascii="Times New Roman" w:hAnsi="Times New Roman" w:cs="Times New Roman"/>
          <w:sz w:val="20"/>
          <w:szCs w:val="20"/>
        </w:rPr>
        <w:t>,</w:t>
      </w:r>
      <w:r w:rsidR="0042671C">
        <w:rPr>
          <w:rFonts w:ascii="Times New Roman" w:hAnsi="Times New Roman" w:cs="Times New Roman"/>
          <w:sz w:val="20"/>
          <w:szCs w:val="20"/>
        </w:rPr>
        <w:t xml:space="preserve"> the existing scholarship is quite </w:t>
      </w:r>
      <w:r w:rsidR="00100B02">
        <w:rPr>
          <w:rFonts w:ascii="Times New Roman" w:hAnsi="Times New Roman" w:cs="Times New Roman"/>
          <w:sz w:val="20"/>
          <w:szCs w:val="20"/>
        </w:rPr>
        <w:t xml:space="preserve">small, </w:t>
      </w:r>
      <w:r w:rsidR="00A5789A">
        <w:rPr>
          <w:rFonts w:ascii="Times New Roman" w:hAnsi="Times New Roman" w:cs="Times New Roman"/>
          <w:sz w:val="20"/>
          <w:szCs w:val="20"/>
        </w:rPr>
        <w:t xml:space="preserve">and a fair sum of </w:t>
      </w:r>
      <w:r w:rsidR="00882686">
        <w:rPr>
          <w:rFonts w:ascii="Times New Roman" w:hAnsi="Times New Roman" w:cs="Times New Roman"/>
          <w:sz w:val="20"/>
          <w:szCs w:val="20"/>
        </w:rPr>
        <w:t xml:space="preserve">it </w:t>
      </w:r>
      <w:r w:rsidR="00A5789A">
        <w:rPr>
          <w:rFonts w:ascii="Times New Roman" w:hAnsi="Times New Roman" w:cs="Times New Roman"/>
          <w:sz w:val="20"/>
          <w:szCs w:val="20"/>
        </w:rPr>
        <w:t>biased</w:t>
      </w:r>
      <w:r w:rsidR="00077693">
        <w:rPr>
          <w:rFonts w:ascii="Times New Roman" w:hAnsi="Times New Roman" w:cs="Times New Roman"/>
          <w:sz w:val="20"/>
          <w:szCs w:val="20"/>
        </w:rPr>
        <w:t xml:space="preserve">, </w:t>
      </w:r>
      <w:r w:rsidR="00100B02">
        <w:rPr>
          <w:rFonts w:ascii="Times New Roman" w:hAnsi="Times New Roman" w:cs="Times New Roman"/>
          <w:sz w:val="20"/>
          <w:szCs w:val="20"/>
        </w:rPr>
        <w:t>leaving this as an</w:t>
      </w:r>
      <w:r w:rsidR="00A5789A">
        <w:rPr>
          <w:rFonts w:ascii="Times New Roman" w:hAnsi="Times New Roman" w:cs="Times New Roman"/>
          <w:sz w:val="20"/>
          <w:szCs w:val="20"/>
        </w:rPr>
        <w:t xml:space="preserve"> area of study which is distinctly interesting</w:t>
      </w:r>
      <w:r w:rsidR="00E9022F">
        <w:rPr>
          <w:rFonts w:ascii="Times New Roman" w:hAnsi="Times New Roman" w:cs="Times New Roman"/>
          <w:sz w:val="20"/>
          <w:szCs w:val="20"/>
        </w:rPr>
        <w:t>; much is un-investigated, and much more is misrepres</w:t>
      </w:r>
      <w:r w:rsidR="008621C5">
        <w:rPr>
          <w:rFonts w:ascii="Times New Roman" w:hAnsi="Times New Roman" w:cs="Times New Roman"/>
          <w:sz w:val="20"/>
          <w:szCs w:val="20"/>
        </w:rPr>
        <w:t>ented, or misunderstood</w:t>
      </w:r>
      <w:r w:rsidR="00A5789A">
        <w:rPr>
          <w:rFonts w:ascii="Times New Roman" w:hAnsi="Times New Roman" w:cs="Times New Roman"/>
          <w:sz w:val="20"/>
          <w:szCs w:val="20"/>
        </w:rPr>
        <w:t>.</w:t>
      </w:r>
      <w:r w:rsidR="00D47F9B">
        <w:rPr>
          <w:rFonts w:ascii="Times New Roman" w:hAnsi="Times New Roman" w:cs="Times New Roman"/>
          <w:sz w:val="20"/>
          <w:szCs w:val="20"/>
        </w:rPr>
        <w:t xml:space="preserve"> This being so, this essay intends to look at the literature, and art, of the Graeco-Roman world, and see how the chthonic gods were </w:t>
      </w:r>
      <w:r w:rsidR="00F35BDB">
        <w:rPr>
          <w:rFonts w:ascii="Times New Roman" w:hAnsi="Times New Roman" w:cs="Times New Roman"/>
          <w:sz w:val="20"/>
          <w:szCs w:val="20"/>
        </w:rPr>
        <w:t xml:space="preserve">originally </w:t>
      </w:r>
      <w:r w:rsidR="00D47F9B">
        <w:rPr>
          <w:rFonts w:ascii="Times New Roman" w:hAnsi="Times New Roman" w:cs="Times New Roman"/>
          <w:sz w:val="20"/>
          <w:szCs w:val="20"/>
        </w:rPr>
        <w:t>represented</w:t>
      </w:r>
      <w:r w:rsidR="003510EA">
        <w:rPr>
          <w:rFonts w:ascii="Times New Roman" w:hAnsi="Times New Roman" w:cs="Times New Roman"/>
          <w:sz w:val="20"/>
          <w:szCs w:val="20"/>
        </w:rPr>
        <w:t>.</w:t>
      </w:r>
    </w:p>
    <w:p w14:paraId="3C4DFDDA" w14:textId="188F230C" w:rsidR="00D23C59" w:rsidRDefault="004B0C77" w:rsidP="0035356B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One</w:t>
      </w:r>
      <w:r w:rsidR="00D23C59">
        <w:rPr>
          <w:rFonts w:ascii="Times New Roman" w:hAnsi="Times New Roman" w:cs="Times New Roman"/>
          <w:sz w:val="20"/>
          <w:szCs w:val="20"/>
        </w:rPr>
        <w:t xml:space="preserve"> chthonic god whos</w:t>
      </w:r>
      <w:r w:rsidR="003C4287">
        <w:rPr>
          <w:rFonts w:ascii="Times New Roman" w:hAnsi="Times New Roman" w:cs="Times New Roman"/>
          <w:sz w:val="20"/>
          <w:szCs w:val="20"/>
        </w:rPr>
        <w:t>e</w:t>
      </w:r>
      <w:r w:rsidR="00D23C59">
        <w:rPr>
          <w:rFonts w:ascii="Times New Roman" w:hAnsi="Times New Roman" w:cs="Times New Roman"/>
          <w:sz w:val="20"/>
          <w:szCs w:val="20"/>
        </w:rPr>
        <w:t xml:space="preserve"> portrayal in ancient sources would seem to be consistent with the modern view of the underworld would by Charon, the ferryman</w:t>
      </w:r>
      <w:r w:rsidR="007C125B">
        <w:rPr>
          <w:rFonts w:ascii="Times New Roman" w:hAnsi="Times New Roman" w:cs="Times New Roman"/>
          <w:sz w:val="20"/>
          <w:szCs w:val="20"/>
        </w:rPr>
        <w:t>. This figure wa</w:t>
      </w:r>
      <w:r w:rsidR="00E11585">
        <w:rPr>
          <w:rFonts w:ascii="Times New Roman" w:hAnsi="Times New Roman" w:cs="Times New Roman"/>
          <w:sz w:val="20"/>
          <w:szCs w:val="20"/>
        </w:rPr>
        <w:t xml:space="preserve">s most commonly depicted of funerary </w:t>
      </w:r>
      <w:r w:rsidR="00D34EEE">
        <w:rPr>
          <w:rFonts w:ascii="Times New Roman" w:hAnsi="Times New Roman" w:cs="Times New Roman"/>
          <w:sz w:val="20"/>
          <w:szCs w:val="20"/>
        </w:rPr>
        <w:t>lekythoses ferrying the dead into the underworld</w:t>
      </w:r>
      <w:r w:rsidR="0091339C">
        <w:rPr>
          <w:rStyle w:val="FootnoteReference"/>
          <w:rFonts w:ascii="Times New Roman" w:hAnsi="Times New Roman" w:cs="Times New Roman"/>
          <w:sz w:val="20"/>
          <w:szCs w:val="20"/>
        </w:rPr>
        <w:footnoteReference w:id="3"/>
      </w:r>
      <w:r w:rsidR="00970069">
        <w:rPr>
          <w:rFonts w:ascii="Times New Roman" w:hAnsi="Times New Roman" w:cs="Times New Roman"/>
          <w:sz w:val="20"/>
          <w:szCs w:val="20"/>
        </w:rPr>
        <w:t>. Though</w:t>
      </w:r>
      <w:r w:rsidR="00A22E6E">
        <w:rPr>
          <w:rFonts w:ascii="Times New Roman" w:hAnsi="Times New Roman" w:cs="Times New Roman"/>
          <w:sz w:val="20"/>
          <w:szCs w:val="20"/>
        </w:rPr>
        <w:t>, as Oakley discusses, recognisable as Charon</w:t>
      </w:r>
      <w:r w:rsidR="00882686">
        <w:rPr>
          <w:rFonts w:ascii="Times New Roman" w:hAnsi="Times New Roman" w:cs="Times New Roman"/>
          <w:sz w:val="20"/>
          <w:szCs w:val="20"/>
        </w:rPr>
        <w:t xml:space="preserve">, due to his ferrying of the dead, </w:t>
      </w:r>
      <w:r w:rsidR="00A22E6E">
        <w:rPr>
          <w:rFonts w:ascii="Times New Roman" w:hAnsi="Times New Roman" w:cs="Times New Roman"/>
          <w:sz w:val="20"/>
          <w:szCs w:val="20"/>
        </w:rPr>
        <w:t>the figure on these lekythoses</w:t>
      </w:r>
      <w:r w:rsidR="00914FB7">
        <w:rPr>
          <w:rFonts w:ascii="Times New Roman" w:hAnsi="Times New Roman" w:cs="Times New Roman"/>
          <w:sz w:val="20"/>
          <w:szCs w:val="20"/>
        </w:rPr>
        <w:t xml:space="preserve"> does not have a fixed appearance</w:t>
      </w:r>
      <w:r w:rsidR="00220624">
        <w:rPr>
          <w:rStyle w:val="FootnoteReference"/>
          <w:rFonts w:ascii="Times New Roman" w:hAnsi="Times New Roman" w:cs="Times New Roman"/>
          <w:sz w:val="20"/>
          <w:szCs w:val="20"/>
        </w:rPr>
        <w:footnoteReference w:id="4"/>
      </w:r>
      <w:r w:rsidR="00AD0B42">
        <w:rPr>
          <w:rFonts w:ascii="Times New Roman" w:hAnsi="Times New Roman" w:cs="Times New Roman"/>
          <w:sz w:val="20"/>
          <w:szCs w:val="20"/>
        </w:rPr>
        <w:t>.</w:t>
      </w:r>
      <w:r w:rsidR="00BD109B">
        <w:rPr>
          <w:rFonts w:ascii="Times New Roman" w:hAnsi="Times New Roman" w:cs="Times New Roman"/>
          <w:sz w:val="20"/>
          <w:szCs w:val="20"/>
        </w:rPr>
        <w:t xml:space="preserve"> Th</w:t>
      </w:r>
      <w:r w:rsidR="00057F62">
        <w:rPr>
          <w:rFonts w:ascii="Times New Roman" w:hAnsi="Times New Roman" w:cs="Times New Roman"/>
          <w:sz w:val="20"/>
          <w:szCs w:val="20"/>
        </w:rPr>
        <w:t>e</w:t>
      </w:r>
      <w:r w:rsidR="00435A35">
        <w:rPr>
          <w:rFonts w:ascii="Times New Roman" w:hAnsi="Times New Roman" w:cs="Times New Roman"/>
          <w:sz w:val="20"/>
          <w:szCs w:val="20"/>
        </w:rPr>
        <w:t xml:space="preserve"> ways in which Charon is depicted vary so substantially</w:t>
      </w:r>
      <w:r w:rsidR="005175DC">
        <w:rPr>
          <w:rFonts w:ascii="Times New Roman" w:hAnsi="Times New Roman" w:cs="Times New Roman"/>
          <w:sz w:val="20"/>
          <w:szCs w:val="20"/>
        </w:rPr>
        <w:t xml:space="preserve"> that </w:t>
      </w:r>
      <w:r w:rsidR="00D4684C">
        <w:rPr>
          <w:rFonts w:ascii="Times New Roman" w:hAnsi="Times New Roman" w:cs="Times New Roman"/>
          <w:sz w:val="20"/>
          <w:szCs w:val="20"/>
        </w:rPr>
        <w:t>they can</w:t>
      </w:r>
      <w:r w:rsidR="00B24E42">
        <w:rPr>
          <w:rFonts w:ascii="Times New Roman" w:hAnsi="Times New Roman" w:cs="Times New Roman"/>
          <w:sz w:val="20"/>
          <w:szCs w:val="20"/>
        </w:rPr>
        <w:t xml:space="preserve">not only be due to the employment of </w:t>
      </w:r>
      <w:r w:rsidR="00882686">
        <w:rPr>
          <w:rFonts w:ascii="Times New Roman" w:hAnsi="Times New Roman" w:cs="Times New Roman"/>
          <w:sz w:val="20"/>
          <w:szCs w:val="20"/>
        </w:rPr>
        <w:t>different</w:t>
      </w:r>
      <w:r w:rsidR="00B24E42">
        <w:rPr>
          <w:rFonts w:ascii="Times New Roman" w:hAnsi="Times New Roman" w:cs="Times New Roman"/>
          <w:sz w:val="20"/>
          <w:szCs w:val="20"/>
        </w:rPr>
        <w:t xml:space="preserve"> artists, as might be supposed </w:t>
      </w:r>
      <w:r w:rsidR="00882686">
        <w:rPr>
          <w:rFonts w:ascii="Times New Roman" w:hAnsi="Times New Roman" w:cs="Times New Roman"/>
          <w:sz w:val="20"/>
          <w:szCs w:val="20"/>
        </w:rPr>
        <w:t>to be the</w:t>
      </w:r>
      <w:r w:rsidR="00321A0B">
        <w:rPr>
          <w:rFonts w:ascii="Times New Roman" w:hAnsi="Times New Roman" w:cs="Times New Roman"/>
          <w:sz w:val="20"/>
          <w:szCs w:val="20"/>
        </w:rPr>
        <w:t xml:space="preserve"> cause minor variations in </w:t>
      </w:r>
      <w:r w:rsidR="00882686">
        <w:rPr>
          <w:rFonts w:ascii="Times New Roman" w:hAnsi="Times New Roman" w:cs="Times New Roman"/>
          <w:sz w:val="20"/>
          <w:szCs w:val="20"/>
        </w:rPr>
        <w:t xml:space="preserve">multiple </w:t>
      </w:r>
      <w:r w:rsidR="00321A0B">
        <w:rPr>
          <w:rFonts w:ascii="Times New Roman" w:hAnsi="Times New Roman" w:cs="Times New Roman"/>
          <w:sz w:val="20"/>
          <w:szCs w:val="20"/>
        </w:rPr>
        <w:t>depiction</w:t>
      </w:r>
      <w:r w:rsidR="00882686">
        <w:rPr>
          <w:rFonts w:ascii="Times New Roman" w:hAnsi="Times New Roman" w:cs="Times New Roman"/>
          <w:sz w:val="20"/>
          <w:szCs w:val="20"/>
        </w:rPr>
        <w:t>s</w:t>
      </w:r>
      <w:r w:rsidR="00321A0B">
        <w:rPr>
          <w:rFonts w:ascii="Times New Roman" w:hAnsi="Times New Roman" w:cs="Times New Roman"/>
          <w:sz w:val="20"/>
          <w:szCs w:val="20"/>
        </w:rPr>
        <w:t xml:space="preserve"> of </w:t>
      </w:r>
      <w:r w:rsidR="00882686">
        <w:rPr>
          <w:rFonts w:ascii="Times New Roman" w:hAnsi="Times New Roman" w:cs="Times New Roman"/>
          <w:sz w:val="20"/>
          <w:szCs w:val="20"/>
        </w:rPr>
        <w:t>one</w:t>
      </w:r>
      <w:r w:rsidR="00321A0B">
        <w:rPr>
          <w:rFonts w:ascii="Times New Roman" w:hAnsi="Times New Roman" w:cs="Times New Roman"/>
          <w:sz w:val="20"/>
          <w:szCs w:val="20"/>
        </w:rPr>
        <w:t xml:space="preserve"> subject in other works</w:t>
      </w:r>
      <w:r w:rsidR="00116FC7">
        <w:rPr>
          <w:rFonts w:ascii="Times New Roman" w:hAnsi="Times New Roman" w:cs="Times New Roman"/>
          <w:sz w:val="20"/>
          <w:szCs w:val="20"/>
        </w:rPr>
        <w:t xml:space="preserve">, but instead indicates that the artists had no popular image of this deity upon which </w:t>
      </w:r>
      <w:r w:rsidR="00E227A5">
        <w:rPr>
          <w:rFonts w:ascii="Times New Roman" w:hAnsi="Times New Roman" w:cs="Times New Roman"/>
          <w:sz w:val="20"/>
          <w:szCs w:val="20"/>
        </w:rPr>
        <w:t xml:space="preserve">to base their depictions. </w:t>
      </w:r>
      <w:r w:rsidR="007352DD">
        <w:rPr>
          <w:rFonts w:ascii="Times New Roman" w:hAnsi="Times New Roman" w:cs="Times New Roman"/>
          <w:sz w:val="20"/>
          <w:szCs w:val="20"/>
        </w:rPr>
        <w:t xml:space="preserve">The </w:t>
      </w:r>
      <w:r w:rsidR="008F4734">
        <w:rPr>
          <w:rFonts w:ascii="Times New Roman" w:hAnsi="Times New Roman" w:cs="Times New Roman"/>
          <w:sz w:val="20"/>
          <w:szCs w:val="20"/>
        </w:rPr>
        <w:t>depiction</w:t>
      </w:r>
      <w:r w:rsidR="00B243A5">
        <w:rPr>
          <w:rFonts w:ascii="Times New Roman" w:hAnsi="Times New Roman" w:cs="Times New Roman"/>
          <w:sz w:val="20"/>
          <w:szCs w:val="20"/>
        </w:rPr>
        <w:t>s</w:t>
      </w:r>
      <w:r w:rsidR="008F4734">
        <w:rPr>
          <w:rFonts w:ascii="Times New Roman" w:hAnsi="Times New Roman" w:cs="Times New Roman"/>
          <w:sz w:val="20"/>
          <w:szCs w:val="20"/>
        </w:rPr>
        <w:t xml:space="preserve"> vary in this way; i</w:t>
      </w:r>
      <w:r w:rsidR="00137B60">
        <w:rPr>
          <w:rFonts w:ascii="Times New Roman" w:hAnsi="Times New Roman" w:cs="Times New Roman"/>
          <w:sz w:val="20"/>
          <w:szCs w:val="20"/>
        </w:rPr>
        <w:t>n some Charon is distinctly ugly, in others he is not</w:t>
      </w:r>
      <w:r w:rsidR="00B243A5">
        <w:rPr>
          <w:rStyle w:val="FootnoteReference"/>
          <w:rFonts w:ascii="Times New Roman" w:hAnsi="Times New Roman" w:cs="Times New Roman"/>
          <w:sz w:val="20"/>
          <w:szCs w:val="20"/>
        </w:rPr>
        <w:footnoteReference w:id="5"/>
      </w:r>
      <w:r w:rsidR="00EE13EC">
        <w:rPr>
          <w:rFonts w:ascii="Times New Roman" w:hAnsi="Times New Roman" w:cs="Times New Roman"/>
          <w:sz w:val="20"/>
          <w:szCs w:val="20"/>
        </w:rPr>
        <w:t>. Th</w:t>
      </w:r>
      <w:r w:rsidR="00671660">
        <w:rPr>
          <w:rFonts w:ascii="Times New Roman" w:hAnsi="Times New Roman" w:cs="Times New Roman"/>
          <w:sz w:val="20"/>
          <w:szCs w:val="20"/>
        </w:rPr>
        <w:t>e fact that Charon lacks a popular image</w:t>
      </w:r>
      <w:r w:rsidR="00882686">
        <w:rPr>
          <w:rFonts w:ascii="Times New Roman" w:hAnsi="Times New Roman" w:cs="Times New Roman"/>
          <w:sz w:val="20"/>
          <w:szCs w:val="20"/>
        </w:rPr>
        <w:t>,</w:t>
      </w:r>
      <w:r w:rsidR="007B38A1">
        <w:rPr>
          <w:rFonts w:ascii="Times New Roman" w:hAnsi="Times New Roman" w:cs="Times New Roman"/>
          <w:sz w:val="20"/>
          <w:szCs w:val="20"/>
        </w:rPr>
        <w:t xml:space="preserve"> and </w:t>
      </w:r>
      <w:r w:rsidR="00882686">
        <w:rPr>
          <w:rFonts w:ascii="Times New Roman" w:hAnsi="Times New Roman" w:cs="Times New Roman"/>
          <w:sz w:val="20"/>
          <w:szCs w:val="20"/>
        </w:rPr>
        <w:t xml:space="preserve">that he </w:t>
      </w:r>
      <w:r w:rsidR="007B38A1">
        <w:rPr>
          <w:rFonts w:ascii="Times New Roman" w:hAnsi="Times New Roman" w:cs="Times New Roman"/>
          <w:sz w:val="20"/>
          <w:szCs w:val="20"/>
        </w:rPr>
        <w:t>might be depicted as ugly is unusual, so far as representations of the Graeco-Roman gods are concerned</w:t>
      </w:r>
      <w:r w:rsidR="00420269">
        <w:rPr>
          <w:rFonts w:ascii="Times New Roman" w:hAnsi="Times New Roman" w:cs="Times New Roman"/>
          <w:sz w:val="20"/>
          <w:szCs w:val="20"/>
        </w:rPr>
        <w:t>. Other gods</w:t>
      </w:r>
      <w:r w:rsidR="009F5E37">
        <w:rPr>
          <w:rFonts w:ascii="Times New Roman" w:hAnsi="Times New Roman" w:cs="Times New Roman"/>
          <w:sz w:val="20"/>
          <w:szCs w:val="20"/>
        </w:rPr>
        <w:t xml:space="preserve"> are </w:t>
      </w:r>
      <w:r w:rsidR="00684660">
        <w:rPr>
          <w:rFonts w:ascii="Times New Roman" w:hAnsi="Times New Roman" w:cs="Times New Roman"/>
          <w:sz w:val="20"/>
          <w:szCs w:val="20"/>
        </w:rPr>
        <w:t>somewhat consistent in their depictions</w:t>
      </w:r>
      <w:r w:rsidR="0035356B">
        <w:rPr>
          <w:rFonts w:ascii="Times New Roman" w:hAnsi="Times New Roman" w:cs="Times New Roman"/>
          <w:sz w:val="20"/>
          <w:szCs w:val="20"/>
        </w:rPr>
        <w:t xml:space="preserve"> – </w:t>
      </w:r>
      <w:r w:rsidR="00684660">
        <w:rPr>
          <w:rFonts w:ascii="Times New Roman" w:hAnsi="Times New Roman" w:cs="Times New Roman"/>
          <w:sz w:val="20"/>
          <w:szCs w:val="20"/>
        </w:rPr>
        <w:t>different depictions almost always have multiple features in common</w:t>
      </w:r>
      <w:r w:rsidR="0035356B">
        <w:rPr>
          <w:rFonts w:ascii="Times New Roman" w:hAnsi="Times New Roman" w:cs="Times New Roman"/>
          <w:sz w:val="20"/>
          <w:szCs w:val="20"/>
        </w:rPr>
        <w:t xml:space="preserve"> – almost all images of Zeus, for example</w:t>
      </w:r>
      <w:r w:rsidR="00882686">
        <w:rPr>
          <w:rFonts w:ascii="Times New Roman" w:hAnsi="Times New Roman" w:cs="Times New Roman"/>
          <w:sz w:val="20"/>
          <w:szCs w:val="20"/>
        </w:rPr>
        <w:t>,</w:t>
      </w:r>
      <w:r w:rsidR="0035356B">
        <w:rPr>
          <w:rFonts w:ascii="Times New Roman" w:hAnsi="Times New Roman" w:cs="Times New Roman"/>
          <w:sz w:val="20"/>
          <w:szCs w:val="20"/>
        </w:rPr>
        <w:t xml:space="preserve"> show a bearded man, </w:t>
      </w:r>
      <w:r w:rsidR="003C0CF9">
        <w:rPr>
          <w:rFonts w:ascii="Times New Roman" w:hAnsi="Times New Roman" w:cs="Times New Roman"/>
          <w:sz w:val="20"/>
          <w:szCs w:val="20"/>
        </w:rPr>
        <w:t>mature, but not</w:t>
      </w:r>
      <w:r w:rsidR="00882686">
        <w:rPr>
          <w:rFonts w:ascii="Times New Roman" w:hAnsi="Times New Roman" w:cs="Times New Roman"/>
          <w:sz w:val="20"/>
          <w:szCs w:val="20"/>
        </w:rPr>
        <w:t xml:space="preserve"> elderly</w:t>
      </w:r>
      <w:r w:rsidR="003C0CF9">
        <w:rPr>
          <w:rFonts w:ascii="Times New Roman" w:hAnsi="Times New Roman" w:cs="Times New Roman"/>
          <w:sz w:val="20"/>
          <w:szCs w:val="20"/>
        </w:rPr>
        <w:t xml:space="preserve">, </w:t>
      </w:r>
      <w:r w:rsidR="00F808F9">
        <w:rPr>
          <w:rFonts w:ascii="Times New Roman" w:hAnsi="Times New Roman" w:cs="Times New Roman"/>
          <w:sz w:val="20"/>
          <w:szCs w:val="20"/>
        </w:rPr>
        <w:t>and crowned</w:t>
      </w:r>
      <w:r w:rsidR="00882686">
        <w:rPr>
          <w:rFonts w:ascii="Times New Roman" w:hAnsi="Times New Roman" w:cs="Times New Roman"/>
          <w:sz w:val="20"/>
          <w:szCs w:val="20"/>
        </w:rPr>
        <w:t xml:space="preserve"> -</w:t>
      </w:r>
      <w:r w:rsidR="0056696D">
        <w:rPr>
          <w:rFonts w:ascii="Times New Roman" w:hAnsi="Times New Roman" w:cs="Times New Roman"/>
          <w:sz w:val="20"/>
          <w:szCs w:val="20"/>
        </w:rPr>
        <w:t xml:space="preserve"> but Charon, apparently, is different</w:t>
      </w:r>
      <w:r w:rsidR="00304AC8">
        <w:rPr>
          <w:rStyle w:val="FootnoteReference"/>
          <w:rFonts w:ascii="Times New Roman" w:hAnsi="Times New Roman" w:cs="Times New Roman"/>
          <w:sz w:val="20"/>
          <w:szCs w:val="20"/>
        </w:rPr>
        <w:footnoteReference w:id="6"/>
      </w:r>
      <w:r w:rsidR="0056696D">
        <w:rPr>
          <w:rFonts w:ascii="Times New Roman" w:hAnsi="Times New Roman" w:cs="Times New Roman"/>
          <w:sz w:val="20"/>
          <w:szCs w:val="20"/>
        </w:rPr>
        <w:t>.</w:t>
      </w:r>
      <w:r w:rsidR="00DD73CA">
        <w:rPr>
          <w:rFonts w:ascii="Times New Roman" w:hAnsi="Times New Roman" w:cs="Times New Roman"/>
          <w:sz w:val="20"/>
          <w:szCs w:val="20"/>
        </w:rPr>
        <w:t xml:space="preserve"> The unfixed nature of Charon’s representations is suggestive of how the Greeks, and Romans, perceived hi</w:t>
      </w:r>
      <w:r w:rsidR="00882686">
        <w:rPr>
          <w:rFonts w:ascii="Times New Roman" w:hAnsi="Times New Roman" w:cs="Times New Roman"/>
          <w:sz w:val="20"/>
          <w:szCs w:val="20"/>
        </w:rPr>
        <w:t>m; it is perhaps</w:t>
      </w:r>
      <w:r w:rsidR="00600046">
        <w:rPr>
          <w:rFonts w:ascii="Times New Roman" w:hAnsi="Times New Roman" w:cs="Times New Roman"/>
          <w:sz w:val="20"/>
          <w:szCs w:val="20"/>
        </w:rPr>
        <w:t xml:space="preserve"> because he was </w:t>
      </w:r>
      <w:r w:rsidR="00FB3359">
        <w:rPr>
          <w:rFonts w:ascii="Times New Roman" w:hAnsi="Times New Roman" w:cs="Times New Roman"/>
          <w:sz w:val="20"/>
          <w:szCs w:val="20"/>
        </w:rPr>
        <w:t xml:space="preserve">not commonly depicted, at least not in popular </w:t>
      </w:r>
      <w:r w:rsidR="00882686">
        <w:rPr>
          <w:rFonts w:ascii="Times New Roman" w:hAnsi="Times New Roman" w:cs="Times New Roman"/>
          <w:sz w:val="20"/>
          <w:szCs w:val="20"/>
        </w:rPr>
        <w:t>art. T</w:t>
      </w:r>
      <w:r w:rsidR="00D04549">
        <w:rPr>
          <w:rFonts w:ascii="Times New Roman" w:hAnsi="Times New Roman" w:cs="Times New Roman"/>
          <w:sz w:val="20"/>
          <w:szCs w:val="20"/>
        </w:rPr>
        <w:t>his seems to be the case</w:t>
      </w:r>
      <w:r w:rsidR="003C62EA">
        <w:rPr>
          <w:rFonts w:ascii="Times New Roman" w:hAnsi="Times New Roman" w:cs="Times New Roman"/>
          <w:sz w:val="20"/>
          <w:szCs w:val="20"/>
        </w:rPr>
        <w:t xml:space="preserve">; where he is referenced in </w:t>
      </w:r>
      <w:r w:rsidR="00F60020">
        <w:rPr>
          <w:rFonts w:ascii="Times New Roman" w:hAnsi="Times New Roman" w:cs="Times New Roman"/>
          <w:i/>
          <w:iCs/>
          <w:sz w:val="20"/>
          <w:szCs w:val="20"/>
        </w:rPr>
        <w:t>A Companion to Greek Art</w:t>
      </w:r>
      <w:r w:rsidR="00F60020">
        <w:rPr>
          <w:rFonts w:ascii="Times New Roman" w:hAnsi="Times New Roman" w:cs="Times New Roman"/>
          <w:sz w:val="20"/>
          <w:szCs w:val="20"/>
        </w:rPr>
        <w:t>,</w:t>
      </w:r>
      <w:r w:rsidR="00810B27">
        <w:rPr>
          <w:rFonts w:ascii="Times New Roman" w:hAnsi="Times New Roman" w:cs="Times New Roman"/>
          <w:sz w:val="20"/>
          <w:szCs w:val="20"/>
        </w:rPr>
        <w:t xml:space="preserve"> and </w:t>
      </w:r>
      <w:r w:rsidR="00071591">
        <w:rPr>
          <w:rFonts w:ascii="Times New Roman" w:hAnsi="Times New Roman" w:cs="Times New Roman"/>
          <w:sz w:val="20"/>
          <w:szCs w:val="20"/>
        </w:rPr>
        <w:t>Stansbury-O’Donnell’s</w:t>
      </w:r>
      <w:r w:rsidR="001D040E">
        <w:rPr>
          <w:rFonts w:ascii="Times New Roman" w:hAnsi="Times New Roman" w:cs="Times New Roman"/>
          <w:sz w:val="20"/>
          <w:szCs w:val="20"/>
        </w:rPr>
        <w:t xml:space="preserve"> </w:t>
      </w:r>
      <w:r w:rsidR="001D040E">
        <w:rPr>
          <w:rFonts w:ascii="Times New Roman" w:hAnsi="Times New Roman" w:cs="Times New Roman"/>
          <w:i/>
          <w:iCs/>
          <w:sz w:val="20"/>
          <w:szCs w:val="20"/>
        </w:rPr>
        <w:t>A History of Greek Art</w:t>
      </w:r>
      <w:r w:rsidR="00F60020">
        <w:rPr>
          <w:rFonts w:ascii="Times New Roman" w:hAnsi="Times New Roman" w:cs="Times New Roman"/>
          <w:sz w:val="20"/>
          <w:szCs w:val="20"/>
        </w:rPr>
        <w:t xml:space="preserve"> it is always in connection to funerary</w:t>
      </w:r>
      <w:r w:rsidR="00452CB7">
        <w:rPr>
          <w:rFonts w:ascii="Times New Roman" w:hAnsi="Times New Roman" w:cs="Times New Roman"/>
          <w:sz w:val="20"/>
          <w:szCs w:val="20"/>
        </w:rPr>
        <w:t xml:space="preserve"> </w:t>
      </w:r>
      <w:r w:rsidR="00F60020">
        <w:rPr>
          <w:rFonts w:ascii="Times New Roman" w:hAnsi="Times New Roman" w:cs="Times New Roman"/>
          <w:sz w:val="20"/>
          <w:szCs w:val="20"/>
        </w:rPr>
        <w:t>artwork</w:t>
      </w:r>
      <w:r w:rsidR="00F60020">
        <w:rPr>
          <w:rStyle w:val="FootnoteReference"/>
          <w:rFonts w:ascii="Times New Roman" w:hAnsi="Times New Roman" w:cs="Times New Roman"/>
          <w:sz w:val="20"/>
          <w:szCs w:val="20"/>
        </w:rPr>
        <w:footnoteReference w:id="7"/>
      </w:r>
      <w:r w:rsidR="00D75032">
        <w:rPr>
          <w:rFonts w:ascii="Times New Roman" w:hAnsi="Times New Roman" w:cs="Times New Roman"/>
          <w:sz w:val="20"/>
          <w:szCs w:val="20"/>
        </w:rPr>
        <w:t xml:space="preserve">. </w:t>
      </w:r>
      <w:r w:rsidR="00F31A96">
        <w:rPr>
          <w:rFonts w:ascii="Times New Roman" w:hAnsi="Times New Roman" w:cs="Times New Roman"/>
          <w:sz w:val="20"/>
          <w:szCs w:val="20"/>
        </w:rPr>
        <w:t>It seems likely that depictions of Charon var</w:t>
      </w:r>
      <w:r w:rsidR="00CC6387">
        <w:rPr>
          <w:rFonts w:ascii="Times New Roman" w:hAnsi="Times New Roman" w:cs="Times New Roman"/>
          <w:sz w:val="20"/>
          <w:szCs w:val="20"/>
        </w:rPr>
        <w:t>ied</w:t>
      </w:r>
      <w:r w:rsidR="007A6D62">
        <w:rPr>
          <w:rFonts w:ascii="Times New Roman" w:hAnsi="Times New Roman" w:cs="Times New Roman"/>
          <w:sz w:val="20"/>
          <w:szCs w:val="20"/>
        </w:rPr>
        <w:t xml:space="preserve"> because artists</w:t>
      </w:r>
      <w:r w:rsidR="00554DB8">
        <w:rPr>
          <w:rFonts w:ascii="Times New Roman" w:hAnsi="Times New Roman" w:cs="Times New Roman"/>
          <w:sz w:val="20"/>
          <w:szCs w:val="20"/>
        </w:rPr>
        <w:t xml:space="preserve"> lacked a common base in popular art</w:t>
      </w:r>
      <w:r w:rsidR="00B935D0">
        <w:rPr>
          <w:rFonts w:ascii="Times New Roman" w:hAnsi="Times New Roman" w:cs="Times New Roman"/>
          <w:sz w:val="20"/>
          <w:szCs w:val="20"/>
        </w:rPr>
        <w:t xml:space="preserve">, </w:t>
      </w:r>
      <w:r w:rsidR="00246861">
        <w:rPr>
          <w:rFonts w:ascii="Times New Roman" w:hAnsi="Times New Roman" w:cs="Times New Roman"/>
          <w:sz w:val="20"/>
          <w:szCs w:val="20"/>
        </w:rPr>
        <w:t xml:space="preserve">suggesting that Charon, and by extension other chthonic deities, </w:t>
      </w:r>
      <w:r w:rsidR="00DD257C">
        <w:rPr>
          <w:rFonts w:ascii="Times New Roman" w:hAnsi="Times New Roman" w:cs="Times New Roman"/>
          <w:sz w:val="20"/>
          <w:szCs w:val="20"/>
        </w:rPr>
        <w:t xml:space="preserve">were unpopular subjects </w:t>
      </w:r>
      <w:r w:rsidR="00F8064C">
        <w:rPr>
          <w:rFonts w:ascii="Times New Roman" w:hAnsi="Times New Roman" w:cs="Times New Roman"/>
          <w:sz w:val="20"/>
          <w:szCs w:val="20"/>
        </w:rPr>
        <w:t>for popular art</w:t>
      </w:r>
      <w:r w:rsidR="00DE3991">
        <w:rPr>
          <w:rFonts w:ascii="Times New Roman" w:hAnsi="Times New Roman" w:cs="Times New Roman"/>
          <w:sz w:val="20"/>
          <w:szCs w:val="20"/>
        </w:rPr>
        <w:t xml:space="preserve">. </w:t>
      </w:r>
      <w:r w:rsidR="007749C9">
        <w:rPr>
          <w:rFonts w:ascii="Times New Roman" w:hAnsi="Times New Roman" w:cs="Times New Roman"/>
          <w:sz w:val="20"/>
          <w:szCs w:val="20"/>
        </w:rPr>
        <w:t xml:space="preserve">This lack of popular depiction, compared with the commonality of </w:t>
      </w:r>
      <w:r w:rsidR="00D40507">
        <w:rPr>
          <w:rFonts w:ascii="Times New Roman" w:hAnsi="Times New Roman" w:cs="Times New Roman"/>
          <w:sz w:val="20"/>
          <w:szCs w:val="20"/>
        </w:rPr>
        <w:t xml:space="preserve">depictions of the Olympian </w:t>
      </w:r>
      <w:r w:rsidR="00EF54DA">
        <w:rPr>
          <w:rFonts w:ascii="Times New Roman" w:hAnsi="Times New Roman" w:cs="Times New Roman"/>
          <w:sz w:val="20"/>
          <w:szCs w:val="20"/>
        </w:rPr>
        <w:t>deities</w:t>
      </w:r>
      <w:r w:rsidR="0044375B">
        <w:rPr>
          <w:rFonts w:ascii="Times New Roman" w:hAnsi="Times New Roman" w:cs="Times New Roman"/>
          <w:sz w:val="20"/>
          <w:szCs w:val="20"/>
        </w:rPr>
        <w:t xml:space="preserve">, </w:t>
      </w:r>
      <w:r w:rsidR="00C83C60">
        <w:rPr>
          <w:rFonts w:ascii="Times New Roman" w:hAnsi="Times New Roman" w:cs="Times New Roman"/>
          <w:sz w:val="20"/>
          <w:szCs w:val="20"/>
        </w:rPr>
        <w:t xml:space="preserve">suggests that, out of the funerary context, </w:t>
      </w:r>
      <w:r w:rsidR="00D66946">
        <w:rPr>
          <w:rFonts w:ascii="Times New Roman" w:hAnsi="Times New Roman" w:cs="Times New Roman"/>
          <w:sz w:val="20"/>
          <w:szCs w:val="20"/>
        </w:rPr>
        <w:t>these chthonic gods were perceived negatively</w:t>
      </w:r>
      <w:r w:rsidR="001F7215">
        <w:rPr>
          <w:rFonts w:ascii="Times New Roman" w:hAnsi="Times New Roman" w:cs="Times New Roman"/>
          <w:sz w:val="20"/>
          <w:szCs w:val="20"/>
        </w:rPr>
        <w:t xml:space="preserve">, </w:t>
      </w:r>
      <w:r w:rsidR="00E95E0B">
        <w:rPr>
          <w:rFonts w:ascii="Times New Roman" w:hAnsi="Times New Roman" w:cs="Times New Roman"/>
          <w:sz w:val="20"/>
          <w:szCs w:val="20"/>
        </w:rPr>
        <w:t>compared</w:t>
      </w:r>
      <w:r w:rsidR="008C6BA3">
        <w:rPr>
          <w:rFonts w:ascii="Times New Roman" w:hAnsi="Times New Roman" w:cs="Times New Roman"/>
          <w:sz w:val="20"/>
          <w:szCs w:val="20"/>
        </w:rPr>
        <w:t xml:space="preserve"> to the </w:t>
      </w:r>
      <w:r w:rsidR="00E95E0B">
        <w:rPr>
          <w:rFonts w:ascii="Times New Roman" w:hAnsi="Times New Roman" w:cs="Times New Roman"/>
          <w:sz w:val="20"/>
          <w:szCs w:val="20"/>
        </w:rPr>
        <w:t xml:space="preserve">positive </w:t>
      </w:r>
      <w:r w:rsidR="002C6C68">
        <w:rPr>
          <w:rFonts w:ascii="Times New Roman" w:hAnsi="Times New Roman" w:cs="Times New Roman"/>
          <w:sz w:val="20"/>
          <w:szCs w:val="20"/>
        </w:rPr>
        <w:t>representation of</w:t>
      </w:r>
      <w:r w:rsidR="00E95E0B">
        <w:rPr>
          <w:rFonts w:ascii="Times New Roman" w:hAnsi="Times New Roman" w:cs="Times New Roman"/>
          <w:sz w:val="20"/>
          <w:szCs w:val="20"/>
        </w:rPr>
        <w:t xml:space="preserve"> Olympian deities such as Artemis, and Apollo</w:t>
      </w:r>
      <w:r w:rsidR="0034333D">
        <w:rPr>
          <w:rStyle w:val="FootnoteReference"/>
          <w:rFonts w:ascii="Times New Roman" w:hAnsi="Times New Roman" w:cs="Times New Roman"/>
          <w:sz w:val="20"/>
          <w:szCs w:val="20"/>
        </w:rPr>
        <w:footnoteReference w:id="8"/>
      </w:r>
      <w:r w:rsidR="00D42FEC">
        <w:rPr>
          <w:rFonts w:ascii="Times New Roman" w:hAnsi="Times New Roman" w:cs="Times New Roman"/>
          <w:sz w:val="20"/>
          <w:szCs w:val="20"/>
        </w:rPr>
        <w:t xml:space="preserve">. This negative </w:t>
      </w:r>
      <w:r w:rsidR="002C6C68">
        <w:rPr>
          <w:rFonts w:ascii="Times New Roman" w:hAnsi="Times New Roman" w:cs="Times New Roman"/>
          <w:sz w:val="20"/>
          <w:szCs w:val="20"/>
        </w:rPr>
        <w:t>representation</w:t>
      </w:r>
      <w:r w:rsidR="00393AF4">
        <w:rPr>
          <w:rFonts w:ascii="Times New Roman" w:hAnsi="Times New Roman" w:cs="Times New Roman"/>
          <w:sz w:val="20"/>
          <w:szCs w:val="20"/>
        </w:rPr>
        <w:t>, regarding Charon specifically,</w:t>
      </w:r>
      <w:r w:rsidR="00D42FEC">
        <w:rPr>
          <w:rFonts w:ascii="Times New Roman" w:hAnsi="Times New Roman" w:cs="Times New Roman"/>
          <w:sz w:val="20"/>
          <w:szCs w:val="20"/>
        </w:rPr>
        <w:t xml:space="preserve"> is rei</w:t>
      </w:r>
      <w:r w:rsidR="00EE7C2F">
        <w:rPr>
          <w:rFonts w:ascii="Times New Roman" w:hAnsi="Times New Roman" w:cs="Times New Roman"/>
          <w:sz w:val="20"/>
          <w:szCs w:val="20"/>
        </w:rPr>
        <w:t>nforced by the fact that artists depicted</w:t>
      </w:r>
      <w:r w:rsidR="001F7215">
        <w:rPr>
          <w:rFonts w:ascii="Times New Roman" w:hAnsi="Times New Roman" w:cs="Times New Roman"/>
          <w:sz w:val="20"/>
          <w:szCs w:val="20"/>
        </w:rPr>
        <w:t xml:space="preserve"> him</w:t>
      </w:r>
      <w:r w:rsidR="00EE7C2F">
        <w:rPr>
          <w:rFonts w:ascii="Times New Roman" w:hAnsi="Times New Roman" w:cs="Times New Roman"/>
          <w:sz w:val="20"/>
          <w:szCs w:val="20"/>
        </w:rPr>
        <w:t>, with some frequency,</w:t>
      </w:r>
      <w:r w:rsidR="00393AF4">
        <w:rPr>
          <w:rFonts w:ascii="Times New Roman" w:hAnsi="Times New Roman" w:cs="Times New Roman"/>
          <w:sz w:val="20"/>
          <w:szCs w:val="20"/>
        </w:rPr>
        <w:t xml:space="preserve"> as ugly</w:t>
      </w:r>
      <w:r w:rsidR="00393AF4">
        <w:rPr>
          <w:rStyle w:val="FootnoteReference"/>
          <w:rFonts w:ascii="Times New Roman" w:hAnsi="Times New Roman" w:cs="Times New Roman"/>
          <w:sz w:val="20"/>
          <w:szCs w:val="20"/>
        </w:rPr>
        <w:footnoteReference w:id="9"/>
      </w:r>
      <w:r w:rsidR="00393AF4">
        <w:rPr>
          <w:rFonts w:ascii="Times New Roman" w:hAnsi="Times New Roman" w:cs="Times New Roman"/>
          <w:sz w:val="20"/>
          <w:szCs w:val="20"/>
        </w:rPr>
        <w:t xml:space="preserve">. </w:t>
      </w:r>
      <w:r w:rsidR="00A167C4">
        <w:rPr>
          <w:rFonts w:ascii="Times New Roman" w:hAnsi="Times New Roman" w:cs="Times New Roman"/>
          <w:sz w:val="20"/>
          <w:szCs w:val="20"/>
        </w:rPr>
        <w:t xml:space="preserve">As we see in the portrayal of Thersites, in </w:t>
      </w:r>
      <w:r w:rsidR="00AD31C4" w:rsidRPr="00AD31C4">
        <w:rPr>
          <w:rFonts w:ascii="Times New Roman" w:hAnsi="Times New Roman" w:cs="Times New Roman"/>
          <w:i/>
          <w:iCs/>
          <w:sz w:val="20"/>
          <w:szCs w:val="20"/>
        </w:rPr>
        <w:t>T</w:t>
      </w:r>
      <w:r w:rsidR="00A167C4" w:rsidRPr="00AD31C4">
        <w:rPr>
          <w:rFonts w:ascii="Times New Roman" w:hAnsi="Times New Roman" w:cs="Times New Roman"/>
          <w:i/>
          <w:iCs/>
          <w:sz w:val="20"/>
          <w:szCs w:val="20"/>
        </w:rPr>
        <w:t>he Il</w:t>
      </w:r>
      <w:r w:rsidR="00AD31C4" w:rsidRPr="00AD31C4">
        <w:rPr>
          <w:rFonts w:ascii="Times New Roman" w:hAnsi="Times New Roman" w:cs="Times New Roman"/>
          <w:i/>
          <w:iCs/>
          <w:sz w:val="20"/>
          <w:szCs w:val="20"/>
        </w:rPr>
        <w:t>iad</w:t>
      </w:r>
      <w:r w:rsidR="00AD31C4">
        <w:rPr>
          <w:rFonts w:ascii="Times New Roman" w:hAnsi="Times New Roman" w:cs="Times New Roman"/>
          <w:sz w:val="20"/>
          <w:szCs w:val="20"/>
        </w:rPr>
        <w:t xml:space="preserve">, </w:t>
      </w:r>
      <w:r w:rsidR="00837B98">
        <w:rPr>
          <w:rFonts w:ascii="Times New Roman" w:hAnsi="Times New Roman" w:cs="Times New Roman"/>
          <w:sz w:val="20"/>
          <w:szCs w:val="20"/>
        </w:rPr>
        <w:t>the Greeks mistrusted ugliness</w:t>
      </w:r>
      <w:r w:rsidR="001D722D">
        <w:rPr>
          <w:rFonts w:ascii="Times New Roman" w:hAnsi="Times New Roman" w:cs="Times New Roman"/>
          <w:sz w:val="20"/>
          <w:szCs w:val="20"/>
        </w:rPr>
        <w:t xml:space="preserve"> – they seemed to link the quality of a man’s appearance with his nature</w:t>
      </w:r>
      <w:r w:rsidR="000231ED">
        <w:rPr>
          <w:rStyle w:val="FootnoteReference"/>
          <w:rFonts w:ascii="Times New Roman" w:hAnsi="Times New Roman" w:cs="Times New Roman"/>
          <w:sz w:val="20"/>
          <w:szCs w:val="20"/>
        </w:rPr>
        <w:footnoteReference w:id="10"/>
      </w:r>
      <w:r w:rsidR="0054605B">
        <w:rPr>
          <w:rFonts w:ascii="Times New Roman" w:hAnsi="Times New Roman" w:cs="Times New Roman"/>
          <w:sz w:val="20"/>
          <w:szCs w:val="20"/>
        </w:rPr>
        <w:t xml:space="preserve">. </w:t>
      </w:r>
      <w:r w:rsidR="007C3DF5">
        <w:rPr>
          <w:rFonts w:ascii="Times New Roman" w:hAnsi="Times New Roman" w:cs="Times New Roman"/>
          <w:sz w:val="20"/>
          <w:szCs w:val="20"/>
        </w:rPr>
        <w:t xml:space="preserve">That Charon </w:t>
      </w:r>
      <w:r w:rsidR="007C3DF5">
        <w:rPr>
          <w:rFonts w:ascii="Times New Roman" w:hAnsi="Times New Roman" w:cs="Times New Roman"/>
          <w:sz w:val="20"/>
          <w:szCs w:val="20"/>
        </w:rPr>
        <w:lastRenderedPageBreak/>
        <w:t xml:space="preserve">is depicted, as often as not, </w:t>
      </w:r>
      <w:r w:rsidR="002D0203">
        <w:rPr>
          <w:rFonts w:ascii="Times New Roman" w:hAnsi="Times New Roman" w:cs="Times New Roman"/>
          <w:sz w:val="20"/>
          <w:szCs w:val="20"/>
        </w:rPr>
        <w:t xml:space="preserve">as ugly suggests that </w:t>
      </w:r>
      <w:r w:rsidR="00A135F8">
        <w:rPr>
          <w:rFonts w:ascii="Times New Roman" w:hAnsi="Times New Roman" w:cs="Times New Roman"/>
          <w:sz w:val="20"/>
          <w:szCs w:val="20"/>
        </w:rPr>
        <w:t>some</w:t>
      </w:r>
      <w:r w:rsidR="002D0203">
        <w:rPr>
          <w:rFonts w:ascii="Times New Roman" w:hAnsi="Times New Roman" w:cs="Times New Roman"/>
          <w:sz w:val="20"/>
          <w:szCs w:val="20"/>
        </w:rPr>
        <w:t xml:space="preserve"> Greeks mistrusted him</w:t>
      </w:r>
      <w:r w:rsidR="00A135F8">
        <w:rPr>
          <w:rFonts w:ascii="Times New Roman" w:hAnsi="Times New Roman" w:cs="Times New Roman"/>
          <w:sz w:val="20"/>
          <w:szCs w:val="20"/>
        </w:rPr>
        <w:t xml:space="preserve">, and considered him malicious, </w:t>
      </w:r>
      <w:r w:rsidR="001F7215">
        <w:rPr>
          <w:rFonts w:ascii="Times New Roman" w:hAnsi="Times New Roman" w:cs="Times New Roman"/>
          <w:sz w:val="20"/>
          <w:szCs w:val="20"/>
        </w:rPr>
        <w:t>like</w:t>
      </w:r>
      <w:r w:rsidR="00A135F8">
        <w:rPr>
          <w:rFonts w:ascii="Times New Roman" w:hAnsi="Times New Roman" w:cs="Times New Roman"/>
          <w:sz w:val="20"/>
          <w:szCs w:val="20"/>
        </w:rPr>
        <w:t xml:space="preserve"> Thersites</w:t>
      </w:r>
      <w:r w:rsidR="00410984">
        <w:rPr>
          <w:rStyle w:val="FootnoteReference"/>
          <w:rFonts w:ascii="Times New Roman" w:hAnsi="Times New Roman" w:cs="Times New Roman"/>
          <w:sz w:val="20"/>
          <w:szCs w:val="20"/>
        </w:rPr>
        <w:footnoteReference w:id="11"/>
      </w:r>
      <w:r w:rsidR="006D6BA1">
        <w:rPr>
          <w:rFonts w:ascii="Times New Roman" w:hAnsi="Times New Roman" w:cs="Times New Roman"/>
          <w:sz w:val="20"/>
          <w:szCs w:val="20"/>
        </w:rPr>
        <w:t xml:space="preserve">. However, as Oakley discusses in his chapter, </w:t>
      </w:r>
      <w:r w:rsidR="008655AC">
        <w:rPr>
          <w:rFonts w:ascii="Times New Roman" w:hAnsi="Times New Roman" w:cs="Times New Roman"/>
          <w:sz w:val="20"/>
          <w:szCs w:val="20"/>
        </w:rPr>
        <w:t xml:space="preserve">the depictions of Charon </w:t>
      </w:r>
      <w:r w:rsidR="00682329">
        <w:rPr>
          <w:rFonts w:ascii="Times New Roman" w:hAnsi="Times New Roman" w:cs="Times New Roman"/>
          <w:sz w:val="20"/>
          <w:szCs w:val="20"/>
        </w:rPr>
        <w:t>on these lekythoses was intended as a reassurance to the relatives of a deceased person</w:t>
      </w:r>
      <w:r w:rsidR="00C332D4" w:rsidRPr="00F7134C">
        <w:rPr>
          <w:rStyle w:val="FootnoteReference"/>
          <w:rFonts w:ascii="Times New Roman" w:hAnsi="Times New Roman" w:cs="Times New Roman"/>
          <w:sz w:val="20"/>
          <w:szCs w:val="20"/>
        </w:rPr>
        <w:footnoteReference w:id="12"/>
      </w:r>
      <w:r w:rsidR="00AE1312">
        <w:rPr>
          <w:rFonts w:ascii="Times New Roman" w:hAnsi="Times New Roman" w:cs="Times New Roman"/>
          <w:sz w:val="20"/>
          <w:szCs w:val="20"/>
        </w:rPr>
        <w:t>.</w:t>
      </w:r>
      <w:r w:rsidR="00495106">
        <w:rPr>
          <w:rFonts w:ascii="Times New Roman" w:hAnsi="Times New Roman" w:cs="Times New Roman"/>
          <w:sz w:val="20"/>
          <w:szCs w:val="20"/>
        </w:rPr>
        <w:t xml:space="preserve"> </w:t>
      </w:r>
      <w:r w:rsidR="00AE1312">
        <w:rPr>
          <w:rFonts w:ascii="Times New Roman" w:hAnsi="Times New Roman" w:cs="Times New Roman"/>
          <w:sz w:val="20"/>
          <w:szCs w:val="20"/>
        </w:rPr>
        <w:t>This shows</w:t>
      </w:r>
      <w:r w:rsidR="00495106">
        <w:rPr>
          <w:rFonts w:ascii="Times New Roman" w:hAnsi="Times New Roman" w:cs="Times New Roman"/>
          <w:sz w:val="20"/>
          <w:szCs w:val="20"/>
        </w:rPr>
        <w:t xml:space="preserve"> some level of positivity associated with this </w:t>
      </w:r>
      <w:r w:rsidR="00B00FE3">
        <w:rPr>
          <w:rFonts w:ascii="Times New Roman" w:hAnsi="Times New Roman" w:cs="Times New Roman"/>
          <w:sz w:val="20"/>
          <w:szCs w:val="20"/>
        </w:rPr>
        <w:t>deity. Overall, Charon’s portrayal in art</w:t>
      </w:r>
      <w:r w:rsidR="006B684B">
        <w:rPr>
          <w:rFonts w:ascii="Times New Roman" w:hAnsi="Times New Roman" w:cs="Times New Roman"/>
          <w:sz w:val="20"/>
          <w:szCs w:val="20"/>
        </w:rPr>
        <w:t xml:space="preserve">, and lack of </w:t>
      </w:r>
      <w:r w:rsidR="002C6C68">
        <w:rPr>
          <w:rFonts w:ascii="Times New Roman" w:hAnsi="Times New Roman" w:cs="Times New Roman"/>
          <w:sz w:val="20"/>
          <w:szCs w:val="20"/>
        </w:rPr>
        <w:t>representation</w:t>
      </w:r>
      <w:r w:rsidR="006B684B">
        <w:rPr>
          <w:rFonts w:ascii="Times New Roman" w:hAnsi="Times New Roman" w:cs="Times New Roman"/>
          <w:sz w:val="20"/>
          <w:szCs w:val="20"/>
        </w:rPr>
        <w:t xml:space="preserve"> in popular art, </w:t>
      </w:r>
      <w:r w:rsidR="002B081C">
        <w:rPr>
          <w:rFonts w:ascii="Times New Roman" w:hAnsi="Times New Roman" w:cs="Times New Roman"/>
          <w:sz w:val="20"/>
          <w:szCs w:val="20"/>
        </w:rPr>
        <w:t xml:space="preserve">shows him to be a negatively </w:t>
      </w:r>
      <w:r w:rsidR="002C6C68">
        <w:rPr>
          <w:rFonts w:ascii="Times New Roman" w:hAnsi="Times New Roman" w:cs="Times New Roman"/>
          <w:sz w:val="20"/>
          <w:szCs w:val="20"/>
        </w:rPr>
        <w:t>represented</w:t>
      </w:r>
      <w:r w:rsidR="002B081C">
        <w:rPr>
          <w:rFonts w:ascii="Times New Roman" w:hAnsi="Times New Roman" w:cs="Times New Roman"/>
          <w:sz w:val="20"/>
          <w:szCs w:val="20"/>
        </w:rPr>
        <w:t xml:space="preserve"> figure</w:t>
      </w:r>
      <w:r w:rsidR="00911D46">
        <w:rPr>
          <w:rFonts w:ascii="Times New Roman" w:hAnsi="Times New Roman" w:cs="Times New Roman"/>
          <w:sz w:val="20"/>
          <w:szCs w:val="20"/>
        </w:rPr>
        <w:t xml:space="preserve">, but not </w:t>
      </w:r>
      <w:r w:rsidR="00396FC4">
        <w:rPr>
          <w:rFonts w:ascii="Times New Roman" w:hAnsi="Times New Roman" w:cs="Times New Roman"/>
          <w:sz w:val="20"/>
          <w:szCs w:val="20"/>
        </w:rPr>
        <w:t xml:space="preserve">a figure that was entirely </w:t>
      </w:r>
      <w:r w:rsidR="002C6C68">
        <w:rPr>
          <w:rFonts w:ascii="Times New Roman" w:hAnsi="Times New Roman" w:cs="Times New Roman"/>
          <w:sz w:val="20"/>
          <w:szCs w:val="20"/>
        </w:rPr>
        <w:t>represented</w:t>
      </w:r>
      <w:r w:rsidR="00396FC4">
        <w:rPr>
          <w:rFonts w:ascii="Times New Roman" w:hAnsi="Times New Roman" w:cs="Times New Roman"/>
          <w:sz w:val="20"/>
          <w:szCs w:val="20"/>
        </w:rPr>
        <w:t xml:space="preserve"> as negative</w:t>
      </w:r>
      <w:r w:rsidR="00C56BD8">
        <w:rPr>
          <w:rFonts w:ascii="Times New Roman" w:hAnsi="Times New Roman" w:cs="Times New Roman"/>
          <w:sz w:val="20"/>
          <w:szCs w:val="20"/>
        </w:rPr>
        <w:t>.</w:t>
      </w:r>
      <w:r w:rsidR="001F7215">
        <w:rPr>
          <w:rFonts w:ascii="Times New Roman" w:hAnsi="Times New Roman" w:cs="Times New Roman"/>
          <w:sz w:val="20"/>
          <w:szCs w:val="20"/>
        </w:rPr>
        <w:t xml:space="preserve"> </w:t>
      </w:r>
      <w:r w:rsidR="00702E9C">
        <w:rPr>
          <w:rFonts w:ascii="Times New Roman" w:hAnsi="Times New Roman" w:cs="Times New Roman"/>
          <w:sz w:val="20"/>
          <w:szCs w:val="20"/>
        </w:rPr>
        <w:t>Charon is somewhat nuanced</w:t>
      </w:r>
      <w:r w:rsidR="000C3C47">
        <w:rPr>
          <w:rFonts w:ascii="Times New Roman" w:hAnsi="Times New Roman" w:cs="Times New Roman"/>
          <w:sz w:val="20"/>
          <w:szCs w:val="20"/>
        </w:rPr>
        <w:t xml:space="preserve"> – not definitively </w:t>
      </w:r>
      <w:r w:rsidR="00003312">
        <w:rPr>
          <w:rFonts w:ascii="Times New Roman" w:hAnsi="Times New Roman" w:cs="Times New Roman"/>
          <w:sz w:val="20"/>
          <w:szCs w:val="20"/>
        </w:rPr>
        <w:t>considered</w:t>
      </w:r>
      <w:r w:rsidR="000C3C47">
        <w:rPr>
          <w:rFonts w:ascii="Times New Roman" w:hAnsi="Times New Roman" w:cs="Times New Roman"/>
          <w:sz w:val="20"/>
          <w:szCs w:val="20"/>
        </w:rPr>
        <w:t xml:space="preserve"> negative</w:t>
      </w:r>
      <w:r w:rsidR="005D5899">
        <w:rPr>
          <w:rFonts w:ascii="Times New Roman" w:hAnsi="Times New Roman" w:cs="Times New Roman"/>
          <w:sz w:val="20"/>
          <w:szCs w:val="20"/>
        </w:rPr>
        <w:t>. However, he is largely negative</w:t>
      </w:r>
      <w:r w:rsidR="00955404">
        <w:rPr>
          <w:rFonts w:ascii="Times New Roman" w:hAnsi="Times New Roman" w:cs="Times New Roman"/>
          <w:sz w:val="20"/>
          <w:szCs w:val="20"/>
        </w:rPr>
        <w:t xml:space="preserve">, at least </w:t>
      </w:r>
      <w:r w:rsidR="00CA41EF">
        <w:rPr>
          <w:rFonts w:ascii="Times New Roman" w:hAnsi="Times New Roman" w:cs="Times New Roman"/>
          <w:sz w:val="20"/>
          <w:szCs w:val="20"/>
        </w:rPr>
        <w:t>when represented artistically.</w:t>
      </w:r>
    </w:p>
    <w:p w14:paraId="3E793507" w14:textId="3C287738" w:rsidR="00CA41EF" w:rsidRDefault="0056510D" w:rsidP="0035356B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 </w:t>
      </w:r>
      <w:r w:rsidR="00872180">
        <w:rPr>
          <w:rFonts w:ascii="Times New Roman" w:hAnsi="Times New Roman" w:cs="Times New Roman"/>
          <w:sz w:val="20"/>
          <w:szCs w:val="20"/>
        </w:rPr>
        <w:t>literature</w:t>
      </w:r>
      <w:r>
        <w:rPr>
          <w:rFonts w:ascii="Times New Roman" w:hAnsi="Times New Roman" w:cs="Times New Roman"/>
          <w:sz w:val="20"/>
          <w:szCs w:val="20"/>
        </w:rPr>
        <w:t xml:space="preserve">, Charon is a recurring, peripheral character, therefore – for the sake of brevity – this essay shall </w:t>
      </w:r>
      <w:r w:rsidR="001F7215">
        <w:rPr>
          <w:rFonts w:ascii="Times New Roman" w:hAnsi="Times New Roman" w:cs="Times New Roman"/>
          <w:sz w:val="20"/>
          <w:szCs w:val="20"/>
        </w:rPr>
        <w:t>focus on</w:t>
      </w:r>
      <w:r>
        <w:rPr>
          <w:rFonts w:ascii="Times New Roman" w:hAnsi="Times New Roman" w:cs="Times New Roman"/>
          <w:sz w:val="20"/>
          <w:szCs w:val="20"/>
        </w:rPr>
        <w:t xml:space="preserve"> two of his more prominent appearances in Graeco-Roman </w:t>
      </w:r>
      <w:r w:rsidR="00872180">
        <w:rPr>
          <w:rFonts w:ascii="Times New Roman" w:hAnsi="Times New Roman" w:cs="Times New Roman"/>
          <w:sz w:val="20"/>
          <w:szCs w:val="20"/>
        </w:rPr>
        <w:t>literature</w:t>
      </w:r>
      <w:r>
        <w:rPr>
          <w:rFonts w:ascii="Times New Roman" w:hAnsi="Times New Roman" w:cs="Times New Roman"/>
          <w:sz w:val="20"/>
          <w:szCs w:val="20"/>
        </w:rPr>
        <w:t xml:space="preserve">; in Virgil’s </w:t>
      </w:r>
      <w:r>
        <w:rPr>
          <w:rFonts w:ascii="Times New Roman" w:hAnsi="Times New Roman" w:cs="Times New Roman"/>
          <w:i/>
          <w:iCs/>
          <w:sz w:val="20"/>
          <w:szCs w:val="20"/>
        </w:rPr>
        <w:t>Aeneid</w:t>
      </w:r>
      <w:r>
        <w:rPr>
          <w:rFonts w:ascii="Times New Roman" w:hAnsi="Times New Roman" w:cs="Times New Roman"/>
          <w:sz w:val="20"/>
          <w:szCs w:val="20"/>
        </w:rPr>
        <w:t xml:space="preserve">, and Aristophanes’ </w:t>
      </w:r>
      <w:r w:rsidRPr="001F7215">
        <w:rPr>
          <w:rFonts w:ascii="Times New Roman" w:hAnsi="Times New Roman" w:cs="Times New Roman"/>
          <w:i/>
          <w:iCs/>
          <w:sz w:val="20"/>
          <w:szCs w:val="20"/>
        </w:rPr>
        <w:t>Frogs</w:t>
      </w:r>
      <w:r>
        <w:rPr>
          <w:rFonts w:ascii="Times New Roman" w:hAnsi="Times New Roman" w:cs="Times New Roman"/>
          <w:sz w:val="20"/>
          <w:szCs w:val="20"/>
        </w:rPr>
        <w:t>. These particular works shall be featured due to the vastly different ways, and genres, they were written as; Aristophanes’ was a comedic play, and Virgil’s was a serious, epic poem</w:t>
      </w:r>
      <w:r w:rsidR="001F7215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F7215">
        <w:rPr>
          <w:rFonts w:ascii="Times New Roman" w:hAnsi="Times New Roman" w:cs="Times New Roman"/>
          <w:sz w:val="20"/>
          <w:szCs w:val="20"/>
        </w:rPr>
        <w:t>This</w:t>
      </w:r>
      <w:r>
        <w:rPr>
          <w:rFonts w:ascii="Times New Roman" w:hAnsi="Times New Roman" w:cs="Times New Roman"/>
          <w:sz w:val="20"/>
          <w:szCs w:val="20"/>
        </w:rPr>
        <w:t xml:space="preserve"> makes them liable to present differing portrayals of the character, from which a more complete picture of how the Greeks, and Romans, viewed this chthonic god</w:t>
      </w:r>
      <w:r w:rsidR="001F7215">
        <w:rPr>
          <w:rFonts w:ascii="Times New Roman" w:hAnsi="Times New Roman" w:cs="Times New Roman"/>
          <w:sz w:val="20"/>
          <w:szCs w:val="20"/>
        </w:rPr>
        <w:t xml:space="preserve"> might be drawn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9D2BCD">
        <w:rPr>
          <w:rFonts w:ascii="Times New Roman" w:hAnsi="Times New Roman" w:cs="Times New Roman"/>
          <w:sz w:val="20"/>
          <w:szCs w:val="20"/>
        </w:rPr>
        <w:t xml:space="preserve">In </w:t>
      </w:r>
      <w:r w:rsidR="009D2BCD">
        <w:rPr>
          <w:rFonts w:ascii="Times New Roman" w:hAnsi="Times New Roman" w:cs="Times New Roman"/>
          <w:i/>
          <w:iCs/>
          <w:sz w:val="20"/>
          <w:szCs w:val="20"/>
        </w:rPr>
        <w:t>Aeneid</w:t>
      </w:r>
      <w:r w:rsidR="009D2BCD">
        <w:rPr>
          <w:rFonts w:ascii="Times New Roman" w:hAnsi="Times New Roman" w:cs="Times New Roman"/>
          <w:sz w:val="20"/>
          <w:szCs w:val="20"/>
        </w:rPr>
        <w:t xml:space="preserve"> Virgil describes an aged, hideous god, which – in accordance with the Graeco-Roman views on outward appearance reflecting a person’s nature, as discussed above – already presents Charon in a negative light</w:t>
      </w:r>
      <w:r w:rsidR="009D2BCD">
        <w:rPr>
          <w:rStyle w:val="FootnoteReference"/>
          <w:rFonts w:ascii="Times New Roman" w:hAnsi="Times New Roman" w:cs="Times New Roman"/>
          <w:sz w:val="20"/>
          <w:szCs w:val="20"/>
        </w:rPr>
        <w:footnoteReference w:id="13"/>
      </w:r>
      <w:r w:rsidR="009D2BCD">
        <w:rPr>
          <w:rFonts w:ascii="Times New Roman" w:hAnsi="Times New Roman" w:cs="Times New Roman"/>
          <w:sz w:val="20"/>
          <w:szCs w:val="20"/>
        </w:rPr>
        <w:t xml:space="preserve">. Furthering this negative presentation, Virgil describes the cruelty endemic in Charon’s function as a phsychopomp, by listing </w:t>
      </w:r>
      <w:r w:rsidR="00580865">
        <w:rPr>
          <w:rFonts w:ascii="Times New Roman" w:hAnsi="Times New Roman" w:cs="Times New Roman"/>
          <w:sz w:val="20"/>
          <w:szCs w:val="20"/>
        </w:rPr>
        <w:t>t</w:t>
      </w:r>
      <w:r w:rsidR="009D2BCD">
        <w:rPr>
          <w:rFonts w:ascii="Times New Roman" w:hAnsi="Times New Roman" w:cs="Times New Roman"/>
          <w:sz w:val="20"/>
          <w:szCs w:val="20"/>
        </w:rPr>
        <w:t>h</w:t>
      </w:r>
      <w:r w:rsidR="00580865">
        <w:rPr>
          <w:rFonts w:ascii="Times New Roman" w:hAnsi="Times New Roman" w:cs="Times New Roman"/>
          <w:sz w:val="20"/>
          <w:szCs w:val="20"/>
        </w:rPr>
        <w:t>e</w:t>
      </w:r>
      <w:r w:rsidR="009D2BCD">
        <w:rPr>
          <w:rFonts w:ascii="Times New Roman" w:hAnsi="Times New Roman" w:cs="Times New Roman"/>
          <w:sz w:val="20"/>
          <w:szCs w:val="20"/>
        </w:rPr>
        <w:t xml:space="preserve"> varying passengers transported by this </w:t>
      </w:r>
      <w:r w:rsidR="00580865">
        <w:rPr>
          <w:rFonts w:ascii="Times New Roman" w:hAnsi="Times New Roman" w:cs="Times New Roman"/>
          <w:sz w:val="20"/>
          <w:szCs w:val="20"/>
        </w:rPr>
        <w:t>deity</w:t>
      </w:r>
      <w:r w:rsidR="009D2BCD">
        <w:rPr>
          <w:rFonts w:ascii="Times New Roman" w:hAnsi="Times New Roman" w:cs="Times New Roman"/>
          <w:sz w:val="20"/>
          <w:szCs w:val="20"/>
        </w:rPr>
        <w:t xml:space="preserve">, </w:t>
      </w:r>
      <w:r w:rsidR="009D2BCD">
        <w:rPr>
          <w:rFonts w:ascii="Times New Roman" w:hAnsi="Times New Roman" w:cs="Times New Roman"/>
          <w:i/>
          <w:iCs/>
          <w:sz w:val="20"/>
          <w:szCs w:val="20"/>
        </w:rPr>
        <w:t>‘</w:t>
      </w:r>
      <w:r w:rsidR="00580865">
        <w:rPr>
          <w:rFonts w:ascii="Times New Roman" w:hAnsi="Times New Roman" w:cs="Times New Roman"/>
          <w:i/>
          <w:iCs/>
          <w:sz w:val="20"/>
          <w:szCs w:val="20"/>
        </w:rPr>
        <w:t>Mothers and full-grown men and the bodies of great-hearted heroes</w:t>
      </w:r>
      <w:r w:rsidR="001F7215">
        <w:rPr>
          <w:rFonts w:ascii="Times New Roman" w:hAnsi="Times New Roman" w:cs="Times New Roman"/>
          <w:i/>
          <w:iCs/>
          <w:sz w:val="20"/>
          <w:szCs w:val="20"/>
        </w:rPr>
        <w:t>…</w:t>
      </w:r>
      <w:r w:rsidR="00580865">
        <w:rPr>
          <w:rFonts w:ascii="Times New Roman" w:hAnsi="Times New Roman" w:cs="Times New Roman"/>
          <w:i/>
          <w:iCs/>
          <w:sz w:val="20"/>
          <w:szCs w:val="20"/>
        </w:rPr>
        <w:t xml:space="preserve"> young boys, young girls who have never been married</w:t>
      </w:r>
      <w:r w:rsidR="00580865" w:rsidRPr="00580865">
        <w:rPr>
          <w:rStyle w:val="FootnoteReference"/>
          <w:rFonts w:ascii="Times New Roman" w:hAnsi="Times New Roman" w:cs="Times New Roman"/>
          <w:sz w:val="20"/>
          <w:szCs w:val="20"/>
        </w:rPr>
        <w:footnoteReference w:id="14"/>
      </w:r>
      <w:r w:rsidR="00580865">
        <w:rPr>
          <w:rFonts w:ascii="Times New Roman" w:hAnsi="Times New Roman" w:cs="Times New Roman"/>
          <w:sz w:val="20"/>
          <w:szCs w:val="20"/>
        </w:rPr>
        <w:t xml:space="preserve">” this list was intended to prompt an </w:t>
      </w:r>
      <w:r w:rsidR="001F7215">
        <w:rPr>
          <w:rFonts w:ascii="Times New Roman" w:hAnsi="Times New Roman" w:cs="Times New Roman"/>
          <w:sz w:val="20"/>
          <w:szCs w:val="20"/>
        </w:rPr>
        <w:t xml:space="preserve">negative </w:t>
      </w:r>
      <w:r w:rsidR="00580865">
        <w:rPr>
          <w:rFonts w:ascii="Times New Roman" w:hAnsi="Times New Roman" w:cs="Times New Roman"/>
          <w:sz w:val="20"/>
          <w:szCs w:val="20"/>
        </w:rPr>
        <w:t xml:space="preserve">emotional response from readers. The great detail Virgil goes into, particularly </w:t>
      </w:r>
      <w:r w:rsidR="000D1AB9">
        <w:rPr>
          <w:rFonts w:ascii="Times New Roman" w:hAnsi="Times New Roman" w:cs="Times New Roman"/>
          <w:sz w:val="20"/>
          <w:szCs w:val="20"/>
        </w:rPr>
        <w:t>his reference</w:t>
      </w:r>
      <w:r w:rsidR="00580865">
        <w:rPr>
          <w:rFonts w:ascii="Times New Roman" w:hAnsi="Times New Roman" w:cs="Times New Roman"/>
          <w:sz w:val="20"/>
          <w:szCs w:val="20"/>
        </w:rPr>
        <w:t xml:space="preserve"> to</w:t>
      </w:r>
      <w:r w:rsidR="000D1AB9">
        <w:rPr>
          <w:rFonts w:ascii="Times New Roman" w:hAnsi="Times New Roman" w:cs="Times New Roman"/>
          <w:sz w:val="20"/>
          <w:szCs w:val="20"/>
        </w:rPr>
        <w:t xml:space="preserve"> mothers, is suggestive of this intent, family being important in Roman culture</w:t>
      </w:r>
      <w:r w:rsidR="001B320A">
        <w:rPr>
          <w:rFonts w:ascii="Times New Roman" w:hAnsi="Times New Roman" w:cs="Times New Roman"/>
          <w:sz w:val="20"/>
          <w:szCs w:val="20"/>
        </w:rPr>
        <w:t xml:space="preserve">, </w:t>
      </w:r>
      <w:r w:rsidR="001F7215">
        <w:rPr>
          <w:rFonts w:ascii="Times New Roman" w:hAnsi="Times New Roman" w:cs="Times New Roman"/>
          <w:sz w:val="20"/>
          <w:szCs w:val="20"/>
        </w:rPr>
        <w:t>meaning</w:t>
      </w:r>
      <w:r w:rsidR="001B320A">
        <w:rPr>
          <w:rFonts w:ascii="Times New Roman" w:hAnsi="Times New Roman" w:cs="Times New Roman"/>
          <w:sz w:val="20"/>
          <w:szCs w:val="20"/>
        </w:rPr>
        <w:t xml:space="preserve"> reference</w:t>
      </w:r>
      <w:r w:rsidR="001F7215">
        <w:rPr>
          <w:rFonts w:ascii="Times New Roman" w:hAnsi="Times New Roman" w:cs="Times New Roman"/>
          <w:sz w:val="20"/>
          <w:szCs w:val="20"/>
        </w:rPr>
        <w:t>s</w:t>
      </w:r>
      <w:r w:rsidR="001B320A">
        <w:rPr>
          <w:rFonts w:ascii="Times New Roman" w:hAnsi="Times New Roman" w:cs="Times New Roman"/>
          <w:sz w:val="20"/>
          <w:szCs w:val="20"/>
        </w:rPr>
        <w:t xml:space="preserve"> to a dead mother would be a particularly negative one to them</w:t>
      </w:r>
      <w:r w:rsidR="000D1AB9">
        <w:rPr>
          <w:rStyle w:val="FootnoteReference"/>
          <w:rFonts w:ascii="Times New Roman" w:hAnsi="Times New Roman" w:cs="Times New Roman"/>
          <w:sz w:val="20"/>
          <w:szCs w:val="20"/>
        </w:rPr>
        <w:footnoteReference w:id="15"/>
      </w:r>
      <w:r w:rsidR="000D1AB9">
        <w:rPr>
          <w:rFonts w:ascii="Times New Roman" w:hAnsi="Times New Roman" w:cs="Times New Roman"/>
          <w:sz w:val="20"/>
          <w:szCs w:val="20"/>
        </w:rPr>
        <w:t xml:space="preserve">. Further, the emotion prompted by Virgil’s reference to dead family members is further played to by his protagonist’s business in the underworld; Aeneas </w:t>
      </w:r>
      <w:r w:rsidR="001B320A">
        <w:rPr>
          <w:rFonts w:ascii="Times New Roman" w:hAnsi="Times New Roman" w:cs="Times New Roman"/>
          <w:sz w:val="20"/>
          <w:szCs w:val="20"/>
        </w:rPr>
        <w:t>goes there to converse with his father</w:t>
      </w:r>
      <w:r w:rsidR="001B320A">
        <w:rPr>
          <w:rStyle w:val="FootnoteReference"/>
          <w:rFonts w:ascii="Times New Roman" w:hAnsi="Times New Roman" w:cs="Times New Roman"/>
          <w:sz w:val="20"/>
          <w:szCs w:val="20"/>
        </w:rPr>
        <w:footnoteReference w:id="16"/>
      </w:r>
      <w:r w:rsidR="001B320A">
        <w:rPr>
          <w:rFonts w:ascii="Times New Roman" w:hAnsi="Times New Roman" w:cs="Times New Roman"/>
          <w:sz w:val="20"/>
          <w:szCs w:val="20"/>
        </w:rPr>
        <w:t xml:space="preserve">. As Virgil did so much to prompt negative emotion in association with Charon, it is evident that he </w:t>
      </w:r>
      <w:r w:rsidR="002C6C68">
        <w:rPr>
          <w:rFonts w:ascii="Times New Roman" w:hAnsi="Times New Roman" w:cs="Times New Roman"/>
          <w:sz w:val="20"/>
          <w:szCs w:val="20"/>
        </w:rPr>
        <w:t>wished to represent</w:t>
      </w:r>
      <w:r w:rsidR="001B320A">
        <w:rPr>
          <w:rFonts w:ascii="Times New Roman" w:hAnsi="Times New Roman" w:cs="Times New Roman"/>
          <w:sz w:val="20"/>
          <w:szCs w:val="20"/>
        </w:rPr>
        <w:t xml:space="preserve"> this chthonic god negatively, and wished to assert this view. In Aristophanes’ </w:t>
      </w:r>
      <w:r w:rsidR="001B320A">
        <w:rPr>
          <w:rFonts w:ascii="Times New Roman" w:hAnsi="Times New Roman" w:cs="Times New Roman"/>
          <w:i/>
          <w:iCs/>
          <w:sz w:val="20"/>
          <w:szCs w:val="20"/>
        </w:rPr>
        <w:t>Frogs</w:t>
      </w:r>
      <w:r w:rsidR="001B320A">
        <w:rPr>
          <w:rFonts w:ascii="Times New Roman" w:hAnsi="Times New Roman" w:cs="Times New Roman"/>
          <w:sz w:val="20"/>
          <w:szCs w:val="20"/>
        </w:rPr>
        <w:t xml:space="preserve"> Charon is presented in a more humourous manner</w:t>
      </w:r>
      <w:r w:rsidR="00BF37C9">
        <w:rPr>
          <w:rStyle w:val="FootnoteReference"/>
          <w:rFonts w:ascii="Times New Roman" w:hAnsi="Times New Roman" w:cs="Times New Roman"/>
          <w:sz w:val="20"/>
          <w:szCs w:val="20"/>
        </w:rPr>
        <w:footnoteReference w:id="17"/>
      </w:r>
      <w:r w:rsidR="001B320A">
        <w:rPr>
          <w:rFonts w:ascii="Times New Roman" w:hAnsi="Times New Roman" w:cs="Times New Roman"/>
          <w:sz w:val="20"/>
          <w:szCs w:val="20"/>
        </w:rPr>
        <w:t xml:space="preserve">. This is, in part, due to the low stakes associated with his appearance in this work, he is transporting </w:t>
      </w:r>
      <w:r w:rsidR="00042E13">
        <w:rPr>
          <w:rFonts w:ascii="Times New Roman" w:hAnsi="Times New Roman" w:cs="Times New Roman"/>
          <w:sz w:val="20"/>
          <w:szCs w:val="20"/>
        </w:rPr>
        <w:t>a god;</w:t>
      </w:r>
      <w:r w:rsidR="00BF37C9">
        <w:rPr>
          <w:rFonts w:ascii="Times New Roman" w:hAnsi="Times New Roman" w:cs="Times New Roman"/>
          <w:sz w:val="20"/>
          <w:szCs w:val="20"/>
        </w:rPr>
        <w:t xml:space="preserve"> meaning that none of the drama </w:t>
      </w:r>
      <w:r w:rsidR="00042E13">
        <w:rPr>
          <w:rFonts w:ascii="Times New Roman" w:hAnsi="Times New Roman" w:cs="Times New Roman"/>
          <w:sz w:val="20"/>
          <w:szCs w:val="20"/>
        </w:rPr>
        <w:t xml:space="preserve">of </w:t>
      </w:r>
      <w:r w:rsidR="00BF37C9">
        <w:rPr>
          <w:rFonts w:ascii="Times New Roman" w:hAnsi="Times New Roman" w:cs="Times New Roman"/>
          <w:sz w:val="20"/>
          <w:szCs w:val="20"/>
        </w:rPr>
        <w:t xml:space="preserve">a katabasis </w:t>
      </w:r>
      <w:r w:rsidR="00042E13">
        <w:rPr>
          <w:rFonts w:ascii="Times New Roman" w:hAnsi="Times New Roman" w:cs="Times New Roman"/>
          <w:sz w:val="20"/>
          <w:szCs w:val="20"/>
        </w:rPr>
        <w:t xml:space="preserve">is </w:t>
      </w:r>
      <w:r w:rsidR="00BF37C9">
        <w:rPr>
          <w:rFonts w:ascii="Times New Roman" w:hAnsi="Times New Roman" w:cs="Times New Roman"/>
          <w:sz w:val="20"/>
          <w:szCs w:val="20"/>
        </w:rPr>
        <w:t>present</w:t>
      </w:r>
      <w:r w:rsidR="00BF37C9">
        <w:rPr>
          <w:rStyle w:val="FootnoteReference"/>
          <w:rFonts w:ascii="Times New Roman" w:hAnsi="Times New Roman" w:cs="Times New Roman"/>
          <w:sz w:val="20"/>
          <w:szCs w:val="20"/>
        </w:rPr>
        <w:footnoteReference w:id="18"/>
      </w:r>
      <w:r w:rsidR="00BF37C9">
        <w:rPr>
          <w:rFonts w:ascii="Times New Roman" w:hAnsi="Times New Roman" w:cs="Times New Roman"/>
          <w:sz w:val="20"/>
          <w:szCs w:val="20"/>
        </w:rPr>
        <w:t xml:space="preserve">. Also, in </w:t>
      </w:r>
      <w:r w:rsidR="00BF37C9">
        <w:rPr>
          <w:rFonts w:ascii="Times New Roman" w:hAnsi="Times New Roman" w:cs="Times New Roman"/>
          <w:i/>
          <w:iCs/>
          <w:sz w:val="20"/>
          <w:szCs w:val="20"/>
        </w:rPr>
        <w:t>Frogs</w:t>
      </w:r>
      <w:r w:rsidR="00EB570B">
        <w:rPr>
          <w:rFonts w:ascii="Times New Roman" w:hAnsi="Times New Roman" w:cs="Times New Roman"/>
          <w:sz w:val="20"/>
          <w:szCs w:val="20"/>
        </w:rPr>
        <w:t>, Charon is involved in the humour</w:t>
      </w:r>
      <w:r w:rsidR="00042E13">
        <w:rPr>
          <w:rFonts w:ascii="Times New Roman" w:hAnsi="Times New Roman" w:cs="Times New Roman"/>
          <w:sz w:val="20"/>
          <w:szCs w:val="20"/>
        </w:rPr>
        <w:t>:</w:t>
      </w:r>
    </w:p>
    <w:p w14:paraId="0D8E5FFC" w14:textId="5F60A78A" w:rsidR="00EB570B" w:rsidRDefault="00EB570B" w:rsidP="00D259BD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“</w:t>
      </w:r>
      <w:r w:rsidRPr="00EB570B">
        <w:rPr>
          <w:rFonts w:ascii="Times New Roman" w:hAnsi="Times New Roman" w:cs="Times New Roman"/>
          <w:i/>
          <w:iCs/>
          <w:sz w:val="20"/>
          <w:szCs w:val="20"/>
        </w:rPr>
        <w:t xml:space="preserve">Dionysus: Who, me? Why, just sitting on the oar, right where you </w:t>
      </w:r>
      <w:r>
        <w:rPr>
          <w:rFonts w:ascii="Times New Roman" w:hAnsi="Times New Roman" w:cs="Times New Roman"/>
          <w:i/>
          <w:iCs/>
          <w:sz w:val="20"/>
          <w:szCs w:val="20"/>
        </w:rPr>
        <w:t>told me.</w:t>
      </w:r>
    </w:p>
    <w:p w14:paraId="1A083D2A" w14:textId="1471B295" w:rsidR="00EB570B" w:rsidRDefault="00EB570B" w:rsidP="00D259B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Charon: Not on it! Sit right over here, fatso (sic)</w:t>
      </w:r>
      <w:r w:rsidR="00D259BD">
        <w:rPr>
          <w:rFonts w:ascii="Times New Roman" w:hAnsi="Times New Roman" w:cs="Times New Roman"/>
          <w:i/>
          <w:iCs/>
          <w:sz w:val="20"/>
          <w:szCs w:val="20"/>
        </w:rPr>
        <w:t>.</w:t>
      </w:r>
      <w:r w:rsidR="00D259BD" w:rsidRPr="00D259BD">
        <w:rPr>
          <w:rStyle w:val="FootnoteReference"/>
          <w:rFonts w:ascii="Times New Roman" w:hAnsi="Times New Roman" w:cs="Times New Roman"/>
          <w:sz w:val="20"/>
          <w:szCs w:val="20"/>
        </w:rPr>
        <w:footnoteReference w:id="19"/>
      </w:r>
      <w:r w:rsidR="00D259BD" w:rsidRPr="00D259BD">
        <w:rPr>
          <w:rFonts w:ascii="Times New Roman" w:hAnsi="Times New Roman" w:cs="Times New Roman"/>
          <w:sz w:val="20"/>
          <w:szCs w:val="20"/>
        </w:rPr>
        <w:t>”</w:t>
      </w:r>
    </w:p>
    <w:p w14:paraId="598BC76B" w14:textId="781D7D91" w:rsidR="00A63692" w:rsidRDefault="00D259BD" w:rsidP="00D259B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By involving </w:t>
      </w:r>
      <w:r w:rsidR="00AE1312">
        <w:rPr>
          <w:rFonts w:ascii="Times New Roman" w:hAnsi="Times New Roman" w:cs="Times New Roman"/>
          <w:sz w:val="20"/>
          <w:szCs w:val="20"/>
        </w:rPr>
        <w:t>doing this</w:t>
      </w:r>
      <w:r>
        <w:rPr>
          <w:rFonts w:ascii="Times New Roman" w:hAnsi="Times New Roman" w:cs="Times New Roman"/>
          <w:sz w:val="20"/>
          <w:szCs w:val="20"/>
        </w:rPr>
        <w:t xml:space="preserve">, Aristophanes diminishes how seriously the </w:t>
      </w:r>
      <w:r w:rsidR="00AE1312">
        <w:rPr>
          <w:rFonts w:ascii="Times New Roman" w:hAnsi="Times New Roman" w:cs="Times New Roman"/>
          <w:sz w:val="20"/>
          <w:szCs w:val="20"/>
        </w:rPr>
        <w:t xml:space="preserve">Charon </w:t>
      </w:r>
      <w:r>
        <w:rPr>
          <w:rFonts w:ascii="Times New Roman" w:hAnsi="Times New Roman" w:cs="Times New Roman"/>
          <w:sz w:val="20"/>
          <w:szCs w:val="20"/>
        </w:rPr>
        <w:t>is taken</w:t>
      </w:r>
      <w:r w:rsidR="00042E13">
        <w:rPr>
          <w:rFonts w:ascii="Times New Roman" w:hAnsi="Times New Roman" w:cs="Times New Roman"/>
          <w:sz w:val="20"/>
          <w:szCs w:val="20"/>
        </w:rPr>
        <w:t>. B</w:t>
      </w:r>
      <w:r>
        <w:rPr>
          <w:rFonts w:ascii="Times New Roman" w:hAnsi="Times New Roman" w:cs="Times New Roman"/>
          <w:sz w:val="20"/>
          <w:szCs w:val="20"/>
        </w:rPr>
        <w:t>ut the same is true of how he presents the other gods – such as Dionysus who, as seen above, is presented as a buffoon, so perhaps this has more to do with the nature of this play, th</w:t>
      </w:r>
      <w:r w:rsidR="00765682">
        <w:rPr>
          <w:rFonts w:ascii="Times New Roman" w:hAnsi="Times New Roman" w:cs="Times New Roman"/>
          <w:sz w:val="20"/>
          <w:szCs w:val="20"/>
        </w:rPr>
        <w:t xml:space="preserve">an any common </w:t>
      </w:r>
      <w:r w:rsidR="002C6C68">
        <w:rPr>
          <w:rFonts w:ascii="Times New Roman" w:hAnsi="Times New Roman" w:cs="Times New Roman"/>
          <w:sz w:val="20"/>
          <w:szCs w:val="20"/>
        </w:rPr>
        <w:t>representation of</w:t>
      </w:r>
      <w:r w:rsidR="00765682">
        <w:rPr>
          <w:rFonts w:ascii="Times New Roman" w:hAnsi="Times New Roman" w:cs="Times New Roman"/>
          <w:sz w:val="20"/>
          <w:szCs w:val="20"/>
        </w:rPr>
        <w:t xml:space="preserve"> Charon</w:t>
      </w:r>
      <w:r w:rsidR="00765682">
        <w:rPr>
          <w:rStyle w:val="FootnoteReference"/>
          <w:rFonts w:ascii="Times New Roman" w:hAnsi="Times New Roman" w:cs="Times New Roman"/>
          <w:sz w:val="20"/>
          <w:szCs w:val="20"/>
        </w:rPr>
        <w:footnoteReference w:id="20"/>
      </w:r>
      <w:r w:rsidR="00765682">
        <w:rPr>
          <w:rFonts w:ascii="Times New Roman" w:hAnsi="Times New Roman" w:cs="Times New Roman"/>
          <w:sz w:val="20"/>
          <w:szCs w:val="20"/>
        </w:rPr>
        <w:t xml:space="preserve">. </w:t>
      </w:r>
      <w:r w:rsidR="00A63692">
        <w:rPr>
          <w:rFonts w:ascii="Times New Roman" w:hAnsi="Times New Roman" w:cs="Times New Roman"/>
          <w:sz w:val="20"/>
          <w:szCs w:val="20"/>
        </w:rPr>
        <w:t>A far better example of Aristophanes’ less negative presentation of Charon can be seen in how he refers to Charon’s function</w:t>
      </w:r>
      <w:r w:rsidR="00042E13">
        <w:rPr>
          <w:rFonts w:ascii="Times New Roman" w:hAnsi="Times New Roman" w:cs="Times New Roman"/>
          <w:sz w:val="20"/>
          <w:szCs w:val="20"/>
        </w:rPr>
        <w:t>:</w:t>
      </w:r>
    </w:p>
    <w:p w14:paraId="78845F44" w14:textId="5C726310" w:rsidR="00A63692" w:rsidRDefault="00A63692" w:rsidP="00D259BD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“</w:t>
      </w:r>
      <w:r>
        <w:rPr>
          <w:rFonts w:ascii="Times New Roman" w:hAnsi="Times New Roman" w:cs="Times New Roman"/>
          <w:i/>
          <w:iCs/>
          <w:sz w:val="20"/>
          <w:szCs w:val="20"/>
        </w:rPr>
        <w:t>Charon: Who’s for release from all their cares and troubles?</w:t>
      </w:r>
      <w:r>
        <w:rPr>
          <w:rStyle w:val="FootnoteReference"/>
          <w:rFonts w:ascii="Times New Roman" w:hAnsi="Times New Roman" w:cs="Times New Roman"/>
          <w:i/>
          <w:iCs/>
          <w:sz w:val="20"/>
          <w:szCs w:val="20"/>
        </w:rPr>
        <w:footnoteReference w:id="21"/>
      </w:r>
    </w:p>
    <w:p w14:paraId="68DCBCD7" w14:textId="3E8E29F7" w:rsidR="00D259BD" w:rsidRDefault="00A63692" w:rsidP="00D259B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passage to the underworld is here presented as a release for the deceased. This is similar to how, as discussed above, Oakley believed Charon’s depiction upon lekythoses function</w:t>
      </w:r>
      <w:r w:rsidR="00042E13">
        <w:rPr>
          <w:rFonts w:ascii="Times New Roman" w:hAnsi="Times New Roman" w:cs="Times New Roman"/>
          <w:sz w:val="20"/>
          <w:szCs w:val="20"/>
        </w:rPr>
        <w:t>ed</w:t>
      </w:r>
      <w:r>
        <w:rPr>
          <w:rFonts w:ascii="Times New Roman" w:hAnsi="Times New Roman" w:cs="Times New Roman"/>
          <w:sz w:val="20"/>
          <w:szCs w:val="20"/>
        </w:rPr>
        <w:t xml:space="preserve"> as a comfort for the living, showing that their dead are rest</w:t>
      </w:r>
      <w:r w:rsidR="00042E13">
        <w:rPr>
          <w:rFonts w:ascii="Times New Roman" w:hAnsi="Times New Roman" w:cs="Times New Roman"/>
          <w:sz w:val="20"/>
          <w:szCs w:val="20"/>
        </w:rPr>
        <w:t>ing</w:t>
      </w:r>
      <w:r>
        <w:rPr>
          <w:rStyle w:val="FootnoteReference"/>
          <w:rFonts w:ascii="Times New Roman" w:hAnsi="Times New Roman" w:cs="Times New Roman"/>
          <w:sz w:val="20"/>
          <w:szCs w:val="20"/>
        </w:rPr>
        <w:footnoteReference w:id="22"/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872180">
        <w:rPr>
          <w:rFonts w:ascii="Times New Roman" w:hAnsi="Times New Roman" w:cs="Times New Roman"/>
          <w:sz w:val="20"/>
          <w:szCs w:val="20"/>
        </w:rPr>
        <w:t>Overall, Charon</w:t>
      </w:r>
      <w:r w:rsidR="00AE1312">
        <w:rPr>
          <w:rFonts w:ascii="Times New Roman" w:hAnsi="Times New Roman" w:cs="Times New Roman"/>
          <w:sz w:val="20"/>
          <w:szCs w:val="20"/>
        </w:rPr>
        <w:t>, i</w:t>
      </w:r>
      <w:r w:rsidR="00872180">
        <w:rPr>
          <w:rFonts w:ascii="Times New Roman" w:hAnsi="Times New Roman" w:cs="Times New Roman"/>
          <w:sz w:val="20"/>
          <w:szCs w:val="20"/>
        </w:rPr>
        <w:t xml:space="preserve">n both </w:t>
      </w:r>
      <w:r w:rsidR="00AE1312">
        <w:rPr>
          <w:rFonts w:ascii="Times New Roman" w:hAnsi="Times New Roman" w:cs="Times New Roman"/>
          <w:sz w:val="20"/>
          <w:szCs w:val="20"/>
        </w:rPr>
        <w:t>art, and literature,</w:t>
      </w:r>
      <w:r w:rsidR="00872180">
        <w:rPr>
          <w:rFonts w:ascii="Times New Roman" w:hAnsi="Times New Roman" w:cs="Times New Roman"/>
          <w:sz w:val="20"/>
          <w:szCs w:val="20"/>
        </w:rPr>
        <w:t xml:space="preserve"> is an ominous figure, representati</w:t>
      </w:r>
      <w:r w:rsidR="00AE1312">
        <w:rPr>
          <w:rFonts w:ascii="Times New Roman" w:hAnsi="Times New Roman" w:cs="Times New Roman"/>
          <w:sz w:val="20"/>
          <w:szCs w:val="20"/>
        </w:rPr>
        <w:t>ve</w:t>
      </w:r>
      <w:r w:rsidR="00872180">
        <w:rPr>
          <w:rFonts w:ascii="Times New Roman" w:hAnsi="Times New Roman" w:cs="Times New Roman"/>
          <w:sz w:val="20"/>
          <w:szCs w:val="20"/>
        </w:rPr>
        <w:t xml:space="preserve"> of the cruelty of death, but literature – as it offers more creative freedom than lekythoses – is able </w:t>
      </w:r>
      <w:r w:rsidR="00042E13">
        <w:rPr>
          <w:rFonts w:ascii="Times New Roman" w:hAnsi="Times New Roman" w:cs="Times New Roman"/>
          <w:sz w:val="20"/>
          <w:szCs w:val="20"/>
        </w:rPr>
        <w:t>to present some additional elements of the character</w:t>
      </w:r>
      <w:r w:rsidR="00872180">
        <w:rPr>
          <w:rFonts w:ascii="Times New Roman" w:hAnsi="Times New Roman" w:cs="Times New Roman"/>
          <w:sz w:val="20"/>
          <w:szCs w:val="20"/>
        </w:rPr>
        <w:t xml:space="preserve">. It is perhaps natural that in a katabasis like that of Virgil’s Aeneas’ Charon, </w:t>
      </w:r>
      <w:r w:rsidR="00872180">
        <w:rPr>
          <w:rFonts w:ascii="Times New Roman" w:hAnsi="Times New Roman" w:cs="Times New Roman"/>
          <w:sz w:val="20"/>
          <w:szCs w:val="20"/>
        </w:rPr>
        <w:lastRenderedPageBreak/>
        <w:t xml:space="preserve">as a chthonic god, and therefore </w:t>
      </w:r>
      <w:r w:rsidR="00AE1312">
        <w:rPr>
          <w:rFonts w:ascii="Times New Roman" w:hAnsi="Times New Roman" w:cs="Times New Roman"/>
          <w:sz w:val="20"/>
          <w:szCs w:val="20"/>
        </w:rPr>
        <w:t xml:space="preserve">a </w:t>
      </w:r>
      <w:r w:rsidR="00872180">
        <w:rPr>
          <w:rFonts w:ascii="Times New Roman" w:hAnsi="Times New Roman" w:cs="Times New Roman"/>
          <w:sz w:val="20"/>
          <w:szCs w:val="20"/>
        </w:rPr>
        <w:t>de</w:t>
      </w:r>
      <w:r w:rsidR="00264389">
        <w:rPr>
          <w:rFonts w:ascii="Times New Roman" w:hAnsi="Times New Roman" w:cs="Times New Roman"/>
          <w:sz w:val="20"/>
          <w:szCs w:val="20"/>
        </w:rPr>
        <w:t>-</w:t>
      </w:r>
      <w:r w:rsidR="00872180">
        <w:rPr>
          <w:rFonts w:ascii="Times New Roman" w:hAnsi="Times New Roman" w:cs="Times New Roman"/>
          <w:sz w:val="20"/>
          <w:szCs w:val="20"/>
        </w:rPr>
        <w:t>facto antagonist, should be presented in a particularly negative way</w:t>
      </w:r>
      <w:r w:rsidR="00042E13">
        <w:rPr>
          <w:rFonts w:ascii="Times New Roman" w:hAnsi="Times New Roman" w:cs="Times New Roman"/>
          <w:sz w:val="20"/>
          <w:szCs w:val="20"/>
        </w:rPr>
        <w:t>, but Virgil takes pains to make Charon seem cruel, in a way which transcends his role in the story, so Virgil’s representation seems to be</w:t>
      </w:r>
      <w:r w:rsidR="00AE1312">
        <w:rPr>
          <w:rFonts w:ascii="Times New Roman" w:hAnsi="Times New Roman" w:cs="Times New Roman"/>
          <w:sz w:val="20"/>
          <w:szCs w:val="20"/>
        </w:rPr>
        <w:t xml:space="preserve"> based on more than narrative necessity</w:t>
      </w:r>
      <w:r w:rsidR="005A34D6">
        <w:rPr>
          <w:rFonts w:ascii="Times New Roman" w:hAnsi="Times New Roman" w:cs="Times New Roman"/>
          <w:sz w:val="20"/>
          <w:szCs w:val="20"/>
        </w:rPr>
        <w:t>. Even so, like in art, in literature Charon is not entirely negative – Aristophanes at least is able to present the lighter side of death; the rest it offers</w:t>
      </w:r>
      <w:r w:rsidR="00AE1312">
        <w:rPr>
          <w:rFonts w:ascii="Times New Roman" w:hAnsi="Times New Roman" w:cs="Times New Roman"/>
          <w:sz w:val="20"/>
          <w:szCs w:val="20"/>
        </w:rPr>
        <w:t>; and to an extend humanises this deity by involving him in the comedy</w:t>
      </w:r>
      <w:r w:rsidR="005A34D6">
        <w:rPr>
          <w:rStyle w:val="FootnoteReference"/>
          <w:rFonts w:ascii="Times New Roman" w:hAnsi="Times New Roman" w:cs="Times New Roman"/>
          <w:sz w:val="20"/>
          <w:szCs w:val="20"/>
        </w:rPr>
        <w:footnoteReference w:id="23"/>
      </w:r>
      <w:r w:rsidR="005A34D6">
        <w:rPr>
          <w:rFonts w:ascii="Times New Roman" w:hAnsi="Times New Roman" w:cs="Times New Roman"/>
          <w:sz w:val="20"/>
          <w:szCs w:val="20"/>
        </w:rPr>
        <w:t xml:space="preserve">. Ultimately, </w:t>
      </w:r>
      <w:r w:rsidR="00AE1312">
        <w:rPr>
          <w:rFonts w:ascii="Times New Roman" w:hAnsi="Times New Roman" w:cs="Times New Roman"/>
          <w:sz w:val="20"/>
          <w:szCs w:val="20"/>
        </w:rPr>
        <w:t>Charon’s representation in literature is not entirely negative; just as in art, in literature he is a nuanced character.</w:t>
      </w:r>
    </w:p>
    <w:p w14:paraId="2C75EE1F" w14:textId="00E06479" w:rsidR="00AE1312" w:rsidRDefault="00AE1312" w:rsidP="00D259B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Another god who might be expected to </w:t>
      </w:r>
      <w:r w:rsidR="00A7553C">
        <w:rPr>
          <w:rFonts w:ascii="Times New Roman" w:hAnsi="Times New Roman" w:cs="Times New Roman"/>
          <w:sz w:val="20"/>
          <w:szCs w:val="20"/>
        </w:rPr>
        <w:t xml:space="preserve">be particularly malicious is Hades, the king of the underworld. </w:t>
      </w:r>
      <w:r w:rsidR="008C1143">
        <w:rPr>
          <w:rFonts w:ascii="Times New Roman" w:hAnsi="Times New Roman" w:cs="Times New Roman"/>
          <w:sz w:val="20"/>
          <w:szCs w:val="20"/>
        </w:rPr>
        <w:t xml:space="preserve">Concerning his depictions in art, investigation is futile, art depicting him is rare, and furthermore appearance – at least with regards to this chthonic god – seems to be immaterial. As </w:t>
      </w:r>
      <w:r w:rsidR="00AA4F9A">
        <w:rPr>
          <w:rFonts w:ascii="Times New Roman" w:hAnsi="Times New Roman" w:cs="Times New Roman"/>
          <w:sz w:val="20"/>
          <w:szCs w:val="20"/>
        </w:rPr>
        <w:t xml:space="preserve">Taunton discusses in her </w:t>
      </w:r>
      <w:r w:rsidR="00AA4F9A" w:rsidRPr="00AA4F9A">
        <w:rPr>
          <w:rFonts w:ascii="Times New Roman" w:hAnsi="Times New Roman" w:cs="Times New Roman"/>
          <w:i/>
          <w:iCs/>
          <w:sz w:val="20"/>
          <w:szCs w:val="20"/>
        </w:rPr>
        <w:t>The Path of Shadows: Chthonic Gods, Oneiromancy, Necromancy in Ancient Greece</w:t>
      </w:r>
      <w:r w:rsidR="00AA4F9A">
        <w:rPr>
          <w:rFonts w:ascii="Times New Roman" w:hAnsi="Times New Roman" w:cs="Times New Roman"/>
          <w:sz w:val="20"/>
          <w:szCs w:val="20"/>
        </w:rPr>
        <w:t xml:space="preserve"> the name </w:t>
      </w:r>
      <w:r w:rsidR="002C6C68">
        <w:rPr>
          <w:rFonts w:ascii="Times New Roman" w:hAnsi="Times New Roman" w:cs="Times New Roman"/>
          <w:sz w:val="20"/>
          <w:szCs w:val="20"/>
        </w:rPr>
        <w:t>‘</w:t>
      </w:r>
      <w:r w:rsidR="00AA4F9A">
        <w:rPr>
          <w:rFonts w:ascii="Times New Roman" w:hAnsi="Times New Roman" w:cs="Times New Roman"/>
          <w:sz w:val="20"/>
          <w:szCs w:val="20"/>
        </w:rPr>
        <w:t>Hades</w:t>
      </w:r>
      <w:r w:rsidR="002C6C68">
        <w:rPr>
          <w:rFonts w:ascii="Times New Roman" w:hAnsi="Times New Roman" w:cs="Times New Roman"/>
          <w:sz w:val="20"/>
          <w:szCs w:val="20"/>
        </w:rPr>
        <w:t>’</w:t>
      </w:r>
      <w:r w:rsidR="00AA4F9A">
        <w:rPr>
          <w:rFonts w:ascii="Times New Roman" w:hAnsi="Times New Roman" w:cs="Times New Roman"/>
          <w:sz w:val="20"/>
          <w:szCs w:val="20"/>
        </w:rPr>
        <w:t xml:space="preserve"> stems from words meaning invisible, </w:t>
      </w:r>
      <w:r w:rsidR="002C6C68">
        <w:rPr>
          <w:rFonts w:ascii="Times New Roman" w:hAnsi="Times New Roman" w:cs="Times New Roman"/>
          <w:sz w:val="20"/>
          <w:szCs w:val="20"/>
        </w:rPr>
        <w:t>suggesting that</w:t>
      </w:r>
      <w:r w:rsidR="00AA4F9A">
        <w:rPr>
          <w:rFonts w:ascii="Times New Roman" w:hAnsi="Times New Roman" w:cs="Times New Roman"/>
          <w:sz w:val="20"/>
          <w:szCs w:val="20"/>
        </w:rPr>
        <w:t xml:space="preserve"> – to a Graeco-Roman audience – any physical portrayal of Hades is disconnected Hades</w:t>
      </w:r>
      <w:r w:rsidR="002C6C68">
        <w:rPr>
          <w:rFonts w:ascii="Times New Roman" w:hAnsi="Times New Roman" w:cs="Times New Roman"/>
          <w:sz w:val="20"/>
          <w:szCs w:val="20"/>
        </w:rPr>
        <w:t xml:space="preserve"> himself</w:t>
      </w:r>
      <w:r w:rsidR="00AA4F9A">
        <w:rPr>
          <w:rStyle w:val="FootnoteReference"/>
          <w:rFonts w:ascii="Times New Roman" w:hAnsi="Times New Roman" w:cs="Times New Roman"/>
          <w:sz w:val="20"/>
          <w:szCs w:val="20"/>
        </w:rPr>
        <w:footnoteReference w:id="24"/>
      </w:r>
      <w:r w:rsidR="00AA4F9A">
        <w:rPr>
          <w:rFonts w:ascii="Times New Roman" w:hAnsi="Times New Roman" w:cs="Times New Roman"/>
          <w:sz w:val="20"/>
          <w:szCs w:val="20"/>
        </w:rPr>
        <w:t xml:space="preserve">. Indeed, in a number of representations, Taunton notes the idea that Hades cannot be </w:t>
      </w:r>
      <w:r w:rsidR="002C6C68">
        <w:rPr>
          <w:rFonts w:ascii="Times New Roman" w:hAnsi="Times New Roman" w:cs="Times New Roman"/>
          <w:sz w:val="20"/>
          <w:szCs w:val="20"/>
        </w:rPr>
        <w:t>seen</w:t>
      </w:r>
      <w:r w:rsidR="00AA4F9A">
        <w:rPr>
          <w:rFonts w:ascii="Times New Roman" w:hAnsi="Times New Roman" w:cs="Times New Roman"/>
          <w:sz w:val="20"/>
          <w:szCs w:val="20"/>
        </w:rPr>
        <w:t xml:space="preserve"> is </w:t>
      </w:r>
      <w:r w:rsidR="00692978">
        <w:rPr>
          <w:rFonts w:ascii="Times New Roman" w:hAnsi="Times New Roman" w:cs="Times New Roman"/>
          <w:sz w:val="20"/>
          <w:szCs w:val="20"/>
        </w:rPr>
        <w:t xml:space="preserve">referenced in the god’s </w:t>
      </w:r>
      <w:r w:rsidR="002C6C68">
        <w:rPr>
          <w:rFonts w:ascii="Times New Roman" w:hAnsi="Times New Roman" w:cs="Times New Roman"/>
          <w:sz w:val="20"/>
          <w:szCs w:val="20"/>
        </w:rPr>
        <w:t>shielding of his face</w:t>
      </w:r>
      <w:r w:rsidR="00692978">
        <w:rPr>
          <w:rStyle w:val="FootnoteReference"/>
          <w:rFonts w:ascii="Times New Roman" w:hAnsi="Times New Roman" w:cs="Times New Roman"/>
          <w:sz w:val="20"/>
          <w:szCs w:val="20"/>
        </w:rPr>
        <w:footnoteReference w:id="25"/>
      </w:r>
      <w:r w:rsidR="00692978">
        <w:rPr>
          <w:rFonts w:ascii="Times New Roman" w:hAnsi="Times New Roman" w:cs="Times New Roman"/>
          <w:sz w:val="20"/>
          <w:szCs w:val="20"/>
        </w:rPr>
        <w:t xml:space="preserve">. Hades’ representation in literature, however, </w:t>
      </w:r>
      <w:r w:rsidR="002C6C68">
        <w:rPr>
          <w:rFonts w:ascii="Times New Roman" w:hAnsi="Times New Roman" w:cs="Times New Roman"/>
          <w:sz w:val="20"/>
          <w:szCs w:val="20"/>
        </w:rPr>
        <w:t>are</w:t>
      </w:r>
      <w:r w:rsidR="00692978">
        <w:rPr>
          <w:rFonts w:ascii="Times New Roman" w:hAnsi="Times New Roman" w:cs="Times New Roman"/>
          <w:sz w:val="20"/>
          <w:szCs w:val="20"/>
        </w:rPr>
        <w:t xml:space="preserve"> significant. </w:t>
      </w:r>
      <w:r w:rsidR="009724A7">
        <w:rPr>
          <w:rFonts w:ascii="Times New Roman" w:hAnsi="Times New Roman" w:cs="Times New Roman"/>
          <w:sz w:val="20"/>
          <w:szCs w:val="20"/>
        </w:rPr>
        <w:t xml:space="preserve">Hades is as often a hero’s helper as his hindrance. In the myth of Perseus, for example, as it is accounted in Hesiod’s </w:t>
      </w:r>
      <w:r w:rsidR="00842B9E">
        <w:rPr>
          <w:rFonts w:ascii="Times New Roman" w:hAnsi="Times New Roman" w:cs="Times New Roman"/>
          <w:i/>
          <w:iCs/>
          <w:sz w:val="20"/>
          <w:szCs w:val="20"/>
        </w:rPr>
        <w:t>The Shield of Herakles</w:t>
      </w:r>
      <w:r w:rsidR="009724A7">
        <w:rPr>
          <w:rFonts w:ascii="Times New Roman" w:hAnsi="Times New Roman" w:cs="Times New Roman"/>
          <w:sz w:val="20"/>
          <w:szCs w:val="20"/>
        </w:rPr>
        <w:t xml:space="preserve">, </w:t>
      </w:r>
      <w:r w:rsidR="002C6C68">
        <w:rPr>
          <w:rFonts w:ascii="Times New Roman" w:hAnsi="Times New Roman" w:cs="Times New Roman"/>
          <w:sz w:val="20"/>
          <w:szCs w:val="20"/>
        </w:rPr>
        <w:t>Hades’</w:t>
      </w:r>
      <w:r w:rsidR="00842B9E">
        <w:rPr>
          <w:rFonts w:ascii="Times New Roman" w:hAnsi="Times New Roman" w:cs="Times New Roman"/>
          <w:sz w:val="20"/>
          <w:szCs w:val="20"/>
        </w:rPr>
        <w:t xml:space="preserve"> helmet of invisibility is gifted to the hero, and serves a prominent role</w:t>
      </w:r>
      <w:r w:rsidR="00842B9E">
        <w:rPr>
          <w:rStyle w:val="FootnoteReference"/>
          <w:rFonts w:ascii="Times New Roman" w:hAnsi="Times New Roman" w:cs="Times New Roman"/>
          <w:sz w:val="20"/>
          <w:szCs w:val="20"/>
        </w:rPr>
        <w:footnoteReference w:id="26"/>
      </w:r>
      <w:r w:rsidR="00842B9E">
        <w:rPr>
          <w:rFonts w:ascii="Times New Roman" w:hAnsi="Times New Roman" w:cs="Times New Roman"/>
          <w:sz w:val="20"/>
          <w:szCs w:val="20"/>
        </w:rPr>
        <w:t xml:space="preserve">. As </w:t>
      </w:r>
      <w:r w:rsidR="006B42A1">
        <w:rPr>
          <w:rFonts w:ascii="Times New Roman" w:hAnsi="Times New Roman" w:cs="Times New Roman"/>
          <w:sz w:val="20"/>
          <w:szCs w:val="20"/>
        </w:rPr>
        <w:t xml:space="preserve">Ogden, in </w:t>
      </w:r>
      <w:r w:rsidR="006B42A1">
        <w:rPr>
          <w:rFonts w:ascii="Times New Roman" w:hAnsi="Times New Roman" w:cs="Times New Roman"/>
          <w:i/>
          <w:iCs/>
          <w:sz w:val="20"/>
          <w:szCs w:val="20"/>
        </w:rPr>
        <w:t>Perseus</w:t>
      </w:r>
      <w:r w:rsidR="006B42A1">
        <w:rPr>
          <w:rFonts w:ascii="Times New Roman" w:hAnsi="Times New Roman" w:cs="Times New Roman"/>
          <w:sz w:val="20"/>
          <w:szCs w:val="20"/>
        </w:rPr>
        <w:t>, discusses the helmet is essential to the popular image of this hero, and his story, and – more over – is an enduring detail</w:t>
      </w:r>
      <w:r w:rsidR="006B42A1">
        <w:rPr>
          <w:rStyle w:val="FootnoteReference"/>
          <w:rFonts w:ascii="Times New Roman" w:hAnsi="Times New Roman" w:cs="Times New Roman"/>
          <w:sz w:val="20"/>
          <w:szCs w:val="20"/>
        </w:rPr>
        <w:footnoteReference w:id="27"/>
      </w:r>
      <w:r w:rsidR="00A253CE">
        <w:rPr>
          <w:rFonts w:ascii="Times New Roman" w:hAnsi="Times New Roman" w:cs="Times New Roman"/>
          <w:sz w:val="20"/>
          <w:szCs w:val="20"/>
        </w:rPr>
        <w:t>. In art, as Ogden describes, the helmet is often</w:t>
      </w:r>
      <w:r w:rsidR="002C7387">
        <w:rPr>
          <w:rFonts w:ascii="Times New Roman" w:hAnsi="Times New Roman" w:cs="Times New Roman"/>
          <w:sz w:val="20"/>
          <w:szCs w:val="20"/>
        </w:rPr>
        <w:t xml:space="preserve"> depicted</w:t>
      </w:r>
      <w:r w:rsidR="00A253CE">
        <w:rPr>
          <w:rFonts w:ascii="Times New Roman" w:hAnsi="Times New Roman" w:cs="Times New Roman"/>
          <w:sz w:val="20"/>
          <w:szCs w:val="20"/>
        </w:rPr>
        <w:t>, even when other details – more important</w:t>
      </w:r>
      <w:r w:rsidR="002C6C68">
        <w:rPr>
          <w:rFonts w:ascii="Times New Roman" w:hAnsi="Times New Roman" w:cs="Times New Roman"/>
          <w:sz w:val="20"/>
          <w:szCs w:val="20"/>
        </w:rPr>
        <w:t xml:space="preserve"> – details</w:t>
      </w:r>
      <w:r w:rsidR="00A253CE">
        <w:rPr>
          <w:rFonts w:ascii="Times New Roman" w:hAnsi="Times New Roman" w:cs="Times New Roman"/>
          <w:sz w:val="20"/>
          <w:szCs w:val="20"/>
        </w:rPr>
        <w:t xml:space="preserve"> are </w:t>
      </w:r>
      <w:r w:rsidR="00BA481D">
        <w:rPr>
          <w:rFonts w:ascii="Times New Roman" w:hAnsi="Times New Roman" w:cs="Times New Roman"/>
          <w:sz w:val="20"/>
          <w:szCs w:val="20"/>
        </w:rPr>
        <w:t>omitted</w:t>
      </w:r>
      <w:r w:rsidR="002C6C68">
        <w:rPr>
          <w:rFonts w:ascii="Times New Roman" w:hAnsi="Times New Roman" w:cs="Times New Roman"/>
          <w:sz w:val="20"/>
          <w:szCs w:val="20"/>
        </w:rPr>
        <w:t xml:space="preserve">; in </w:t>
      </w:r>
      <w:r w:rsidR="002C6C68">
        <w:rPr>
          <w:rFonts w:ascii="Times New Roman" w:hAnsi="Times New Roman" w:cs="Times New Roman"/>
          <w:i/>
          <w:iCs/>
          <w:sz w:val="20"/>
          <w:szCs w:val="20"/>
        </w:rPr>
        <w:t xml:space="preserve">Metamorphoses </w:t>
      </w:r>
      <w:r w:rsidR="002C6C68">
        <w:rPr>
          <w:rFonts w:ascii="Times New Roman" w:hAnsi="Times New Roman" w:cs="Times New Roman"/>
          <w:sz w:val="20"/>
          <w:szCs w:val="20"/>
        </w:rPr>
        <w:t>Ovid recounts a version of the saving of Andromeda in which Perseus relies on Hermes’ winged sandals</w:t>
      </w:r>
      <w:r w:rsidR="00BA481D">
        <w:rPr>
          <w:rStyle w:val="FootnoteReference"/>
          <w:rFonts w:ascii="Times New Roman" w:hAnsi="Times New Roman" w:cs="Times New Roman"/>
          <w:sz w:val="20"/>
          <w:szCs w:val="20"/>
        </w:rPr>
        <w:footnoteReference w:id="28"/>
      </w:r>
      <w:r w:rsidR="00BA481D">
        <w:rPr>
          <w:rFonts w:ascii="Times New Roman" w:hAnsi="Times New Roman" w:cs="Times New Roman"/>
          <w:sz w:val="20"/>
          <w:szCs w:val="20"/>
        </w:rPr>
        <w:t>.</w:t>
      </w:r>
      <w:r w:rsidR="00A253CE">
        <w:rPr>
          <w:rFonts w:ascii="Times New Roman" w:hAnsi="Times New Roman" w:cs="Times New Roman"/>
          <w:sz w:val="20"/>
          <w:szCs w:val="20"/>
        </w:rPr>
        <w:t xml:space="preserve"> Th</w:t>
      </w:r>
      <w:r w:rsidR="002C7387">
        <w:rPr>
          <w:rFonts w:ascii="Times New Roman" w:hAnsi="Times New Roman" w:cs="Times New Roman"/>
          <w:sz w:val="20"/>
          <w:szCs w:val="20"/>
        </w:rPr>
        <w:t>at a</w:t>
      </w:r>
      <w:r w:rsidR="002C6C68">
        <w:rPr>
          <w:rFonts w:ascii="Times New Roman" w:hAnsi="Times New Roman" w:cs="Times New Roman"/>
          <w:sz w:val="20"/>
          <w:szCs w:val="20"/>
        </w:rPr>
        <w:t>n</w:t>
      </w:r>
      <w:r w:rsidR="002C7387">
        <w:rPr>
          <w:rFonts w:ascii="Times New Roman" w:hAnsi="Times New Roman" w:cs="Times New Roman"/>
          <w:sz w:val="20"/>
          <w:szCs w:val="20"/>
        </w:rPr>
        <w:t xml:space="preserve"> item associated with Hades should feature so prominently, and in such a positive way, </w:t>
      </w:r>
      <w:r w:rsidR="002C6C68">
        <w:rPr>
          <w:rFonts w:ascii="Times New Roman" w:hAnsi="Times New Roman" w:cs="Times New Roman"/>
          <w:sz w:val="20"/>
          <w:szCs w:val="20"/>
        </w:rPr>
        <w:t xml:space="preserve">represents Hades </w:t>
      </w:r>
      <w:r w:rsidR="002C7387">
        <w:rPr>
          <w:rFonts w:ascii="Times New Roman" w:hAnsi="Times New Roman" w:cs="Times New Roman"/>
          <w:sz w:val="20"/>
          <w:szCs w:val="20"/>
        </w:rPr>
        <w:t>positively. Another tale in which Hades’ role is at least neutral is that of Herakles</w:t>
      </w:r>
      <w:r w:rsidR="00D91B4C">
        <w:rPr>
          <w:rFonts w:ascii="Times New Roman" w:hAnsi="Times New Roman" w:cs="Times New Roman"/>
          <w:sz w:val="20"/>
          <w:szCs w:val="20"/>
        </w:rPr>
        <w:t xml:space="preserve">, as Apollodorus recounts the twelfth labour in </w:t>
      </w:r>
      <w:r w:rsidR="00D91B4C">
        <w:rPr>
          <w:rFonts w:ascii="Times New Roman" w:hAnsi="Times New Roman" w:cs="Times New Roman"/>
          <w:i/>
          <w:iCs/>
          <w:sz w:val="20"/>
          <w:szCs w:val="20"/>
        </w:rPr>
        <w:t>The Library of Greek Mythology</w:t>
      </w:r>
      <w:r w:rsidR="00D91B4C">
        <w:rPr>
          <w:rFonts w:ascii="Times New Roman" w:hAnsi="Times New Roman" w:cs="Times New Roman"/>
          <w:sz w:val="20"/>
          <w:szCs w:val="20"/>
        </w:rPr>
        <w:t>, Hades permits Herakles to remove Cerberos on the condition that it isn’t harmed, which – given Herakles history of violence against the children of Typhon, and Echidna, and the utility of Cerberos – seems to be a fair one</w:t>
      </w:r>
      <w:r w:rsidR="00D91B4C">
        <w:rPr>
          <w:rStyle w:val="FootnoteReference"/>
          <w:rFonts w:ascii="Times New Roman" w:hAnsi="Times New Roman" w:cs="Times New Roman"/>
          <w:sz w:val="20"/>
          <w:szCs w:val="20"/>
        </w:rPr>
        <w:footnoteReference w:id="29"/>
      </w:r>
      <w:r w:rsidR="00D91B4C">
        <w:rPr>
          <w:rFonts w:ascii="Times New Roman" w:hAnsi="Times New Roman" w:cs="Times New Roman"/>
          <w:sz w:val="20"/>
          <w:szCs w:val="20"/>
        </w:rPr>
        <w:t>.</w:t>
      </w:r>
      <w:r w:rsidR="00561BA9">
        <w:rPr>
          <w:rFonts w:ascii="Times New Roman" w:hAnsi="Times New Roman" w:cs="Times New Roman"/>
          <w:sz w:val="20"/>
          <w:szCs w:val="20"/>
        </w:rPr>
        <w:t xml:space="preserve"> In fact, it might be argued that Hades was uncharacteristically kind to Hera</w:t>
      </w:r>
      <w:r w:rsidR="00264389">
        <w:rPr>
          <w:rFonts w:ascii="Times New Roman" w:hAnsi="Times New Roman" w:cs="Times New Roman"/>
          <w:sz w:val="20"/>
          <w:szCs w:val="20"/>
        </w:rPr>
        <w:t>k</w:t>
      </w:r>
      <w:r w:rsidR="00561BA9">
        <w:rPr>
          <w:rFonts w:ascii="Times New Roman" w:hAnsi="Times New Roman" w:cs="Times New Roman"/>
          <w:sz w:val="20"/>
          <w:szCs w:val="20"/>
        </w:rPr>
        <w:t>les, given that, according to Apollodorus, Herakles – on that katabasis – had already freed the chained Theseus, and slaughtered one of Hades’ cows</w:t>
      </w:r>
      <w:r w:rsidR="00561BA9">
        <w:rPr>
          <w:rStyle w:val="FootnoteReference"/>
          <w:rFonts w:ascii="Times New Roman" w:hAnsi="Times New Roman" w:cs="Times New Roman"/>
          <w:sz w:val="20"/>
          <w:szCs w:val="20"/>
        </w:rPr>
        <w:footnoteReference w:id="30"/>
      </w:r>
      <w:r w:rsidR="00561BA9">
        <w:rPr>
          <w:rFonts w:ascii="Times New Roman" w:hAnsi="Times New Roman" w:cs="Times New Roman"/>
          <w:sz w:val="20"/>
          <w:szCs w:val="20"/>
        </w:rPr>
        <w:t xml:space="preserve">. </w:t>
      </w:r>
      <w:r w:rsidR="00EB4836">
        <w:rPr>
          <w:rFonts w:ascii="Times New Roman" w:hAnsi="Times New Roman" w:cs="Times New Roman"/>
          <w:sz w:val="20"/>
          <w:szCs w:val="20"/>
        </w:rPr>
        <w:t xml:space="preserve">These are unusual as Hades, in other instances, </w:t>
      </w:r>
      <w:r w:rsidR="00264389">
        <w:rPr>
          <w:rFonts w:ascii="Times New Roman" w:hAnsi="Times New Roman" w:cs="Times New Roman"/>
          <w:sz w:val="20"/>
          <w:szCs w:val="20"/>
        </w:rPr>
        <w:t>like</w:t>
      </w:r>
      <w:r w:rsidR="00EB4836">
        <w:rPr>
          <w:rFonts w:ascii="Times New Roman" w:hAnsi="Times New Roman" w:cs="Times New Roman"/>
          <w:sz w:val="20"/>
          <w:szCs w:val="20"/>
        </w:rPr>
        <w:t xml:space="preserve"> Orpheus’ katabasis, had been shown to be possessive of the souls in the underworld, and other gods – such as Apollo – were possessive of their cattle</w:t>
      </w:r>
      <w:r w:rsidR="00EB4836">
        <w:rPr>
          <w:rStyle w:val="FootnoteReference"/>
          <w:rFonts w:ascii="Times New Roman" w:hAnsi="Times New Roman" w:cs="Times New Roman"/>
          <w:sz w:val="20"/>
          <w:szCs w:val="20"/>
        </w:rPr>
        <w:footnoteReference w:id="31"/>
      </w:r>
      <w:r w:rsidR="00264389">
        <w:rPr>
          <w:rFonts w:ascii="Times New Roman" w:hAnsi="Times New Roman" w:cs="Times New Roman"/>
          <w:sz w:val="20"/>
          <w:szCs w:val="20"/>
        </w:rPr>
        <w:t xml:space="preserve">. Overall, Hades is represented in a positive light, in much Graeco-Roman literature. He helps the heroes, even Herakles on his katabasis, an endeavour which – as explored above – typically sees chthonic deities take the role of de-facto </w:t>
      </w:r>
      <w:r w:rsidR="00EB0396">
        <w:rPr>
          <w:rFonts w:ascii="Times New Roman" w:hAnsi="Times New Roman" w:cs="Times New Roman"/>
          <w:sz w:val="20"/>
          <w:szCs w:val="20"/>
        </w:rPr>
        <w:t>antagonists</w:t>
      </w:r>
      <w:r w:rsidR="00EB0396">
        <w:rPr>
          <w:rStyle w:val="FootnoteReference"/>
          <w:rFonts w:ascii="Times New Roman" w:hAnsi="Times New Roman" w:cs="Times New Roman"/>
          <w:sz w:val="20"/>
          <w:szCs w:val="20"/>
        </w:rPr>
        <w:footnoteReference w:id="32"/>
      </w:r>
      <w:r w:rsidR="00EB0396">
        <w:rPr>
          <w:rFonts w:ascii="Times New Roman" w:hAnsi="Times New Roman" w:cs="Times New Roman"/>
          <w:sz w:val="20"/>
          <w:szCs w:val="20"/>
        </w:rPr>
        <w:t>. Hades is not without negativity, certainly – irrelevant as depictions of this god may be – the habit of shielding his face in art, as explored by Taunton, is indicative of the fear which surrounded him</w:t>
      </w:r>
      <w:r w:rsidR="00EB0396">
        <w:rPr>
          <w:rStyle w:val="FootnoteReference"/>
          <w:rFonts w:ascii="Times New Roman" w:hAnsi="Times New Roman" w:cs="Times New Roman"/>
          <w:sz w:val="20"/>
          <w:szCs w:val="20"/>
        </w:rPr>
        <w:footnoteReference w:id="33"/>
      </w:r>
      <w:r w:rsidR="00EB0396">
        <w:rPr>
          <w:rFonts w:ascii="Times New Roman" w:hAnsi="Times New Roman" w:cs="Times New Roman"/>
          <w:sz w:val="20"/>
          <w:szCs w:val="20"/>
        </w:rPr>
        <w:t>. But, ultimately, Hades’ representations in literature are rather positive.</w:t>
      </w:r>
    </w:p>
    <w:p w14:paraId="640E4E17" w14:textId="36CC863F" w:rsidR="00EB0396" w:rsidRDefault="00EB0396" w:rsidP="00D259B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In conclusion this essay finds that the chthonic </w:t>
      </w:r>
      <w:r w:rsidR="002C6C68">
        <w:rPr>
          <w:rFonts w:ascii="Times New Roman" w:hAnsi="Times New Roman" w:cs="Times New Roman"/>
          <w:sz w:val="20"/>
          <w:szCs w:val="20"/>
        </w:rPr>
        <w:t xml:space="preserve">deities we frequently represented with </w:t>
      </w:r>
      <w:r w:rsidR="00E9285C">
        <w:rPr>
          <w:rFonts w:ascii="Times New Roman" w:hAnsi="Times New Roman" w:cs="Times New Roman"/>
          <w:sz w:val="20"/>
          <w:szCs w:val="20"/>
        </w:rPr>
        <w:t>great nuance, being both positive and negative. But not equally positive, and negative</w:t>
      </w:r>
      <w:r w:rsidR="00F723B8">
        <w:rPr>
          <w:rFonts w:ascii="Times New Roman" w:hAnsi="Times New Roman" w:cs="Times New Roman"/>
          <w:sz w:val="20"/>
          <w:szCs w:val="20"/>
        </w:rPr>
        <w:t>;</w:t>
      </w:r>
      <w:r w:rsidR="00E9285C">
        <w:rPr>
          <w:rFonts w:ascii="Times New Roman" w:hAnsi="Times New Roman" w:cs="Times New Roman"/>
          <w:sz w:val="20"/>
          <w:szCs w:val="20"/>
        </w:rPr>
        <w:t xml:space="preserve"> </w:t>
      </w:r>
      <w:r w:rsidR="00F723B8">
        <w:rPr>
          <w:rFonts w:ascii="Times New Roman" w:hAnsi="Times New Roman" w:cs="Times New Roman"/>
          <w:sz w:val="20"/>
          <w:szCs w:val="20"/>
        </w:rPr>
        <w:t xml:space="preserve">as the transporter of dead family, Charon was, </w:t>
      </w:r>
      <w:r w:rsidR="00E9285C">
        <w:rPr>
          <w:rFonts w:ascii="Times New Roman" w:hAnsi="Times New Roman" w:cs="Times New Roman"/>
          <w:sz w:val="20"/>
          <w:szCs w:val="20"/>
        </w:rPr>
        <w:t>mostly, represented negatively, while Hades</w:t>
      </w:r>
      <w:r w:rsidR="00F723B8">
        <w:rPr>
          <w:rFonts w:ascii="Times New Roman" w:hAnsi="Times New Roman" w:cs="Times New Roman"/>
          <w:sz w:val="20"/>
          <w:szCs w:val="20"/>
        </w:rPr>
        <w:t>, as he aided the heroes of Graeco-Roman literature,</w:t>
      </w:r>
      <w:r w:rsidR="00E9285C">
        <w:rPr>
          <w:rFonts w:ascii="Times New Roman" w:hAnsi="Times New Roman" w:cs="Times New Roman"/>
          <w:sz w:val="20"/>
          <w:szCs w:val="20"/>
        </w:rPr>
        <w:t xml:space="preserve"> was, frequently, represented positive</w:t>
      </w:r>
      <w:r w:rsidR="00F723B8">
        <w:rPr>
          <w:rFonts w:ascii="Times New Roman" w:hAnsi="Times New Roman" w:cs="Times New Roman"/>
          <w:sz w:val="20"/>
          <w:szCs w:val="20"/>
        </w:rPr>
        <w:t>ly</w:t>
      </w:r>
      <w:r w:rsidR="00E9285C">
        <w:rPr>
          <w:rFonts w:ascii="Times New Roman" w:hAnsi="Times New Roman" w:cs="Times New Roman"/>
          <w:sz w:val="20"/>
          <w:szCs w:val="20"/>
        </w:rPr>
        <w:t>. This is</w:t>
      </w:r>
      <w:r w:rsidR="00F723B8">
        <w:rPr>
          <w:rFonts w:ascii="Times New Roman" w:hAnsi="Times New Roman" w:cs="Times New Roman"/>
          <w:sz w:val="20"/>
          <w:szCs w:val="20"/>
        </w:rPr>
        <w:t>,</w:t>
      </w:r>
      <w:r w:rsidR="00E9285C">
        <w:rPr>
          <w:rFonts w:ascii="Times New Roman" w:hAnsi="Times New Roman" w:cs="Times New Roman"/>
          <w:sz w:val="20"/>
          <w:szCs w:val="20"/>
        </w:rPr>
        <w:t xml:space="preserve"> perhaps</w:t>
      </w:r>
      <w:r w:rsidR="00F723B8">
        <w:rPr>
          <w:rFonts w:ascii="Times New Roman" w:hAnsi="Times New Roman" w:cs="Times New Roman"/>
          <w:sz w:val="20"/>
          <w:szCs w:val="20"/>
        </w:rPr>
        <w:t>, also</w:t>
      </w:r>
      <w:r w:rsidR="00E9285C">
        <w:rPr>
          <w:rFonts w:ascii="Times New Roman" w:hAnsi="Times New Roman" w:cs="Times New Roman"/>
          <w:sz w:val="20"/>
          <w:szCs w:val="20"/>
        </w:rPr>
        <w:t xml:space="preserve"> due to how involved the different deities were with death; Charon was a phsychopomp, he interacted with, and was associated directly with the recently deceased – as his frequent </w:t>
      </w:r>
      <w:r w:rsidR="00E9285C">
        <w:rPr>
          <w:rFonts w:ascii="Times New Roman" w:hAnsi="Times New Roman" w:cs="Times New Roman"/>
          <w:sz w:val="20"/>
          <w:szCs w:val="20"/>
        </w:rPr>
        <w:lastRenderedPageBreak/>
        <w:t xml:space="preserve">depictions upon funerary artefacts evidences – while Hades was – though the king of the underworld – seldom interacted with the dead. </w:t>
      </w:r>
      <w:r w:rsidR="00066EFA">
        <w:rPr>
          <w:rFonts w:ascii="Times New Roman" w:hAnsi="Times New Roman" w:cs="Times New Roman"/>
          <w:sz w:val="20"/>
          <w:szCs w:val="20"/>
        </w:rPr>
        <w:t>In Graeco-Roman Mythology there were only three phsychopomps; Charon, Thanatos, and Hermes – who had other duties, and so was not exclusively associated with the dead. As Charon’s representations, when compared with Hades’, show,</w:t>
      </w:r>
      <w:r w:rsidR="00E9285C">
        <w:rPr>
          <w:rFonts w:ascii="Times New Roman" w:hAnsi="Times New Roman" w:cs="Times New Roman"/>
          <w:sz w:val="20"/>
          <w:szCs w:val="20"/>
        </w:rPr>
        <w:t xml:space="preserve"> deit</w:t>
      </w:r>
      <w:r w:rsidR="00066EFA">
        <w:rPr>
          <w:rFonts w:ascii="Times New Roman" w:hAnsi="Times New Roman" w:cs="Times New Roman"/>
          <w:sz w:val="20"/>
          <w:szCs w:val="20"/>
        </w:rPr>
        <w:t>ies</w:t>
      </w:r>
      <w:r w:rsidR="00E9285C">
        <w:rPr>
          <w:rFonts w:ascii="Times New Roman" w:hAnsi="Times New Roman" w:cs="Times New Roman"/>
          <w:sz w:val="20"/>
          <w:szCs w:val="20"/>
        </w:rPr>
        <w:t xml:space="preserve"> most involved with death </w:t>
      </w:r>
      <w:r w:rsidR="00066EFA">
        <w:rPr>
          <w:rFonts w:ascii="Times New Roman" w:hAnsi="Times New Roman" w:cs="Times New Roman"/>
          <w:sz w:val="20"/>
          <w:szCs w:val="20"/>
        </w:rPr>
        <w:t>were</w:t>
      </w:r>
      <w:r w:rsidR="00E9285C">
        <w:rPr>
          <w:rFonts w:ascii="Times New Roman" w:hAnsi="Times New Roman" w:cs="Times New Roman"/>
          <w:sz w:val="20"/>
          <w:szCs w:val="20"/>
        </w:rPr>
        <w:t xml:space="preserve"> represented more negatively.</w:t>
      </w:r>
      <w:r w:rsidR="00066EFA">
        <w:rPr>
          <w:rFonts w:ascii="Times New Roman" w:hAnsi="Times New Roman" w:cs="Times New Roman"/>
          <w:sz w:val="20"/>
          <w:szCs w:val="20"/>
        </w:rPr>
        <w:t xml:space="preserve"> This being so, it is likely that the chthonic deities, generally, were represented more positively, as with Hades, as the vast majority of them were not phsychopomp</w:t>
      </w:r>
      <w:r w:rsidR="00F723B8">
        <w:rPr>
          <w:rFonts w:ascii="Times New Roman" w:hAnsi="Times New Roman" w:cs="Times New Roman"/>
          <w:sz w:val="20"/>
          <w:szCs w:val="20"/>
        </w:rPr>
        <w:t xml:space="preserve">s, and Hades – as the king of the underworld – would be perceived as more representative of his subjects that Charon – a functionary – would. Ultimately, however, none are represented as purely positive, or negative, because all were associated, to an extent with death. And, death, as discussed above in connection to Aristophanes’ </w:t>
      </w:r>
      <w:r w:rsidR="00F723B8">
        <w:rPr>
          <w:rFonts w:ascii="Times New Roman" w:hAnsi="Times New Roman" w:cs="Times New Roman"/>
          <w:i/>
          <w:iCs/>
          <w:sz w:val="20"/>
          <w:szCs w:val="20"/>
        </w:rPr>
        <w:t>Frogs</w:t>
      </w:r>
      <w:r w:rsidR="00F723B8">
        <w:rPr>
          <w:rFonts w:ascii="Times New Roman" w:hAnsi="Times New Roman" w:cs="Times New Roman"/>
          <w:sz w:val="20"/>
          <w:szCs w:val="20"/>
        </w:rPr>
        <w:t xml:space="preserve">, was seen – by the Greeks, and Romans, to be a release, a final rest, as well as an unpleasant thing for those left behind. Thus, this essay concludes, after close, critical examination, that – in both literature, and art – the chthonic gods were </w:t>
      </w:r>
      <w:r w:rsidR="0001465C">
        <w:rPr>
          <w:rFonts w:ascii="Times New Roman" w:hAnsi="Times New Roman" w:cs="Times New Roman"/>
          <w:sz w:val="20"/>
          <w:szCs w:val="20"/>
        </w:rPr>
        <w:t xml:space="preserve">simultaneously </w:t>
      </w:r>
      <w:r w:rsidR="00F723B8">
        <w:rPr>
          <w:rFonts w:ascii="Times New Roman" w:hAnsi="Times New Roman" w:cs="Times New Roman"/>
          <w:sz w:val="20"/>
          <w:szCs w:val="20"/>
        </w:rPr>
        <w:t>represented</w:t>
      </w:r>
      <w:r w:rsidR="0001465C">
        <w:rPr>
          <w:rFonts w:ascii="Times New Roman" w:hAnsi="Times New Roman" w:cs="Times New Roman"/>
          <w:sz w:val="20"/>
          <w:szCs w:val="20"/>
        </w:rPr>
        <w:t xml:space="preserve"> both positively, and negatively.</w:t>
      </w:r>
    </w:p>
    <w:p w14:paraId="5F46F44E" w14:textId="1EB350D8" w:rsidR="0001465C" w:rsidRDefault="0001465C" w:rsidP="0001465C">
      <w:pPr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01465C">
        <w:rPr>
          <w:rFonts w:ascii="Times New Roman" w:hAnsi="Times New Roman" w:cs="Times New Roman"/>
          <w:b/>
          <w:bCs/>
          <w:sz w:val="20"/>
          <w:szCs w:val="20"/>
          <w:u w:val="single"/>
        </w:rPr>
        <w:t>Bibliography</w:t>
      </w:r>
    </w:p>
    <w:p w14:paraId="60313A25" w14:textId="3E783AAA" w:rsidR="0001465C" w:rsidRDefault="0001465C" w:rsidP="0001465C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Primary Sources</w:t>
      </w:r>
    </w:p>
    <w:p w14:paraId="010FECFD" w14:textId="7ED0AF88" w:rsidR="0001465C" w:rsidRPr="0001465C" w:rsidRDefault="0001465C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01465C">
        <w:rPr>
          <w:rFonts w:ascii="Times New Roman" w:hAnsi="Times New Roman" w:cs="Times New Roman"/>
          <w:sz w:val="20"/>
          <w:szCs w:val="20"/>
        </w:rPr>
        <w:t xml:space="preserve">Apollodorus, </w:t>
      </w:r>
      <w:r w:rsidRPr="0001465C">
        <w:rPr>
          <w:rFonts w:ascii="Times New Roman" w:hAnsi="Times New Roman" w:cs="Times New Roman"/>
          <w:i/>
          <w:iCs/>
          <w:sz w:val="20"/>
          <w:szCs w:val="20"/>
        </w:rPr>
        <w:t>The Library of Greek Mythology</w:t>
      </w:r>
      <w:r w:rsidRPr="0001465C">
        <w:rPr>
          <w:rFonts w:ascii="Times New Roman" w:hAnsi="Times New Roman" w:cs="Times New Roman"/>
          <w:sz w:val="20"/>
          <w:szCs w:val="20"/>
        </w:rPr>
        <w:t>, trans. by Hard, R., (Oxford, Oxford University Press, 1997)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3457A946" w14:textId="26EAE088" w:rsidR="0001465C" w:rsidRPr="0001465C" w:rsidRDefault="0001465C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01465C">
        <w:rPr>
          <w:rFonts w:ascii="Times New Roman" w:hAnsi="Times New Roman" w:cs="Times New Roman"/>
          <w:sz w:val="20"/>
          <w:szCs w:val="20"/>
        </w:rPr>
        <w:t xml:space="preserve">Aristophanes, </w:t>
      </w:r>
      <w:r w:rsidRPr="0001465C">
        <w:rPr>
          <w:rFonts w:ascii="Times New Roman" w:hAnsi="Times New Roman" w:cs="Times New Roman"/>
          <w:i/>
          <w:iCs/>
          <w:sz w:val="20"/>
          <w:szCs w:val="20"/>
        </w:rPr>
        <w:t>Frogs</w:t>
      </w:r>
      <w:r w:rsidRPr="0001465C">
        <w:rPr>
          <w:rFonts w:ascii="Times New Roman" w:hAnsi="Times New Roman" w:cs="Times New Roman"/>
          <w:sz w:val="20"/>
          <w:szCs w:val="20"/>
        </w:rPr>
        <w:t>, trans. by Henderson, J., (Indiana, Hackett Publishing Company, 2008)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9E4A387" w14:textId="1BB47915" w:rsidR="0001465C" w:rsidRPr="0001465C" w:rsidRDefault="0001465C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01465C">
        <w:rPr>
          <w:rFonts w:ascii="Times New Roman" w:hAnsi="Times New Roman" w:cs="Times New Roman"/>
          <w:sz w:val="20"/>
          <w:szCs w:val="20"/>
        </w:rPr>
        <w:t xml:space="preserve">Hesiod, </w:t>
      </w:r>
      <w:r w:rsidRPr="0001465C">
        <w:rPr>
          <w:rFonts w:ascii="Times New Roman" w:hAnsi="Times New Roman" w:cs="Times New Roman"/>
          <w:i/>
          <w:iCs/>
          <w:sz w:val="20"/>
          <w:szCs w:val="20"/>
        </w:rPr>
        <w:t>The Poems of Hesiod: Theogony, Works and Days, and The Shield of Herakles</w:t>
      </w:r>
      <w:r w:rsidRPr="0001465C">
        <w:rPr>
          <w:rFonts w:ascii="Times New Roman" w:hAnsi="Times New Roman" w:cs="Times New Roman"/>
          <w:sz w:val="20"/>
          <w:szCs w:val="20"/>
        </w:rPr>
        <w:t>, trans. by Powell, B. B., (California, University of California Press, 2017)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30A78140" w14:textId="7595CC87" w:rsidR="0001465C" w:rsidRPr="0001465C" w:rsidRDefault="0001465C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01465C">
        <w:rPr>
          <w:rFonts w:ascii="Times New Roman" w:hAnsi="Times New Roman" w:cs="Times New Roman"/>
          <w:sz w:val="20"/>
          <w:szCs w:val="20"/>
        </w:rPr>
        <w:t xml:space="preserve">Homer, </w:t>
      </w:r>
      <w:r w:rsidRPr="0001465C">
        <w:rPr>
          <w:rFonts w:ascii="Times New Roman" w:hAnsi="Times New Roman" w:cs="Times New Roman"/>
          <w:i/>
          <w:iCs/>
          <w:sz w:val="20"/>
          <w:szCs w:val="20"/>
        </w:rPr>
        <w:t>The Iliad</w:t>
      </w:r>
      <w:r w:rsidRPr="0001465C">
        <w:rPr>
          <w:rFonts w:ascii="Times New Roman" w:hAnsi="Times New Roman" w:cs="Times New Roman"/>
          <w:sz w:val="20"/>
          <w:szCs w:val="20"/>
        </w:rPr>
        <w:t>, trans. by Rieu, E. V., (Middlesex, Penguin Books LTD, 1950)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48C97557" w14:textId="0ED45633" w:rsidR="0001465C" w:rsidRPr="0001465C" w:rsidRDefault="0001465C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01465C">
        <w:rPr>
          <w:rFonts w:ascii="Times New Roman" w:hAnsi="Times New Roman" w:cs="Times New Roman"/>
          <w:sz w:val="20"/>
          <w:szCs w:val="20"/>
        </w:rPr>
        <w:t xml:space="preserve">Homer, </w:t>
      </w:r>
      <w:r w:rsidRPr="0001465C">
        <w:rPr>
          <w:rFonts w:ascii="Times New Roman" w:hAnsi="Times New Roman" w:cs="Times New Roman"/>
          <w:i/>
          <w:iCs/>
          <w:sz w:val="20"/>
          <w:szCs w:val="20"/>
        </w:rPr>
        <w:t>Three Homeric Hymns: To Apollo, Hermes, and Aphrodite</w:t>
      </w:r>
      <w:r w:rsidRPr="0001465C">
        <w:rPr>
          <w:rFonts w:ascii="Times New Roman" w:hAnsi="Times New Roman" w:cs="Times New Roman"/>
          <w:sz w:val="20"/>
          <w:szCs w:val="20"/>
        </w:rPr>
        <w:t>, trans. &amp; ed. by Richardson, N., (Cambridge, Cambridge University Press, 2010)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2C78DE6F" w14:textId="02FB9F73" w:rsidR="0001465C" w:rsidRPr="0001465C" w:rsidRDefault="0001465C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01465C">
        <w:rPr>
          <w:rFonts w:ascii="Times New Roman" w:hAnsi="Times New Roman" w:cs="Times New Roman"/>
          <w:sz w:val="20"/>
          <w:szCs w:val="20"/>
        </w:rPr>
        <w:t xml:space="preserve">Publius Ovidius Naso, </w:t>
      </w:r>
      <w:r w:rsidRPr="0001465C">
        <w:rPr>
          <w:rFonts w:ascii="Times New Roman" w:hAnsi="Times New Roman" w:cs="Times New Roman"/>
          <w:i/>
          <w:iCs/>
          <w:sz w:val="20"/>
          <w:szCs w:val="20"/>
        </w:rPr>
        <w:t>Metamorphoses</w:t>
      </w:r>
      <w:r w:rsidRPr="0001465C">
        <w:rPr>
          <w:rFonts w:ascii="Times New Roman" w:hAnsi="Times New Roman" w:cs="Times New Roman"/>
          <w:sz w:val="20"/>
          <w:szCs w:val="20"/>
        </w:rPr>
        <w:t>, trans. by Humphries, R., (Indiana, Indiana University Press, 1955)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438136BF" w14:textId="21832EE3" w:rsidR="0001465C" w:rsidRDefault="0001465C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01465C">
        <w:rPr>
          <w:rFonts w:ascii="Times New Roman" w:hAnsi="Times New Roman" w:cs="Times New Roman"/>
          <w:sz w:val="20"/>
          <w:szCs w:val="20"/>
        </w:rPr>
        <w:t xml:space="preserve">Publius Vergilius Maro, </w:t>
      </w:r>
      <w:r w:rsidRPr="0001465C">
        <w:rPr>
          <w:rFonts w:ascii="Times New Roman" w:hAnsi="Times New Roman" w:cs="Times New Roman"/>
          <w:i/>
          <w:iCs/>
          <w:sz w:val="20"/>
          <w:szCs w:val="20"/>
        </w:rPr>
        <w:t>Aeneid</w:t>
      </w:r>
      <w:r w:rsidRPr="0001465C">
        <w:rPr>
          <w:rFonts w:ascii="Times New Roman" w:hAnsi="Times New Roman" w:cs="Times New Roman"/>
          <w:sz w:val="20"/>
          <w:szCs w:val="20"/>
        </w:rPr>
        <w:t>, trans. by Ahl, F., (Oxford, Oxford University Press, 2008)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40AA822A" w14:textId="33429FB5" w:rsidR="0001465C" w:rsidRDefault="0001465C" w:rsidP="0001465C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Secondary Sources</w:t>
      </w:r>
    </w:p>
    <w:p w14:paraId="1DF5BDCB" w14:textId="47E95CFF" w:rsidR="00175CCF" w:rsidRDefault="00175CCF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175CCF">
        <w:rPr>
          <w:rFonts w:ascii="Times New Roman" w:hAnsi="Times New Roman" w:cs="Times New Roman"/>
          <w:sz w:val="20"/>
          <w:szCs w:val="20"/>
        </w:rPr>
        <w:t xml:space="preserve">Alighieri, D., 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>The Inferno</w:t>
      </w:r>
      <w:r w:rsidRPr="00175CCF">
        <w:rPr>
          <w:rFonts w:ascii="Times New Roman" w:hAnsi="Times New Roman" w:cs="Times New Roman"/>
          <w:sz w:val="20"/>
          <w:szCs w:val="20"/>
        </w:rPr>
        <w:t>, trans. by Cary, H. F., (Hertfordshire, Wordsworth Editions LTD, 1998)</w:t>
      </w:r>
      <w:r w:rsidR="00673F88">
        <w:rPr>
          <w:rFonts w:ascii="Times New Roman" w:hAnsi="Times New Roman" w:cs="Times New Roman"/>
          <w:sz w:val="20"/>
          <w:szCs w:val="20"/>
        </w:rPr>
        <w:t>.</w:t>
      </w:r>
    </w:p>
    <w:p w14:paraId="5209A994" w14:textId="7DF1FFA5" w:rsidR="00175CCF" w:rsidRPr="00175CCF" w:rsidRDefault="00175CCF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175CCF">
        <w:rPr>
          <w:rFonts w:ascii="Times New Roman" w:hAnsi="Times New Roman" w:cs="Times New Roman"/>
          <w:sz w:val="20"/>
          <w:szCs w:val="20"/>
        </w:rPr>
        <w:t xml:space="preserve">Boardman, J., 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>Greek Art</w:t>
      </w:r>
      <w:r w:rsidRPr="00175CCF">
        <w:rPr>
          <w:rFonts w:ascii="Times New Roman" w:hAnsi="Times New Roman" w:cs="Times New Roman"/>
          <w:sz w:val="20"/>
          <w:szCs w:val="20"/>
        </w:rPr>
        <w:t>, (London, Thames &amp; Hudson LTD, 2016)</w:t>
      </w:r>
      <w:r w:rsidR="00673F88">
        <w:rPr>
          <w:rFonts w:ascii="Times New Roman" w:hAnsi="Times New Roman" w:cs="Times New Roman"/>
          <w:sz w:val="20"/>
          <w:szCs w:val="20"/>
        </w:rPr>
        <w:t>.</w:t>
      </w:r>
    </w:p>
    <w:p w14:paraId="4C55C61E" w14:textId="016795FF" w:rsidR="00175CCF" w:rsidRDefault="0001465C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175CCF">
        <w:rPr>
          <w:rFonts w:ascii="Times New Roman" w:hAnsi="Times New Roman" w:cs="Times New Roman"/>
          <w:sz w:val="20"/>
          <w:szCs w:val="20"/>
        </w:rPr>
        <w:t xml:space="preserve">Burn, </w:t>
      </w:r>
      <w:r w:rsidR="00175CCF" w:rsidRPr="00175CCF">
        <w:rPr>
          <w:rFonts w:ascii="Times New Roman" w:hAnsi="Times New Roman" w:cs="Times New Roman"/>
          <w:sz w:val="20"/>
          <w:szCs w:val="20"/>
        </w:rPr>
        <w:t xml:space="preserve">L., </w:t>
      </w:r>
      <w:r w:rsidRPr="00175CCF">
        <w:rPr>
          <w:rFonts w:ascii="Times New Roman" w:hAnsi="Times New Roman" w:cs="Times New Roman"/>
          <w:sz w:val="20"/>
          <w:szCs w:val="20"/>
        </w:rPr>
        <w:t>‘Terracottas’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 w:rsidRPr="00175CCF">
        <w:rPr>
          <w:rFonts w:ascii="Times New Roman" w:hAnsi="Times New Roman" w:cs="Times New Roman"/>
          <w:sz w:val="20"/>
          <w:szCs w:val="20"/>
        </w:rPr>
        <w:t>in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 xml:space="preserve"> A Companion to Greek Art,</w:t>
      </w:r>
      <w:r w:rsidRPr="00175CCF">
        <w:rPr>
          <w:rFonts w:ascii="Times New Roman" w:hAnsi="Times New Roman" w:cs="Times New Roman"/>
          <w:sz w:val="20"/>
          <w:szCs w:val="20"/>
        </w:rPr>
        <w:t xml:space="preserve"> ed. by Smith,</w:t>
      </w:r>
      <w:r w:rsidR="00175CCF" w:rsidRPr="00175CCF">
        <w:rPr>
          <w:rFonts w:ascii="Times New Roman" w:hAnsi="Times New Roman" w:cs="Times New Roman"/>
          <w:sz w:val="20"/>
          <w:szCs w:val="20"/>
        </w:rPr>
        <w:t xml:space="preserve"> T. J.,</w:t>
      </w:r>
      <w:r w:rsidRPr="00175CCF">
        <w:rPr>
          <w:rFonts w:ascii="Times New Roman" w:hAnsi="Times New Roman" w:cs="Times New Roman"/>
          <w:sz w:val="20"/>
          <w:szCs w:val="20"/>
        </w:rPr>
        <w:t xml:space="preserve"> and Plantzos,</w:t>
      </w:r>
      <w:r w:rsidR="00175CCF" w:rsidRPr="00175CCF">
        <w:rPr>
          <w:rFonts w:ascii="Times New Roman" w:hAnsi="Times New Roman" w:cs="Times New Roman"/>
          <w:sz w:val="20"/>
          <w:szCs w:val="20"/>
        </w:rPr>
        <w:t xml:space="preserve"> D.,</w:t>
      </w:r>
      <w:r w:rsidRPr="00175CCF">
        <w:rPr>
          <w:rFonts w:ascii="Times New Roman" w:hAnsi="Times New Roman" w:cs="Times New Roman"/>
          <w:sz w:val="20"/>
          <w:szCs w:val="20"/>
        </w:rPr>
        <w:t xml:space="preserve"> (Chichester, John Wiley &amp; Sons LTD, 2012)</w:t>
      </w:r>
      <w:r w:rsidR="00673F88">
        <w:rPr>
          <w:rFonts w:ascii="Times New Roman" w:hAnsi="Times New Roman" w:cs="Times New Roman"/>
          <w:sz w:val="20"/>
          <w:szCs w:val="20"/>
        </w:rPr>
        <w:t>.</w:t>
      </w:r>
    </w:p>
    <w:p w14:paraId="2D05369F" w14:textId="41555340" w:rsidR="00175CCF" w:rsidRDefault="00175CCF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175CCF">
        <w:rPr>
          <w:rFonts w:ascii="Times New Roman" w:hAnsi="Times New Roman" w:cs="Times New Roman"/>
          <w:sz w:val="20"/>
          <w:szCs w:val="20"/>
        </w:rPr>
        <w:t xml:space="preserve">Dixon, S., 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>The Roman Family</w:t>
      </w:r>
      <w:r w:rsidRPr="00175CCF">
        <w:rPr>
          <w:rFonts w:ascii="Times New Roman" w:hAnsi="Times New Roman" w:cs="Times New Roman"/>
          <w:sz w:val="20"/>
          <w:szCs w:val="20"/>
        </w:rPr>
        <w:t>, (Maryland, The John Hopkins University Press, 1992)</w:t>
      </w:r>
      <w:r w:rsidR="00673F88">
        <w:rPr>
          <w:rFonts w:ascii="Times New Roman" w:hAnsi="Times New Roman" w:cs="Times New Roman"/>
          <w:sz w:val="20"/>
          <w:szCs w:val="20"/>
        </w:rPr>
        <w:t>.</w:t>
      </w:r>
    </w:p>
    <w:p w14:paraId="15D90E4B" w14:textId="14BA121B" w:rsidR="00673F88" w:rsidRPr="00175CCF" w:rsidRDefault="00673F88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175CCF">
        <w:rPr>
          <w:rFonts w:ascii="Times New Roman" w:hAnsi="Times New Roman" w:cs="Times New Roman"/>
          <w:sz w:val="20"/>
          <w:szCs w:val="20"/>
        </w:rPr>
        <w:t xml:space="preserve">Mannack, T., ‘Decorated Pottery I: Athenian Vase-painting’, in 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>A Companion to Greek Art,</w:t>
      </w:r>
      <w:r w:rsidRPr="00175CCF">
        <w:rPr>
          <w:rFonts w:ascii="Times New Roman" w:hAnsi="Times New Roman" w:cs="Times New Roman"/>
          <w:sz w:val="20"/>
          <w:szCs w:val="20"/>
        </w:rPr>
        <w:t xml:space="preserve"> ed. by Smith, T. J., and Plantzos, D., (Chichester, John Wiley &amp; Sons LTD, 2012)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6C2BE1C9" w14:textId="65E17107" w:rsidR="0001465C" w:rsidRDefault="00175CCF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175CCF">
        <w:rPr>
          <w:rFonts w:ascii="Times New Roman" w:hAnsi="Times New Roman" w:cs="Times New Roman"/>
          <w:sz w:val="20"/>
          <w:szCs w:val="20"/>
        </w:rPr>
        <w:t>Oakley, J. H., ‘Birth, Marriage, and Death’,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75CCF">
        <w:rPr>
          <w:rFonts w:ascii="Times New Roman" w:hAnsi="Times New Roman" w:cs="Times New Roman"/>
          <w:sz w:val="20"/>
          <w:szCs w:val="20"/>
        </w:rPr>
        <w:t xml:space="preserve">in 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>A Companion to Greek Art,</w:t>
      </w:r>
      <w:r w:rsidRPr="00175CCF">
        <w:rPr>
          <w:rFonts w:ascii="Times New Roman" w:hAnsi="Times New Roman" w:cs="Times New Roman"/>
          <w:sz w:val="20"/>
          <w:szCs w:val="20"/>
        </w:rPr>
        <w:t xml:space="preserve"> ed. by Smith, T. J. and Plantzos, D., (Chichester, John Wiley &amp; Sons LTD, 2012)</w:t>
      </w:r>
      <w:r w:rsidR="00673F88">
        <w:rPr>
          <w:rFonts w:ascii="Times New Roman" w:hAnsi="Times New Roman" w:cs="Times New Roman"/>
          <w:sz w:val="20"/>
          <w:szCs w:val="20"/>
        </w:rPr>
        <w:t>.</w:t>
      </w:r>
    </w:p>
    <w:p w14:paraId="00610B6F" w14:textId="5F30956D" w:rsidR="00673F88" w:rsidRPr="00673F88" w:rsidRDefault="00673F88" w:rsidP="0001465C">
      <w:pPr>
        <w:jc w:val="both"/>
        <w:rPr>
          <w:rFonts w:ascii="Times New Roman" w:hAnsi="Times New Roman" w:cs="Times New Roman"/>
          <w:sz w:val="18"/>
          <w:szCs w:val="18"/>
        </w:rPr>
      </w:pPr>
      <w:r w:rsidRPr="00175CCF">
        <w:rPr>
          <w:rFonts w:ascii="Times New Roman" w:hAnsi="Times New Roman" w:cs="Times New Roman"/>
          <w:sz w:val="20"/>
          <w:szCs w:val="20"/>
        </w:rPr>
        <w:t xml:space="preserve">Ogden, D., 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>Perseus</w:t>
      </w:r>
      <w:r w:rsidRPr="00175CCF">
        <w:rPr>
          <w:rFonts w:ascii="Times New Roman" w:hAnsi="Times New Roman" w:cs="Times New Roman"/>
          <w:sz w:val="20"/>
          <w:szCs w:val="20"/>
        </w:rPr>
        <w:t>, (Oxford, Routledge, 2008)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203A6EA4" w14:textId="49190062" w:rsidR="00673F88" w:rsidRPr="00175CCF" w:rsidRDefault="00673F88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175CCF">
        <w:rPr>
          <w:rFonts w:ascii="Times New Roman" w:hAnsi="Times New Roman" w:cs="Times New Roman"/>
          <w:sz w:val="20"/>
          <w:szCs w:val="20"/>
        </w:rPr>
        <w:t xml:space="preserve">Palagia, O., ‘The Functions of Greek Art’, in 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>The Oxford Handbook of Greek and Roman Art and Architecture</w:t>
      </w:r>
      <w:r w:rsidRPr="00175CCF">
        <w:rPr>
          <w:rFonts w:ascii="Times New Roman" w:hAnsi="Times New Roman" w:cs="Times New Roman"/>
          <w:sz w:val="20"/>
          <w:szCs w:val="20"/>
        </w:rPr>
        <w:t>, ed. by Marconi, C., (Oxford, Oxford University Press, 2015)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07CD5D1F" w14:textId="73240D24" w:rsidR="00175CCF" w:rsidRPr="00175CCF" w:rsidRDefault="00175CCF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175CCF">
        <w:rPr>
          <w:rFonts w:ascii="Times New Roman" w:hAnsi="Times New Roman" w:cs="Times New Roman"/>
          <w:sz w:val="20"/>
          <w:szCs w:val="20"/>
        </w:rPr>
        <w:t xml:space="preserve">Stansbury-O’Donnell, M. D., 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>A History of Greek Art</w:t>
      </w:r>
      <w:r w:rsidRPr="00175CCF">
        <w:rPr>
          <w:rFonts w:ascii="Times New Roman" w:hAnsi="Times New Roman" w:cs="Times New Roman"/>
          <w:sz w:val="20"/>
          <w:szCs w:val="20"/>
        </w:rPr>
        <w:t>, (Chichester, John Wiley &amp; Sons LTD, 2015)</w:t>
      </w:r>
      <w:r w:rsidR="00673F88">
        <w:rPr>
          <w:rFonts w:ascii="Times New Roman" w:hAnsi="Times New Roman" w:cs="Times New Roman"/>
          <w:sz w:val="20"/>
          <w:szCs w:val="20"/>
        </w:rPr>
        <w:t>.</w:t>
      </w:r>
    </w:p>
    <w:p w14:paraId="055E3717" w14:textId="618980EE" w:rsidR="00175CCF" w:rsidRPr="00175CCF" w:rsidRDefault="00175CCF" w:rsidP="0001465C">
      <w:pPr>
        <w:jc w:val="both"/>
        <w:rPr>
          <w:rFonts w:ascii="Times New Roman" w:hAnsi="Times New Roman" w:cs="Times New Roman"/>
          <w:sz w:val="20"/>
          <w:szCs w:val="20"/>
        </w:rPr>
      </w:pPr>
      <w:r w:rsidRPr="00175CCF">
        <w:rPr>
          <w:rFonts w:ascii="Times New Roman" w:hAnsi="Times New Roman" w:cs="Times New Roman"/>
          <w:sz w:val="20"/>
          <w:szCs w:val="20"/>
        </w:rPr>
        <w:t xml:space="preserve">Taunton, G., </w:t>
      </w:r>
      <w:r w:rsidRPr="00175CCF">
        <w:rPr>
          <w:rFonts w:ascii="Times New Roman" w:hAnsi="Times New Roman" w:cs="Times New Roman"/>
          <w:i/>
          <w:iCs/>
          <w:sz w:val="20"/>
          <w:szCs w:val="20"/>
        </w:rPr>
        <w:t>The Path of Shadows: Chthonic Gods, Oneiromancy, Necromancy in Ancient Greece</w:t>
      </w:r>
      <w:r w:rsidRPr="00175CCF">
        <w:rPr>
          <w:rFonts w:ascii="Times New Roman" w:hAnsi="Times New Roman" w:cs="Times New Roman"/>
          <w:sz w:val="20"/>
          <w:szCs w:val="20"/>
        </w:rPr>
        <w:t>, (Melbourne, Manticore Press, 2018)</w:t>
      </w:r>
      <w:r w:rsidR="00673F88">
        <w:rPr>
          <w:rFonts w:ascii="Times New Roman" w:hAnsi="Times New Roman" w:cs="Times New Roman"/>
          <w:sz w:val="20"/>
          <w:szCs w:val="20"/>
        </w:rPr>
        <w:t>.</w:t>
      </w:r>
    </w:p>
    <w:sectPr w:rsidR="00175CCF" w:rsidRPr="00175CC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5F4E82" w14:textId="77777777" w:rsidR="008C7B8A" w:rsidRDefault="008C7B8A" w:rsidP="006009F8">
      <w:pPr>
        <w:spacing w:after="0" w:line="240" w:lineRule="auto"/>
      </w:pPr>
      <w:r>
        <w:separator/>
      </w:r>
    </w:p>
  </w:endnote>
  <w:endnote w:type="continuationSeparator" w:id="0">
    <w:p w14:paraId="20F84D55" w14:textId="77777777" w:rsidR="008C7B8A" w:rsidRDefault="008C7B8A" w:rsidP="00600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108AD0" w14:textId="77777777" w:rsidR="008C7B8A" w:rsidRDefault="008C7B8A" w:rsidP="006009F8">
      <w:pPr>
        <w:spacing w:after="0" w:line="240" w:lineRule="auto"/>
      </w:pPr>
      <w:r>
        <w:separator/>
      </w:r>
    </w:p>
  </w:footnote>
  <w:footnote w:type="continuationSeparator" w:id="0">
    <w:p w14:paraId="22ECDE20" w14:textId="77777777" w:rsidR="008C7B8A" w:rsidRDefault="008C7B8A" w:rsidP="006009F8">
      <w:pPr>
        <w:spacing w:after="0" w:line="240" w:lineRule="auto"/>
      </w:pPr>
      <w:r>
        <w:continuationSeparator/>
      </w:r>
    </w:p>
  </w:footnote>
  <w:footnote w:id="1">
    <w:p w14:paraId="30D2994E" w14:textId="62F6C280" w:rsidR="00175CCF" w:rsidRPr="003510EA" w:rsidRDefault="00175CCF">
      <w:pPr>
        <w:pStyle w:val="FootnoteText"/>
        <w:rPr>
          <w:rFonts w:ascii="Times New Roman" w:hAnsi="Times New Roman" w:cs="Times New Roman"/>
          <w:i/>
          <w:iCs/>
        </w:rPr>
      </w:pPr>
      <w:r w:rsidRPr="00603E4A">
        <w:rPr>
          <w:rStyle w:val="FootnoteReference"/>
          <w:rFonts w:ascii="Times New Roman" w:hAnsi="Times New Roman" w:cs="Times New Roman"/>
        </w:rPr>
        <w:footnoteRef/>
      </w:r>
      <w:r w:rsidRPr="00603E4A">
        <w:rPr>
          <w:rFonts w:ascii="Times New Roman" w:hAnsi="Times New Roman" w:cs="Times New Roman"/>
        </w:rPr>
        <w:t xml:space="preserve"> L. Burn, ‘Terracottas’</w:t>
      </w:r>
      <w:r w:rsidRPr="00554339">
        <w:rPr>
          <w:rFonts w:ascii="Times New Roman" w:hAnsi="Times New Roman" w:cs="Times New Roman"/>
          <w:i/>
          <w:iCs/>
        </w:rPr>
        <w:t xml:space="preserve">, </w:t>
      </w:r>
      <w:r w:rsidRPr="009A28CF">
        <w:rPr>
          <w:rFonts w:ascii="Times New Roman" w:hAnsi="Times New Roman" w:cs="Times New Roman"/>
        </w:rPr>
        <w:t>in</w:t>
      </w:r>
      <w:r w:rsidRPr="00554339">
        <w:rPr>
          <w:rFonts w:ascii="Times New Roman" w:hAnsi="Times New Roman" w:cs="Times New Roman"/>
          <w:i/>
          <w:iCs/>
        </w:rPr>
        <w:t xml:space="preserve"> </w:t>
      </w:r>
      <w:bookmarkStart w:id="0" w:name="_Hlk41502088"/>
      <w:bookmarkStart w:id="1" w:name="_Hlk41499519"/>
      <w:r w:rsidRPr="00554339">
        <w:rPr>
          <w:rFonts w:ascii="Times New Roman" w:hAnsi="Times New Roman" w:cs="Times New Roman"/>
          <w:i/>
          <w:iCs/>
        </w:rPr>
        <w:t xml:space="preserve">A </w:t>
      </w:r>
      <w:r w:rsidRPr="003510EA">
        <w:rPr>
          <w:rFonts w:ascii="Times New Roman" w:hAnsi="Times New Roman" w:cs="Times New Roman"/>
          <w:i/>
          <w:iCs/>
        </w:rPr>
        <w:t>Companion to Greek Art,</w:t>
      </w:r>
      <w:r w:rsidRPr="003510EA">
        <w:rPr>
          <w:rFonts w:ascii="Times New Roman" w:hAnsi="Times New Roman" w:cs="Times New Roman"/>
        </w:rPr>
        <w:t xml:space="preserve"> ed. by T. J. Smith, and D. Plantzos, (Chichester, John Wiley &amp; Sons LTD, 2012), P</w:t>
      </w:r>
      <w:bookmarkEnd w:id="0"/>
      <w:r w:rsidRPr="003510EA">
        <w:rPr>
          <w:rFonts w:ascii="Times New Roman" w:hAnsi="Times New Roman" w:cs="Times New Roman"/>
        </w:rPr>
        <w:t>p</w:t>
      </w:r>
      <w:bookmarkEnd w:id="1"/>
      <w:r w:rsidRPr="003510EA">
        <w:rPr>
          <w:rFonts w:ascii="Times New Roman" w:hAnsi="Times New Roman" w:cs="Times New Roman"/>
        </w:rPr>
        <w:t xml:space="preserve">. 226-228. </w:t>
      </w:r>
    </w:p>
  </w:footnote>
  <w:footnote w:id="2">
    <w:p w14:paraId="51526D25" w14:textId="76D35A0A" w:rsidR="00175CCF" w:rsidRDefault="00175CCF">
      <w:pPr>
        <w:pStyle w:val="FootnoteText"/>
      </w:pPr>
      <w:r w:rsidRPr="003510EA">
        <w:rPr>
          <w:rStyle w:val="FootnoteReference"/>
          <w:rFonts w:ascii="Times New Roman" w:hAnsi="Times New Roman" w:cs="Times New Roman"/>
        </w:rPr>
        <w:footnoteRef/>
      </w:r>
      <w:r w:rsidRPr="003510EA">
        <w:rPr>
          <w:rFonts w:ascii="Times New Roman" w:hAnsi="Times New Roman" w:cs="Times New Roman"/>
        </w:rPr>
        <w:t xml:space="preserve"> </w:t>
      </w:r>
      <w:bookmarkStart w:id="3" w:name="_Hlk41677714"/>
      <w:r w:rsidRPr="003510EA">
        <w:rPr>
          <w:rFonts w:ascii="Times New Roman" w:hAnsi="Times New Roman" w:cs="Times New Roman"/>
        </w:rPr>
        <w:t xml:space="preserve">D. Alighieri, </w:t>
      </w:r>
      <w:r w:rsidRPr="003510EA">
        <w:rPr>
          <w:rFonts w:ascii="Times New Roman" w:hAnsi="Times New Roman" w:cs="Times New Roman"/>
          <w:i/>
          <w:iCs/>
        </w:rPr>
        <w:t>The Inferno</w:t>
      </w:r>
      <w:r w:rsidRPr="003510EA">
        <w:rPr>
          <w:rFonts w:ascii="Times New Roman" w:hAnsi="Times New Roman" w:cs="Times New Roman"/>
        </w:rPr>
        <w:t>, trans. by H. F. Cary, (Hertfordshire, Wordsworth Editions LTD, 1998)</w:t>
      </w:r>
      <w:bookmarkEnd w:id="3"/>
      <w:r w:rsidRPr="003510EA">
        <w:rPr>
          <w:rFonts w:ascii="Times New Roman" w:hAnsi="Times New Roman" w:cs="Times New Roman"/>
        </w:rPr>
        <w:t>, P. 46.</w:t>
      </w:r>
      <w:r>
        <w:t xml:space="preserve"> </w:t>
      </w:r>
    </w:p>
  </w:footnote>
  <w:footnote w:id="3">
    <w:p w14:paraId="728E6E4F" w14:textId="067564C6" w:rsidR="00175CCF" w:rsidRPr="00412F23" w:rsidRDefault="00175CCF">
      <w:pPr>
        <w:pStyle w:val="FootnoteText"/>
        <w:rPr>
          <w:rFonts w:ascii="Times New Roman" w:hAnsi="Times New Roman" w:cs="Times New Roman"/>
        </w:rPr>
      </w:pPr>
      <w:r w:rsidRPr="00412F23">
        <w:rPr>
          <w:rStyle w:val="FootnoteReference"/>
          <w:rFonts w:ascii="Times New Roman" w:hAnsi="Times New Roman" w:cs="Times New Roman"/>
        </w:rPr>
        <w:footnoteRef/>
      </w:r>
      <w:r w:rsidRPr="00412F23">
        <w:rPr>
          <w:rFonts w:ascii="Times New Roman" w:hAnsi="Times New Roman" w:cs="Times New Roman"/>
        </w:rPr>
        <w:t xml:space="preserve"> J. H. Oakley, ‘Birth, Marriage, and Death’,</w:t>
      </w:r>
      <w:r w:rsidRPr="00412F23">
        <w:rPr>
          <w:rFonts w:ascii="Times New Roman" w:hAnsi="Times New Roman" w:cs="Times New Roman"/>
          <w:i/>
          <w:iCs/>
        </w:rPr>
        <w:t xml:space="preserve"> </w:t>
      </w:r>
      <w:r w:rsidRPr="00412F23">
        <w:rPr>
          <w:rFonts w:ascii="Times New Roman" w:hAnsi="Times New Roman" w:cs="Times New Roman"/>
        </w:rPr>
        <w:t xml:space="preserve">in </w:t>
      </w:r>
      <w:r w:rsidRPr="00412F23">
        <w:rPr>
          <w:rFonts w:ascii="Times New Roman" w:hAnsi="Times New Roman" w:cs="Times New Roman"/>
          <w:i/>
          <w:iCs/>
        </w:rPr>
        <w:t>A Companion to Greek Art,</w:t>
      </w:r>
      <w:r w:rsidRPr="00412F23">
        <w:rPr>
          <w:rFonts w:ascii="Times New Roman" w:hAnsi="Times New Roman" w:cs="Times New Roman"/>
        </w:rPr>
        <w:t xml:space="preserve"> ed. by T. J. Smith, and D. Plantzos, (Chichester, John Wiley &amp; Sons LTD, 2012), P. 492.</w:t>
      </w:r>
    </w:p>
  </w:footnote>
  <w:footnote w:id="4">
    <w:p w14:paraId="72A61F03" w14:textId="407265DF" w:rsidR="00175CCF" w:rsidRPr="00412F23" w:rsidRDefault="00175CCF">
      <w:pPr>
        <w:pStyle w:val="FootnoteText"/>
        <w:rPr>
          <w:rFonts w:ascii="Times New Roman" w:hAnsi="Times New Roman" w:cs="Times New Roman"/>
        </w:rPr>
      </w:pPr>
      <w:r w:rsidRPr="00412F23">
        <w:rPr>
          <w:rStyle w:val="FootnoteReference"/>
          <w:rFonts w:ascii="Times New Roman" w:hAnsi="Times New Roman" w:cs="Times New Roman"/>
        </w:rPr>
        <w:footnoteRef/>
      </w:r>
      <w:bookmarkStart w:id="4" w:name="_Hlk41501361"/>
      <w:r w:rsidRPr="00412F23">
        <w:rPr>
          <w:rFonts w:ascii="Times New Roman" w:hAnsi="Times New Roman" w:cs="Times New Roman"/>
        </w:rPr>
        <w:t xml:space="preserve"> Oakley, ‘Birth, Marriage, and Death’, P. 492. </w:t>
      </w:r>
      <w:bookmarkEnd w:id="4"/>
    </w:p>
  </w:footnote>
  <w:footnote w:id="5">
    <w:p w14:paraId="594BCEC5" w14:textId="6FAEFA67" w:rsidR="00175CCF" w:rsidRPr="00C61178" w:rsidRDefault="00175CCF">
      <w:pPr>
        <w:pStyle w:val="FootnoteText"/>
        <w:rPr>
          <w:rFonts w:ascii="Times New Roman" w:hAnsi="Times New Roman" w:cs="Times New Roman"/>
        </w:rPr>
      </w:pPr>
      <w:r w:rsidRPr="00C61178">
        <w:rPr>
          <w:rStyle w:val="FootnoteReference"/>
          <w:rFonts w:ascii="Times New Roman" w:hAnsi="Times New Roman" w:cs="Times New Roman"/>
        </w:rPr>
        <w:footnoteRef/>
      </w:r>
      <w:r w:rsidRPr="00C61178">
        <w:rPr>
          <w:rFonts w:ascii="Times New Roman" w:hAnsi="Times New Roman" w:cs="Times New Roman"/>
        </w:rPr>
        <w:t xml:space="preserve"> Ibid, P. 492.</w:t>
      </w:r>
    </w:p>
  </w:footnote>
  <w:footnote w:id="6">
    <w:p w14:paraId="4E201738" w14:textId="59CF87E2" w:rsidR="00175CCF" w:rsidRPr="00C61178" w:rsidRDefault="00175CCF">
      <w:pPr>
        <w:pStyle w:val="FootnoteText"/>
        <w:rPr>
          <w:rFonts w:ascii="Times New Roman" w:hAnsi="Times New Roman" w:cs="Times New Roman"/>
        </w:rPr>
      </w:pPr>
      <w:r w:rsidRPr="00C61178">
        <w:rPr>
          <w:rStyle w:val="FootnoteReference"/>
          <w:rFonts w:ascii="Times New Roman" w:hAnsi="Times New Roman" w:cs="Times New Roman"/>
        </w:rPr>
        <w:footnoteRef/>
      </w:r>
      <w:r w:rsidRPr="00C61178">
        <w:rPr>
          <w:rFonts w:ascii="Times New Roman" w:hAnsi="Times New Roman" w:cs="Times New Roman"/>
        </w:rPr>
        <w:t xml:space="preserve"> J. Boardman, </w:t>
      </w:r>
      <w:r w:rsidRPr="00C61178">
        <w:rPr>
          <w:rFonts w:ascii="Times New Roman" w:hAnsi="Times New Roman" w:cs="Times New Roman"/>
          <w:i/>
          <w:iCs/>
        </w:rPr>
        <w:t>Greek Art</w:t>
      </w:r>
      <w:r w:rsidRPr="00C61178">
        <w:rPr>
          <w:rFonts w:ascii="Times New Roman" w:hAnsi="Times New Roman" w:cs="Times New Roman"/>
        </w:rPr>
        <w:t>, (London, Thames &amp; Hudson LTD, 2016), Pp. 146-147.</w:t>
      </w:r>
    </w:p>
    <w:p w14:paraId="099CDC0C" w14:textId="4EF7D36A" w:rsidR="00175CCF" w:rsidRPr="00C61178" w:rsidRDefault="00175CCF">
      <w:pPr>
        <w:pStyle w:val="FootnoteText"/>
        <w:rPr>
          <w:rFonts w:ascii="Times New Roman" w:hAnsi="Times New Roman" w:cs="Times New Roman"/>
        </w:rPr>
      </w:pPr>
      <w:r w:rsidRPr="00C61178">
        <w:rPr>
          <w:rFonts w:ascii="Times New Roman" w:hAnsi="Times New Roman" w:cs="Times New Roman"/>
        </w:rPr>
        <w:t xml:space="preserve">&amp; </w:t>
      </w:r>
      <w:bookmarkStart w:id="5" w:name="_Hlk41501925"/>
      <w:r w:rsidRPr="00C61178">
        <w:rPr>
          <w:rFonts w:ascii="Times New Roman" w:hAnsi="Times New Roman" w:cs="Times New Roman"/>
        </w:rPr>
        <w:t>Oakley, ‘Birth, Marriage, and Death’, P. 492.</w:t>
      </w:r>
      <w:bookmarkEnd w:id="5"/>
    </w:p>
  </w:footnote>
  <w:footnote w:id="7">
    <w:p w14:paraId="4235E34F" w14:textId="71783C28" w:rsidR="00175CCF" w:rsidRPr="00C61178" w:rsidRDefault="00175CCF">
      <w:pPr>
        <w:pStyle w:val="FootnoteText"/>
        <w:rPr>
          <w:rFonts w:ascii="Times New Roman" w:hAnsi="Times New Roman" w:cs="Times New Roman"/>
          <w:i/>
          <w:iCs/>
        </w:rPr>
      </w:pPr>
      <w:r w:rsidRPr="00C61178">
        <w:rPr>
          <w:rStyle w:val="FootnoteReference"/>
          <w:rFonts w:ascii="Times New Roman" w:hAnsi="Times New Roman" w:cs="Times New Roman"/>
        </w:rPr>
        <w:footnoteRef/>
      </w:r>
      <w:r w:rsidRPr="00C61178">
        <w:rPr>
          <w:rFonts w:ascii="Times New Roman" w:hAnsi="Times New Roman" w:cs="Times New Roman"/>
        </w:rPr>
        <w:t xml:space="preserve"> </w:t>
      </w:r>
      <w:bookmarkStart w:id="6" w:name="_Hlk41677794"/>
      <w:r w:rsidRPr="00C61178">
        <w:rPr>
          <w:rFonts w:ascii="Times New Roman" w:hAnsi="Times New Roman" w:cs="Times New Roman"/>
        </w:rPr>
        <w:t xml:space="preserve">T. Mannack, ‘Decorated Pottery I: Athenian Vase-painting’, in </w:t>
      </w:r>
      <w:r w:rsidRPr="00C61178">
        <w:rPr>
          <w:rFonts w:ascii="Times New Roman" w:hAnsi="Times New Roman" w:cs="Times New Roman"/>
          <w:i/>
          <w:iCs/>
        </w:rPr>
        <w:t>A Companion to Greek Art,</w:t>
      </w:r>
      <w:r w:rsidRPr="00C61178">
        <w:rPr>
          <w:rFonts w:ascii="Times New Roman" w:hAnsi="Times New Roman" w:cs="Times New Roman"/>
        </w:rPr>
        <w:t xml:space="preserve"> ed. by T. J. Smith, and D. Plantzos, (Chichester, John Wiley &amp; Sons LTD, 2012), </w:t>
      </w:r>
      <w:bookmarkEnd w:id="6"/>
      <w:r w:rsidRPr="00C61178">
        <w:rPr>
          <w:rFonts w:ascii="Times New Roman" w:hAnsi="Times New Roman" w:cs="Times New Roman"/>
        </w:rPr>
        <w:t>P. 57.</w:t>
      </w:r>
    </w:p>
    <w:p w14:paraId="7DE165CF" w14:textId="768F84E1" w:rsidR="00175CCF" w:rsidRDefault="00175CCF">
      <w:pPr>
        <w:pStyle w:val="FootnoteText"/>
        <w:rPr>
          <w:rFonts w:ascii="Times New Roman" w:hAnsi="Times New Roman" w:cs="Times New Roman"/>
        </w:rPr>
      </w:pPr>
      <w:r w:rsidRPr="00C61178">
        <w:rPr>
          <w:rFonts w:ascii="Times New Roman" w:hAnsi="Times New Roman" w:cs="Times New Roman"/>
        </w:rPr>
        <w:t>&amp; Oakley, ‘Birth, Marriage, and Death’, P. 492.</w:t>
      </w:r>
    </w:p>
    <w:p w14:paraId="72BA1815" w14:textId="05355F67" w:rsidR="00175CCF" w:rsidRPr="001F7215" w:rsidRDefault="00175CCF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&amp; </w:t>
      </w:r>
      <w:bookmarkStart w:id="7" w:name="_Hlk41677819"/>
      <w:r>
        <w:rPr>
          <w:rFonts w:ascii="Times New Roman" w:hAnsi="Times New Roman" w:cs="Times New Roman"/>
        </w:rPr>
        <w:t xml:space="preserve">M. D. Stansbury-O’Donnell, </w:t>
      </w:r>
      <w:r>
        <w:rPr>
          <w:rFonts w:ascii="Times New Roman" w:hAnsi="Times New Roman" w:cs="Times New Roman"/>
          <w:i/>
          <w:iCs/>
        </w:rPr>
        <w:t>A History of Greek Art</w:t>
      </w:r>
      <w:r>
        <w:rPr>
          <w:rFonts w:ascii="Times New Roman" w:hAnsi="Times New Roman" w:cs="Times New Roman"/>
        </w:rPr>
        <w:t xml:space="preserve">, </w:t>
      </w:r>
      <w:r w:rsidRPr="00412F23">
        <w:rPr>
          <w:rFonts w:ascii="Times New Roman" w:hAnsi="Times New Roman" w:cs="Times New Roman"/>
        </w:rPr>
        <w:t>(Chichester, John Wiley &amp; Sons LTD</w:t>
      </w:r>
      <w:r>
        <w:rPr>
          <w:rFonts w:ascii="Times New Roman" w:hAnsi="Times New Roman" w:cs="Times New Roman"/>
        </w:rPr>
        <w:t>, 2015</w:t>
      </w:r>
      <w:bookmarkEnd w:id="7"/>
      <w:r>
        <w:rPr>
          <w:rFonts w:ascii="Times New Roman" w:hAnsi="Times New Roman" w:cs="Times New Roman"/>
        </w:rPr>
        <w:t>), P. 125.</w:t>
      </w:r>
    </w:p>
  </w:footnote>
  <w:footnote w:id="8">
    <w:p w14:paraId="0AD6F7A6" w14:textId="28702C59" w:rsidR="00175CCF" w:rsidRPr="006D6BA1" w:rsidRDefault="00175CCF">
      <w:pPr>
        <w:pStyle w:val="FootnoteText"/>
        <w:rPr>
          <w:rFonts w:ascii="Times New Roman" w:hAnsi="Times New Roman" w:cs="Times New Roman"/>
        </w:rPr>
      </w:pPr>
      <w:r w:rsidRPr="00D42FEC">
        <w:rPr>
          <w:rStyle w:val="FootnoteReference"/>
          <w:rFonts w:ascii="Times New Roman" w:hAnsi="Times New Roman" w:cs="Times New Roman"/>
        </w:rPr>
        <w:footnoteRef/>
      </w:r>
      <w:r w:rsidRPr="00D42FEC">
        <w:rPr>
          <w:rFonts w:ascii="Times New Roman" w:hAnsi="Times New Roman" w:cs="Times New Roman"/>
        </w:rPr>
        <w:t xml:space="preserve"> </w:t>
      </w:r>
      <w:r w:rsidRPr="00393AF4">
        <w:rPr>
          <w:rFonts w:ascii="Times New Roman" w:hAnsi="Times New Roman" w:cs="Times New Roman"/>
        </w:rPr>
        <w:t xml:space="preserve">O. Palagia, ‘The Functions of Greek Art’, in </w:t>
      </w:r>
      <w:r w:rsidRPr="00393AF4">
        <w:rPr>
          <w:rFonts w:ascii="Times New Roman" w:hAnsi="Times New Roman" w:cs="Times New Roman"/>
          <w:i/>
          <w:iCs/>
        </w:rPr>
        <w:t>The Oxford Handbook of Greek and Roman Art and Architecture</w:t>
      </w:r>
      <w:r w:rsidRPr="00393AF4">
        <w:rPr>
          <w:rFonts w:ascii="Times New Roman" w:hAnsi="Times New Roman" w:cs="Times New Roman"/>
        </w:rPr>
        <w:t xml:space="preserve">, </w:t>
      </w:r>
      <w:r w:rsidRPr="006D6BA1">
        <w:rPr>
          <w:rFonts w:ascii="Times New Roman" w:hAnsi="Times New Roman" w:cs="Times New Roman"/>
        </w:rPr>
        <w:t>ed. by C. Marconi, (Oxford, Oxford University Press, 2015), Pp. 294-295.</w:t>
      </w:r>
    </w:p>
  </w:footnote>
  <w:footnote w:id="9">
    <w:p w14:paraId="10952C78" w14:textId="3EA9ECD4" w:rsidR="00175CCF" w:rsidRPr="00C332D4" w:rsidRDefault="00175CCF">
      <w:pPr>
        <w:pStyle w:val="FootnoteText"/>
        <w:rPr>
          <w:rFonts w:ascii="Times New Roman" w:hAnsi="Times New Roman" w:cs="Times New Roman"/>
        </w:rPr>
      </w:pPr>
      <w:r w:rsidRPr="00C332D4">
        <w:rPr>
          <w:rStyle w:val="FootnoteReference"/>
          <w:rFonts w:ascii="Times New Roman" w:hAnsi="Times New Roman" w:cs="Times New Roman"/>
        </w:rPr>
        <w:footnoteRef/>
      </w:r>
      <w:r w:rsidRPr="00C332D4">
        <w:rPr>
          <w:rFonts w:ascii="Times New Roman" w:hAnsi="Times New Roman" w:cs="Times New Roman"/>
        </w:rPr>
        <w:t xml:space="preserve"> </w:t>
      </w:r>
      <w:bookmarkStart w:id="8" w:name="_Hlk41504644"/>
      <w:r w:rsidRPr="00C332D4">
        <w:rPr>
          <w:rFonts w:ascii="Times New Roman" w:hAnsi="Times New Roman" w:cs="Times New Roman"/>
        </w:rPr>
        <w:t>Oakley, ‘Birth, Marriage, and Death’, P. 492.</w:t>
      </w:r>
    </w:p>
    <w:bookmarkEnd w:id="8"/>
  </w:footnote>
  <w:footnote w:id="10">
    <w:p w14:paraId="03244FB1" w14:textId="24521DE1" w:rsidR="00175CCF" w:rsidRPr="00580865" w:rsidRDefault="00175CCF">
      <w:pPr>
        <w:pStyle w:val="FootnoteText"/>
        <w:rPr>
          <w:rFonts w:ascii="Times New Roman" w:hAnsi="Times New Roman" w:cs="Times New Roman"/>
        </w:rPr>
      </w:pPr>
      <w:r w:rsidRPr="00580865">
        <w:rPr>
          <w:rStyle w:val="FootnoteReference"/>
          <w:rFonts w:ascii="Times New Roman" w:hAnsi="Times New Roman" w:cs="Times New Roman"/>
        </w:rPr>
        <w:footnoteRef/>
      </w:r>
      <w:r w:rsidRPr="00580865">
        <w:rPr>
          <w:rFonts w:ascii="Times New Roman" w:hAnsi="Times New Roman" w:cs="Times New Roman"/>
        </w:rPr>
        <w:t xml:space="preserve"> </w:t>
      </w:r>
      <w:bookmarkStart w:id="9" w:name="_Hlk41677277"/>
      <w:r w:rsidRPr="00580865">
        <w:rPr>
          <w:rFonts w:ascii="Times New Roman" w:hAnsi="Times New Roman" w:cs="Times New Roman"/>
        </w:rPr>
        <w:t xml:space="preserve">Homer, </w:t>
      </w:r>
      <w:r w:rsidRPr="00580865">
        <w:rPr>
          <w:rFonts w:ascii="Times New Roman" w:hAnsi="Times New Roman" w:cs="Times New Roman"/>
          <w:i/>
          <w:iCs/>
        </w:rPr>
        <w:t>The Iliad</w:t>
      </w:r>
      <w:r w:rsidRPr="00580865">
        <w:rPr>
          <w:rFonts w:ascii="Times New Roman" w:hAnsi="Times New Roman" w:cs="Times New Roman"/>
        </w:rPr>
        <w:t>, trans. by E. V. Rieu, (Middlesex, Penguin Books LTD, 1950)</w:t>
      </w:r>
      <w:bookmarkEnd w:id="9"/>
      <w:r w:rsidRPr="00580865">
        <w:rPr>
          <w:rFonts w:ascii="Times New Roman" w:hAnsi="Times New Roman" w:cs="Times New Roman"/>
        </w:rPr>
        <w:t>, Pp. 45-47.</w:t>
      </w:r>
    </w:p>
  </w:footnote>
  <w:footnote w:id="11">
    <w:p w14:paraId="01D6D778" w14:textId="77777777" w:rsidR="00175CCF" w:rsidRPr="00580865" w:rsidRDefault="00175CCF" w:rsidP="00410984">
      <w:pPr>
        <w:pStyle w:val="FootnoteText"/>
        <w:rPr>
          <w:rFonts w:ascii="Times New Roman" w:hAnsi="Times New Roman" w:cs="Times New Roman"/>
        </w:rPr>
      </w:pPr>
      <w:r w:rsidRPr="00580865">
        <w:rPr>
          <w:rStyle w:val="FootnoteReference"/>
          <w:rFonts w:ascii="Times New Roman" w:hAnsi="Times New Roman" w:cs="Times New Roman"/>
        </w:rPr>
        <w:footnoteRef/>
      </w:r>
      <w:r w:rsidRPr="00580865">
        <w:rPr>
          <w:rFonts w:ascii="Times New Roman" w:hAnsi="Times New Roman" w:cs="Times New Roman"/>
        </w:rPr>
        <w:t xml:space="preserve"> Oakley, ‘Birth, Marriage, and Death’, P. 492.</w:t>
      </w:r>
    </w:p>
    <w:p w14:paraId="1B25B2A5" w14:textId="194CABE1" w:rsidR="00175CCF" w:rsidRPr="00D259BD" w:rsidRDefault="00175CCF">
      <w:pPr>
        <w:pStyle w:val="FootnoteText"/>
        <w:rPr>
          <w:rFonts w:ascii="Times New Roman" w:hAnsi="Times New Roman" w:cs="Times New Roman"/>
        </w:rPr>
      </w:pPr>
      <w:r w:rsidRPr="00D259BD">
        <w:rPr>
          <w:rFonts w:ascii="Times New Roman" w:hAnsi="Times New Roman" w:cs="Times New Roman"/>
        </w:rPr>
        <w:t xml:space="preserve">&amp; Homer, </w:t>
      </w:r>
      <w:r w:rsidRPr="00D259BD">
        <w:rPr>
          <w:rFonts w:ascii="Times New Roman" w:hAnsi="Times New Roman" w:cs="Times New Roman"/>
          <w:i/>
          <w:iCs/>
        </w:rPr>
        <w:t>Iliad</w:t>
      </w:r>
      <w:r w:rsidRPr="00D259BD">
        <w:rPr>
          <w:rFonts w:ascii="Times New Roman" w:hAnsi="Times New Roman" w:cs="Times New Roman"/>
        </w:rPr>
        <w:t>, Pp. 45-47.</w:t>
      </w:r>
    </w:p>
  </w:footnote>
  <w:footnote w:id="12">
    <w:p w14:paraId="7028D5F1" w14:textId="4D0D5C19" w:rsidR="00175CCF" w:rsidRPr="00D259BD" w:rsidRDefault="00175CCF">
      <w:pPr>
        <w:pStyle w:val="FootnoteText"/>
        <w:rPr>
          <w:rFonts w:ascii="Times New Roman" w:hAnsi="Times New Roman" w:cs="Times New Roman"/>
        </w:rPr>
      </w:pPr>
      <w:r w:rsidRPr="00D259BD">
        <w:rPr>
          <w:rStyle w:val="FootnoteReference"/>
          <w:rFonts w:ascii="Times New Roman" w:hAnsi="Times New Roman" w:cs="Times New Roman"/>
        </w:rPr>
        <w:footnoteRef/>
      </w:r>
      <w:r w:rsidRPr="00D259BD">
        <w:rPr>
          <w:rFonts w:ascii="Times New Roman" w:hAnsi="Times New Roman" w:cs="Times New Roman"/>
        </w:rPr>
        <w:t xml:space="preserve"> </w:t>
      </w:r>
      <w:bookmarkStart w:id="10" w:name="_Hlk41597287"/>
      <w:r w:rsidRPr="00D259BD">
        <w:rPr>
          <w:rFonts w:ascii="Times New Roman" w:hAnsi="Times New Roman" w:cs="Times New Roman"/>
        </w:rPr>
        <w:t>Oakley, ‘Birth, Marriage, and Death’, P. 492.</w:t>
      </w:r>
      <w:bookmarkEnd w:id="10"/>
    </w:p>
  </w:footnote>
  <w:footnote w:id="13">
    <w:p w14:paraId="01615DE1" w14:textId="3948C81E" w:rsidR="00175CCF" w:rsidRPr="00D259BD" w:rsidRDefault="00175CCF">
      <w:pPr>
        <w:pStyle w:val="FootnoteText"/>
        <w:rPr>
          <w:rFonts w:ascii="Times New Roman" w:hAnsi="Times New Roman" w:cs="Times New Roman"/>
        </w:rPr>
      </w:pPr>
      <w:r w:rsidRPr="00D259BD">
        <w:rPr>
          <w:rStyle w:val="FootnoteReference"/>
          <w:rFonts w:ascii="Times New Roman" w:hAnsi="Times New Roman" w:cs="Times New Roman"/>
        </w:rPr>
        <w:footnoteRef/>
      </w:r>
      <w:r w:rsidRPr="00D259BD">
        <w:rPr>
          <w:rFonts w:ascii="Times New Roman" w:hAnsi="Times New Roman" w:cs="Times New Roman"/>
        </w:rPr>
        <w:t xml:space="preserve"> </w:t>
      </w:r>
      <w:bookmarkStart w:id="11" w:name="_Hlk41677303"/>
      <w:r w:rsidRPr="00D259BD">
        <w:rPr>
          <w:rFonts w:ascii="Times New Roman" w:hAnsi="Times New Roman" w:cs="Times New Roman"/>
        </w:rPr>
        <w:t xml:space="preserve">Publius Vergilius Maro, </w:t>
      </w:r>
      <w:r w:rsidRPr="00D259BD">
        <w:rPr>
          <w:rFonts w:ascii="Times New Roman" w:hAnsi="Times New Roman" w:cs="Times New Roman"/>
          <w:i/>
          <w:iCs/>
        </w:rPr>
        <w:t>Aeneid</w:t>
      </w:r>
      <w:r w:rsidRPr="00D259BD">
        <w:rPr>
          <w:rFonts w:ascii="Times New Roman" w:hAnsi="Times New Roman" w:cs="Times New Roman"/>
        </w:rPr>
        <w:t>, trans. by F. Ahl, (Oxford, Oxford University Press, 2008)</w:t>
      </w:r>
      <w:bookmarkEnd w:id="11"/>
      <w:r w:rsidRPr="00D259BD">
        <w:rPr>
          <w:rFonts w:ascii="Times New Roman" w:hAnsi="Times New Roman" w:cs="Times New Roman"/>
        </w:rPr>
        <w:t>, Pp. 137-138.</w:t>
      </w:r>
    </w:p>
  </w:footnote>
  <w:footnote w:id="14">
    <w:p w14:paraId="22A663B1" w14:textId="3452CE8C" w:rsidR="00175CCF" w:rsidRPr="00D259BD" w:rsidRDefault="00175CCF">
      <w:pPr>
        <w:pStyle w:val="FootnoteText"/>
        <w:rPr>
          <w:rFonts w:ascii="Times New Roman" w:hAnsi="Times New Roman" w:cs="Times New Roman"/>
        </w:rPr>
      </w:pPr>
      <w:r w:rsidRPr="00D259BD">
        <w:rPr>
          <w:rStyle w:val="FootnoteReference"/>
          <w:rFonts w:ascii="Times New Roman" w:hAnsi="Times New Roman" w:cs="Times New Roman"/>
        </w:rPr>
        <w:footnoteRef/>
      </w:r>
      <w:r w:rsidRPr="00D259BD">
        <w:rPr>
          <w:rFonts w:ascii="Times New Roman" w:hAnsi="Times New Roman" w:cs="Times New Roman"/>
        </w:rPr>
        <w:t xml:space="preserve"> </w:t>
      </w:r>
      <w:bookmarkStart w:id="12" w:name="_Hlk41593670"/>
      <w:bookmarkStart w:id="13" w:name="_Hlk41594736"/>
      <w:r w:rsidRPr="00D259BD">
        <w:rPr>
          <w:rFonts w:ascii="Times New Roman" w:hAnsi="Times New Roman" w:cs="Times New Roman"/>
        </w:rPr>
        <w:t xml:space="preserve">Vergilius, </w:t>
      </w:r>
      <w:r w:rsidRPr="00D259BD">
        <w:rPr>
          <w:rFonts w:ascii="Times New Roman" w:hAnsi="Times New Roman" w:cs="Times New Roman"/>
          <w:i/>
          <w:iCs/>
        </w:rPr>
        <w:t>Aeneid</w:t>
      </w:r>
      <w:r w:rsidRPr="00D259BD">
        <w:rPr>
          <w:rFonts w:ascii="Times New Roman" w:hAnsi="Times New Roman" w:cs="Times New Roman"/>
        </w:rPr>
        <w:t>, P. 137</w:t>
      </w:r>
      <w:bookmarkEnd w:id="12"/>
      <w:r w:rsidRPr="00D259BD">
        <w:rPr>
          <w:rFonts w:ascii="Times New Roman" w:hAnsi="Times New Roman" w:cs="Times New Roman"/>
        </w:rPr>
        <w:t>.</w:t>
      </w:r>
      <w:bookmarkEnd w:id="13"/>
    </w:p>
  </w:footnote>
  <w:footnote w:id="15">
    <w:p w14:paraId="205CB137" w14:textId="399D9145" w:rsidR="00175CCF" w:rsidRPr="00D259BD" w:rsidRDefault="00175CCF">
      <w:pPr>
        <w:pStyle w:val="FootnoteText"/>
        <w:rPr>
          <w:rFonts w:ascii="Times New Roman" w:hAnsi="Times New Roman" w:cs="Times New Roman"/>
        </w:rPr>
      </w:pPr>
      <w:r w:rsidRPr="00D259BD">
        <w:rPr>
          <w:rStyle w:val="FootnoteReference"/>
          <w:rFonts w:ascii="Times New Roman" w:hAnsi="Times New Roman" w:cs="Times New Roman"/>
        </w:rPr>
        <w:footnoteRef/>
      </w:r>
      <w:r w:rsidRPr="00D259BD">
        <w:rPr>
          <w:rFonts w:ascii="Times New Roman" w:hAnsi="Times New Roman" w:cs="Times New Roman"/>
        </w:rPr>
        <w:t xml:space="preserve"> S. Dixon, </w:t>
      </w:r>
      <w:r w:rsidRPr="00D259BD">
        <w:rPr>
          <w:rFonts w:ascii="Times New Roman" w:hAnsi="Times New Roman" w:cs="Times New Roman"/>
          <w:i/>
          <w:iCs/>
        </w:rPr>
        <w:t>The Roman Family</w:t>
      </w:r>
      <w:r w:rsidRPr="00D259BD">
        <w:rPr>
          <w:rFonts w:ascii="Times New Roman" w:hAnsi="Times New Roman" w:cs="Times New Roman"/>
        </w:rPr>
        <w:t>, (Maryland, The John Hopkins University Press, 1992), Pp. 24-30.</w:t>
      </w:r>
    </w:p>
  </w:footnote>
  <w:footnote w:id="16">
    <w:p w14:paraId="552887B0" w14:textId="4E069CBF" w:rsidR="00175CCF" w:rsidRPr="00D259BD" w:rsidRDefault="00175CCF">
      <w:pPr>
        <w:pStyle w:val="FootnoteText"/>
        <w:rPr>
          <w:rFonts w:ascii="Times New Roman" w:hAnsi="Times New Roman" w:cs="Times New Roman"/>
        </w:rPr>
      </w:pPr>
      <w:r w:rsidRPr="00D259BD">
        <w:rPr>
          <w:rStyle w:val="FootnoteReference"/>
          <w:rFonts w:ascii="Times New Roman" w:hAnsi="Times New Roman" w:cs="Times New Roman"/>
        </w:rPr>
        <w:footnoteRef/>
      </w:r>
      <w:r w:rsidRPr="00D259BD">
        <w:rPr>
          <w:rFonts w:ascii="Times New Roman" w:hAnsi="Times New Roman" w:cs="Times New Roman"/>
        </w:rPr>
        <w:t xml:space="preserve"> Vergilius, </w:t>
      </w:r>
      <w:r w:rsidRPr="00D259BD">
        <w:rPr>
          <w:rFonts w:ascii="Times New Roman" w:hAnsi="Times New Roman" w:cs="Times New Roman"/>
          <w:i/>
          <w:iCs/>
        </w:rPr>
        <w:t>Aeneid</w:t>
      </w:r>
      <w:r w:rsidRPr="00D259BD">
        <w:rPr>
          <w:rFonts w:ascii="Times New Roman" w:hAnsi="Times New Roman" w:cs="Times New Roman"/>
        </w:rPr>
        <w:t>, P. 131.</w:t>
      </w:r>
    </w:p>
  </w:footnote>
  <w:footnote w:id="17">
    <w:p w14:paraId="4A6C7D5D" w14:textId="6D842BD3" w:rsidR="00175CCF" w:rsidRPr="00D259BD" w:rsidRDefault="00175CCF">
      <w:pPr>
        <w:pStyle w:val="FootnoteText"/>
        <w:rPr>
          <w:rFonts w:ascii="Times New Roman" w:hAnsi="Times New Roman" w:cs="Times New Roman"/>
        </w:rPr>
      </w:pPr>
      <w:r w:rsidRPr="00D259BD">
        <w:rPr>
          <w:rStyle w:val="FootnoteReference"/>
          <w:rFonts w:ascii="Times New Roman" w:hAnsi="Times New Roman" w:cs="Times New Roman"/>
        </w:rPr>
        <w:footnoteRef/>
      </w:r>
      <w:r w:rsidRPr="00D259BD">
        <w:rPr>
          <w:rFonts w:ascii="Times New Roman" w:hAnsi="Times New Roman" w:cs="Times New Roman"/>
        </w:rPr>
        <w:t xml:space="preserve"> </w:t>
      </w:r>
      <w:bookmarkStart w:id="14" w:name="_Hlk41677327"/>
      <w:r w:rsidRPr="00D259BD">
        <w:rPr>
          <w:rFonts w:ascii="Times New Roman" w:hAnsi="Times New Roman" w:cs="Times New Roman"/>
        </w:rPr>
        <w:t xml:space="preserve">Aristophanes, </w:t>
      </w:r>
      <w:r w:rsidRPr="00D259BD">
        <w:rPr>
          <w:rFonts w:ascii="Times New Roman" w:hAnsi="Times New Roman" w:cs="Times New Roman"/>
          <w:i/>
          <w:iCs/>
        </w:rPr>
        <w:t>Frogs</w:t>
      </w:r>
      <w:r w:rsidRPr="00D259BD">
        <w:rPr>
          <w:rFonts w:ascii="Times New Roman" w:hAnsi="Times New Roman" w:cs="Times New Roman"/>
        </w:rPr>
        <w:t>, trans. by J. Henderson, (Indiana, Hackett Publishing Company, 2008)</w:t>
      </w:r>
      <w:bookmarkEnd w:id="14"/>
      <w:r w:rsidRPr="00D259BD">
        <w:rPr>
          <w:rFonts w:ascii="Times New Roman" w:hAnsi="Times New Roman" w:cs="Times New Roman"/>
        </w:rPr>
        <w:t>, Pp. 33-39.</w:t>
      </w:r>
    </w:p>
  </w:footnote>
  <w:footnote w:id="18">
    <w:p w14:paraId="16126225" w14:textId="5D3697F2" w:rsidR="00175CCF" w:rsidRPr="00D259BD" w:rsidRDefault="00175CCF">
      <w:pPr>
        <w:pStyle w:val="FootnoteText"/>
        <w:rPr>
          <w:rFonts w:ascii="Times New Roman" w:hAnsi="Times New Roman" w:cs="Times New Roman"/>
        </w:rPr>
      </w:pPr>
      <w:r w:rsidRPr="00D259BD">
        <w:rPr>
          <w:rStyle w:val="FootnoteReference"/>
          <w:rFonts w:ascii="Times New Roman" w:hAnsi="Times New Roman" w:cs="Times New Roman"/>
        </w:rPr>
        <w:footnoteRef/>
      </w:r>
      <w:r w:rsidRPr="00D259BD">
        <w:rPr>
          <w:rFonts w:ascii="Times New Roman" w:hAnsi="Times New Roman" w:cs="Times New Roman"/>
        </w:rPr>
        <w:t xml:space="preserve"> </w:t>
      </w:r>
      <w:bookmarkStart w:id="15" w:name="_Hlk41595499"/>
      <w:r w:rsidRPr="00D259BD">
        <w:rPr>
          <w:rFonts w:ascii="Times New Roman" w:hAnsi="Times New Roman" w:cs="Times New Roman"/>
        </w:rPr>
        <w:t xml:space="preserve">Aristophanes, </w:t>
      </w:r>
      <w:r w:rsidRPr="00D259BD">
        <w:rPr>
          <w:rFonts w:ascii="Times New Roman" w:hAnsi="Times New Roman" w:cs="Times New Roman"/>
          <w:i/>
          <w:iCs/>
        </w:rPr>
        <w:t>Frogs</w:t>
      </w:r>
      <w:r w:rsidRPr="00D259BD">
        <w:rPr>
          <w:rFonts w:ascii="Times New Roman" w:hAnsi="Times New Roman" w:cs="Times New Roman"/>
        </w:rPr>
        <w:t>, Pp. 33-39.</w:t>
      </w:r>
    </w:p>
    <w:bookmarkEnd w:id="15"/>
    <w:p w14:paraId="6A6B7A2A" w14:textId="3BBD5FA7" w:rsidR="00175CCF" w:rsidRPr="00D259BD" w:rsidRDefault="00175CCF">
      <w:pPr>
        <w:pStyle w:val="FootnoteText"/>
        <w:rPr>
          <w:rFonts w:ascii="Times New Roman" w:hAnsi="Times New Roman" w:cs="Times New Roman"/>
        </w:rPr>
      </w:pPr>
      <w:r w:rsidRPr="00D259BD">
        <w:rPr>
          <w:rFonts w:ascii="Times New Roman" w:hAnsi="Times New Roman" w:cs="Times New Roman"/>
        </w:rPr>
        <w:t xml:space="preserve">&amp; Vergilius, </w:t>
      </w:r>
      <w:r w:rsidRPr="00D259BD">
        <w:rPr>
          <w:rFonts w:ascii="Times New Roman" w:hAnsi="Times New Roman" w:cs="Times New Roman"/>
          <w:i/>
          <w:iCs/>
        </w:rPr>
        <w:t>Aeneid</w:t>
      </w:r>
      <w:r w:rsidRPr="00D259BD">
        <w:rPr>
          <w:rFonts w:ascii="Times New Roman" w:hAnsi="Times New Roman" w:cs="Times New Roman"/>
        </w:rPr>
        <w:t>, P</w:t>
      </w:r>
      <w:r>
        <w:rPr>
          <w:rFonts w:ascii="Times New Roman" w:hAnsi="Times New Roman" w:cs="Times New Roman"/>
        </w:rPr>
        <w:t>p</w:t>
      </w:r>
      <w:r w:rsidRPr="00D259BD">
        <w:rPr>
          <w:rFonts w:ascii="Times New Roman" w:hAnsi="Times New Roman" w:cs="Times New Roman"/>
        </w:rPr>
        <w:t>. 137-138.</w:t>
      </w:r>
    </w:p>
  </w:footnote>
  <w:footnote w:id="19">
    <w:p w14:paraId="4F1C8350" w14:textId="3C8454FE" w:rsidR="00175CCF" w:rsidRPr="00D259BD" w:rsidRDefault="00175CCF">
      <w:pPr>
        <w:pStyle w:val="FootnoteText"/>
        <w:rPr>
          <w:rFonts w:ascii="Times New Roman" w:hAnsi="Times New Roman" w:cs="Times New Roman"/>
        </w:rPr>
      </w:pPr>
      <w:r w:rsidRPr="00D259BD">
        <w:rPr>
          <w:rStyle w:val="FootnoteReference"/>
          <w:rFonts w:ascii="Times New Roman" w:hAnsi="Times New Roman" w:cs="Times New Roman"/>
        </w:rPr>
        <w:footnoteRef/>
      </w:r>
      <w:r w:rsidRPr="00D259BD">
        <w:rPr>
          <w:rFonts w:ascii="Times New Roman" w:hAnsi="Times New Roman" w:cs="Times New Roman"/>
        </w:rPr>
        <w:t xml:space="preserve"> </w:t>
      </w:r>
      <w:bookmarkStart w:id="16" w:name="_Hlk41596167"/>
      <w:r w:rsidRPr="00D259BD">
        <w:rPr>
          <w:rFonts w:ascii="Times New Roman" w:hAnsi="Times New Roman" w:cs="Times New Roman"/>
        </w:rPr>
        <w:t xml:space="preserve">Aristophanes, </w:t>
      </w:r>
      <w:r w:rsidRPr="00D259BD">
        <w:rPr>
          <w:rFonts w:ascii="Times New Roman" w:hAnsi="Times New Roman" w:cs="Times New Roman"/>
          <w:i/>
          <w:iCs/>
        </w:rPr>
        <w:t>Frogs</w:t>
      </w:r>
      <w:r w:rsidRPr="00D259BD">
        <w:rPr>
          <w:rFonts w:ascii="Times New Roman" w:hAnsi="Times New Roman" w:cs="Times New Roman"/>
        </w:rPr>
        <w:t>, P. 36</w:t>
      </w:r>
      <w:r>
        <w:rPr>
          <w:rFonts w:ascii="Times New Roman" w:hAnsi="Times New Roman" w:cs="Times New Roman"/>
        </w:rPr>
        <w:t>.</w:t>
      </w:r>
      <w:bookmarkEnd w:id="16"/>
    </w:p>
  </w:footnote>
  <w:footnote w:id="20">
    <w:p w14:paraId="5C073A9C" w14:textId="7712145B" w:rsidR="00175CCF" w:rsidRPr="00A63692" w:rsidRDefault="00175CCF" w:rsidP="00765682">
      <w:pPr>
        <w:pStyle w:val="FootnoteText"/>
        <w:rPr>
          <w:rFonts w:ascii="Times New Roman" w:hAnsi="Times New Roman" w:cs="Times New Roman"/>
        </w:rPr>
      </w:pPr>
      <w:r w:rsidRPr="00A63692">
        <w:rPr>
          <w:rStyle w:val="FootnoteReference"/>
          <w:rFonts w:ascii="Times New Roman" w:hAnsi="Times New Roman" w:cs="Times New Roman"/>
        </w:rPr>
        <w:footnoteRef/>
      </w:r>
      <w:r w:rsidRPr="00A63692">
        <w:rPr>
          <w:rFonts w:ascii="Times New Roman" w:hAnsi="Times New Roman" w:cs="Times New Roman"/>
        </w:rPr>
        <w:t xml:space="preserve"> </w:t>
      </w:r>
      <w:bookmarkStart w:id="17" w:name="_Hlk41600276"/>
      <w:r>
        <w:rPr>
          <w:rFonts w:ascii="Times New Roman" w:hAnsi="Times New Roman" w:cs="Times New Roman"/>
        </w:rPr>
        <w:t>Ibid</w:t>
      </w:r>
      <w:r w:rsidRPr="00A63692">
        <w:rPr>
          <w:rFonts w:ascii="Times New Roman" w:hAnsi="Times New Roman" w:cs="Times New Roman"/>
        </w:rPr>
        <w:t>, P. 36.</w:t>
      </w:r>
    </w:p>
    <w:bookmarkEnd w:id="17"/>
  </w:footnote>
  <w:footnote w:id="21">
    <w:p w14:paraId="446151DD" w14:textId="66E4392D" w:rsidR="00175CCF" w:rsidRPr="00A63692" w:rsidRDefault="00175CCF">
      <w:pPr>
        <w:pStyle w:val="FootnoteText"/>
        <w:rPr>
          <w:rFonts w:ascii="Times New Roman" w:hAnsi="Times New Roman" w:cs="Times New Roman"/>
        </w:rPr>
      </w:pPr>
      <w:r w:rsidRPr="00A63692">
        <w:rPr>
          <w:rStyle w:val="FootnoteReference"/>
          <w:rFonts w:ascii="Times New Roman" w:hAnsi="Times New Roman" w:cs="Times New Roman"/>
        </w:rPr>
        <w:footnoteRef/>
      </w:r>
      <w:r w:rsidRPr="00A63692">
        <w:rPr>
          <w:rFonts w:ascii="Times New Roman" w:hAnsi="Times New Roman" w:cs="Times New Roman"/>
        </w:rPr>
        <w:t xml:space="preserve"> Ibid, P. 34.</w:t>
      </w:r>
    </w:p>
  </w:footnote>
  <w:footnote w:id="22">
    <w:p w14:paraId="68BC5C40" w14:textId="03BD3C50" w:rsidR="00175CCF" w:rsidRPr="000A7EBB" w:rsidRDefault="00175CCF">
      <w:pPr>
        <w:pStyle w:val="FootnoteText"/>
        <w:rPr>
          <w:rFonts w:ascii="Times New Roman" w:hAnsi="Times New Roman" w:cs="Times New Roman"/>
        </w:rPr>
      </w:pPr>
      <w:r w:rsidRPr="000A7EBB">
        <w:rPr>
          <w:rStyle w:val="FootnoteReference"/>
          <w:rFonts w:ascii="Times New Roman" w:hAnsi="Times New Roman" w:cs="Times New Roman"/>
        </w:rPr>
        <w:footnoteRef/>
      </w:r>
      <w:r w:rsidRPr="000A7EBB">
        <w:rPr>
          <w:rFonts w:ascii="Times New Roman" w:hAnsi="Times New Roman" w:cs="Times New Roman"/>
        </w:rPr>
        <w:t xml:space="preserve"> Oakley, ‘Birth, Marriage, and Death’, P. 492.</w:t>
      </w:r>
    </w:p>
  </w:footnote>
  <w:footnote w:id="23">
    <w:p w14:paraId="1F37E51E" w14:textId="44E5C253" w:rsidR="00175CCF" w:rsidRPr="00AA4F9A" w:rsidRDefault="00175CCF">
      <w:pPr>
        <w:pStyle w:val="FootnoteText"/>
        <w:rPr>
          <w:rFonts w:ascii="Times New Roman" w:hAnsi="Times New Roman" w:cs="Times New Roman"/>
        </w:rPr>
      </w:pPr>
      <w:r w:rsidRPr="00AA4F9A">
        <w:rPr>
          <w:rStyle w:val="FootnoteReference"/>
          <w:rFonts w:ascii="Times New Roman" w:hAnsi="Times New Roman" w:cs="Times New Roman"/>
        </w:rPr>
        <w:footnoteRef/>
      </w:r>
      <w:r w:rsidRPr="00AA4F9A">
        <w:rPr>
          <w:rFonts w:ascii="Times New Roman" w:hAnsi="Times New Roman" w:cs="Times New Roman"/>
        </w:rPr>
        <w:t xml:space="preserve"> Aristophanes, </w:t>
      </w:r>
      <w:r w:rsidRPr="00AA4F9A">
        <w:rPr>
          <w:rFonts w:ascii="Times New Roman" w:hAnsi="Times New Roman" w:cs="Times New Roman"/>
          <w:i/>
          <w:iCs/>
        </w:rPr>
        <w:t>Frogs</w:t>
      </w:r>
      <w:r w:rsidRPr="00AA4F9A">
        <w:rPr>
          <w:rFonts w:ascii="Times New Roman" w:hAnsi="Times New Roman" w:cs="Times New Roman"/>
        </w:rPr>
        <w:t>, P. 34.</w:t>
      </w:r>
    </w:p>
  </w:footnote>
  <w:footnote w:id="24">
    <w:p w14:paraId="1EA73AAE" w14:textId="7F2A5BCD" w:rsidR="00175CCF" w:rsidRPr="00692978" w:rsidRDefault="00175CCF">
      <w:pPr>
        <w:pStyle w:val="FootnoteText"/>
        <w:rPr>
          <w:rFonts w:ascii="Times New Roman" w:hAnsi="Times New Roman" w:cs="Times New Roman"/>
        </w:rPr>
      </w:pPr>
      <w:r w:rsidRPr="00AA4F9A">
        <w:rPr>
          <w:rStyle w:val="FootnoteReference"/>
          <w:rFonts w:ascii="Times New Roman" w:hAnsi="Times New Roman" w:cs="Times New Roman"/>
        </w:rPr>
        <w:footnoteRef/>
      </w:r>
      <w:r w:rsidRPr="00AA4F9A">
        <w:rPr>
          <w:rFonts w:ascii="Times New Roman" w:hAnsi="Times New Roman" w:cs="Times New Roman"/>
        </w:rPr>
        <w:t xml:space="preserve"> G. Taunton, </w:t>
      </w:r>
      <w:r w:rsidRPr="00AA4F9A">
        <w:rPr>
          <w:rFonts w:ascii="Times New Roman" w:hAnsi="Times New Roman" w:cs="Times New Roman"/>
          <w:i/>
          <w:iCs/>
        </w:rPr>
        <w:t>The Path of Shadows: Chthonic Gods, Oneiromancy, Necromancy in Ancient Greece</w:t>
      </w:r>
      <w:r w:rsidRPr="00AA4F9A">
        <w:rPr>
          <w:rFonts w:ascii="Times New Roman" w:hAnsi="Times New Roman" w:cs="Times New Roman"/>
        </w:rPr>
        <w:t>, (</w:t>
      </w:r>
      <w:r w:rsidRPr="00692978">
        <w:rPr>
          <w:rFonts w:ascii="Times New Roman" w:hAnsi="Times New Roman" w:cs="Times New Roman"/>
        </w:rPr>
        <w:t>Melbourne, Manticore Press, 2018), Pp. 9-11.</w:t>
      </w:r>
    </w:p>
  </w:footnote>
  <w:footnote w:id="25">
    <w:p w14:paraId="1233923F" w14:textId="1373BF84" w:rsidR="00175CCF" w:rsidRPr="00A253CE" w:rsidRDefault="00175CCF">
      <w:pPr>
        <w:pStyle w:val="FootnoteText"/>
        <w:rPr>
          <w:rFonts w:ascii="Times New Roman" w:hAnsi="Times New Roman" w:cs="Times New Roman"/>
        </w:rPr>
      </w:pPr>
      <w:r w:rsidRPr="00A253CE">
        <w:rPr>
          <w:rStyle w:val="FootnoteReference"/>
          <w:rFonts w:ascii="Times New Roman" w:hAnsi="Times New Roman" w:cs="Times New Roman"/>
        </w:rPr>
        <w:footnoteRef/>
      </w:r>
      <w:r w:rsidRPr="00A253CE">
        <w:rPr>
          <w:rFonts w:ascii="Times New Roman" w:hAnsi="Times New Roman" w:cs="Times New Roman"/>
        </w:rPr>
        <w:t xml:space="preserve"> </w:t>
      </w:r>
      <w:bookmarkStart w:id="18" w:name="_Hlk41674547"/>
      <w:r w:rsidRPr="00A253CE">
        <w:rPr>
          <w:rFonts w:ascii="Times New Roman" w:hAnsi="Times New Roman" w:cs="Times New Roman"/>
        </w:rPr>
        <w:t xml:space="preserve">Taunton, </w:t>
      </w:r>
      <w:r w:rsidRPr="00A253CE">
        <w:rPr>
          <w:rFonts w:ascii="Times New Roman" w:hAnsi="Times New Roman" w:cs="Times New Roman"/>
          <w:i/>
          <w:iCs/>
        </w:rPr>
        <w:t>Path of Shadows</w:t>
      </w:r>
      <w:r w:rsidRPr="00A253CE">
        <w:rPr>
          <w:rFonts w:ascii="Times New Roman" w:hAnsi="Times New Roman" w:cs="Times New Roman"/>
        </w:rPr>
        <w:t>, P. 11.</w:t>
      </w:r>
      <w:bookmarkEnd w:id="18"/>
    </w:p>
  </w:footnote>
  <w:footnote w:id="26">
    <w:p w14:paraId="0FD890D8" w14:textId="5984ED5A" w:rsidR="00175CCF" w:rsidRPr="002C7387" w:rsidRDefault="00175CCF">
      <w:pPr>
        <w:pStyle w:val="FootnoteText"/>
        <w:rPr>
          <w:rFonts w:ascii="Times New Roman" w:hAnsi="Times New Roman" w:cs="Times New Roman"/>
        </w:rPr>
      </w:pPr>
      <w:r w:rsidRPr="00A253CE">
        <w:rPr>
          <w:rStyle w:val="FootnoteReference"/>
          <w:rFonts w:ascii="Times New Roman" w:hAnsi="Times New Roman" w:cs="Times New Roman"/>
        </w:rPr>
        <w:footnoteRef/>
      </w:r>
      <w:r w:rsidRPr="00A253CE">
        <w:rPr>
          <w:rFonts w:ascii="Times New Roman" w:hAnsi="Times New Roman" w:cs="Times New Roman"/>
        </w:rPr>
        <w:t xml:space="preserve"> </w:t>
      </w:r>
      <w:bookmarkStart w:id="19" w:name="_Hlk41677356"/>
      <w:r w:rsidRPr="00A253CE">
        <w:rPr>
          <w:rFonts w:ascii="Times New Roman" w:hAnsi="Times New Roman" w:cs="Times New Roman"/>
        </w:rPr>
        <w:t xml:space="preserve">Hesiod, </w:t>
      </w:r>
      <w:r w:rsidRPr="00A253CE">
        <w:rPr>
          <w:rFonts w:ascii="Times New Roman" w:hAnsi="Times New Roman" w:cs="Times New Roman"/>
          <w:i/>
          <w:iCs/>
        </w:rPr>
        <w:t>The Poems of Hesiod: Theogony, Works and Days, and The Shield of Herakles</w:t>
      </w:r>
      <w:r w:rsidRPr="00A253CE">
        <w:rPr>
          <w:rFonts w:ascii="Times New Roman" w:hAnsi="Times New Roman" w:cs="Times New Roman"/>
        </w:rPr>
        <w:t xml:space="preserve">, trans. by B. B. </w:t>
      </w:r>
      <w:r w:rsidRPr="002C7387">
        <w:rPr>
          <w:rFonts w:ascii="Times New Roman" w:hAnsi="Times New Roman" w:cs="Times New Roman"/>
        </w:rPr>
        <w:t>Powell, (California, University of California Press, 2017)</w:t>
      </w:r>
      <w:bookmarkEnd w:id="19"/>
      <w:r w:rsidRPr="002C7387">
        <w:rPr>
          <w:rFonts w:ascii="Times New Roman" w:hAnsi="Times New Roman" w:cs="Times New Roman"/>
        </w:rPr>
        <w:t>, P. 162.</w:t>
      </w:r>
    </w:p>
  </w:footnote>
  <w:footnote w:id="27">
    <w:p w14:paraId="40DB400B" w14:textId="0640D537" w:rsidR="00175CCF" w:rsidRPr="00D91B4C" w:rsidRDefault="00175CCF">
      <w:pPr>
        <w:pStyle w:val="FootnoteText"/>
        <w:rPr>
          <w:rFonts w:ascii="Times New Roman" w:hAnsi="Times New Roman" w:cs="Times New Roman"/>
        </w:rPr>
      </w:pPr>
      <w:r w:rsidRPr="00D91B4C">
        <w:rPr>
          <w:rStyle w:val="FootnoteReference"/>
          <w:rFonts w:ascii="Times New Roman" w:hAnsi="Times New Roman" w:cs="Times New Roman"/>
        </w:rPr>
        <w:footnoteRef/>
      </w:r>
      <w:r w:rsidRPr="00D91B4C">
        <w:rPr>
          <w:rFonts w:ascii="Times New Roman" w:hAnsi="Times New Roman" w:cs="Times New Roman"/>
        </w:rPr>
        <w:t xml:space="preserve"> D. Ogden, </w:t>
      </w:r>
      <w:r w:rsidRPr="00D91B4C">
        <w:rPr>
          <w:rFonts w:ascii="Times New Roman" w:hAnsi="Times New Roman" w:cs="Times New Roman"/>
          <w:i/>
          <w:iCs/>
        </w:rPr>
        <w:t>Perseus</w:t>
      </w:r>
      <w:r w:rsidRPr="00D91B4C">
        <w:rPr>
          <w:rFonts w:ascii="Times New Roman" w:hAnsi="Times New Roman" w:cs="Times New Roman"/>
        </w:rPr>
        <w:t>, (Oxford, Routledge, 2008), Pp. 34-39.</w:t>
      </w:r>
    </w:p>
  </w:footnote>
  <w:footnote w:id="28">
    <w:p w14:paraId="2B3662B2" w14:textId="38C9406D" w:rsidR="00175CCF" w:rsidRPr="00D91B4C" w:rsidRDefault="00175CCF">
      <w:pPr>
        <w:pStyle w:val="FootnoteText"/>
        <w:rPr>
          <w:rFonts w:ascii="Times New Roman" w:hAnsi="Times New Roman" w:cs="Times New Roman"/>
        </w:rPr>
      </w:pPr>
      <w:r w:rsidRPr="00D91B4C">
        <w:rPr>
          <w:rStyle w:val="FootnoteReference"/>
          <w:rFonts w:ascii="Times New Roman" w:hAnsi="Times New Roman" w:cs="Times New Roman"/>
        </w:rPr>
        <w:footnoteRef/>
      </w:r>
      <w:r w:rsidRPr="00D91B4C">
        <w:rPr>
          <w:rFonts w:ascii="Times New Roman" w:hAnsi="Times New Roman" w:cs="Times New Roman"/>
        </w:rPr>
        <w:t xml:space="preserve"> Ogden, Perseus, P. 36.</w:t>
      </w:r>
    </w:p>
    <w:p w14:paraId="1BB97116" w14:textId="640E1A57" w:rsidR="00175CCF" w:rsidRPr="00D91B4C" w:rsidRDefault="00175CCF">
      <w:pPr>
        <w:pStyle w:val="FootnoteText"/>
        <w:rPr>
          <w:rFonts w:ascii="Times New Roman" w:hAnsi="Times New Roman" w:cs="Times New Roman"/>
        </w:rPr>
      </w:pPr>
      <w:r w:rsidRPr="00D91B4C">
        <w:rPr>
          <w:rFonts w:ascii="Times New Roman" w:hAnsi="Times New Roman" w:cs="Times New Roman"/>
        </w:rPr>
        <w:t xml:space="preserve">&amp; </w:t>
      </w:r>
      <w:bookmarkStart w:id="20" w:name="_Hlk41677385"/>
      <w:r w:rsidRPr="00D91B4C">
        <w:rPr>
          <w:rFonts w:ascii="Times New Roman" w:hAnsi="Times New Roman" w:cs="Times New Roman"/>
        </w:rPr>
        <w:t xml:space="preserve">Publius Ovidius Naso, </w:t>
      </w:r>
      <w:r w:rsidRPr="00D91B4C">
        <w:rPr>
          <w:rFonts w:ascii="Times New Roman" w:hAnsi="Times New Roman" w:cs="Times New Roman"/>
          <w:i/>
          <w:iCs/>
        </w:rPr>
        <w:t>Metamorphoses</w:t>
      </w:r>
      <w:r w:rsidRPr="00D91B4C">
        <w:rPr>
          <w:rFonts w:ascii="Times New Roman" w:hAnsi="Times New Roman" w:cs="Times New Roman"/>
        </w:rPr>
        <w:t xml:space="preserve">, trans. by R. Humphries, (Indiana, Indiana University Press, 1955), </w:t>
      </w:r>
      <w:bookmarkEnd w:id="20"/>
      <w:r w:rsidRPr="00D91B4C">
        <w:rPr>
          <w:rFonts w:ascii="Times New Roman" w:hAnsi="Times New Roman" w:cs="Times New Roman"/>
        </w:rPr>
        <w:t>P.103.</w:t>
      </w:r>
    </w:p>
  </w:footnote>
  <w:footnote w:id="29">
    <w:p w14:paraId="123ACD3A" w14:textId="3E08A6C7" w:rsidR="00175CCF" w:rsidRPr="00561BA9" w:rsidRDefault="00175CCF">
      <w:pPr>
        <w:pStyle w:val="FootnoteText"/>
        <w:rPr>
          <w:rFonts w:ascii="Times New Roman" w:hAnsi="Times New Roman" w:cs="Times New Roman"/>
        </w:rPr>
      </w:pPr>
      <w:r w:rsidRPr="00D91B4C">
        <w:rPr>
          <w:rStyle w:val="FootnoteReference"/>
          <w:rFonts w:ascii="Times New Roman" w:hAnsi="Times New Roman" w:cs="Times New Roman"/>
        </w:rPr>
        <w:footnoteRef/>
      </w:r>
      <w:r w:rsidRPr="00D91B4C">
        <w:rPr>
          <w:rFonts w:ascii="Times New Roman" w:hAnsi="Times New Roman" w:cs="Times New Roman"/>
        </w:rPr>
        <w:t xml:space="preserve"> </w:t>
      </w:r>
      <w:bookmarkStart w:id="21" w:name="_Hlk41677409"/>
      <w:r w:rsidRPr="00D91B4C">
        <w:rPr>
          <w:rFonts w:ascii="Times New Roman" w:hAnsi="Times New Roman" w:cs="Times New Roman"/>
        </w:rPr>
        <w:t xml:space="preserve">Apollodorus, </w:t>
      </w:r>
      <w:r w:rsidRPr="00561BA9">
        <w:rPr>
          <w:rFonts w:ascii="Times New Roman" w:hAnsi="Times New Roman" w:cs="Times New Roman"/>
          <w:i/>
          <w:iCs/>
        </w:rPr>
        <w:t>The Library of Greek Mythology</w:t>
      </w:r>
      <w:r w:rsidRPr="00561BA9">
        <w:rPr>
          <w:rFonts w:ascii="Times New Roman" w:hAnsi="Times New Roman" w:cs="Times New Roman"/>
        </w:rPr>
        <w:t>, trans. by R. Hard, (Oxford, Oxford University Press, 1997)</w:t>
      </w:r>
      <w:bookmarkEnd w:id="21"/>
      <w:r w:rsidRPr="00561BA9">
        <w:rPr>
          <w:rFonts w:ascii="Times New Roman" w:hAnsi="Times New Roman" w:cs="Times New Roman"/>
        </w:rPr>
        <w:t>, Pp. 83-85 &amp; P. 74.</w:t>
      </w:r>
    </w:p>
  </w:footnote>
  <w:footnote w:id="30">
    <w:p w14:paraId="52C253CF" w14:textId="5A6B6E05" w:rsidR="00175CCF" w:rsidRPr="00264389" w:rsidRDefault="00175CCF">
      <w:pPr>
        <w:pStyle w:val="FootnoteText"/>
        <w:rPr>
          <w:rFonts w:ascii="Times New Roman" w:hAnsi="Times New Roman" w:cs="Times New Roman"/>
        </w:rPr>
      </w:pPr>
      <w:r w:rsidRPr="00264389">
        <w:rPr>
          <w:rStyle w:val="FootnoteReference"/>
          <w:rFonts w:ascii="Times New Roman" w:hAnsi="Times New Roman" w:cs="Times New Roman"/>
        </w:rPr>
        <w:footnoteRef/>
      </w:r>
      <w:r w:rsidRPr="00264389">
        <w:rPr>
          <w:rFonts w:ascii="Times New Roman" w:hAnsi="Times New Roman" w:cs="Times New Roman"/>
        </w:rPr>
        <w:t xml:space="preserve"> </w:t>
      </w:r>
      <w:bookmarkStart w:id="22" w:name="_Hlk41674460"/>
      <w:r w:rsidRPr="00264389">
        <w:rPr>
          <w:rFonts w:ascii="Times New Roman" w:hAnsi="Times New Roman" w:cs="Times New Roman"/>
        </w:rPr>
        <w:t xml:space="preserve">Apollodorus, </w:t>
      </w:r>
      <w:r w:rsidRPr="00264389">
        <w:rPr>
          <w:rFonts w:ascii="Times New Roman" w:hAnsi="Times New Roman" w:cs="Times New Roman"/>
          <w:i/>
          <w:iCs/>
        </w:rPr>
        <w:t>The Library</w:t>
      </w:r>
      <w:r w:rsidRPr="00264389">
        <w:rPr>
          <w:rFonts w:ascii="Times New Roman" w:hAnsi="Times New Roman" w:cs="Times New Roman"/>
        </w:rPr>
        <w:t>, P. 84.</w:t>
      </w:r>
      <w:bookmarkEnd w:id="22"/>
    </w:p>
  </w:footnote>
  <w:footnote w:id="31">
    <w:p w14:paraId="277A8186" w14:textId="2F6977E7" w:rsidR="00175CCF" w:rsidRPr="00EB0396" w:rsidRDefault="00175CCF">
      <w:pPr>
        <w:pStyle w:val="FootnoteText"/>
        <w:rPr>
          <w:rFonts w:ascii="Times New Roman" w:hAnsi="Times New Roman" w:cs="Times New Roman"/>
        </w:rPr>
      </w:pPr>
      <w:r w:rsidRPr="00264389">
        <w:rPr>
          <w:rStyle w:val="FootnoteReference"/>
          <w:rFonts w:ascii="Times New Roman" w:hAnsi="Times New Roman" w:cs="Times New Roman"/>
        </w:rPr>
        <w:footnoteRef/>
      </w:r>
      <w:r w:rsidRPr="00264389">
        <w:rPr>
          <w:rFonts w:ascii="Times New Roman" w:hAnsi="Times New Roman" w:cs="Times New Roman"/>
        </w:rPr>
        <w:t xml:space="preserve"> Ovid, </w:t>
      </w:r>
      <w:r w:rsidRPr="00264389">
        <w:rPr>
          <w:rFonts w:ascii="Times New Roman" w:hAnsi="Times New Roman" w:cs="Times New Roman"/>
          <w:i/>
          <w:iCs/>
        </w:rPr>
        <w:t>Meta</w:t>
      </w:r>
      <w:r w:rsidRPr="00EB0396">
        <w:rPr>
          <w:rFonts w:ascii="Times New Roman" w:hAnsi="Times New Roman" w:cs="Times New Roman"/>
          <w:i/>
          <w:iCs/>
        </w:rPr>
        <w:t>morphoses</w:t>
      </w:r>
      <w:r w:rsidRPr="00EB0396">
        <w:rPr>
          <w:rFonts w:ascii="Times New Roman" w:hAnsi="Times New Roman" w:cs="Times New Roman"/>
        </w:rPr>
        <w:t>, Pp. 234-236.</w:t>
      </w:r>
    </w:p>
    <w:p w14:paraId="7C299528" w14:textId="1E0362FE" w:rsidR="00175CCF" w:rsidRPr="00EB0396" w:rsidRDefault="00175CCF">
      <w:pPr>
        <w:pStyle w:val="FootnoteText"/>
        <w:rPr>
          <w:rFonts w:ascii="Times New Roman" w:hAnsi="Times New Roman" w:cs="Times New Roman"/>
        </w:rPr>
      </w:pPr>
      <w:r w:rsidRPr="00EB0396">
        <w:rPr>
          <w:rFonts w:ascii="Times New Roman" w:hAnsi="Times New Roman" w:cs="Times New Roman"/>
        </w:rPr>
        <w:t xml:space="preserve">&amp; </w:t>
      </w:r>
      <w:bookmarkStart w:id="23" w:name="_Hlk41677428"/>
      <w:r w:rsidRPr="00EB0396">
        <w:rPr>
          <w:rFonts w:ascii="Times New Roman" w:hAnsi="Times New Roman" w:cs="Times New Roman"/>
        </w:rPr>
        <w:t xml:space="preserve">Homer, </w:t>
      </w:r>
      <w:r w:rsidRPr="00EB0396">
        <w:rPr>
          <w:rFonts w:ascii="Times New Roman" w:hAnsi="Times New Roman" w:cs="Times New Roman"/>
          <w:i/>
          <w:iCs/>
        </w:rPr>
        <w:t>Three Homeric Hymns: To Apollo, Hermes, and Aphrodite</w:t>
      </w:r>
      <w:r w:rsidRPr="00EB0396">
        <w:rPr>
          <w:rFonts w:ascii="Times New Roman" w:hAnsi="Times New Roman" w:cs="Times New Roman"/>
        </w:rPr>
        <w:t>, trans. &amp; ed. by N. Richardson, (Cambridge, Cambridge University Press, 2010)</w:t>
      </w:r>
      <w:bookmarkEnd w:id="23"/>
      <w:r w:rsidRPr="00EB0396">
        <w:rPr>
          <w:rFonts w:ascii="Times New Roman" w:hAnsi="Times New Roman" w:cs="Times New Roman"/>
        </w:rPr>
        <w:t>, Pp. 53-70.</w:t>
      </w:r>
    </w:p>
  </w:footnote>
  <w:footnote w:id="32">
    <w:p w14:paraId="07E4F1C1" w14:textId="6732F07F" w:rsidR="00175CCF" w:rsidRDefault="00175CCF">
      <w:pPr>
        <w:pStyle w:val="FootnoteText"/>
      </w:pPr>
      <w:r w:rsidRPr="00EB0396">
        <w:rPr>
          <w:rStyle w:val="FootnoteReference"/>
          <w:rFonts w:ascii="Times New Roman" w:hAnsi="Times New Roman" w:cs="Times New Roman"/>
        </w:rPr>
        <w:footnoteRef/>
      </w:r>
      <w:r w:rsidRPr="00EB0396">
        <w:rPr>
          <w:rFonts w:ascii="Times New Roman" w:hAnsi="Times New Roman" w:cs="Times New Roman"/>
        </w:rPr>
        <w:t xml:space="preserve"> Apollodorus, </w:t>
      </w:r>
      <w:r w:rsidRPr="00EB0396">
        <w:rPr>
          <w:rFonts w:ascii="Times New Roman" w:hAnsi="Times New Roman" w:cs="Times New Roman"/>
          <w:i/>
          <w:iCs/>
        </w:rPr>
        <w:t>The Library</w:t>
      </w:r>
      <w:r w:rsidRPr="00EB0396">
        <w:rPr>
          <w:rFonts w:ascii="Times New Roman" w:hAnsi="Times New Roman" w:cs="Times New Roman"/>
        </w:rPr>
        <w:t>, Pp. 83-85.</w:t>
      </w:r>
    </w:p>
  </w:footnote>
  <w:footnote w:id="33">
    <w:p w14:paraId="296D726D" w14:textId="7A503EDC" w:rsidR="00175CCF" w:rsidRDefault="00175C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253CE">
        <w:rPr>
          <w:rFonts w:ascii="Times New Roman" w:hAnsi="Times New Roman" w:cs="Times New Roman"/>
        </w:rPr>
        <w:t xml:space="preserve">Taunton, </w:t>
      </w:r>
      <w:r w:rsidRPr="00A253CE">
        <w:rPr>
          <w:rFonts w:ascii="Times New Roman" w:hAnsi="Times New Roman" w:cs="Times New Roman"/>
          <w:i/>
          <w:iCs/>
        </w:rPr>
        <w:t>Path of Shadows</w:t>
      </w:r>
      <w:r w:rsidRPr="00A253CE">
        <w:rPr>
          <w:rFonts w:ascii="Times New Roman" w:hAnsi="Times New Roman" w:cs="Times New Roman"/>
        </w:rPr>
        <w:t>, P. 11.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F709D3" w14:textId="4ACBA46A" w:rsidR="00175CCF" w:rsidRPr="006009F8" w:rsidRDefault="00175CCF" w:rsidP="006009F8">
    <w:pPr>
      <w:pStyle w:val="Header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Samuel Lawrence – Myth, and Art – Essay Task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9F8"/>
    <w:rsid w:val="00003312"/>
    <w:rsid w:val="0001465C"/>
    <w:rsid w:val="000231ED"/>
    <w:rsid w:val="00042E13"/>
    <w:rsid w:val="00057F62"/>
    <w:rsid w:val="00066EFA"/>
    <w:rsid w:val="00070850"/>
    <w:rsid w:val="00071591"/>
    <w:rsid w:val="00077693"/>
    <w:rsid w:val="000A7EBB"/>
    <w:rsid w:val="000C1450"/>
    <w:rsid w:val="000C3C47"/>
    <w:rsid w:val="000D1AB9"/>
    <w:rsid w:val="000D38DB"/>
    <w:rsid w:val="00100B02"/>
    <w:rsid w:val="00116FC7"/>
    <w:rsid w:val="00137B60"/>
    <w:rsid w:val="001736A4"/>
    <w:rsid w:val="00175CCF"/>
    <w:rsid w:val="001B320A"/>
    <w:rsid w:val="001B6B43"/>
    <w:rsid w:val="001D040E"/>
    <w:rsid w:val="001D4723"/>
    <w:rsid w:val="001D722D"/>
    <w:rsid w:val="001F0A21"/>
    <w:rsid w:val="001F7215"/>
    <w:rsid w:val="00220624"/>
    <w:rsid w:val="00246861"/>
    <w:rsid w:val="00264389"/>
    <w:rsid w:val="00273F81"/>
    <w:rsid w:val="002804BE"/>
    <w:rsid w:val="00283F4B"/>
    <w:rsid w:val="002B081C"/>
    <w:rsid w:val="002B65B9"/>
    <w:rsid w:val="002C6C68"/>
    <w:rsid w:val="002C7387"/>
    <w:rsid w:val="002D0203"/>
    <w:rsid w:val="00304AC8"/>
    <w:rsid w:val="00321A0B"/>
    <w:rsid w:val="0034333D"/>
    <w:rsid w:val="003510EA"/>
    <w:rsid w:val="0035356B"/>
    <w:rsid w:val="00393AF4"/>
    <w:rsid w:val="00396FC4"/>
    <w:rsid w:val="003C0CF9"/>
    <w:rsid w:val="003C4287"/>
    <w:rsid w:val="003C62EA"/>
    <w:rsid w:val="003E7159"/>
    <w:rsid w:val="003F6792"/>
    <w:rsid w:val="00404021"/>
    <w:rsid w:val="00410984"/>
    <w:rsid w:val="00412F23"/>
    <w:rsid w:val="00420269"/>
    <w:rsid w:val="0042671C"/>
    <w:rsid w:val="00435A35"/>
    <w:rsid w:val="0044375B"/>
    <w:rsid w:val="00452CB7"/>
    <w:rsid w:val="00495106"/>
    <w:rsid w:val="00497D4C"/>
    <w:rsid w:val="004B05B8"/>
    <w:rsid w:val="004B0C77"/>
    <w:rsid w:val="00512CB5"/>
    <w:rsid w:val="005175DC"/>
    <w:rsid w:val="005236A3"/>
    <w:rsid w:val="0054605B"/>
    <w:rsid w:val="00554339"/>
    <w:rsid w:val="00554DB8"/>
    <w:rsid w:val="00561BA9"/>
    <w:rsid w:val="0056510D"/>
    <w:rsid w:val="0056696D"/>
    <w:rsid w:val="00580865"/>
    <w:rsid w:val="005A34D6"/>
    <w:rsid w:val="005C554C"/>
    <w:rsid w:val="005D5899"/>
    <w:rsid w:val="005D7445"/>
    <w:rsid w:val="005E291B"/>
    <w:rsid w:val="00600046"/>
    <w:rsid w:val="006009F8"/>
    <w:rsid w:val="00603E4A"/>
    <w:rsid w:val="00626ECD"/>
    <w:rsid w:val="00631855"/>
    <w:rsid w:val="00671660"/>
    <w:rsid w:val="00673F88"/>
    <w:rsid w:val="0067697F"/>
    <w:rsid w:val="00682329"/>
    <w:rsid w:val="00684660"/>
    <w:rsid w:val="00692978"/>
    <w:rsid w:val="006B42A1"/>
    <w:rsid w:val="006B684B"/>
    <w:rsid w:val="006D6BA1"/>
    <w:rsid w:val="006F2D6E"/>
    <w:rsid w:val="00702E9C"/>
    <w:rsid w:val="007352DD"/>
    <w:rsid w:val="00740C8B"/>
    <w:rsid w:val="00765682"/>
    <w:rsid w:val="007749C9"/>
    <w:rsid w:val="007A6D62"/>
    <w:rsid w:val="007B38A1"/>
    <w:rsid w:val="007C125B"/>
    <w:rsid w:val="007C3DF5"/>
    <w:rsid w:val="00810B27"/>
    <w:rsid w:val="00823D6F"/>
    <w:rsid w:val="00837B98"/>
    <w:rsid w:val="00842B9E"/>
    <w:rsid w:val="0085150D"/>
    <w:rsid w:val="008621C5"/>
    <w:rsid w:val="008655AC"/>
    <w:rsid w:val="00871852"/>
    <w:rsid w:val="00872180"/>
    <w:rsid w:val="00882686"/>
    <w:rsid w:val="008C1143"/>
    <w:rsid w:val="008C6BA3"/>
    <w:rsid w:val="008C7B8A"/>
    <w:rsid w:val="008D6C59"/>
    <w:rsid w:val="008E4066"/>
    <w:rsid w:val="008F13A8"/>
    <w:rsid w:val="008F4734"/>
    <w:rsid w:val="00911D46"/>
    <w:rsid w:val="0091339C"/>
    <w:rsid w:val="00914FB7"/>
    <w:rsid w:val="00943EE7"/>
    <w:rsid w:val="00955404"/>
    <w:rsid w:val="00970069"/>
    <w:rsid w:val="009724A7"/>
    <w:rsid w:val="00974F0C"/>
    <w:rsid w:val="009A28CF"/>
    <w:rsid w:val="009C5D0B"/>
    <w:rsid w:val="009D0107"/>
    <w:rsid w:val="009D2BCD"/>
    <w:rsid w:val="009F5E37"/>
    <w:rsid w:val="00A135F8"/>
    <w:rsid w:val="00A167C4"/>
    <w:rsid w:val="00A22E6E"/>
    <w:rsid w:val="00A253CE"/>
    <w:rsid w:val="00A40AC0"/>
    <w:rsid w:val="00A5789A"/>
    <w:rsid w:val="00A63692"/>
    <w:rsid w:val="00A7553C"/>
    <w:rsid w:val="00AA4F9A"/>
    <w:rsid w:val="00AB3E9A"/>
    <w:rsid w:val="00AC6A58"/>
    <w:rsid w:val="00AD0B42"/>
    <w:rsid w:val="00AD31C4"/>
    <w:rsid w:val="00AE1312"/>
    <w:rsid w:val="00B00FE3"/>
    <w:rsid w:val="00B02EAB"/>
    <w:rsid w:val="00B243A5"/>
    <w:rsid w:val="00B24E42"/>
    <w:rsid w:val="00B935D0"/>
    <w:rsid w:val="00BA481D"/>
    <w:rsid w:val="00BD109B"/>
    <w:rsid w:val="00BF37C9"/>
    <w:rsid w:val="00C0091E"/>
    <w:rsid w:val="00C332D4"/>
    <w:rsid w:val="00C56BD8"/>
    <w:rsid w:val="00C57235"/>
    <w:rsid w:val="00C61178"/>
    <w:rsid w:val="00C83C60"/>
    <w:rsid w:val="00CA41EF"/>
    <w:rsid w:val="00CC1634"/>
    <w:rsid w:val="00CC2C27"/>
    <w:rsid w:val="00CC6387"/>
    <w:rsid w:val="00CD5FBD"/>
    <w:rsid w:val="00CF4F7A"/>
    <w:rsid w:val="00D04549"/>
    <w:rsid w:val="00D23C59"/>
    <w:rsid w:val="00D259BD"/>
    <w:rsid w:val="00D34EEE"/>
    <w:rsid w:val="00D40507"/>
    <w:rsid w:val="00D42FEC"/>
    <w:rsid w:val="00D4684C"/>
    <w:rsid w:val="00D47F9B"/>
    <w:rsid w:val="00D54FB9"/>
    <w:rsid w:val="00D61A7F"/>
    <w:rsid w:val="00D66946"/>
    <w:rsid w:val="00D75032"/>
    <w:rsid w:val="00D84805"/>
    <w:rsid w:val="00D91B4C"/>
    <w:rsid w:val="00DA208D"/>
    <w:rsid w:val="00DA22AF"/>
    <w:rsid w:val="00DC29F1"/>
    <w:rsid w:val="00DD257C"/>
    <w:rsid w:val="00DD73CA"/>
    <w:rsid w:val="00DE3991"/>
    <w:rsid w:val="00E11585"/>
    <w:rsid w:val="00E227A5"/>
    <w:rsid w:val="00E60A90"/>
    <w:rsid w:val="00E9022F"/>
    <w:rsid w:val="00E9285C"/>
    <w:rsid w:val="00E95E0B"/>
    <w:rsid w:val="00EB0396"/>
    <w:rsid w:val="00EB4836"/>
    <w:rsid w:val="00EB570B"/>
    <w:rsid w:val="00EC3DE8"/>
    <w:rsid w:val="00EE13EC"/>
    <w:rsid w:val="00EE7C2F"/>
    <w:rsid w:val="00EF54DA"/>
    <w:rsid w:val="00F31A96"/>
    <w:rsid w:val="00F35BDB"/>
    <w:rsid w:val="00F60020"/>
    <w:rsid w:val="00F65619"/>
    <w:rsid w:val="00F7134C"/>
    <w:rsid w:val="00F723B8"/>
    <w:rsid w:val="00F8064C"/>
    <w:rsid w:val="00F808F9"/>
    <w:rsid w:val="00F92AAA"/>
    <w:rsid w:val="00FB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D85D9"/>
  <w15:chartTrackingRefBased/>
  <w15:docId w15:val="{E6764506-154C-4B73-9AB5-BA98BB233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09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9F8"/>
  </w:style>
  <w:style w:type="paragraph" w:styleId="Footer">
    <w:name w:val="footer"/>
    <w:basedOn w:val="Normal"/>
    <w:link w:val="FooterChar"/>
    <w:uiPriority w:val="99"/>
    <w:unhideWhenUsed/>
    <w:rsid w:val="006009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9F8"/>
  </w:style>
  <w:style w:type="paragraph" w:styleId="FootnoteText">
    <w:name w:val="footnote text"/>
    <w:basedOn w:val="Normal"/>
    <w:link w:val="FootnoteTextChar"/>
    <w:uiPriority w:val="99"/>
    <w:semiHidden/>
    <w:unhideWhenUsed/>
    <w:rsid w:val="00F656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561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656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E3F30-26E7-43F8-976A-013ADD10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4</Pages>
  <Words>2298</Words>
  <Characters>13102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Lawrence</dc:creator>
  <cp:keywords/>
  <dc:description/>
  <cp:lastModifiedBy>Samuel Lawrence</cp:lastModifiedBy>
  <cp:revision>153</cp:revision>
  <dcterms:created xsi:type="dcterms:W3CDTF">2020-05-26T16:18:00Z</dcterms:created>
  <dcterms:modified xsi:type="dcterms:W3CDTF">2020-05-29T20:00:00Z</dcterms:modified>
</cp:coreProperties>
</file>