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8623522" w14:textId="77777777" w:rsidR="009A1CF0" w:rsidRDefault="009A1CF0" w:rsidP="009A1CF0">
      <w:pPr>
        <w:pBdr>
          <w:bottom w:val="single" w:sz="4" w:space="1" w:color="auto"/>
        </w:pBdr>
        <w:jc w:val="center"/>
        <w:rPr>
          <w:b/>
          <w:sz w:val="32"/>
        </w:rPr>
      </w:pPr>
    </w:p>
    <w:p w14:paraId="6A9D5C66" w14:textId="77777777" w:rsidR="009A1CF0" w:rsidRDefault="009A1CF0" w:rsidP="009A1CF0">
      <w:pPr>
        <w:pBdr>
          <w:bottom w:val="single" w:sz="4" w:space="1" w:color="auto"/>
        </w:pBdr>
        <w:jc w:val="center"/>
        <w:rPr>
          <w:b/>
          <w:sz w:val="32"/>
        </w:rPr>
      </w:pPr>
    </w:p>
    <w:p w14:paraId="31EEA96B" w14:textId="77777777" w:rsidR="009A1CF0" w:rsidRDefault="009A1CF0" w:rsidP="009A1CF0">
      <w:pPr>
        <w:pBdr>
          <w:bottom w:val="single" w:sz="4" w:space="1" w:color="auto"/>
        </w:pBdr>
        <w:jc w:val="center"/>
        <w:rPr>
          <w:b/>
          <w:sz w:val="32"/>
        </w:rPr>
      </w:pPr>
    </w:p>
    <w:p w14:paraId="2BE64B15" w14:textId="77777777" w:rsidR="009A1CF0" w:rsidRDefault="009A1CF0" w:rsidP="009A1CF0">
      <w:pPr>
        <w:pBdr>
          <w:bottom w:val="single" w:sz="4" w:space="1" w:color="auto"/>
        </w:pBdr>
        <w:jc w:val="center"/>
        <w:rPr>
          <w:b/>
          <w:sz w:val="32"/>
        </w:rPr>
      </w:pPr>
    </w:p>
    <w:p w14:paraId="3CDB3CF8" w14:textId="77777777" w:rsidR="009A1CF0" w:rsidRDefault="009A1CF0" w:rsidP="009A1CF0">
      <w:pPr>
        <w:pBdr>
          <w:bottom w:val="single" w:sz="4" w:space="1" w:color="auto"/>
        </w:pBdr>
        <w:jc w:val="center"/>
        <w:rPr>
          <w:b/>
          <w:sz w:val="32"/>
        </w:rPr>
      </w:pPr>
    </w:p>
    <w:p w14:paraId="41BED5DA" w14:textId="77777777" w:rsidR="009A1CF0" w:rsidRDefault="009A1CF0" w:rsidP="009A1CF0">
      <w:pPr>
        <w:pBdr>
          <w:bottom w:val="single" w:sz="4" w:space="1" w:color="auto"/>
        </w:pBdr>
        <w:jc w:val="center"/>
        <w:rPr>
          <w:b/>
          <w:sz w:val="32"/>
        </w:rPr>
      </w:pPr>
    </w:p>
    <w:p w14:paraId="511EEB47" w14:textId="77777777" w:rsidR="009A1CF0" w:rsidRDefault="009A1CF0" w:rsidP="009A1CF0">
      <w:pPr>
        <w:pBdr>
          <w:bottom w:val="single" w:sz="4" w:space="1" w:color="auto"/>
        </w:pBdr>
        <w:jc w:val="center"/>
        <w:rPr>
          <w:b/>
          <w:sz w:val="32"/>
        </w:rPr>
      </w:pPr>
    </w:p>
    <w:p w14:paraId="2899CA04" w14:textId="60AEDFC7" w:rsidR="000F6A74" w:rsidRDefault="009A1CF0" w:rsidP="009A1CF0">
      <w:pPr>
        <w:pBdr>
          <w:bottom w:val="single" w:sz="4" w:space="1" w:color="auto"/>
        </w:pBdr>
        <w:jc w:val="center"/>
        <w:rPr>
          <w:b/>
        </w:rPr>
      </w:pPr>
      <w:r w:rsidRPr="009A1CF0">
        <w:rPr>
          <w:b/>
          <w:sz w:val="32"/>
        </w:rPr>
        <w:t>“Legal Process</w:t>
      </w:r>
      <w:r w:rsidR="00A72331">
        <w:rPr>
          <w:b/>
          <w:sz w:val="32"/>
        </w:rPr>
        <w:t xml:space="preserve"> (BMPL4011)</w:t>
      </w:r>
      <w:r w:rsidRPr="009A1CF0">
        <w:rPr>
          <w:b/>
          <w:sz w:val="32"/>
        </w:rPr>
        <w:t xml:space="preserve">” </w:t>
      </w:r>
      <w:r w:rsidR="000F6A74">
        <w:rPr>
          <w:b/>
        </w:rPr>
        <w:br w:type="page"/>
      </w:r>
    </w:p>
    <w:sdt>
      <w:sdtPr>
        <w:rPr>
          <w:rFonts w:ascii="Times New Roman" w:eastAsia="Times New Roman" w:hAnsi="Times New Roman" w:cs="Times New Roman"/>
          <w:b w:val="0"/>
          <w:bCs w:val="0"/>
          <w:color w:val="auto"/>
          <w:sz w:val="24"/>
          <w:szCs w:val="24"/>
          <w:lang w:val="en-GB" w:eastAsia="en-IN"/>
        </w:rPr>
        <w:id w:val="-1014845012"/>
        <w:docPartObj>
          <w:docPartGallery w:val="Table of Contents"/>
          <w:docPartUnique/>
        </w:docPartObj>
      </w:sdtPr>
      <w:sdtEndPr>
        <w:rPr>
          <w:noProof/>
        </w:rPr>
      </w:sdtEndPr>
      <w:sdtContent>
        <w:p w14:paraId="4F6D3738" w14:textId="0A0E4D8B" w:rsidR="009A1CF0" w:rsidRPr="009A1CF0" w:rsidRDefault="009A1CF0" w:rsidP="009A1CF0">
          <w:pPr>
            <w:pStyle w:val="TOCHeading"/>
            <w:jc w:val="center"/>
            <w:rPr>
              <w:rFonts w:ascii="Times New Roman" w:hAnsi="Times New Roman" w:cs="Times New Roman"/>
              <w:color w:val="000000" w:themeColor="text1"/>
            </w:rPr>
          </w:pPr>
          <w:r w:rsidRPr="009A1CF0">
            <w:rPr>
              <w:rFonts w:ascii="Times New Roman" w:hAnsi="Times New Roman" w:cs="Times New Roman"/>
              <w:color w:val="000000" w:themeColor="text1"/>
            </w:rPr>
            <w:t>Table of Contents</w:t>
          </w:r>
        </w:p>
        <w:p w14:paraId="6FE492A9" w14:textId="77777777" w:rsidR="009A1CF0" w:rsidRDefault="009A1CF0">
          <w:pPr>
            <w:pStyle w:val="TOC1"/>
            <w:tabs>
              <w:tab w:val="right" w:leader="dot" w:pos="9016"/>
            </w:tabs>
            <w:rPr>
              <w:noProof/>
            </w:rPr>
          </w:pPr>
          <w:r>
            <w:fldChar w:fldCharType="begin"/>
          </w:r>
          <w:r>
            <w:instrText xml:space="preserve"> TOC \o "1-3" \h \z \u </w:instrText>
          </w:r>
          <w:r>
            <w:fldChar w:fldCharType="separate"/>
          </w:r>
          <w:hyperlink w:anchor="_Toc129258898" w:history="1">
            <w:r w:rsidRPr="004A0C4E">
              <w:rPr>
                <w:rStyle w:val="Hyperlink"/>
                <w:noProof/>
              </w:rPr>
              <w:t>Introduction</w:t>
            </w:r>
            <w:r>
              <w:rPr>
                <w:noProof/>
                <w:webHidden/>
              </w:rPr>
              <w:tab/>
            </w:r>
            <w:r>
              <w:rPr>
                <w:noProof/>
                <w:webHidden/>
              </w:rPr>
              <w:fldChar w:fldCharType="begin"/>
            </w:r>
            <w:r>
              <w:rPr>
                <w:noProof/>
                <w:webHidden/>
              </w:rPr>
              <w:instrText xml:space="preserve"> PAGEREF _Toc129258898 \h </w:instrText>
            </w:r>
            <w:r>
              <w:rPr>
                <w:noProof/>
                <w:webHidden/>
              </w:rPr>
            </w:r>
            <w:r>
              <w:rPr>
                <w:noProof/>
                <w:webHidden/>
              </w:rPr>
              <w:fldChar w:fldCharType="separate"/>
            </w:r>
            <w:r>
              <w:rPr>
                <w:noProof/>
                <w:webHidden/>
              </w:rPr>
              <w:t>3</w:t>
            </w:r>
            <w:r>
              <w:rPr>
                <w:noProof/>
                <w:webHidden/>
              </w:rPr>
              <w:fldChar w:fldCharType="end"/>
            </w:r>
          </w:hyperlink>
        </w:p>
        <w:p w14:paraId="2EDB4805" w14:textId="77777777" w:rsidR="009A1CF0" w:rsidRDefault="00000000">
          <w:pPr>
            <w:pStyle w:val="TOC1"/>
            <w:tabs>
              <w:tab w:val="right" w:leader="dot" w:pos="9016"/>
            </w:tabs>
            <w:rPr>
              <w:noProof/>
            </w:rPr>
          </w:pPr>
          <w:hyperlink w:anchor="_Toc129258899" w:history="1">
            <w:r w:rsidR="009A1CF0" w:rsidRPr="004A0C4E">
              <w:rPr>
                <w:rStyle w:val="Hyperlink"/>
                <w:noProof/>
              </w:rPr>
              <w:t>Discussions</w:t>
            </w:r>
            <w:r w:rsidR="009A1CF0">
              <w:rPr>
                <w:noProof/>
                <w:webHidden/>
              </w:rPr>
              <w:tab/>
            </w:r>
            <w:r w:rsidR="009A1CF0">
              <w:rPr>
                <w:noProof/>
                <w:webHidden/>
              </w:rPr>
              <w:fldChar w:fldCharType="begin"/>
            </w:r>
            <w:r w:rsidR="009A1CF0">
              <w:rPr>
                <w:noProof/>
                <w:webHidden/>
              </w:rPr>
              <w:instrText xml:space="preserve"> PAGEREF _Toc129258899 \h </w:instrText>
            </w:r>
            <w:r w:rsidR="009A1CF0">
              <w:rPr>
                <w:noProof/>
                <w:webHidden/>
              </w:rPr>
            </w:r>
            <w:r w:rsidR="009A1CF0">
              <w:rPr>
                <w:noProof/>
                <w:webHidden/>
              </w:rPr>
              <w:fldChar w:fldCharType="separate"/>
            </w:r>
            <w:r w:rsidR="009A1CF0">
              <w:rPr>
                <w:noProof/>
                <w:webHidden/>
              </w:rPr>
              <w:t>3</w:t>
            </w:r>
            <w:r w:rsidR="009A1CF0">
              <w:rPr>
                <w:noProof/>
                <w:webHidden/>
              </w:rPr>
              <w:fldChar w:fldCharType="end"/>
            </w:r>
          </w:hyperlink>
        </w:p>
        <w:p w14:paraId="2D66AD93" w14:textId="77777777" w:rsidR="009A1CF0" w:rsidRDefault="00000000">
          <w:pPr>
            <w:pStyle w:val="TOC1"/>
            <w:tabs>
              <w:tab w:val="right" w:leader="dot" w:pos="9016"/>
            </w:tabs>
            <w:rPr>
              <w:noProof/>
            </w:rPr>
          </w:pPr>
          <w:hyperlink w:anchor="_Toc129258900" w:history="1">
            <w:r w:rsidR="009A1CF0" w:rsidRPr="004A0C4E">
              <w:rPr>
                <w:rStyle w:val="Hyperlink"/>
                <w:noProof/>
              </w:rPr>
              <w:t>Conclusions</w:t>
            </w:r>
            <w:r w:rsidR="009A1CF0">
              <w:rPr>
                <w:noProof/>
                <w:webHidden/>
              </w:rPr>
              <w:tab/>
            </w:r>
            <w:r w:rsidR="009A1CF0">
              <w:rPr>
                <w:noProof/>
                <w:webHidden/>
              </w:rPr>
              <w:fldChar w:fldCharType="begin"/>
            </w:r>
            <w:r w:rsidR="009A1CF0">
              <w:rPr>
                <w:noProof/>
                <w:webHidden/>
              </w:rPr>
              <w:instrText xml:space="preserve"> PAGEREF _Toc129258900 \h </w:instrText>
            </w:r>
            <w:r w:rsidR="009A1CF0">
              <w:rPr>
                <w:noProof/>
                <w:webHidden/>
              </w:rPr>
            </w:r>
            <w:r w:rsidR="009A1CF0">
              <w:rPr>
                <w:noProof/>
                <w:webHidden/>
              </w:rPr>
              <w:fldChar w:fldCharType="separate"/>
            </w:r>
            <w:r w:rsidR="009A1CF0">
              <w:rPr>
                <w:noProof/>
                <w:webHidden/>
              </w:rPr>
              <w:t>6</w:t>
            </w:r>
            <w:r w:rsidR="009A1CF0">
              <w:rPr>
                <w:noProof/>
                <w:webHidden/>
              </w:rPr>
              <w:fldChar w:fldCharType="end"/>
            </w:r>
          </w:hyperlink>
        </w:p>
        <w:p w14:paraId="571DBE5D" w14:textId="77777777" w:rsidR="009A1CF0" w:rsidRDefault="00000000">
          <w:pPr>
            <w:pStyle w:val="TOC1"/>
            <w:tabs>
              <w:tab w:val="right" w:leader="dot" w:pos="9016"/>
            </w:tabs>
            <w:rPr>
              <w:noProof/>
            </w:rPr>
          </w:pPr>
          <w:hyperlink w:anchor="_Toc129258901" w:history="1">
            <w:r w:rsidR="009A1CF0" w:rsidRPr="004A0C4E">
              <w:rPr>
                <w:rStyle w:val="Hyperlink"/>
                <w:noProof/>
              </w:rPr>
              <w:t>References</w:t>
            </w:r>
            <w:r w:rsidR="009A1CF0">
              <w:rPr>
                <w:noProof/>
                <w:webHidden/>
              </w:rPr>
              <w:tab/>
            </w:r>
            <w:r w:rsidR="009A1CF0">
              <w:rPr>
                <w:noProof/>
                <w:webHidden/>
              </w:rPr>
              <w:fldChar w:fldCharType="begin"/>
            </w:r>
            <w:r w:rsidR="009A1CF0">
              <w:rPr>
                <w:noProof/>
                <w:webHidden/>
              </w:rPr>
              <w:instrText xml:space="preserve"> PAGEREF _Toc129258901 \h </w:instrText>
            </w:r>
            <w:r w:rsidR="009A1CF0">
              <w:rPr>
                <w:noProof/>
                <w:webHidden/>
              </w:rPr>
            </w:r>
            <w:r w:rsidR="009A1CF0">
              <w:rPr>
                <w:noProof/>
                <w:webHidden/>
              </w:rPr>
              <w:fldChar w:fldCharType="separate"/>
            </w:r>
            <w:r w:rsidR="009A1CF0">
              <w:rPr>
                <w:noProof/>
                <w:webHidden/>
              </w:rPr>
              <w:t>7</w:t>
            </w:r>
            <w:r w:rsidR="009A1CF0">
              <w:rPr>
                <w:noProof/>
                <w:webHidden/>
              </w:rPr>
              <w:fldChar w:fldCharType="end"/>
            </w:r>
          </w:hyperlink>
        </w:p>
        <w:p w14:paraId="2BEC4180" w14:textId="2B1CC715" w:rsidR="009A1CF0" w:rsidRDefault="009A1CF0">
          <w:r>
            <w:rPr>
              <w:b/>
              <w:bCs/>
              <w:noProof/>
            </w:rPr>
            <w:fldChar w:fldCharType="end"/>
          </w:r>
        </w:p>
      </w:sdtContent>
    </w:sdt>
    <w:p w14:paraId="0D7E807A" w14:textId="77777777" w:rsidR="000F6A74" w:rsidRDefault="000F6A74">
      <w:pPr>
        <w:rPr>
          <w:b/>
        </w:rPr>
      </w:pPr>
      <w:r>
        <w:rPr>
          <w:b/>
        </w:rPr>
        <w:br w:type="page"/>
      </w:r>
    </w:p>
    <w:p w14:paraId="00000001" w14:textId="2EE7CBB4" w:rsidR="007208D9" w:rsidRDefault="00E368DB" w:rsidP="000F6A74">
      <w:pPr>
        <w:pStyle w:val="Heading1"/>
      </w:pPr>
      <w:bookmarkStart w:id="0" w:name="_Toc129258898"/>
      <w:r w:rsidRPr="000F6A74">
        <w:lastRenderedPageBreak/>
        <w:t>Introduction</w:t>
      </w:r>
      <w:bookmarkEnd w:id="0"/>
      <w:r>
        <w:t xml:space="preserve"> </w:t>
      </w:r>
    </w:p>
    <w:p w14:paraId="00000002" w14:textId="77777777" w:rsidR="007208D9" w:rsidRDefault="00E368DB">
      <w:pPr>
        <w:rPr>
          <w:b/>
        </w:rPr>
      </w:pPr>
      <w:r>
        <w:t>According to legal identification, the presence of common law is basically initiated as a body of customary law support which is structured based on judicial decisions and it is mainly intended to embody the decided cases associated with administrative support. In general, the presence of English law is used to identify the basic legal system related to the United Kingdom which is structured in association with the basic purpose of legal stability and a proper justice formulation in the entire nation. The presence of English law is mainly recognised as the identified presence of a common legal system that is initiated for maintaining formulated legal approach associated with supportive provisional engagement (</w:t>
      </w:r>
      <w:r>
        <w:rPr>
          <w:color w:val="222222"/>
          <w:highlight w:val="white"/>
        </w:rPr>
        <w:t xml:space="preserve">Salhi </w:t>
      </w:r>
      <w:r>
        <w:rPr>
          <w:i/>
          <w:color w:val="222222"/>
          <w:highlight w:val="white"/>
        </w:rPr>
        <w:t>et al.,</w:t>
      </w:r>
      <w:r>
        <w:rPr>
          <w:color w:val="222222"/>
          <w:highlight w:val="white"/>
        </w:rPr>
        <w:t xml:space="preserve"> 2020)</w:t>
      </w:r>
      <w:r>
        <w:t xml:space="preserve">. In accordance with the general understanding approach the basic criminal cases are generally formulated in the presence of a Magistrates' court, on the other hand, the basic criminal matters are sent to the Crown Court. In this essay mainly the legal identification related to the United Kingdom is evaluated with the presence of such relevant legal processing can be evaluated. </w:t>
      </w:r>
    </w:p>
    <w:p w14:paraId="00000003" w14:textId="77777777" w:rsidR="007208D9" w:rsidRDefault="00E368DB" w:rsidP="000F6A74">
      <w:pPr>
        <w:pStyle w:val="Heading1"/>
      </w:pPr>
      <w:bookmarkStart w:id="1" w:name="_Toc129258899"/>
      <w:r>
        <w:t>Discussions</w:t>
      </w:r>
      <w:bookmarkEnd w:id="1"/>
      <w:r>
        <w:t xml:space="preserve"> </w:t>
      </w:r>
    </w:p>
    <w:p w14:paraId="00000004" w14:textId="527C2FF9" w:rsidR="007208D9" w:rsidRDefault="00E368DB">
      <w:r>
        <w:t xml:space="preserve">Following the general identification the presence of common law is one of the primary and systematic approaches which </w:t>
      </w:r>
      <w:r w:rsidR="000F6A74">
        <w:t>are</w:t>
      </w:r>
      <w:r>
        <w:t xml:space="preserve"> initiated to provide a proper constitutional engagement in the United Kingdom. It is also recognised as a “Judge made law” approach with the presence of such positive legal contextual support including the relevant legal structural approach on an adequate basis. The identified presence of “Common law emphasizes precedent while allowing some freedom for interpretation along with a stable processing approach following the standardised value” (</w:t>
      </w:r>
      <w:r>
        <w:rPr>
          <w:color w:val="222222"/>
          <w:highlight w:val="white"/>
        </w:rPr>
        <w:t>Partington, 2021)</w:t>
      </w:r>
      <w:r>
        <w:t xml:space="preserve">. In the United Kingdom, with the presence of the British monarchy, proper maintenance and formulation of legal provisional processing are initiated that maintain the optimised performance growth on an adequate basis. Generally, England and Wales are used to structures along with the processing engagement of a common legal system with the presence of such a formulated combined legislative approach including and creation of precedents approach is also initiated in a practical basis. </w:t>
      </w:r>
    </w:p>
    <w:p w14:paraId="00000005" w14:textId="77777777" w:rsidR="007208D9" w:rsidRDefault="00E368DB">
      <w:r>
        <w:t xml:space="preserve">According to the general identifications, the presence of common law is also recognised as an Anglo-American legal engagement with the formulation support of customary body that initiated with the processing of judicial decision engagement. Primary processing of this particular legal approach is formulated with the presence of the common law Court of England basis with the identification of which illegal compatibility and the stability approach can be balanced. In general order, it is recognised as the identified legal system which is </w:t>
      </w:r>
      <w:r>
        <w:lastRenderedPageBreak/>
        <w:t>formulated from Civil law support to maintain a proper Continental Europe and some other areas of the nation on a systematic provisional basis (</w:t>
      </w:r>
      <w:r>
        <w:rPr>
          <w:color w:val="222222"/>
          <w:highlight w:val="white"/>
        </w:rPr>
        <w:t>Sánchez-Monedero</w:t>
      </w:r>
      <w:r>
        <w:rPr>
          <w:i/>
          <w:color w:val="222222"/>
          <w:highlight w:val="white"/>
        </w:rPr>
        <w:t xml:space="preserve"> et al.,</w:t>
      </w:r>
      <w:r>
        <w:rPr>
          <w:color w:val="222222"/>
          <w:highlight w:val="white"/>
        </w:rPr>
        <w:t xml:space="preserve"> 2020)</w:t>
      </w:r>
      <w:r>
        <w:t xml:space="preserve">. </w:t>
      </w:r>
    </w:p>
    <w:p w14:paraId="00000006" w14:textId="77777777" w:rsidR="007208D9" w:rsidRDefault="00E368DB">
      <w:r>
        <w:t>Associated with the general engagement the primary presence of civil law is particularly recognised as a part of countries which is concerned about the private affairs of citizens and other associated aspects related to property ownership. In other words, it basically indicates the presence of such legal provisional engagement with the involvement of which positive maintenance related to the legal approach of an individual person can be initiated other than crime. For example; provisions related to marriage. Unlike the presence of criminal law, losing a civil case generally does not initiate the approach of imprisonment; however, it generally causes penalties or compensation mainly (</w:t>
      </w:r>
      <w:r>
        <w:rPr>
          <w:color w:val="222222"/>
          <w:highlight w:val="white"/>
        </w:rPr>
        <w:t xml:space="preserve">Chouaibi </w:t>
      </w:r>
      <w:r>
        <w:rPr>
          <w:i/>
          <w:color w:val="222222"/>
          <w:highlight w:val="white"/>
        </w:rPr>
        <w:t>et al.</w:t>
      </w:r>
      <w:r>
        <w:rPr>
          <w:color w:val="222222"/>
          <w:highlight w:val="white"/>
        </w:rPr>
        <w:t>, 2022)</w:t>
      </w:r>
      <w:r>
        <w:t xml:space="preserve">. The identification and processing of this type of legal approach are initiated in order to provide a proper rectification approach related to the unfair situation in order to maintain proper stability and the associated progressive system. In the United Kingdom to formulate the basic civil provisional engagement the application of the Civil Procedure Act 1997 is mainly noticed that is initiated for the maintenance and processing approach regarding the legal positivity approach mainly. Generally, the identification of Civil Procedure Rules or CPR is noticed to maintain the legal contextual approach that is initiated for the development including a formulated operating approach on a practical basis. </w:t>
      </w:r>
    </w:p>
    <w:p w14:paraId="00000007" w14:textId="73736AC0" w:rsidR="007208D9" w:rsidRDefault="00E368DB">
      <w:r>
        <w:t xml:space="preserve">According to the basic identification approach, the primary presence of the common laws system does not provide any written constitutions on codified provisional support depending on which some of the basic guidelines can be identified. Fundamental the presence of this legal approach is initiated to identify the judicial decisions support that is initiated for proper decision-making approach and a positive volume of Legislative Framework related to the performance initiative processing mainly. Identifying the presence of this type of engagement is initiated with the extensive freedom of contract engagement as well as a positive and less prescriptive approach with the engagement of which </w:t>
      </w:r>
      <w:r w:rsidR="000F6A74">
        <w:t>positive</w:t>
      </w:r>
      <w:r>
        <w:t xml:space="preserve"> formulated performance stability can be initiated (</w:t>
      </w:r>
      <w:r>
        <w:rPr>
          <w:color w:val="222222"/>
          <w:highlight w:val="white"/>
        </w:rPr>
        <w:t>Palombo, 2019)</w:t>
      </w:r>
      <w:r>
        <w:t xml:space="preserve">. With the identification of this particular legal provisional engagement, the government can initiate or enshrine protections for its citizens on an adequate basis that is sustainable for developing the Infrastructure approach in a more developing order.  The presence of this type of engagement is also used to formulate a proper legal and regulations approach which is sustainable for initiating strong provisional processing in a formulated order. </w:t>
      </w:r>
    </w:p>
    <w:p w14:paraId="00000008" w14:textId="77777777" w:rsidR="007208D9" w:rsidRDefault="00E368DB">
      <w:r>
        <w:t xml:space="preserve">The appearance and processing support of the civil law system is generally recognised as a retained constitution approach along with some specific code support which is initiated in </w:t>
      </w:r>
      <w:r>
        <w:lastRenderedPageBreak/>
        <w:t>order to formulate and enshrine basic rights and duties. In the United Kingdom, the presence of this type of legal approach is initiated to administrative formulations and a less codified approach to maintain the positive attribute regarding effective judgemental initiatives (</w:t>
      </w:r>
      <w:r>
        <w:rPr>
          <w:color w:val="222222"/>
          <w:highlight w:val="white"/>
        </w:rPr>
        <w:t>Peers, 2020)</w:t>
      </w:r>
      <w:r>
        <w:t xml:space="preserve">. It also considered supportive legislative enactments that provide a systematic volume of performance efficiency related to both the commercials and civil approach. The presence of this type of engagement is also used to provide some of the constitutional engagement with nullifying laws and regulation support to maintain a support decision approach. </w:t>
      </w:r>
    </w:p>
    <w:p w14:paraId="00000009" w14:textId="06F7E691" w:rsidR="007208D9" w:rsidRDefault="00E368DB">
      <w:pPr>
        <w:rPr>
          <w:b/>
        </w:rPr>
      </w:pPr>
      <w:r>
        <w:t xml:space="preserve">The primary engagement and origin of English common law in the United Kingdom were initiated in the period of the “early Middle Ages in the King’s Court (Curia Regis)” which mainly considered a single royal court initiated in Westminster. Generally, the involvement of this legal system did not consist of any substantial rights but it used to provide some remedial </w:t>
      </w:r>
      <w:r w:rsidR="000F6A74">
        <w:t>processing</w:t>
      </w:r>
      <w:r>
        <w:t xml:space="preserve"> which can be initiated to maintain sustainability support on a developing basis.  With the engagement of processing some of the remedial actions during the 19th century, the English common law was constituted fundamentally with the support of some judges rather than legislators (</w:t>
      </w:r>
      <w:r>
        <w:rPr>
          <w:color w:val="222222"/>
          <w:highlight w:val="white"/>
        </w:rPr>
        <w:t>James and Mohay, 2019)</w:t>
      </w:r>
      <w:r>
        <w:t xml:space="preserve">. </w:t>
      </w:r>
      <w:r w:rsidR="000F6A74">
        <w:t>The English</w:t>
      </w:r>
      <w:r>
        <w:t xml:space="preserve"> common law was generally created after the period of the Norman </w:t>
      </w:r>
      <w:r w:rsidR="000F6A74">
        <w:t>Conquest</w:t>
      </w:r>
      <w:r>
        <w:t xml:space="preserve"> related to the period of 1066. According to basic historical identification, the general presence of the “Anglo-Saxons, especially after the accession of Alfred the Great had developed a body of rules resembling those being used by the Germanic peoples of northern Europe. Local customs governed most matters, while the church played a large part in government”. After that in 1215 the “nobles of England Mainly used to force the king to sign the great charter to take power from the king and give some of it to the nobles and people with the intention of Democracy approach mainly. After that in 1533, Henry VIII established the Church of England by initiating the closure of the </w:t>
      </w:r>
      <w:r w:rsidR="000F6A74">
        <w:t>Catholic Church</w:t>
      </w:r>
      <w:r>
        <w:t xml:space="preserve"> and serving the country with the engagement of the pope for maintaining the power of the king effectively. After that, during 1651, the English Civil War replaced the king's place and made the Parliament powerful to formulate the legislative Framework in a strong order and also initiate its stability approach related to the law formulations in the United Kingdom effectively (Rai, 2019). After that, in 1973, Britain joined the European Union intending to surrender parliamentary sovereignty to Brussels mainly. Since that period the general engagement of the basic provisional approach related to the European Union has been initiated along with a proper volume of the Legislative Framework basis. With the initiative of this type of engagement, structural development including a proper constitutional processing approach is also initiated that provides a positive accountability system related to the legal formulation. The identification and engagement of </w:t>
      </w:r>
      <w:r>
        <w:lastRenderedPageBreak/>
        <w:t>this type of approach are also initiated to structure the stability as well as some of the legislative frameworks in a more developing order depending on such positivity and the stability approach related to the judgemental effect can also be initiated on a developing basis (</w:t>
      </w:r>
      <w:r>
        <w:rPr>
          <w:color w:val="222222"/>
          <w:highlight w:val="white"/>
        </w:rPr>
        <w:t xml:space="preserve">Fahy </w:t>
      </w:r>
      <w:r>
        <w:rPr>
          <w:i/>
          <w:color w:val="222222"/>
          <w:highlight w:val="white"/>
        </w:rPr>
        <w:t>et al.</w:t>
      </w:r>
      <w:r>
        <w:rPr>
          <w:color w:val="222222"/>
          <w:highlight w:val="white"/>
        </w:rPr>
        <w:t>, 2019)</w:t>
      </w:r>
      <w:r>
        <w:t xml:space="preserve">.  The primary environment of this type of common law is also initiated to maintain the stability and sustainability positions as well which is influential for maintaining the legal contextual engagement mainly. </w:t>
      </w:r>
    </w:p>
    <w:p w14:paraId="0000000A" w14:textId="77777777" w:rsidR="007208D9" w:rsidRDefault="00E368DB" w:rsidP="000F6A74">
      <w:pPr>
        <w:pStyle w:val="Heading1"/>
      </w:pPr>
      <w:bookmarkStart w:id="2" w:name="_Toc129258900"/>
      <w:r>
        <w:t>Conclusions</w:t>
      </w:r>
      <w:bookmarkEnd w:id="2"/>
      <w:r>
        <w:t xml:space="preserve"> </w:t>
      </w:r>
    </w:p>
    <w:p w14:paraId="0000000B" w14:textId="77777777" w:rsidR="007208D9" w:rsidRDefault="00E368DB">
      <w:r>
        <w:t xml:space="preserve">Primary engagement related to positive legal attributes is initiated for maintaining a proper volume of accountability positions including the stability approach in individual Nations. In the present situation, the engagement of the UK legal system associated with the presence of common law and civil law is initiated to provide a proper structure approach and legally formulated growth initiative structure mainly which is influential for maintaining the legislative guidance including some of the legal attributes in a more developing basis. It also provides the stability and sustainability formulations related to the national engagement on a developing basis which is initiated to maintain a positive approach and a proper community. </w:t>
      </w:r>
    </w:p>
    <w:p w14:paraId="491371C1" w14:textId="09FFE41D" w:rsidR="000F6A74" w:rsidRDefault="000F6A74">
      <w:r>
        <w:br w:type="page"/>
      </w:r>
    </w:p>
    <w:p w14:paraId="38DEEEB3" w14:textId="5E705B66" w:rsidR="000F6A74" w:rsidRPr="000F6A74" w:rsidRDefault="000F6A74" w:rsidP="000F6A74">
      <w:pPr>
        <w:pStyle w:val="Heading1"/>
      </w:pPr>
      <w:bookmarkStart w:id="3" w:name="_Toc129258901"/>
      <w:r w:rsidRPr="000F6A74">
        <w:lastRenderedPageBreak/>
        <w:t>References</w:t>
      </w:r>
      <w:bookmarkEnd w:id="3"/>
    </w:p>
    <w:p w14:paraId="0210578E" w14:textId="77777777" w:rsidR="000F6A74" w:rsidRPr="006442F1" w:rsidRDefault="000F6A74" w:rsidP="000F6A74">
      <w:pPr>
        <w:pStyle w:val="NoSpacing"/>
        <w:spacing w:line="360" w:lineRule="auto"/>
        <w:rPr>
          <w:shd w:val="clear" w:color="auto" w:fill="FFFFFF"/>
        </w:rPr>
      </w:pPr>
      <w:r w:rsidRPr="006442F1">
        <w:rPr>
          <w:shd w:val="clear" w:color="auto" w:fill="FFFFFF"/>
        </w:rPr>
        <w:t>Chouaibi, S., Chouaibi, J. and Rossi, M., 2022. ESG and corporate financial performance: The mediating role of green innovation: UK common law versus Germany civil law. </w:t>
      </w:r>
      <w:proofErr w:type="spellStart"/>
      <w:r w:rsidRPr="006442F1">
        <w:rPr>
          <w:i/>
          <w:iCs/>
          <w:shd w:val="clear" w:color="auto" w:fill="FFFFFF"/>
        </w:rPr>
        <w:t>EuroMed</w:t>
      </w:r>
      <w:proofErr w:type="spellEnd"/>
      <w:r w:rsidRPr="006442F1">
        <w:rPr>
          <w:i/>
          <w:iCs/>
          <w:shd w:val="clear" w:color="auto" w:fill="FFFFFF"/>
        </w:rPr>
        <w:t xml:space="preserve"> Journal of Business</w:t>
      </w:r>
      <w:r w:rsidRPr="006442F1">
        <w:rPr>
          <w:shd w:val="clear" w:color="auto" w:fill="FFFFFF"/>
        </w:rPr>
        <w:t>, </w:t>
      </w:r>
      <w:r w:rsidRPr="006442F1">
        <w:rPr>
          <w:i/>
          <w:iCs/>
          <w:shd w:val="clear" w:color="auto" w:fill="FFFFFF"/>
        </w:rPr>
        <w:t>17</w:t>
      </w:r>
      <w:r w:rsidRPr="006442F1">
        <w:rPr>
          <w:shd w:val="clear" w:color="auto" w:fill="FFFFFF"/>
        </w:rPr>
        <w:t>(1), pp.46-71.</w:t>
      </w:r>
    </w:p>
    <w:p w14:paraId="47FB8308" w14:textId="77777777" w:rsidR="000F6A74" w:rsidRDefault="000F6A74" w:rsidP="000F6A74">
      <w:pPr>
        <w:pStyle w:val="NoSpacing"/>
        <w:spacing w:line="360" w:lineRule="auto"/>
        <w:rPr>
          <w:shd w:val="clear" w:color="auto" w:fill="FFFFFF"/>
        </w:rPr>
      </w:pPr>
      <w:r w:rsidRPr="006442F1">
        <w:rPr>
          <w:shd w:val="clear" w:color="auto" w:fill="FFFFFF"/>
        </w:rPr>
        <w:t xml:space="preserve">Fahy, N., Hervey, T., Greer, S., </w:t>
      </w:r>
      <w:proofErr w:type="spellStart"/>
      <w:r w:rsidRPr="006442F1">
        <w:rPr>
          <w:shd w:val="clear" w:color="auto" w:fill="FFFFFF"/>
        </w:rPr>
        <w:t>Jarman</w:t>
      </w:r>
      <w:proofErr w:type="spellEnd"/>
      <w:r w:rsidRPr="006442F1">
        <w:rPr>
          <w:shd w:val="clear" w:color="auto" w:fill="FFFFFF"/>
        </w:rPr>
        <w:t xml:space="preserve">, H., </w:t>
      </w:r>
      <w:proofErr w:type="spellStart"/>
      <w:r w:rsidRPr="006442F1">
        <w:rPr>
          <w:shd w:val="clear" w:color="auto" w:fill="FFFFFF"/>
        </w:rPr>
        <w:t>Stuckler</w:t>
      </w:r>
      <w:proofErr w:type="spellEnd"/>
      <w:r w:rsidRPr="006442F1">
        <w:rPr>
          <w:shd w:val="clear" w:color="auto" w:fill="FFFFFF"/>
        </w:rPr>
        <w:t>, D., Galsworthy, M. and McKee, M., 2019. How will Brexit affect health services in the UK? An updated evaluation. </w:t>
      </w:r>
      <w:r w:rsidRPr="006442F1">
        <w:rPr>
          <w:i/>
          <w:iCs/>
          <w:shd w:val="clear" w:color="auto" w:fill="FFFFFF"/>
        </w:rPr>
        <w:t>The Lancet</w:t>
      </w:r>
      <w:r w:rsidRPr="006442F1">
        <w:rPr>
          <w:shd w:val="clear" w:color="auto" w:fill="FFFFFF"/>
        </w:rPr>
        <w:t>, </w:t>
      </w:r>
      <w:r w:rsidRPr="006442F1">
        <w:rPr>
          <w:i/>
          <w:iCs/>
          <w:shd w:val="clear" w:color="auto" w:fill="FFFFFF"/>
        </w:rPr>
        <w:t>393</w:t>
      </w:r>
      <w:r w:rsidRPr="006442F1">
        <w:rPr>
          <w:shd w:val="clear" w:color="auto" w:fill="FFFFFF"/>
        </w:rPr>
        <w:t>(10174), pp.949-958.</w:t>
      </w:r>
    </w:p>
    <w:p w14:paraId="16DE9657" w14:textId="77777777" w:rsidR="000F6A74" w:rsidRPr="006442F1" w:rsidRDefault="000F6A74" w:rsidP="000F6A74">
      <w:pPr>
        <w:pStyle w:val="NoSpacing"/>
        <w:spacing w:line="360" w:lineRule="auto"/>
        <w:rPr>
          <w:shd w:val="clear" w:color="auto" w:fill="FFFFFF"/>
        </w:rPr>
      </w:pPr>
      <w:r w:rsidRPr="006442F1">
        <w:rPr>
          <w:shd w:val="clear" w:color="auto" w:fill="FFFFFF"/>
        </w:rPr>
        <w:t xml:space="preserve">James, C. and Mohay, A., 2019. Mobility and residence rights after Brexit: the positions of EU citizens in the UK and UK citizens in Hungary and the EU: what can we </w:t>
      </w:r>
      <w:proofErr w:type="gramStart"/>
      <w:r w:rsidRPr="006442F1">
        <w:rPr>
          <w:shd w:val="clear" w:color="auto" w:fill="FFFFFF"/>
        </w:rPr>
        <w:t>say?.</w:t>
      </w:r>
      <w:proofErr w:type="gramEnd"/>
      <w:r w:rsidRPr="006442F1">
        <w:rPr>
          <w:shd w:val="clear" w:color="auto" w:fill="FFFFFF"/>
        </w:rPr>
        <w:t xml:space="preserve"> Centre for European Research and Education of the Faculty of Law of the University of </w:t>
      </w:r>
      <w:proofErr w:type="spellStart"/>
      <w:r w:rsidRPr="006442F1">
        <w:rPr>
          <w:shd w:val="clear" w:color="auto" w:fill="FFFFFF"/>
        </w:rPr>
        <w:t>Pécs</w:t>
      </w:r>
      <w:proofErr w:type="spellEnd"/>
      <w:r w:rsidRPr="006442F1">
        <w:rPr>
          <w:shd w:val="clear" w:color="auto" w:fill="FFFFFF"/>
        </w:rPr>
        <w:t>.</w:t>
      </w:r>
    </w:p>
    <w:p w14:paraId="743A3635" w14:textId="77777777" w:rsidR="000F6A74" w:rsidRPr="006442F1" w:rsidRDefault="000F6A74" w:rsidP="000F6A74">
      <w:pPr>
        <w:pStyle w:val="NoSpacing"/>
        <w:spacing w:line="360" w:lineRule="auto"/>
        <w:rPr>
          <w:shd w:val="clear" w:color="auto" w:fill="FFFFFF"/>
        </w:rPr>
      </w:pPr>
      <w:r w:rsidRPr="006442F1">
        <w:rPr>
          <w:shd w:val="clear" w:color="auto" w:fill="FFFFFF"/>
        </w:rPr>
        <w:t>Palombo, D., 2019. The duty of care of the parent company: A comparison between French law, UK precedents and the Swiss proposals. </w:t>
      </w:r>
      <w:r w:rsidRPr="006442F1">
        <w:rPr>
          <w:i/>
          <w:iCs/>
          <w:shd w:val="clear" w:color="auto" w:fill="FFFFFF"/>
        </w:rPr>
        <w:t>Business and Human Rights Journal</w:t>
      </w:r>
      <w:r w:rsidRPr="006442F1">
        <w:rPr>
          <w:shd w:val="clear" w:color="auto" w:fill="FFFFFF"/>
        </w:rPr>
        <w:t>, </w:t>
      </w:r>
      <w:r w:rsidRPr="006442F1">
        <w:rPr>
          <w:i/>
          <w:iCs/>
          <w:shd w:val="clear" w:color="auto" w:fill="FFFFFF"/>
        </w:rPr>
        <w:t>4</w:t>
      </w:r>
      <w:r w:rsidRPr="006442F1">
        <w:rPr>
          <w:shd w:val="clear" w:color="auto" w:fill="FFFFFF"/>
        </w:rPr>
        <w:t>(2), pp.265-286.</w:t>
      </w:r>
    </w:p>
    <w:p w14:paraId="783E8EB4" w14:textId="77777777" w:rsidR="000F6A74" w:rsidRPr="006442F1" w:rsidRDefault="000F6A74" w:rsidP="000F6A74">
      <w:pPr>
        <w:pStyle w:val="NoSpacing"/>
        <w:spacing w:line="360" w:lineRule="auto"/>
        <w:rPr>
          <w:shd w:val="clear" w:color="auto" w:fill="FFFFFF"/>
        </w:rPr>
      </w:pPr>
      <w:r w:rsidRPr="006442F1">
        <w:rPr>
          <w:shd w:val="clear" w:color="auto" w:fill="FFFFFF"/>
        </w:rPr>
        <w:t>Partington, M., 2021. </w:t>
      </w:r>
      <w:r w:rsidRPr="006442F1">
        <w:rPr>
          <w:i/>
          <w:iCs/>
          <w:shd w:val="clear" w:color="auto" w:fill="FFFFFF"/>
        </w:rPr>
        <w:t>Introduction to the English legal system</w:t>
      </w:r>
      <w:r w:rsidRPr="006442F1">
        <w:rPr>
          <w:shd w:val="clear" w:color="auto" w:fill="FFFFFF"/>
        </w:rPr>
        <w:t>. Oxford University Press.</w:t>
      </w:r>
    </w:p>
    <w:p w14:paraId="12F58E8C" w14:textId="77777777" w:rsidR="000F6A74" w:rsidRPr="006442F1" w:rsidRDefault="000F6A74" w:rsidP="000F6A74">
      <w:pPr>
        <w:pStyle w:val="NoSpacing"/>
        <w:spacing w:line="360" w:lineRule="auto"/>
        <w:rPr>
          <w:shd w:val="clear" w:color="auto" w:fill="FFFFFF"/>
        </w:rPr>
      </w:pPr>
      <w:r w:rsidRPr="006442F1">
        <w:rPr>
          <w:shd w:val="clear" w:color="auto" w:fill="FFFFFF"/>
        </w:rPr>
        <w:t>Peers, S., 2020. The End-or a New Beginning? The EU/UK Withdrawal Agreement. </w:t>
      </w:r>
      <w:r w:rsidRPr="006442F1">
        <w:rPr>
          <w:i/>
          <w:iCs/>
          <w:shd w:val="clear" w:color="auto" w:fill="FFFFFF"/>
        </w:rPr>
        <w:t>Yearbook of European Law</w:t>
      </w:r>
      <w:r w:rsidRPr="006442F1">
        <w:rPr>
          <w:shd w:val="clear" w:color="auto" w:fill="FFFFFF"/>
        </w:rPr>
        <w:t>, </w:t>
      </w:r>
      <w:r w:rsidRPr="006442F1">
        <w:rPr>
          <w:i/>
          <w:iCs/>
          <w:shd w:val="clear" w:color="auto" w:fill="FFFFFF"/>
        </w:rPr>
        <w:t>39</w:t>
      </w:r>
      <w:r w:rsidRPr="006442F1">
        <w:rPr>
          <w:shd w:val="clear" w:color="auto" w:fill="FFFFFF"/>
        </w:rPr>
        <w:t>, pp.122-198.</w:t>
      </w:r>
    </w:p>
    <w:p w14:paraId="027EB368" w14:textId="659D63DD" w:rsidR="000F6A74" w:rsidRDefault="000F6A74" w:rsidP="000F6A74">
      <w:pPr>
        <w:pStyle w:val="NoSpacing"/>
        <w:spacing w:line="360" w:lineRule="auto"/>
        <w:rPr>
          <w:rFonts w:eastAsiaTheme="minorHAnsi"/>
          <w:shd w:val="clear" w:color="auto" w:fill="FFFFFF"/>
          <w:lang w:eastAsia="en-US"/>
        </w:rPr>
      </w:pPr>
      <w:r w:rsidRPr="006442F1">
        <w:rPr>
          <w:color w:val="000000"/>
          <w:lang w:val="en-IN"/>
        </w:rPr>
        <w:t>Rai, D. (2019). </w:t>
      </w:r>
      <w:r w:rsidRPr="006442F1">
        <w:rPr>
          <w:i/>
          <w:iCs/>
          <w:color w:val="000000"/>
          <w:lang w:val="en-IN"/>
        </w:rPr>
        <w:t xml:space="preserve">Evolution of common </w:t>
      </w:r>
      <w:proofErr w:type="gramStart"/>
      <w:r w:rsidRPr="006442F1">
        <w:rPr>
          <w:i/>
          <w:iCs/>
          <w:color w:val="000000"/>
          <w:lang w:val="en-IN"/>
        </w:rPr>
        <w:t>law(</w:t>
      </w:r>
      <w:proofErr w:type="gramEnd"/>
      <w:r w:rsidRPr="006442F1">
        <w:rPr>
          <w:i/>
          <w:iCs/>
          <w:color w:val="000000"/>
          <w:lang w:val="en-IN"/>
        </w:rPr>
        <w:t>11th Century-20th Century)</w:t>
      </w:r>
      <w:r w:rsidRPr="006442F1">
        <w:rPr>
          <w:color w:val="000000"/>
          <w:lang w:val="en-IN"/>
        </w:rPr>
        <w:t xml:space="preserve">. [online] </w:t>
      </w:r>
      <w:proofErr w:type="spellStart"/>
      <w:r w:rsidRPr="006442F1">
        <w:rPr>
          <w:color w:val="000000"/>
          <w:lang w:val="en-IN"/>
        </w:rPr>
        <w:t>iPleaders</w:t>
      </w:r>
      <w:proofErr w:type="spellEnd"/>
      <w:r w:rsidRPr="006442F1">
        <w:rPr>
          <w:color w:val="000000"/>
          <w:lang w:val="en-IN"/>
        </w:rPr>
        <w:t xml:space="preserve">. Available at: </w:t>
      </w:r>
      <w:hyperlink r:id="rId7" w:history="1">
        <w:r w:rsidRPr="00BC3E6F">
          <w:rPr>
            <w:rStyle w:val="Hyperlink"/>
            <w:lang w:val="en-IN"/>
          </w:rPr>
          <w:t>https://blog.ipleaders.in/evolution-of-common-law/</w:t>
        </w:r>
      </w:hyperlink>
      <w:r w:rsidRPr="006442F1">
        <w:rPr>
          <w:color w:val="000000"/>
          <w:lang w:val="en-IN"/>
        </w:rPr>
        <w:t>.</w:t>
      </w:r>
    </w:p>
    <w:p w14:paraId="1636989F" w14:textId="51B54ED5" w:rsidR="000F6A74" w:rsidRPr="000F6A74" w:rsidRDefault="000F6A74" w:rsidP="000F6A74">
      <w:pPr>
        <w:pStyle w:val="NoSpacing"/>
        <w:spacing w:line="360" w:lineRule="auto"/>
        <w:rPr>
          <w:rFonts w:eastAsiaTheme="minorHAnsi"/>
          <w:shd w:val="clear" w:color="auto" w:fill="FFFFFF"/>
          <w:lang w:eastAsia="en-US"/>
        </w:rPr>
      </w:pPr>
      <w:r w:rsidRPr="006442F1">
        <w:rPr>
          <w:shd w:val="clear" w:color="auto" w:fill="FFFFFF"/>
        </w:rPr>
        <w:t xml:space="preserve">Salhi, B., </w:t>
      </w:r>
      <w:proofErr w:type="spellStart"/>
      <w:r w:rsidRPr="006442F1">
        <w:rPr>
          <w:shd w:val="clear" w:color="auto" w:fill="FFFFFF"/>
        </w:rPr>
        <w:t>Riguen</w:t>
      </w:r>
      <w:proofErr w:type="spellEnd"/>
      <w:r w:rsidRPr="006442F1">
        <w:rPr>
          <w:shd w:val="clear" w:color="auto" w:fill="FFFFFF"/>
        </w:rPr>
        <w:t xml:space="preserve">, R., </w:t>
      </w:r>
      <w:proofErr w:type="spellStart"/>
      <w:r w:rsidRPr="006442F1">
        <w:rPr>
          <w:shd w:val="clear" w:color="auto" w:fill="FFFFFF"/>
        </w:rPr>
        <w:t>Kachouri</w:t>
      </w:r>
      <w:proofErr w:type="spellEnd"/>
      <w:r w:rsidRPr="006442F1">
        <w:rPr>
          <w:shd w:val="clear" w:color="auto" w:fill="FFFFFF"/>
        </w:rPr>
        <w:t xml:space="preserve">, M. and </w:t>
      </w:r>
      <w:proofErr w:type="spellStart"/>
      <w:r w:rsidRPr="006442F1">
        <w:rPr>
          <w:shd w:val="clear" w:color="auto" w:fill="FFFFFF"/>
        </w:rPr>
        <w:t>Jarboui</w:t>
      </w:r>
      <w:proofErr w:type="spellEnd"/>
      <w:r w:rsidRPr="006442F1">
        <w:rPr>
          <w:shd w:val="clear" w:color="auto" w:fill="FFFFFF"/>
        </w:rPr>
        <w:t>, A., 2020. The mediating role of corporate social responsibility on the relationship between governance and tax avoidance: UK common law versus French civil law. </w:t>
      </w:r>
      <w:r w:rsidRPr="006442F1">
        <w:rPr>
          <w:i/>
          <w:iCs/>
          <w:shd w:val="clear" w:color="auto" w:fill="FFFFFF"/>
        </w:rPr>
        <w:t>Social Responsibility Journal</w:t>
      </w:r>
      <w:r w:rsidRPr="006442F1">
        <w:rPr>
          <w:shd w:val="clear" w:color="auto" w:fill="FFFFFF"/>
        </w:rPr>
        <w:t>, </w:t>
      </w:r>
      <w:r w:rsidRPr="006442F1">
        <w:rPr>
          <w:i/>
          <w:iCs/>
          <w:shd w:val="clear" w:color="auto" w:fill="FFFFFF"/>
        </w:rPr>
        <w:t>16</w:t>
      </w:r>
      <w:r w:rsidRPr="006442F1">
        <w:rPr>
          <w:shd w:val="clear" w:color="auto" w:fill="FFFFFF"/>
        </w:rPr>
        <w:t>(8), pp.1149-1168.</w:t>
      </w:r>
    </w:p>
    <w:p w14:paraId="4789D09F" w14:textId="77777777" w:rsidR="000F6A74" w:rsidRPr="006442F1" w:rsidRDefault="000F6A74" w:rsidP="000F6A74">
      <w:pPr>
        <w:pStyle w:val="NoSpacing"/>
        <w:spacing w:line="360" w:lineRule="auto"/>
        <w:rPr>
          <w:shd w:val="clear" w:color="auto" w:fill="FFFFFF"/>
        </w:rPr>
      </w:pPr>
      <w:r w:rsidRPr="006442F1">
        <w:rPr>
          <w:shd w:val="clear" w:color="auto" w:fill="FFFFFF"/>
        </w:rPr>
        <w:t xml:space="preserve">Sánchez-Monedero, J., </w:t>
      </w:r>
      <w:proofErr w:type="spellStart"/>
      <w:r w:rsidRPr="006442F1">
        <w:rPr>
          <w:shd w:val="clear" w:color="auto" w:fill="FFFFFF"/>
        </w:rPr>
        <w:t>Dencik</w:t>
      </w:r>
      <w:proofErr w:type="spellEnd"/>
      <w:r w:rsidRPr="006442F1">
        <w:rPr>
          <w:shd w:val="clear" w:color="auto" w:fill="FFFFFF"/>
        </w:rPr>
        <w:t xml:space="preserve">, L. and Edwards, L., 2020, January. What does it mean </w:t>
      </w:r>
      <w:proofErr w:type="spellStart"/>
      <w:r w:rsidRPr="006442F1">
        <w:rPr>
          <w:shd w:val="clear" w:color="auto" w:fill="FFFFFF"/>
        </w:rPr>
        <w:t>to'solve'the</w:t>
      </w:r>
      <w:proofErr w:type="spellEnd"/>
      <w:r w:rsidRPr="006442F1">
        <w:rPr>
          <w:shd w:val="clear" w:color="auto" w:fill="FFFFFF"/>
        </w:rPr>
        <w:t xml:space="preserve"> problem of discrimination in hiring? Social, </w:t>
      </w:r>
      <w:proofErr w:type="gramStart"/>
      <w:r w:rsidRPr="006442F1">
        <w:rPr>
          <w:shd w:val="clear" w:color="auto" w:fill="FFFFFF"/>
        </w:rPr>
        <w:t>technical</w:t>
      </w:r>
      <w:proofErr w:type="gramEnd"/>
      <w:r w:rsidRPr="006442F1">
        <w:rPr>
          <w:shd w:val="clear" w:color="auto" w:fill="FFFFFF"/>
        </w:rPr>
        <w:t xml:space="preserve"> and legal perspectives from the UK on automated hiring systems. In </w:t>
      </w:r>
      <w:r w:rsidRPr="006442F1">
        <w:rPr>
          <w:i/>
          <w:iCs/>
          <w:shd w:val="clear" w:color="auto" w:fill="FFFFFF"/>
        </w:rPr>
        <w:t>Proceedings of the 2020 conference on fairness, accountability, and transparency</w:t>
      </w:r>
      <w:r w:rsidRPr="006442F1">
        <w:rPr>
          <w:shd w:val="clear" w:color="auto" w:fill="FFFFFF"/>
        </w:rPr>
        <w:t> (pp. 458-468).</w:t>
      </w:r>
    </w:p>
    <w:p w14:paraId="21E91963" w14:textId="77777777" w:rsidR="000F6A74" w:rsidRPr="006442F1" w:rsidRDefault="000F6A74" w:rsidP="000F6A74">
      <w:pPr>
        <w:spacing w:before="100" w:beforeAutospacing="1" w:after="100" w:afterAutospacing="1"/>
        <w:rPr>
          <w:color w:val="000000"/>
          <w:lang w:val="en-IN"/>
        </w:rPr>
      </w:pPr>
      <w:r w:rsidRPr="006442F1">
        <w:rPr>
          <w:color w:val="000000"/>
          <w:lang w:val="en-IN"/>
        </w:rPr>
        <w:t>‌</w:t>
      </w:r>
    </w:p>
    <w:p w14:paraId="067FA257" w14:textId="77777777" w:rsidR="000F6A74" w:rsidRPr="006442F1" w:rsidRDefault="000F6A74" w:rsidP="000F6A74"/>
    <w:p w14:paraId="275AB8CD" w14:textId="77777777" w:rsidR="000F6A74" w:rsidRDefault="000F6A74"/>
    <w:p w14:paraId="0000000C" w14:textId="77777777" w:rsidR="007208D9" w:rsidRDefault="007208D9">
      <w:pPr>
        <w:rPr>
          <w:b/>
        </w:rPr>
      </w:pPr>
    </w:p>
    <w:sectPr w:rsidR="007208D9">
      <w:footerReference w:type="default" r:id="rId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641DA" w14:textId="77777777" w:rsidR="005E4277" w:rsidRDefault="005E4277" w:rsidP="006F340C">
      <w:pPr>
        <w:spacing w:line="240" w:lineRule="auto"/>
      </w:pPr>
      <w:r>
        <w:separator/>
      </w:r>
    </w:p>
  </w:endnote>
  <w:endnote w:type="continuationSeparator" w:id="0">
    <w:p w14:paraId="40CDD1CE" w14:textId="77777777" w:rsidR="005E4277" w:rsidRDefault="005E4277" w:rsidP="006F34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3903964"/>
      <w:docPartObj>
        <w:docPartGallery w:val="Page Numbers (Bottom of Page)"/>
        <w:docPartUnique/>
      </w:docPartObj>
    </w:sdtPr>
    <w:sdtEndPr>
      <w:rPr>
        <w:noProof/>
      </w:rPr>
    </w:sdtEndPr>
    <w:sdtContent>
      <w:p w14:paraId="0CFF01D0" w14:textId="378B1516" w:rsidR="006F340C" w:rsidRDefault="006F340C">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695D77D5" w14:textId="77777777" w:rsidR="006F340C" w:rsidRDefault="006F34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B9A371" w14:textId="77777777" w:rsidR="005E4277" w:rsidRDefault="005E4277" w:rsidP="006F340C">
      <w:pPr>
        <w:spacing w:line="240" w:lineRule="auto"/>
      </w:pPr>
      <w:r>
        <w:separator/>
      </w:r>
    </w:p>
  </w:footnote>
  <w:footnote w:type="continuationSeparator" w:id="0">
    <w:p w14:paraId="05BAEE31" w14:textId="77777777" w:rsidR="005E4277" w:rsidRDefault="005E4277" w:rsidP="006F340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7208D9"/>
    <w:rsid w:val="000F6A74"/>
    <w:rsid w:val="005E4277"/>
    <w:rsid w:val="006F340C"/>
    <w:rsid w:val="007208D9"/>
    <w:rsid w:val="009A1CF0"/>
    <w:rsid w:val="00A72331"/>
    <w:rsid w:val="00E368D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CEC56"/>
  <w15:docId w15:val="{3F4DA333-CFAE-47E4-96AE-E7D17A6CC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0F6A74"/>
    <w:pPr>
      <w:outlineLvl w:val="0"/>
    </w:pPr>
    <w:rPr>
      <w: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character" w:styleId="Hyperlink">
    <w:name w:val="Hyperlink"/>
    <w:basedOn w:val="DefaultParagraphFont"/>
    <w:uiPriority w:val="99"/>
    <w:unhideWhenUsed/>
    <w:rsid w:val="000F6A74"/>
    <w:rPr>
      <w:color w:val="0000FF" w:themeColor="hyperlink"/>
      <w:u w:val="single"/>
    </w:rPr>
  </w:style>
  <w:style w:type="paragraph" w:styleId="NoSpacing">
    <w:name w:val="No Spacing"/>
    <w:uiPriority w:val="1"/>
    <w:qFormat/>
    <w:rsid w:val="000F6A74"/>
    <w:pPr>
      <w:spacing w:line="240" w:lineRule="auto"/>
    </w:pPr>
    <w:rPr>
      <w:lang w:val="en-GB"/>
    </w:rPr>
  </w:style>
  <w:style w:type="paragraph" w:styleId="TOCHeading">
    <w:name w:val="TOC Heading"/>
    <w:basedOn w:val="Heading1"/>
    <w:next w:val="Normal"/>
    <w:uiPriority w:val="39"/>
    <w:semiHidden/>
    <w:unhideWhenUsed/>
    <w:qFormat/>
    <w:rsid w:val="009A1CF0"/>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9A1CF0"/>
    <w:pPr>
      <w:spacing w:after="100"/>
    </w:pPr>
  </w:style>
  <w:style w:type="paragraph" w:styleId="BalloonText">
    <w:name w:val="Balloon Text"/>
    <w:basedOn w:val="Normal"/>
    <w:link w:val="BalloonTextChar"/>
    <w:uiPriority w:val="99"/>
    <w:semiHidden/>
    <w:unhideWhenUsed/>
    <w:rsid w:val="009A1C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1CF0"/>
    <w:rPr>
      <w:rFonts w:ascii="Tahoma" w:hAnsi="Tahoma" w:cs="Tahoma"/>
      <w:sz w:val="16"/>
      <w:szCs w:val="16"/>
      <w:lang w:val="en-GB"/>
    </w:rPr>
  </w:style>
  <w:style w:type="paragraph" w:styleId="Header">
    <w:name w:val="header"/>
    <w:basedOn w:val="Normal"/>
    <w:link w:val="HeaderChar"/>
    <w:uiPriority w:val="99"/>
    <w:unhideWhenUsed/>
    <w:rsid w:val="006F340C"/>
    <w:pPr>
      <w:tabs>
        <w:tab w:val="center" w:pos="4513"/>
        <w:tab w:val="right" w:pos="9026"/>
      </w:tabs>
      <w:spacing w:line="240" w:lineRule="auto"/>
    </w:pPr>
  </w:style>
  <w:style w:type="character" w:customStyle="1" w:styleId="HeaderChar">
    <w:name w:val="Header Char"/>
    <w:basedOn w:val="DefaultParagraphFont"/>
    <w:link w:val="Header"/>
    <w:uiPriority w:val="99"/>
    <w:rsid w:val="006F340C"/>
    <w:rPr>
      <w:lang w:val="en-GB"/>
    </w:rPr>
  </w:style>
  <w:style w:type="paragraph" w:styleId="Footer">
    <w:name w:val="footer"/>
    <w:basedOn w:val="Normal"/>
    <w:link w:val="FooterChar"/>
    <w:uiPriority w:val="99"/>
    <w:unhideWhenUsed/>
    <w:rsid w:val="006F340C"/>
    <w:pPr>
      <w:tabs>
        <w:tab w:val="center" w:pos="4513"/>
        <w:tab w:val="right" w:pos="9026"/>
      </w:tabs>
      <w:spacing w:line="240" w:lineRule="auto"/>
    </w:pPr>
  </w:style>
  <w:style w:type="character" w:customStyle="1" w:styleId="FooterChar">
    <w:name w:val="Footer Char"/>
    <w:basedOn w:val="DefaultParagraphFont"/>
    <w:link w:val="Footer"/>
    <w:uiPriority w:val="99"/>
    <w:rsid w:val="006F340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blog.ipleaders.in/evolution-of-common-law/"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EF5BE-7B6E-4683-9C9D-1C421CFAC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1846</Words>
  <Characters>10526</Characters>
  <Application>Microsoft Office Word</Application>
  <DocSecurity>0</DocSecurity>
  <Lines>87</Lines>
  <Paragraphs>24</Paragraphs>
  <ScaleCrop>false</ScaleCrop>
  <Company/>
  <LinksUpToDate>false</LinksUpToDate>
  <CharactersWithSpaces>12348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Eduard Dochiu (2214589)</cp:lastModifiedBy>
  <cp:revision>6</cp:revision>
  <dcterms:created xsi:type="dcterms:W3CDTF">2023-03-09T07:22:00Z</dcterms:created>
  <dcterms:modified xsi:type="dcterms:W3CDTF">2023-03-10T09:10:00Z</dcterms:modified>
</cp:coreProperties>
</file>