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B86" w:rsidRPr="00EA5540" w:rsidRDefault="00960B86" w:rsidP="00960B86">
      <w:pPr>
        <w:pStyle w:val="NormalWeb"/>
        <w:shd w:val="clear" w:color="auto" w:fill="FFFFFF"/>
        <w:spacing w:before="0" w:beforeAutospacing="0" w:after="0" w:afterAutospacing="0" w:line="360" w:lineRule="auto"/>
        <w:jc w:val="both"/>
        <w:rPr>
          <w:rFonts w:ascii="Arial" w:hAnsi="Arial" w:cs="Arial"/>
        </w:rPr>
      </w:pPr>
      <w:r w:rsidRPr="00EA5540">
        <w:rPr>
          <w:rFonts w:ascii="Arial" w:hAnsi="Arial" w:cs="Arial"/>
          <w:b/>
          <w:bCs/>
        </w:rPr>
        <w:t>Action Points</w:t>
      </w:r>
    </w:p>
    <w:p w:rsidR="00960B86" w:rsidRPr="00EA5540" w:rsidRDefault="00960B86" w:rsidP="00960B86">
      <w:pPr>
        <w:pStyle w:val="NormalWeb"/>
        <w:shd w:val="clear" w:color="auto" w:fill="FFFFFF"/>
        <w:spacing w:before="0" w:beforeAutospacing="0" w:after="0" w:afterAutospacing="0" w:line="360" w:lineRule="auto"/>
        <w:jc w:val="both"/>
        <w:rPr>
          <w:rFonts w:ascii="Arial" w:hAnsi="Arial" w:cs="Arial"/>
        </w:rPr>
      </w:pPr>
      <w:proofErr w:type="gramStart"/>
      <w:r w:rsidRPr="00EA5540">
        <w:rPr>
          <w:rFonts w:ascii="Arial" w:hAnsi="Arial" w:cs="Arial"/>
          <w:b/>
          <w:bCs/>
        </w:rPr>
        <w:t>1.When</w:t>
      </w:r>
      <w:proofErr w:type="gramEnd"/>
      <w:r w:rsidRPr="00EA5540">
        <w:rPr>
          <w:rFonts w:ascii="Arial" w:hAnsi="Arial" w:cs="Arial"/>
          <w:b/>
          <w:bCs/>
        </w:rPr>
        <w:t xml:space="preserve"> applying theorists include the published year.</w:t>
      </w:r>
    </w:p>
    <w:p w:rsidR="00960B86" w:rsidRPr="00EA5540" w:rsidRDefault="00960B86" w:rsidP="00960B86">
      <w:pPr>
        <w:pStyle w:val="NormalWeb"/>
        <w:shd w:val="clear" w:color="auto" w:fill="FFFFFF"/>
        <w:spacing w:before="0" w:beforeAutospacing="0" w:after="0" w:afterAutospacing="0" w:line="360" w:lineRule="auto"/>
        <w:jc w:val="both"/>
        <w:rPr>
          <w:rFonts w:ascii="Arial" w:hAnsi="Arial" w:cs="Arial"/>
        </w:rPr>
      </w:pPr>
      <w:proofErr w:type="gramStart"/>
      <w:r w:rsidRPr="00EA5540">
        <w:rPr>
          <w:rFonts w:ascii="Arial" w:hAnsi="Arial" w:cs="Arial"/>
          <w:b/>
          <w:bCs/>
        </w:rPr>
        <w:t>2.When</w:t>
      </w:r>
      <w:proofErr w:type="gramEnd"/>
      <w:r w:rsidRPr="00EA5540">
        <w:rPr>
          <w:rFonts w:ascii="Arial" w:hAnsi="Arial" w:cs="Arial"/>
          <w:b/>
          <w:bCs/>
        </w:rPr>
        <w:t xml:space="preserve"> applying a long indented quote - indent the quote both sides</w:t>
      </w:r>
    </w:p>
    <w:p w:rsidR="00960B86" w:rsidRPr="00EA5540" w:rsidRDefault="00960B86" w:rsidP="00960B86">
      <w:pPr>
        <w:pStyle w:val="NormalWeb"/>
        <w:shd w:val="clear" w:color="auto" w:fill="FFFFFF"/>
        <w:spacing w:before="0" w:beforeAutospacing="0" w:after="0" w:afterAutospacing="0" w:line="360" w:lineRule="auto"/>
        <w:jc w:val="both"/>
        <w:rPr>
          <w:rFonts w:ascii="Arial" w:hAnsi="Arial" w:cs="Arial"/>
        </w:rPr>
      </w:pPr>
      <w:r w:rsidRPr="00EA5540">
        <w:rPr>
          <w:rFonts w:ascii="Arial" w:hAnsi="Arial" w:cs="Arial"/>
          <w:b/>
          <w:bCs/>
        </w:rPr>
        <w:t>3. Application of quotation marks</w:t>
      </w:r>
    </w:p>
    <w:p w:rsidR="00960B86" w:rsidRPr="00EA5540" w:rsidRDefault="00960B86" w:rsidP="00960B86">
      <w:pPr>
        <w:overflowPunct w:val="0"/>
        <w:autoSpaceDE w:val="0"/>
        <w:autoSpaceDN w:val="0"/>
        <w:adjustRightInd w:val="0"/>
        <w:spacing w:before="120" w:line="360" w:lineRule="auto"/>
        <w:jc w:val="both"/>
        <w:textAlignment w:val="baseline"/>
        <w:rPr>
          <w:rFonts w:ascii="Arial" w:hAnsi="Arial" w:cs="Arial"/>
          <w:sz w:val="24"/>
          <w:szCs w:val="24"/>
        </w:rPr>
      </w:pPr>
      <w:r w:rsidRPr="00EA5540">
        <w:rPr>
          <w:rFonts w:ascii="Arial" w:hAnsi="Arial" w:cs="Arial"/>
          <w:sz w:val="24"/>
          <w:szCs w:val="24"/>
        </w:rPr>
        <w:t>Foundation Degree in Inclusive Education</w:t>
      </w:r>
    </w:p>
    <w:p w:rsidR="00960B86" w:rsidRPr="00EA5540" w:rsidRDefault="00960B86" w:rsidP="00960B86">
      <w:pPr>
        <w:overflowPunct w:val="0"/>
        <w:autoSpaceDE w:val="0"/>
        <w:autoSpaceDN w:val="0"/>
        <w:adjustRightInd w:val="0"/>
        <w:spacing w:before="120" w:line="360" w:lineRule="auto"/>
        <w:jc w:val="both"/>
        <w:textAlignment w:val="baseline"/>
        <w:rPr>
          <w:rFonts w:ascii="Arial" w:hAnsi="Arial" w:cs="Arial"/>
          <w:sz w:val="24"/>
          <w:szCs w:val="24"/>
        </w:rPr>
      </w:pPr>
      <w:r w:rsidRPr="00EA5540">
        <w:rPr>
          <w:rFonts w:ascii="Arial" w:hAnsi="Arial" w:cs="Arial"/>
          <w:sz w:val="24"/>
          <w:szCs w:val="24"/>
        </w:rPr>
        <w:t>Numbers Count - SJIE5001</w:t>
      </w:r>
    </w:p>
    <w:p w:rsidR="009E7BC6" w:rsidRPr="00A16957" w:rsidRDefault="000970D9" w:rsidP="00A16957">
      <w:pPr>
        <w:overflowPunct w:val="0"/>
        <w:autoSpaceDE w:val="0"/>
        <w:autoSpaceDN w:val="0"/>
        <w:adjustRightInd w:val="0"/>
        <w:spacing w:before="120" w:line="360" w:lineRule="auto"/>
        <w:jc w:val="both"/>
        <w:textAlignment w:val="baseline"/>
        <w:rPr>
          <w:rFonts w:ascii="Arial" w:hAnsi="Arial" w:cs="Arial"/>
          <w:sz w:val="22"/>
          <w:szCs w:val="22"/>
        </w:rPr>
      </w:pPr>
      <w:r w:rsidRPr="00A16957">
        <w:rPr>
          <w:rFonts w:ascii="Arial" w:hAnsi="Arial" w:cs="Arial"/>
          <w:sz w:val="22"/>
          <w:szCs w:val="22"/>
        </w:rPr>
        <w:t xml:space="preserve">The focus of this assignment will be to analyse </w:t>
      </w:r>
      <w:r w:rsidR="003E4B80" w:rsidRPr="00A16957">
        <w:rPr>
          <w:rFonts w:ascii="Arial" w:hAnsi="Arial" w:cs="Arial"/>
          <w:sz w:val="22"/>
          <w:szCs w:val="22"/>
        </w:rPr>
        <w:t>theoretical</w:t>
      </w:r>
      <w:r w:rsidRPr="00A16957">
        <w:rPr>
          <w:rFonts w:ascii="Arial" w:hAnsi="Arial" w:cs="Arial"/>
          <w:sz w:val="22"/>
          <w:szCs w:val="22"/>
        </w:rPr>
        <w:t xml:space="preserve"> insights </w:t>
      </w:r>
      <w:r w:rsidR="00222FCE" w:rsidRPr="00A16957">
        <w:rPr>
          <w:rFonts w:ascii="Arial" w:hAnsi="Arial" w:cs="Arial"/>
          <w:sz w:val="22"/>
          <w:szCs w:val="22"/>
        </w:rPr>
        <w:t xml:space="preserve">and </w:t>
      </w:r>
      <w:r w:rsidR="003E4B80" w:rsidRPr="00A16957">
        <w:rPr>
          <w:rFonts w:ascii="Arial" w:hAnsi="Arial" w:cs="Arial"/>
          <w:sz w:val="22"/>
          <w:szCs w:val="22"/>
        </w:rPr>
        <w:t>the significant</w:t>
      </w:r>
      <w:r w:rsidR="00222FCE" w:rsidRPr="00A16957">
        <w:rPr>
          <w:rFonts w:ascii="Arial" w:hAnsi="Arial" w:cs="Arial"/>
          <w:sz w:val="22"/>
          <w:szCs w:val="22"/>
        </w:rPr>
        <w:t xml:space="preserve"> developments within</w:t>
      </w:r>
      <w:r w:rsidRPr="00A16957">
        <w:rPr>
          <w:rFonts w:ascii="Arial" w:hAnsi="Arial" w:cs="Arial"/>
          <w:sz w:val="22"/>
          <w:szCs w:val="22"/>
        </w:rPr>
        <w:t xml:space="preserve"> the implementation of numeracy acro</w:t>
      </w:r>
      <w:r w:rsidR="003E4B80" w:rsidRPr="00A16957">
        <w:rPr>
          <w:rFonts w:ascii="Arial" w:hAnsi="Arial" w:cs="Arial"/>
          <w:sz w:val="22"/>
          <w:szCs w:val="22"/>
        </w:rPr>
        <w:t>ss the educational system.</w:t>
      </w:r>
      <w:r w:rsidR="00097872" w:rsidRPr="00A16957">
        <w:rPr>
          <w:rFonts w:ascii="Arial" w:hAnsi="Arial" w:cs="Arial"/>
          <w:sz w:val="22"/>
          <w:szCs w:val="22"/>
        </w:rPr>
        <w:t xml:space="preserve"> </w:t>
      </w:r>
      <w:r w:rsidR="00222FCE" w:rsidRPr="00A16957">
        <w:rPr>
          <w:rFonts w:ascii="Arial" w:hAnsi="Arial" w:cs="Arial"/>
          <w:sz w:val="22"/>
          <w:szCs w:val="22"/>
        </w:rPr>
        <w:t xml:space="preserve">The essay will be </w:t>
      </w:r>
      <w:r w:rsidRPr="00A16957">
        <w:rPr>
          <w:rFonts w:ascii="Arial" w:hAnsi="Arial" w:cs="Arial"/>
          <w:sz w:val="22"/>
          <w:szCs w:val="22"/>
        </w:rPr>
        <w:t>focus</w:t>
      </w:r>
      <w:r w:rsidR="00097872" w:rsidRPr="00A16957">
        <w:rPr>
          <w:rFonts w:ascii="Arial" w:hAnsi="Arial" w:cs="Arial"/>
          <w:sz w:val="22"/>
          <w:szCs w:val="22"/>
        </w:rPr>
        <w:t>ing</w:t>
      </w:r>
      <w:r w:rsidR="00222FCE" w:rsidRPr="00A16957">
        <w:rPr>
          <w:rFonts w:ascii="Arial" w:hAnsi="Arial" w:cs="Arial"/>
          <w:sz w:val="22"/>
          <w:szCs w:val="22"/>
        </w:rPr>
        <w:t xml:space="preserve"> </w:t>
      </w:r>
      <w:r w:rsidR="003E4B80" w:rsidRPr="00A16957">
        <w:rPr>
          <w:rFonts w:ascii="Arial" w:hAnsi="Arial" w:cs="Arial"/>
          <w:sz w:val="22"/>
          <w:szCs w:val="22"/>
        </w:rPr>
        <w:t>on Key Stage Four pupils (KS4)</w:t>
      </w:r>
      <w:r w:rsidR="00D054F9" w:rsidRPr="00A16957">
        <w:rPr>
          <w:rFonts w:ascii="Arial" w:hAnsi="Arial" w:cs="Arial"/>
          <w:sz w:val="22"/>
          <w:szCs w:val="22"/>
        </w:rPr>
        <w:t xml:space="preserve"> in a school with </w:t>
      </w:r>
      <w:r w:rsidR="00704401" w:rsidRPr="00A16957">
        <w:rPr>
          <w:rFonts w:ascii="Arial" w:hAnsi="Arial" w:cs="Arial"/>
          <w:sz w:val="22"/>
          <w:szCs w:val="22"/>
        </w:rPr>
        <w:t>approximately</w:t>
      </w:r>
      <w:r w:rsidR="00D054F9" w:rsidRPr="00A16957">
        <w:rPr>
          <w:rFonts w:ascii="Arial" w:hAnsi="Arial" w:cs="Arial"/>
          <w:sz w:val="22"/>
          <w:szCs w:val="22"/>
        </w:rPr>
        <w:t xml:space="preserve"> ‘</w:t>
      </w:r>
      <w:r w:rsidR="00D054F9" w:rsidRPr="00A16957">
        <w:rPr>
          <w:rFonts w:ascii="Arial" w:hAnsi="Arial" w:cs="Arial"/>
          <w:sz w:val="22"/>
          <w:szCs w:val="22"/>
          <w:shd w:val="clear" w:color="auto" w:fill="FFFFFF"/>
        </w:rPr>
        <w:t xml:space="preserve">70% of pupils living in the 20% most deprived area </w:t>
      </w:r>
      <w:r w:rsidR="00D054F9" w:rsidRPr="00A16957">
        <w:rPr>
          <w:rFonts w:ascii="Arial" w:hAnsi="Arial" w:cs="Arial"/>
          <w:sz w:val="22"/>
          <w:szCs w:val="22"/>
        </w:rPr>
        <w:t>in Wales’</w:t>
      </w:r>
      <w:r w:rsidR="00D054F9" w:rsidRPr="00A16957">
        <w:rPr>
          <w:rFonts w:ascii="Arial" w:hAnsi="Arial" w:cs="Arial"/>
          <w:noProof/>
          <w:sz w:val="22"/>
          <w:szCs w:val="22"/>
        </w:rPr>
        <w:t xml:space="preserve"> (Guide, 2019, Para. 1)</w:t>
      </w:r>
      <w:r w:rsidR="00D054F9" w:rsidRPr="00A16957">
        <w:rPr>
          <w:rFonts w:ascii="Arial" w:hAnsi="Arial" w:cs="Arial"/>
          <w:sz w:val="22"/>
          <w:szCs w:val="22"/>
        </w:rPr>
        <w:t>. It will examine</w:t>
      </w:r>
      <w:r w:rsidRPr="00A16957">
        <w:rPr>
          <w:rFonts w:ascii="Arial" w:hAnsi="Arial" w:cs="Arial"/>
          <w:sz w:val="22"/>
          <w:szCs w:val="22"/>
        </w:rPr>
        <w:t xml:space="preserve"> the connections between numeracy and other aspects o</w:t>
      </w:r>
      <w:r w:rsidR="00D054F9" w:rsidRPr="00A16957">
        <w:rPr>
          <w:rFonts w:ascii="Arial" w:hAnsi="Arial" w:cs="Arial"/>
          <w:sz w:val="22"/>
          <w:szCs w:val="22"/>
        </w:rPr>
        <w:t>f the curriculum, evaluating</w:t>
      </w:r>
      <w:r w:rsidR="00222FCE" w:rsidRPr="00A16957">
        <w:rPr>
          <w:rFonts w:ascii="Arial" w:hAnsi="Arial" w:cs="Arial"/>
          <w:sz w:val="22"/>
          <w:szCs w:val="22"/>
        </w:rPr>
        <w:t xml:space="preserve"> how effective theories have been assisting in the development of mathematical skills and highlighting current initiatives aimed at promoting numera</w:t>
      </w:r>
      <w:r w:rsidR="003E4B80" w:rsidRPr="00A16957">
        <w:rPr>
          <w:rFonts w:ascii="Arial" w:hAnsi="Arial" w:cs="Arial"/>
          <w:sz w:val="22"/>
          <w:szCs w:val="22"/>
        </w:rPr>
        <w:t xml:space="preserve">cy growth within the classroom. </w:t>
      </w:r>
      <w:r w:rsidR="00976AB1" w:rsidRPr="00A16957">
        <w:rPr>
          <w:rFonts w:ascii="Arial" w:hAnsi="Arial" w:cs="Arial"/>
          <w:noProof/>
          <w:sz w:val="22"/>
          <w:szCs w:val="22"/>
        </w:rPr>
        <w:t>Chinn &amp; Ashcroft, (2017, p. 13)</w:t>
      </w:r>
      <w:r w:rsidR="003E4B80" w:rsidRPr="00A16957">
        <w:rPr>
          <w:rFonts w:ascii="Arial" w:hAnsi="Arial" w:cs="Arial"/>
          <w:noProof/>
          <w:sz w:val="22"/>
          <w:szCs w:val="22"/>
        </w:rPr>
        <w:t xml:space="preserve"> state</w:t>
      </w:r>
      <w:r w:rsidR="00976AB1" w:rsidRPr="00A16957">
        <w:rPr>
          <w:rFonts w:ascii="Arial" w:hAnsi="Arial" w:cs="Arial"/>
          <w:noProof/>
          <w:sz w:val="22"/>
          <w:szCs w:val="22"/>
        </w:rPr>
        <w:t xml:space="preserve"> ‘</w:t>
      </w:r>
      <w:r w:rsidR="00A86595" w:rsidRPr="00A86595">
        <w:rPr>
          <w:rFonts w:ascii="Arial" w:hAnsi="Arial" w:cs="Arial"/>
          <w:sz w:val="22"/>
          <w:szCs w:val="22"/>
        </w:rPr>
        <w:t xml:space="preserve">It is almost impossible for a maths </w:t>
      </w:r>
      <w:r w:rsidR="00A86595">
        <w:rPr>
          <w:rFonts w:ascii="Arial" w:hAnsi="Arial" w:cs="Arial"/>
          <w:sz w:val="22"/>
          <w:szCs w:val="22"/>
        </w:rPr>
        <w:t>curriculum</w:t>
      </w:r>
      <w:r w:rsidR="00A86595" w:rsidRPr="00A86595">
        <w:rPr>
          <w:rFonts w:ascii="Arial" w:hAnsi="Arial" w:cs="Arial"/>
          <w:sz w:val="22"/>
          <w:szCs w:val="22"/>
        </w:rPr>
        <w:t xml:space="preserve"> to fulfil the n</w:t>
      </w:r>
      <w:r w:rsidR="00A86595">
        <w:rPr>
          <w:rFonts w:ascii="Arial" w:hAnsi="Arial" w:cs="Arial"/>
          <w:sz w:val="22"/>
          <w:szCs w:val="22"/>
        </w:rPr>
        <w:t>eeds of every</w:t>
      </w:r>
      <w:r w:rsidR="00A86595" w:rsidRPr="00A86595">
        <w:rPr>
          <w:rFonts w:ascii="Arial" w:hAnsi="Arial" w:cs="Arial"/>
          <w:sz w:val="22"/>
          <w:szCs w:val="22"/>
        </w:rPr>
        <w:t xml:space="preserve"> learner, no matter how good it is.</w:t>
      </w:r>
      <w:r w:rsidR="00A86595">
        <w:rPr>
          <w:rFonts w:ascii="Arial" w:hAnsi="Arial" w:cs="Arial"/>
          <w:sz w:val="22"/>
          <w:szCs w:val="22"/>
        </w:rPr>
        <w:t>’</w:t>
      </w:r>
      <w:r w:rsidR="005C3558" w:rsidRPr="00A16957">
        <w:rPr>
          <w:rFonts w:ascii="Arial" w:hAnsi="Arial" w:cs="Arial"/>
          <w:sz w:val="22"/>
          <w:szCs w:val="22"/>
        </w:rPr>
        <w:t xml:space="preserve"> Therefore, this</w:t>
      </w:r>
      <w:r w:rsidR="003E4B80" w:rsidRPr="00A16957">
        <w:rPr>
          <w:rFonts w:ascii="Arial" w:hAnsi="Arial" w:cs="Arial"/>
          <w:sz w:val="22"/>
          <w:szCs w:val="22"/>
        </w:rPr>
        <w:t xml:space="preserve"> essay will examine both the intrinsic and extrinsic barriers that pupi</w:t>
      </w:r>
      <w:r w:rsidR="005C3558" w:rsidRPr="00A16957">
        <w:rPr>
          <w:rFonts w:ascii="Arial" w:hAnsi="Arial" w:cs="Arial"/>
          <w:sz w:val="22"/>
          <w:szCs w:val="22"/>
        </w:rPr>
        <w:t>ls experience during their learning journey</w:t>
      </w:r>
      <w:r w:rsidR="003E4B80" w:rsidRPr="00A16957">
        <w:rPr>
          <w:rFonts w:ascii="Arial" w:hAnsi="Arial" w:cs="Arial"/>
          <w:sz w:val="22"/>
          <w:szCs w:val="22"/>
        </w:rPr>
        <w:t xml:space="preserve"> and will evaluate the</w:t>
      </w:r>
      <w:r w:rsidR="00222FCE" w:rsidRPr="00A16957">
        <w:rPr>
          <w:rFonts w:ascii="Arial" w:hAnsi="Arial" w:cs="Arial"/>
          <w:sz w:val="22"/>
          <w:szCs w:val="22"/>
        </w:rPr>
        <w:t xml:space="preserve"> </w:t>
      </w:r>
      <w:r w:rsidR="003E4B80" w:rsidRPr="00A16957">
        <w:rPr>
          <w:rFonts w:ascii="Arial" w:hAnsi="Arial" w:cs="Arial"/>
          <w:sz w:val="22"/>
          <w:szCs w:val="22"/>
        </w:rPr>
        <w:t>effectiveness</w:t>
      </w:r>
      <w:r w:rsidR="00222FCE" w:rsidRPr="00A16957">
        <w:rPr>
          <w:rFonts w:ascii="Arial" w:hAnsi="Arial" w:cs="Arial"/>
          <w:sz w:val="22"/>
          <w:szCs w:val="22"/>
        </w:rPr>
        <w:t xml:space="preserve"> of </w:t>
      </w:r>
      <w:r w:rsidR="00097872" w:rsidRPr="00A16957">
        <w:rPr>
          <w:rFonts w:ascii="Arial" w:hAnsi="Arial" w:cs="Arial"/>
          <w:sz w:val="22"/>
          <w:szCs w:val="22"/>
        </w:rPr>
        <w:t>interventions and strategies</w:t>
      </w:r>
      <w:r w:rsidR="003E4B80" w:rsidRPr="00A16957">
        <w:rPr>
          <w:rFonts w:ascii="Arial" w:hAnsi="Arial" w:cs="Arial"/>
          <w:sz w:val="22"/>
          <w:szCs w:val="22"/>
        </w:rPr>
        <w:t xml:space="preserve"> used</w:t>
      </w:r>
      <w:r w:rsidR="00097872" w:rsidRPr="00A16957">
        <w:rPr>
          <w:rFonts w:ascii="Arial" w:hAnsi="Arial" w:cs="Arial"/>
          <w:sz w:val="22"/>
          <w:szCs w:val="22"/>
        </w:rPr>
        <w:t xml:space="preserve"> </w:t>
      </w:r>
      <w:r w:rsidR="00222FCE" w:rsidRPr="00A16957">
        <w:rPr>
          <w:rFonts w:ascii="Arial" w:hAnsi="Arial" w:cs="Arial"/>
          <w:sz w:val="22"/>
          <w:szCs w:val="22"/>
        </w:rPr>
        <w:t>to enhance pupils learning</w:t>
      </w:r>
      <w:r w:rsidR="003E4B80" w:rsidRPr="00A16957">
        <w:rPr>
          <w:rFonts w:ascii="Arial" w:hAnsi="Arial" w:cs="Arial"/>
          <w:sz w:val="22"/>
          <w:szCs w:val="22"/>
        </w:rPr>
        <w:t xml:space="preserve"> within the classroom</w:t>
      </w:r>
      <w:r w:rsidR="00097872" w:rsidRPr="00A16957">
        <w:rPr>
          <w:rFonts w:ascii="Arial" w:hAnsi="Arial" w:cs="Arial"/>
          <w:sz w:val="22"/>
          <w:szCs w:val="22"/>
        </w:rPr>
        <w:t xml:space="preserve"> </w:t>
      </w:r>
      <w:sdt>
        <w:sdtPr>
          <w:rPr>
            <w:rFonts w:ascii="Arial" w:hAnsi="Arial" w:cs="Arial"/>
            <w:sz w:val="22"/>
            <w:szCs w:val="22"/>
          </w:rPr>
          <w:id w:val="1469244804"/>
          <w:citation/>
        </w:sdtPr>
        <w:sdtEndPr/>
        <w:sdtContent>
          <w:r w:rsidR="009B77CB" w:rsidRPr="00A16957">
            <w:rPr>
              <w:rFonts w:ascii="Arial" w:hAnsi="Arial" w:cs="Arial"/>
              <w:sz w:val="22"/>
              <w:szCs w:val="22"/>
            </w:rPr>
            <w:fldChar w:fldCharType="begin"/>
          </w:r>
          <w:r w:rsidR="009B77CB" w:rsidRPr="00A16957">
            <w:rPr>
              <w:rFonts w:ascii="Arial" w:hAnsi="Arial" w:cs="Arial"/>
              <w:sz w:val="22"/>
              <w:szCs w:val="22"/>
            </w:rPr>
            <w:instrText xml:space="preserve"> CITATION Wes201 \l 2057 </w:instrText>
          </w:r>
          <w:r w:rsidR="009B77CB" w:rsidRPr="00A16957">
            <w:rPr>
              <w:rFonts w:ascii="Arial" w:hAnsi="Arial" w:cs="Arial"/>
              <w:sz w:val="22"/>
              <w:szCs w:val="22"/>
            </w:rPr>
            <w:fldChar w:fldCharType="separate"/>
          </w:r>
          <w:r w:rsidR="009B77CB" w:rsidRPr="00A16957">
            <w:rPr>
              <w:rFonts w:ascii="Arial" w:hAnsi="Arial" w:cs="Arial"/>
              <w:noProof/>
              <w:sz w:val="22"/>
              <w:szCs w:val="22"/>
            </w:rPr>
            <w:t>(Government, 2020)</w:t>
          </w:r>
          <w:r w:rsidR="009B77CB" w:rsidRPr="00A16957">
            <w:rPr>
              <w:rFonts w:ascii="Arial" w:hAnsi="Arial" w:cs="Arial"/>
              <w:sz w:val="22"/>
              <w:szCs w:val="22"/>
            </w:rPr>
            <w:fldChar w:fldCharType="end"/>
          </w:r>
        </w:sdtContent>
      </w:sdt>
      <w:r w:rsidR="009B77CB" w:rsidRPr="00A16957">
        <w:rPr>
          <w:rFonts w:ascii="Arial" w:hAnsi="Arial" w:cs="Arial"/>
          <w:sz w:val="22"/>
          <w:szCs w:val="22"/>
        </w:rPr>
        <w:t>.</w:t>
      </w:r>
    </w:p>
    <w:p w:rsidR="009E7BC6" w:rsidRPr="00A16957" w:rsidRDefault="009E7BC6" w:rsidP="00A16957">
      <w:pPr>
        <w:overflowPunct w:val="0"/>
        <w:autoSpaceDE w:val="0"/>
        <w:autoSpaceDN w:val="0"/>
        <w:adjustRightInd w:val="0"/>
        <w:spacing w:before="120" w:line="360" w:lineRule="auto"/>
        <w:jc w:val="both"/>
        <w:textAlignment w:val="baseline"/>
        <w:rPr>
          <w:rFonts w:ascii="Arial" w:hAnsi="Arial" w:cs="Arial"/>
          <w:sz w:val="22"/>
          <w:szCs w:val="22"/>
        </w:rPr>
      </w:pPr>
      <w:r w:rsidRPr="00A16957">
        <w:rPr>
          <w:rFonts w:ascii="Arial" w:hAnsi="Arial" w:cs="Arial"/>
          <w:sz w:val="22"/>
          <w:szCs w:val="22"/>
        </w:rPr>
        <w:t xml:space="preserve">According to </w:t>
      </w:r>
      <w:r w:rsidRPr="00A16957">
        <w:rPr>
          <w:rFonts w:ascii="Arial" w:hAnsi="Arial" w:cs="Arial"/>
          <w:noProof/>
          <w:sz w:val="22"/>
          <w:szCs w:val="22"/>
        </w:rPr>
        <w:t xml:space="preserve">Chinn &amp; Ashcroft, (2017, p. 2) </w:t>
      </w:r>
    </w:p>
    <w:p w:rsidR="00653854" w:rsidRPr="00A16957" w:rsidRDefault="009E7BC6" w:rsidP="00A16957">
      <w:pPr>
        <w:overflowPunct w:val="0"/>
        <w:autoSpaceDE w:val="0"/>
        <w:autoSpaceDN w:val="0"/>
        <w:adjustRightInd w:val="0"/>
        <w:spacing w:before="120" w:line="360" w:lineRule="auto"/>
        <w:ind w:left="851" w:right="1088" w:hanging="131"/>
        <w:jc w:val="both"/>
        <w:textAlignment w:val="baseline"/>
        <w:rPr>
          <w:rFonts w:ascii="Arial" w:hAnsi="Arial" w:cs="Arial"/>
          <w:sz w:val="22"/>
          <w:szCs w:val="22"/>
        </w:rPr>
      </w:pPr>
      <w:r w:rsidRPr="00A16957">
        <w:rPr>
          <w:rFonts w:ascii="Arial" w:hAnsi="Arial" w:cs="Arial"/>
          <w:sz w:val="22"/>
          <w:szCs w:val="22"/>
        </w:rPr>
        <w:t>“</w:t>
      </w:r>
      <w:r w:rsidR="00A86595" w:rsidRPr="00A86595">
        <w:rPr>
          <w:rFonts w:ascii="Arial" w:hAnsi="Arial" w:cs="Arial"/>
          <w:sz w:val="22"/>
          <w:szCs w:val="22"/>
        </w:rPr>
        <w:t xml:space="preserve">There is no one-size-fits-all formula for mathematical success. </w:t>
      </w:r>
      <w:r w:rsidR="00A86595">
        <w:rPr>
          <w:rFonts w:ascii="Arial" w:hAnsi="Arial" w:cs="Arial"/>
          <w:sz w:val="22"/>
          <w:szCs w:val="22"/>
        </w:rPr>
        <w:t>E</w:t>
      </w:r>
      <w:r w:rsidR="00A86595" w:rsidRPr="00A86595">
        <w:rPr>
          <w:rFonts w:ascii="Arial" w:hAnsi="Arial" w:cs="Arial"/>
          <w:sz w:val="22"/>
          <w:szCs w:val="22"/>
        </w:rPr>
        <w:t>ach child has a unique set of characteristics, so teachers must have a thorough understanding of both the child and the subject in order t</w:t>
      </w:r>
      <w:r w:rsidR="00A86595">
        <w:rPr>
          <w:rFonts w:ascii="Arial" w:hAnsi="Arial" w:cs="Arial"/>
          <w:sz w:val="22"/>
          <w:szCs w:val="22"/>
        </w:rPr>
        <w:t>o adapt approaches</w:t>
      </w:r>
      <w:r w:rsidR="00A86595" w:rsidRPr="00A86595">
        <w:rPr>
          <w:rFonts w:ascii="Arial" w:hAnsi="Arial" w:cs="Arial"/>
          <w:sz w:val="22"/>
          <w:szCs w:val="22"/>
        </w:rPr>
        <w:t>.</w:t>
      </w:r>
      <w:r w:rsidRPr="00A16957">
        <w:rPr>
          <w:rFonts w:ascii="Arial" w:hAnsi="Arial" w:cs="Arial"/>
          <w:sz w:val="22"/>
          <w:szCs w:val="22"/>
        </w:rPr>
        <w:t>”</w:t>
      </w:r>
      <w:r w:rsidR="009B77CB" w:rsidRPr="00A16957">
        <w:rPr>
          <w:rFonts w:ascii="Arial" w:hAnsi="Arial" w:cs="Arial"/>
          <w:sz w:val="22"/>
          <w:szCs w:val="22"/>
        </w:rPr>
        <w:t xml:space="preserve"> </w:t>
      </w:r>
    </w:p>
    <w:p w:rsidR="009E7BC6" w:rsidRPr="00A16957" w:rsidRDefault="009E7BC6" w:rsidP="00A16957">
      <w:pPr>
        <w:overflowPunct w:val="0"/>
        <w:autoSpaceDE w:val="0"/>
        <w:autoSpaceDN w:val="0"/>
        <w:adjustRightInd w:val="0"/>
        <w:spacing w:before="120" w:line="360" w:lineRule="auto"/>
        <w:ind w:right="-46"/>
        <w:jc w:val="both"/>
        <w:textAlignment w:val="baseline"/>
        <w:rPr>
          <w:rFonts w:ascii="Arial" w:hAnsi="Arial" w:cs="Arial"/>
          <w:sz w:val="22"/>
          <w:szCs w:val="22"/>
        </w:rPr>
      </w:pPr>
      <w:r w:rsidRPr="00A16957">
        <w:rPr>
          <w:rFonts w:ascii="Arial" w:hAnsi="Arial" w:cs="Arial"/>
          <w:sz w:val="22"/>
          <w:szCs w:val="22"/>
        </w:rPr>
        <w:t>The ski</w:t>
      </w:r>
      <w:r w:rsidR="009553B4" w:rsidRPr="00A16957">
        <w:rPr>
          <w:rFonts w:ascii="Arial" w:hAnsi="Arial" w:cs="Arial"/>
          <w:sz w:val="22"/>
          <w:szCs w:val="22"/>
        </w:rPr>
        <w:t>lls and expertise required to be successful in the world of work</w:t>
      </w:r>
      <w:r w:rsidR="00552B72" w:rsidRPr="00A16957">
        <w:rPr>
          <w:rFonts w:ascii="Arial" w:hAnsi="Arial" w:cs="Arial"/>
          <w:sz w:val="22"/>
          <w:szCs w:val="22"/>
        </w:rPr>
        <w:t xml:space="preserve"> has considerably</w:t>
      </w:r>
      <w:r w:rsidRPr="00A16957">
        <w:rPr>
          <w:rFonts w:ascii="Arial" w:hAnsi="Arial" w:cs="Arial"/>
          <w:sz w:val="22"/>
          <w:szCs w:val="22"/>
        </w:rPr>
        <w:t xml:space="preserve"> changed in the 21</w:t>
      </w:r>
      <w:r w:rsidRPr="00A16957">
        <w:rPr>
          <w:rFonts w:ascii="Arial" w:hAnsi="Arial" w:cs="Arial"/>
          <w:sz w:val="22"/>
          <w:szCs w:val="22"/>
          <w:vertAlign w:val="superscript"/>
        </w:rPr>
        <w:t>st</w:t>
      </w:r>
      <w:r w:rsidR="00552B72" w:rsidRPr="00A16957">
        <w:rPr>
          <w:rFonts w:ascii="Arial" w:hAnsi="Arial" w:cs="Arial"/>
          <w:sz w:val="22"/>
          <w:szCs w:val="22"/>
        </w:rPr>
        <w:t xml:space="preserve"> Century.</w:t>
      </w:r>
      <w:r w:rsidR="009553B4" w:rsidRPr="00A16957">
        <w:rPr>
          <w:rFonts w:ascii="Arial" w:hAnsi="Arial" w:cs="Arial"/>
          <w:sz w:val="22"/>
          <w:szCs w:val="22"/>
        </w:rPr>
        <w:t xml:space="preserve"> This is due</w:t>
      </w:r>
      <w:r w:rsidRPr="00A16957">
        <w:rPr>
          <w:rFonts w:ascii="Arial" w:hAnsi="Arial" w:cs="Arial"/>
          <w:sz w:val="22"/>
          <w:szCs w:val="22"/>
        </w:rPr>
        <w:t xml:space="preserve"> to advancements in technology and the </w:t>
      </w:r>
      <w:r w:rsidR="009553B4" w:rsidRPr="00A16957">
        <w:rPr>
          <w:rFonts w:ascii="Arial" w:hAnsi="Arial" w:cs="Arial"/>
          <w:sz w:val="22"/>
          <w:szCs w:val="22"/>
        </w:rPr>
        <w:t>ever-increasing</w:t>
      </w:r>
      <w:r w:rsidRPr="00A16957">
        <w:rPr>
          <w:rFonts w:ascii="Arial" w:hAnsi="Arial" w:cs="Arial"/>
          <w:sz w:val="22"/>
          <w:szCs w:val="22"/>
        </w:rPr>
        <w:t xml:space="preserve"> use of numerical related </w:t>
      </w:r>
      <w:r w:rsidR="009553B4" w:rsidRPr="00A16957">
        <w:rPr>
          <w:rFonts w:ascii="Arial" w:hAnsi="Arial" w:cs="Arial"/>
          <w:sz w:val="22"/>
          <w:szCs w:val="22"/>
        </w:rPr>
        <w:t xml:space="preserve">tasks, which are now more than the simple arithmetic and procedural knowledge that once was. Therefore, to be considered numerate, mathematics </w:t>
      </w:r>
      <w:r w:rsidR="00552B72" w:rsidRPr="00A16957">
        <w:rPr>
          <w:rFonts w:ascii="Arial" w:hAnsi="Arial" w:cs="Arial"/>
          <w:sz w:val="22"/>
          <w:szCs w:val="22"/>
        </w:rPr>
        <w:t>should be applied to the real world</w:t>
      </w:r>
      <w:r w:rsidR="00D054F9" w:rsidRPr="00A16957">
        <w:rPr>
          <w:rFonts w:ascii="Arial" w:hAnsi="Arial" w:cs="Arial"/>
          <w:sz w:val="22"/>
          <w:szCs w:val="22"/>
        </w:rPr>
        <w:t xml:space="preserve"> and become</w:t>
      </w:r>
      <w:r w:rsidR="00244E41" w:rsidRPr="00A16957">
        <w:rPr>
          <w:rFonts w:ascii="Arial" w:hAnsi="Arial" w:cs="Arial"/>
          <w:sz w:val="22"/>
          <w:szCs w:val="22"/>
        </w:rPr>
        <w:t xml:space="preserve"> relevant and engaging</w:t>
      </w:r>
      <w:r w:rsidR="00552B72" w:rsidRPr="00A16957">
        <w:rPr>
          <w:rFonts w:ascii="Arial" w:hAnsi="Arial" w:cs="Arial"/>
          <w:sz w:val="22"/>
          <w:szCs w:val="22"/>
        </w:rPr>
        <w:t xml:space="preserve"> </w:t>
      </w:r>
      <w:sdt>
        <w:sdtPr>
          <w:rPr>
            <w:rFonts w:ascii="Arial" w:hAnsi="Arial" w:cs="Arial"/>
            <w:sz w:val="22"/>
            <w:szCs w:val="22"/>
          </w:rPr>
          <w:id w:val="-517002962"/>
          <w:citation/>
        </w:sdtPr>
        <w:sdtEndPr/>
        <w:sdtContent>
          <w:r w:rsidR="00552B72" w:rsidRPr="00A16957">
            <w:rPr>
              <w:rFonts w:ascii="Arial" w:hAnsi="Arial" w:cs="Arial"/>
              <w:sz w:val="22"/>
              <w:szCs w:val="22"/>
            </w:rPr>
            <w:fldChar w:fldCharType="begin"/>
          </w:r>
          <w:r w:rsidR="00552B72" w:rsidRPr="00A16957">
            <w:rPr>
              <w:rFonts w:ascii="Arial" w:hAnsi="Arial" w:cs="Arial"/>
              <w:sz w:val="22"/>
              <w:szCs w:val="22"/>
            </w:rPr>
            <w:instrText xml:space="preserve"> CITATION Dav20 \l 2057 </w:instrText>
          </w:r>
          <w:r w:rsidR="00552B72" w:rsidRPr="00A16957">
            <w:rPr>
              <w:rFonts w:ascii="Arial" w:hAnsi="Arial" w:cs="Arial"/>
              <w:sz w:val="22"/>
              <w:szCs w:val="22"/>
            </w:rPr>
            <w:fldChar w:fldCharType="separate"/>
          </w:r>
          <w:r w:rsidR="00552B72" w:rsidRPr="00A16957">
            <w:rPr>
              <w:rFonts w:ascii="Arial" w:hAnsi="Arial" w:cs="Arial"/>
              <w:noProof/>
              <w:sz w:val="22"/>
              <w:szCs w:val="22"/>
            </w:rPr>
            <w:t>(Tout, 2020)</w:t>
          </w:r>
          <w:r w:rsidR="00552B72" w:rsidRPr="00A16957">
            <w:rPr>
              <w:rFonts w:ascii="Arial" w:hAnsi="Arial" w:cs="Arial"/>
              <w:sz w:val="22"/>
              <w:szCs w:val="22"/>
            </w:rPr>
            <w:fldChar w:fldCharType="end"/>
          </w:r>
        </w:sdtContent>
      </w:sdt>
      <w:r w:rsidR="00552B72" w:rsidRPr="00A16957">
        <w:rPr>
          <w:rFonts w:ascii="Arial" w:hAnsi="Arial" w:cs="Arial"/>
          <w:sz w:val="22"/>
          <w:szCs w:val="22"/>
        </w:rPr>
        <w:t>.</w:t>
      </w:r>
    </w:p>
    <w:p w:rsidR="00F436DF" w:rsidRPr="00A16957" w:rsidRDefault="00F436DF" w:rsidP="00A16957">
      <w:pPr>
        <w:overflowPunct w:val="0"/>
        <w:autoSpaceDE w:val="0"/>
        <w:autoSpaceDN w:val="0"/>
        <w:adjustRightInd w:val="0"/>
        <w:spacing w:before="120" w:line="360" w:lineRule="auto"/>
        <w:ind w:right="-46"/>
        <w:jc w:val="both"/>
        <w:textAlignment w:val="baseline"/>
        <w:rPr>
          <w:rFonts w:ascii="Arial" w:hAnsi="Arial" w:cs="Arial"/>
          <w:sz w:val="22"/>
          <w:szCs w:val="22"/>
        </w:rPr>
      </w:pPr>
    </w:p>
    <w:p w:rsidR="003F08B1" w:rsidRPr="00A16957" w:rsidRDefault="001C20B3" w:rsidP="00A16957">
      <w:pPr>
        <w:overflowPunct w:val="0"/>
        <w:autoSpaceDE w:val="0"/>
        <w:autoSpaceDN w:val="0"/>
        <w:adjustRightInd w:val="0"/>
        <w:spacing w:before="120" w:line="360" w:lineRule="auto"/>
        <w:ind w:right="-46"/>
        <w:jc w:val="both"/>
        <w:textAlignment w:val="baseline"/>
        <w:rPr>
          <w:rFonts w:ascii="Arial" w:hAnsi="Arial" w:cs="Arial"/>
          <w:noProof/>
          <w:sz w:val="22"/>
          <w:szCs w:val="22"/>
        </w:rPr>
      </w:pPr>
      <w:r w:rsidRPr="00A16957">
        <w:rPr>
          <w:rFonts w:ascii="Arial" w:hAnsi="Arial" w:cs="Arial"/>
          <w:sz w:val="22"/>
          <w:szCs w:val="22"/>
        </w:rPr>
        <w:t xml:space="preserve">According to </w:t>
      </w:r>
      <w:r w:rsidR="003F08B1" w:rsidRPr="00A16957">
        <w:rPr>
          <w:rFonts w:ascii="Arial" w:hAnsi="Arial" w:cs="Arial"/>
          <w:noProof/>
          <w:sz w:val="22"/>
          <w:szCs w:val="22"/>
        </w:rPr>
        <w:t xml:space="preserve">Discoverers, (2020. Para. 1) </w:t>
      </w:r>
    </w:p>
    <w:p w:rsidR="003F08B1" w:rsidRPr="00A16957" w:rsidRDefault="003F08B1" w:rsidP="00A16957">
      <w:pPr>
        <w:overflowPunct w:val="0"/>
        <w:autoSpaceDE w:val="0"/>
        <w:autoSpaceDN w:val="0"/>
        <w:adjustRightInd w:val="0"/>
        <w:spacing w:before="120" w:line="360" w:lineRule="auto"/>
        <w:ind w:left="567" w:right="1088"/>
        <w:jc w:val="both"/>
        <w:textAlignment w:val="baseline"/>
        <w:rPr>
          <w:rFonts w:ascii="Arial" w:hAnsi="Arial" w:cs="Arial"/>
          <w:sz w:val="22"/>
          <w:szCs w:val="22"/>
        </w:rPr>
      </w:pPr>
      <w:r w:rsidRPr="00A16957">
        <w:rPr>
          <w:rFonts w:ascii="Arial" w:hAnsi="Arial" w:cs="Arial"/>
          <w:sz w:val="22"/>
          <w:szCs w:val="22"/>
        </w:rPr>
        <w:t>“Numeracy skills are not only an important part of the curriculum; they are also a vital life skill that allows us to perform a wide range of everyday tasks”.</w:t>
      </w:r>
    </w:p>
    <w:p w:rsidR="003F08B1" w:rsidRPr="00A16957" w:rsidRDefault="00F436DF" w:rsidP="00A16957">
      <w:pPr>
        <w:shd w:val="clear" w:color="auto" w:fill="FFFFFF"/>
        <w:spacing w:line="360" w:lineRule="auto"/>
        <w:jc w:val="both"/>
        <w:textAlignment w:val="baseline"/>
        <w:rPr>
          <w:rFonts w:ascii="Arial" w:hAnsi="Arial" w:cs="Arial"/>
          <w:noProof/>
          <w:sz w:val="22"/>
          <w:szCs w:val="22"/>
        </w:rPr>
      </w:pPr>
      <w:r w:rsidRPr="00A16957">
        <w:rPr>
          <w:rFonts w:ascii="Arial" w:hAnsi="Arial" w:cs="Arial"/>
          <w:sz w:val="22"/>
          <w:szCs w:val="22"/>
        </w:rPr>
        <w:lastRenderedPageBreak/>
        <w:t xml:space="preserve">The first years of a </w:t>
      </w:r>
      <w:r w:rsidR="00581BDD" w:rsidRPr="00A16957">
        <w:rPr>
          <w:rFonts w:ascii="Arial" w:hAnsi="Arial" w:cs="Arial"/>
          <w:sz w:val="22"/>
          <w:szCs w:val="22"/>
        </w:rPr>
        <w:t>child’s</w:t>
      </w:r>
      <w:r w:rsidRPr="00A16957">
        <w:rPr>
          <w:rFonts w:ascii="Arial" w:hAnsi="Arial" w:cs="Arial"/>
          <w:sz w:val="22"/>
          <w:szCs w:val="22"/>
        </w:rPr>
        <w:t xml:space="preserve"> life is critical for accelerating learning and growth</w:t>
      </w:r>
      <w:r w:rsidR="00956414" w:rsidRPr="00A16957">
        <w:rPr>
          <w:rFonts w:ascii="Arial" w:hAnsi="Arial" w:cs="Arial"/>
          <w:sz w:val="22"/>
          <w:szCs w:val="22"/>
        </w:rPr>
        <w:t xml:space="preserve"> and increasing spatial memory</w:t>
      </w:r>
      <w:r w:rsidR="005C3558" w:rsidRPr="00A16957">
        <w:rPr>
          <w:rFonts w:ascii="Arial" w:hAnsi="Arial" w:cs="Arial"/>
          <w:sz w:val="22"/>
          <w:szCs w:val="22"/>
        </w:rPr>
        <w:t>.</w:t>
      </w:r>
      <w:r w:rsidR="00956414" w:rsidRPr="00A16957">
        <w:rPr>
          <w:rFonts w:ascii="Arial" w:hAnsi="Arial" w:cs="Arial"/>
          <w:sz w:val="22"/>
          <w:szCs w:val="22"/>
        </w:rPr>
        <w:t xml:space="preserve"> </w:t>
      </w:r>
      <w:r w:rsidR="005C3558" w:rsidRPr="00A16957">
        <w:rPr>
          <w:rFonts w:ascii="Arial" w:hAnsi="Arial" w:cs="Arial"/>
          <w:color w:val="000000"/>
          <w:sz w:val="22"/>
          <w:szCs w:val="22"/>
          <w:shd w:val="clear" w:color="auto" w:fill="FFFFFF"/>
        </w:rPr>
        <w:t>S</w:t>
      </w:r>
      <w:r w:rsidR="00956414" w:rsidRPr="00A16957">
        <w:rPr>
          <w:rFonts w:ascii="Arial" w:hAnsi="Arial" w:cs="Arial"/>
          <w:color w:val="000000"/>
          <w:sz w:val="22"/>
          <w:szCs w:val="22"/>
          <w:shd w:val="clear" w:color="auto" w:fill="FFFFFF"/>
        </w:rPr>
        <w:t>patial memory is a part of your working memory (W/M)</w:t>
      </w:r>
      <w:r w:rsidR="00AB5661" w:rsidRPr="00A16957">
        <w:rPr>
          <w:rFonts w:ascii="Arial" w:hAnsi="Arial" w:cs="Arial"/>
          <w:color w:val="000000"/>
          <w:sz w:val="22"/>
          <w:szCs w:val="22"/>
          <w:shd w:val="clear" w:color="auto" w:fill="FFFFFF"/>
        </w:rPr>
        <w:t>, and</w:t>
      </w:r>
      <w:r w:rsidR="00956414" w:rsidRPr="00A16957">
        <w:rPr>
          <w:rFonts w:ascii="Arial" w:hAnsi="Arial" w:cs="Arial"/>
          <w:color w:val="000000"/>
          <w:sz w:val="22"/>
          <w:szCs w:val="22"/>
          <w:shd w:val="clear" w:color="auto" w:fill="FFFFFF"/>
        </w:rPr>
        <w:t xml:space="preserve"> is the short term memory which helps you store information for a </w:t>
      </w:r>
      <w:r w:rsidR="00AB5661" w:rsidRPr="00A16957">
        <w:rPr>
          <w:rFonts w:ascii="Arial" w:hAnsi="Arial" w:cs="Arial"/>
          <w:color w:val="000000"/>
          <w:sz w:val="22"/>
          <w:szCs w:val="22"/>
          <w:shd w:val="clear" w:color="auto" w:fill="FFFFFF"/>
        </w:rPr>
        <w:t>short time before you forget it. The</w:t>
      </w:r>
      <w:r w:rsidR="00956414" w:rsidRPr="00A16957">
        <w:rPr>
          <w:rFonts w:ascii="Arial" w:hAnsi="Arial" w:cs="Arial"/>
          <w:color w:val="000000"/>
          <w:sz w:val="22"/>
          <w:szCs w:val="22"/>
          <w:shd w:val="clear" w:color="auto" w:fill="FFFFFF"/>
        </w:rPr>
        <w:t xml:space="preserve"> W/M develops with age, so younger children have less of it</w:t>
      </w:r>
      <w:r w:rsidR="00AB5661" w:rsidRPr="00A16957">
        <w:rPr>
          <w:rFonts w:ascii="Arial" w:hAnsi="Arial" w:cs="Arial"/>
          <w:color w:val="000000"/>
          <w:sz w:val="22"/>
          <w:szCs w:val="22"/>
          <w:shd w:val="clear" w:color="auto" w:fill="FFFFFF"/>
        </w:rPr>
        <w:t>, and it</w:t>
      </w:r>
      <w:r w:rsidR="007D1A7C" w:rsidRPr="00A16957">
        <w:rPr>
          <w:rFonts w:ascii="Arial" w:hAnsi="Arial" w:cs="Arial"/>
          <w:color w:val="000000"/>
          <w:sz w:val="22"/>
          <w:szCs w:val="22"/>
          <w:shd w:val="clear" w:color="auto" w:fill="FFFFFF"/>
        </w:rPr>
        <w:t xml:space="preserve"> is split into 3 parts ‘</w:t>
      </w:r>
      <w:r w:rsidR="007D1A7C" w:rsidRPr="00A16957">
        <w:rPr>
          <w:rFonts w:ascii="Arial" w:hAnsi="Arial" w:cs="Arial"/>
          <w:color w:val="000000"/>
          <w:sz w:val="22"/>
          <w:szCs w:val="22"/>
        </w:rPr>
        <w:t>Central Executive, p</w:t>
      </w:r>
      <w:r w:rsidR="007D1A7C" w:rsidRPr="00956414">
        <w:rPr>
          <w:rFonts w:ascii="Arial" w:hAnsi="Arial" w:cs="Arial"/>
          <w:color w:val="000000"/>
          <w:sz w:val="22"/>
          <w:szCs w:val="22"/>
        </w:rPr>
        <w:t xml:space="preserve">honological memory </w:t>
      </w:r>
      <w:r w:rsidR="007D1A7C" w:rsidRPr="00A16957">
        <w:rPr>
          <w:rFonts w:ascii="Arial" w:hAnsi="Arial" w:cs="Arial"/>
          <w:color w:val="000000"/>
          <w:sz w:val="22"/>
          <w:szCs w:val="22"/>
        </w:rPr>
        <w:t xml:space="preserve">and </w:t>
      </w:r>
      <w:r w:rsidR="007D1A7C" w:rsidRPr="00956414">
        <w:rPr>
          <w:rFonts w:ascii="Arial" w:hAnsi="Arial" w:cs="Arial"/>
          <w:color w:val="000000"/>
          <w:sz w:val="22"/>
          <w:szCs w:val="22"/>
        </w:rPr>
        <w:t>Visual-spatial memory</w:t>
      </w:r>
      <w:r w:rsidR="007D1A7C" w:rsidRPr="00A16957">
        <w:rPr>
          <w:rFonts w:ascii="Arial" w:hAnsi="Arial" w:cs="Arial"/>
          <w:color w:val="000000"/>
          <w:sz w:val="22"/>
          <w:szCs w:val="22"/>
        </w:rPr>
        <w:t>’</w:t>
      </w:r>
      <w:r w:rsidR="007D1A7C" w:rsidRPr="00956414">
        <w:rPr>
          <w:rFonts w:ascii="Arial" w:hAnsi="Arial" w:cs="Arial"/>
          <w:color w:val="000000"/>
          <w:sz w:val="22"/>
          <w:szCs w:val="22"/>
        </w:rPr>
        <w:t xml:space="preserve"> </w:t>
      </w:r>
      <w:r w:rsidR="00956414" w:rsidRPr="00A16957">
        <w:rPr>
          <w:rFonts w:ascii="Arial" w:hAnsi="Arial" w:cs="Arial"/>
          <w:color w:val="000000"/>
          <w:sz w:val="22"/>
          <w:szCs w:val="22"/>
          <w:shd w:val="clear" w:color="auto" w:fill="FFFFFF"/>
        </w:rPr>
        <w:t xml:space="preserve"> </w:t>
      </w:r>
      <w:sdt>
        <w:sdtPr>
          <w:rPr>
            <w:rFonts w:ascii="Arial" w:hAnsi="Arial" w:cs="Arial"/>
            <w:color w:val="000000"/>
            <w:sz w:val="22"/>
            <w:szCs w:val="22"/>
            <w:shd w:val="clear" w:color="auto" w:fill="FFFFFF"/>
          </w:rPr>
          <w:id w:val="1026295752"/>
          <w:citation/>
        </w:sdtPr>
        <w:sdtEndPr/>
        <w:sdtContent>
          <w:r w:rsidR="00956414" w:rsidRPr="00A16957">
            <w:rPr>
              <w:rFonts w:ascii="Arial" w:hAnsi="Arial" w:cs="Arial"/>
              <w:color w:val="000000"/>
              <w:sz w:val="22"/>
              <w:szCs w:val="22"/>
              <w:shd w:val="clear" w:color="auto" w:fill="FFFFFF"/>
            </w:rPr>
            <w:fldChar w:fldCharType="begin"/>
          </w:r>
          <w:r w:rsidR="007D1A7C" w:rsidRPr="00A16957">
            <w:rPr>
              <w:rFonts w:ascii="Arial" w:hAnsi="Arial" w:cs="Arial"/>
              <w:color w:val="000000"/>
              <w:sz w:val="22"/>
              <w:szCs w:val="22"/>
              <w:shd w:val="clear" w:color="auto" w:fill="FFFFFF"/>
            </w:rPr>
            <w:instrText xml:space="preserve">CITATION Kyt03 \p 65 \l 2057 </w:instrText>
          </w:r>
          <w:r w:rsidR="00956414" w:rsidRPr="00A16957">
            <w:rPr>
              <w:rFonts w:ascii="Arial" w:hAnsi="Arial" w:cs="Arial"/>
              <w:color w:val="000000"/>
              <w:sz w:val="22"/>
              <w:szCs w:val="22"/>
              <w:shd w:val="clear" w:color="auto" w:fill="FFFFFF"/>
            </w:rPr>
            <w:fldChar w:fldCharType="separate"/>
          </w:r>
          <w:r w:rsidR="007D1A7C" w:rsidRPr="00A16957">
            <w:rPr>
              <w:rFonts w:ascii="Arial" w:hAnsi="Arial" w:cs="Arial"/>
              <w:noProof/>
              <w:color w:val="000000"/>
              <w:sz w:val="22"/>
              <w:szCs w:val="22"/>
              <w:shd w:val="clear" w:color="auto" w:fill="FFFFFF"/>
            </w:rPr>
            <w:t>(Kyttala, Lehto, Van Luit, &amp; Hautumaki, 2003, p. 65)</w:t>
          </w:r>
          <w:r w:rsidR="00956414" w:rsidRPr="00A16957">
            <w:rPr>
              <w:rFonts w:ascii="Arial" w:hAnsi="Arial" w:cs="Arial"/>
              <w:color w:val="000000"/>
              <w:sz w:val="22"/>
              <w:szCs w:val="22"/>
              <w:shd w:val="clear" w:color="auto" w:fill="FFFFFF"/>
            </w:rPr>
            <w:fldChar w:fldCharType="end"/>
          </w:r>
        </w:sdtContent>
      </w:sdt>
      <w:r w:rsidRPr="00A16957">
        <w:rPr>
          <w:rFonts w:ascii="Arial" w:hAnsi="Arial" w:cs="Arial"/>
          <w:sz w:val="22"/>
          <w:szCs w:val="22"/>
        </w:rPr>
        <w:t xml:space="preserve">. </w:t>
      </w:r>
      <w:r w:rsidR="001D7AB4" w:rsidRPr="00A16957">
        <w:rPr>
          <w:rFonts w:ascii="Arial" w:hAnsi="Arial" w:cs="Arial"/>
          <w:noProof/>
          <w:sz w:val="22"/>
          <w:szCs w:val="22"/>
        </w:rPr>
        <w:t>Bruner, (1966, p. 49) suggested three types of representation in his research on children's cognitive development: ‘Representation in action (action-based) Representation that is iconic (image-based)</w:t>
      </w:r>
      <w:r w:rsidR="00AB5661" w:rsidRPr="00A16957">
        <w:rPr>
          <w:rFonts w:ascii="Arial" w:hAnsi="Arial" w:cs="Arial"/>
          <w:noProof/>
          <w:sz w:val="22"/>
          <w:szCs w:val="22"/>
        </w:rPr>
        <w:t xml:space="preserve"> and </w:t>
      </w:r>
      <w:r w:rsidR="001D7AB4" w:rsidRPr="00A16957">
        <w:rPr>
          <w:rFonts w:ascii="Arial" w:hAnsi="Arial" w:cs="Arial"/>
          <w:noProof/>
          <w:sz w:val="22"/>
          <w:szCs w:val="22"/>
        </w:rPr>
        <w:t xml:space="preserve">Representation of symbols (language-based)’. </w:t>
      </w:r>
      <w:r w:rsidRPr="00A16957">
        <w:rPr>
          <w:rFonts w:ascii="Arial" w:hAnsi="Arial" w:cs="Arial"/>
          <w:sz w:val="22"/>
          <w:szCs w:val="22"/>
        </w:rPr>
        <w:t xml:space="preserve">Numbers and patterns are developed by using math concepts to make sense of their surroundings and daily activities. When children sort their toys or choose toys based on size, shape, weight or colour they are </w:t>
      </w:r>
      <w:r w:rsidR="00581BDD" w:rsidRPr="00A16957">
        <w:rPr>
          <w:rFonts w:ascii="Arial" w:hAnsi="Arial" w:cs="Arial"/>
          <w:sz w:val="22"/>
          <w:szCs w:val="22"/>
        </w:rPr>
        <w:t xml:space="preserve">recognising and </w:t>
      </w:r>
      <w:r w:rsidR="005742D4" w:rsidRPr="00A16957">
        <w:rPr>
          <w:rFonts w:ascii="Arial" w:hAnsi="Arial" w:cs="Arial"/>
          <w:sz w:val="22"/>
          <w:szCs w:val="22"/>
        </w:rPr>
        <w:t xml:space="preserve">unintentionally </w:t>
      </w:r>
      <w:r w:rsidR="00F05D3B" w:rsidRPr="00A16957">
        <w:rPr>
          <w:rFonts w:ascii="Arial" w:hAnsi="Arial" w:cs="Arial"/>
          <w:sz w:val="22"/>
          <w:szCs w:val="22"/>
        </w:rPr>
        <w:t>using mathematics and</w:t>
      </w:r>
      <w:r w:rsidR="005742D4" w:rsidRPr="00A16957">
        <w:rPr>
          <w:rFonts w:ascii="Arial" w:hAnsi="Arial" w:cs="Arial"/>
          <w:sz w:val="22"/>
          <w:szCs w:val="22"/>
        </w:rPr>
        <w:t xml:space="preserve"> relating it to the</w:t>
      </w:r>
      <w:r w:rsidR="00581BDD" w:rsidRPr="00A16957">
        <w:rPr>
          <w:rFonts w:ascii="Arial" w:hAnsi="Arial" w:cs="Arial"/>
          <w:sz w:val="22"/>
          <w:szCs w:val="22"/>
        </w:rPr>
        <w:t xml:space="preserve"> real world</w:t>
      </w:r>
      <w:r w:rsidR="00483742" w:rsidRPr="00A16957">
        <w:rPr>
          <w:rFonts w:ascii="Arial" w:hAnsi="Arial" w:cs="Arial"/>
          <w:sz w:val="22"/>
          <w:szCs w:val="22"/>
        </w:rPr>
        <w:t xml:space="preserve"> </w:t>
      </w:r>
      <w:sdt>
        <w:sdtPr>
          <w:rPr>
            <w:rFonts w:ascii="Arial" w:hAnsi="Arial" w:cs="Arial"/>
            <w:sz w:val="22"/>
            <w:szCs w:val="22"/>
          </w:rPr>
          <w:id w:val="1622800217"/>
          <w:citation/>
        </w:sdtPr>
        <w:sdtEndPr/>
        <w:sdtContent>
          <w:r w:rsidR="00483742" w:rsidRPr="00A16957">
            <w:rPr>
              <w:rFonts w:ascii="Arial" w:hAnsi="Arial" w:cs="Arial"/>
              <w:sz w:val="22"/>
              <w:szCs w:val="22"/>
            </w:rPr>
            <w:fldChar w:fldCharType="begin"/>
          </w:r>
          <w:r w:rsidR="00483742" w:rsidRPr="00A16957">
            <w:rPr>
              <w:rFonts w:ascii="Arial" w:hAnsi="Arial" w:cs="Arial"/>
              <w:sz w:val="22"/>
              <w:szCs w:val="22"/>
            </w:rPr>
            <w:instrText xml:space="preserve"> CITATION Vic19 \l 2057 </w:instrText>
          </w:r>
          <w:r w:rsidR="00483742" w:rsidRPr="00A16957">
            <w:rPr>
              <w:rFonts w:ascii="Arial" w:hAnsi="Arial" w:cs="Arial"/>
              <w:sz w:val="22"/>
              <w:szCs w:val="22"/>
            </w:rPr>
            <w:fldChar w:fldCharType="separate"/>
          </w:r>
          <w:r w:rsidR="00483742" w:rsidRPr="00A16957">
            <w:rPr>
              <w:rFonts w:ascii="Arial" w:hAnsi="Arial" w:cs="Arial"/>
              <w:noProof/>
              <w:sz w:val="22"/>
              <w:szCs w:val="22"/>
            </w:rPr>
            <w:t>(Victoria, 2019)</w:t>
          </w:r>
          <w:r w:rsidR="00483742" w:rsidRPr="00A16957">
            <w:rPr>
              <w:rFonts w:ascii="Arial" w:hAnsi="Arial" w:cs="Arial"/>
              <w:sz w:val="22"/>
              <w:szCs w:val="22"/>
            </w:rPr>
            <w:fldChar w:fldCharType="end"/>
          </w:r>
        </w:sdtContent>
      </w:sdt>
      <w:r w:rsidR="00483742" w:rsidRPr="00A16957">
        <w:rPr>
          <w:rFonts w:ascii="Arial" w:hAnsi="Arial" w:cs="Arial"/>
          <w:sz w:val="22"/>
          <w:szCs w:val="22"/>
        </w:rPr>
        <w:t>.</w:t>
      </w:r>
      <w:r w:rsidR="001C20B3" w:rsidRPr="00A16957">
        <w:rPr>
          <w:rFonts w:ascii="Arial" w:hAnsi="Arial" w:cs="Arial"/>
          <w:sz w:val="22"/>
          <w:szCs w:val="22"/>
        </w:rPr>
        <w:t xml:space="preserve"> Embedding counting into daily activities fr</w:t>
      </w:r>
      <w:r w:rsidR="003F08B1" w:rsidRPr="00A16957">
        <w:rPr>
          <w:rFonts w:ascii="Arial" w:hAnsi="Arial" w:cs="Arial"/>
          <w:sz w:val="22"/>
          <w:szCs w:val="22"/>
        </w:rPr>
        <w:t>om a young age will benefit children</w:t>
      </w:r>
      <w:r w:rsidR="001C20B3" w:rsidRPr="00A16957">
        <w:rPr>
          <w:rFonts w:ascii="Arial" w:hAnsi="Arial" w:cs="Arial"/>
          <w:sz w:val="22"/>
          <w:szCs w:val="22"/>
        </w:rPr>
        <w:t xml:space="preserve"> when they begin primary school, this could be singing counting songs such as Five Little Ducks, reading books that incorporate counting and playing board games that involve dice and counting spaces</w:t>
      </w:r>
      <w:sdt>
        <w:sdtPr>
          <w:rPr>
            <w:rFonts w:ascii="Arial" w:hAnsi="Arial" w:cs="Arial"/>
            <w:sz w:val="22"/>
            <w:szCs w:val="22"/>
          </w:rPr>
          <w:id w:val="-889565319"/>
          <w:citation/>
        </w:sdtPr>
        <w:sdtEndPr/>
        <w:sdtContent>
          <w:r w:rsidR="003F08B1" w:rsidRPr="00A16957">
            <w:rPr>
              <w:rFonts w:ascii="Arial" w:hAnsi="Arial" w:cs="Arial"/>
              <w:sz w:val="22"/>
              <w:szCs w:val="22"/>
            </w:rPr>
            <w:fldChar w:fldCharType="begin"/>
          </w:r>
          <w:r w:rsidR="003F08B1" w:rsidRPr="00A16957">
            <w:rPr>
              <w:rFonts w:ascii="Arial" w:hAnsi="Arial" w:cs="Arial"/>
              <w:sz w:val="22"/>
              <w:szCs w:val="22"/>
            </w:rPr>
            <w:instrText xml:space="preserve"> CITATION Dis20 \l 2057 </w:instrText>
          </w:r>
          <w:r w:rsidR="003F08B1" w:rsidRPr="00A16957">
            <w:rPr>
              <w:rFonts w:ascii="Arial" w:hAnsi="Arial" w:cs="Arial"/>
              <w:sz w:val="22"/>
              <w:szCs w:val="22"/>
            </w:rPr>
            <w:fldChar w:fldCharType="separate"/>
          </w:r>
          <w:r w:rsidR="003F08B1" w:rsidRPr="00A16957">
            <w:rPr>
              <w:rFonts w:ascii="Arial" w:hAnsi="Arial" w:cs="Arial"/>
              <w:noProof/>
              <w:sz w:val="22"/>
              <w:szCs w:val="22"/>
            </w:rPr>
            <w:t xml:space="preserve"> (Discoverers, 2020)</w:t>
          </w:r>
          <w:r w:rsidR="003F08B1" w:rsidRPr="00A16957">
            <w:rPr>
              <w:rFonts w:ascii="Arial" w:hAnsi="Arial" w:cs="Arial"/>
              <w:sz w:val="22"/>
              <w:szCs w:val="22"/>
            </w:rPr>
            <w:fldChar w:fldCharType="end"/>
          </w:r>
        </w:sdtContent>
      </w:sdt>
      <w:r w:rsidR="003F08B1" w:rsidRPr="00A16957">
        <w:rPr>
          <w:rFonts w:ascii="Arial" w:hAnsi="Arial" w:cs="Arial"/>
          <w:sz w:val="22"/>
          <w:szCs w:val="22"/>
        </w:rPr>
        <w:t>.</w:t>
      </w:r>
    </w:p>
    <w:p w:rsidR="00F56686" w:rsidRPr="00A16957" w:rsidRDefault="003F08B1" w:rsidP="00A16957">
      <w:pPr>
        <w:overflowPunct w:val="0"/>
        <w:autoSpaceDE w:val="0"/>
        <w:autoSpaceDN w:val="0"/>
        <w:adjustRightInd w:val="0"/>
        <w:spacing w:before="120" w:line="360" w:lineRule="auto"/>
        <w:ind w:right="-46"/>
        <w:jc w:val="both"/>
        <w:textAlignment w:val="baseline"/>
        <w:rPr>
          <w:rFonts w:ascii="Arial" w:hAnsi="Arial" w:cs="Arial"/>
          <w:noProof/>
          <w:sz w:val="22"/>
          <w:szCs w:val="22"/>
        </w:rPr>
      </w:pPr>
      <w:r w:rsidRPr="00A16957">
        <w:rPr>
          <w:rFonts w:ascii="Arial" w:hAnsi="Arial" w:cs="Arial"/>
          <w:sz w:val="22"/>
          <w:szCs w:val="22"/>
        </w:rPr>
        <w:t xml:space="preserve">However, </w:t>
      </w:r>
      <w:r w:rsidR="00440F9F" w:rsidRPr="00A16957">
        <w:rPr>
          <w:rFonts w:ascii="Arial" w:hAnsi="Arial" w:cs="Arial"/>
          <w:noProof/>
          <w:sz w:val="22"/>
          <w:szCs w:val="22"/>
        </w:rPr>
        <w:t>Lond</w:t>
      </w:r>
      <w:r w:rsidR="00F05D3B" w:rsidRPr="00A16957">
        <w:rPr>
          <w:rFonts w:ascii="Arial" w:hAnsi="Arial" w:cs="Arial"/>
          <w:noProof/>
          <w:sz w:val="22"/>
          <w:szCs w:val="22"/>
        </w:rPr>
        <w:t>on, (2019, para.2) suggests</w:t>
      </w:r>
      <w:r w:rsidR="00440F9F" w:rsidRPr="00A16957">
        <w:rPr>
          <w:rFonts w:ascii="Arial" w:hAnsi="Arial" w:cs="Arial"/>
          <w:noProof/>
          <w:sz w:val="22"/>
          <w:szCs w:val="22"/>
        </w:rPr>
        <w:t xml:space="preserve">, ‘Millions of adults may be missing out on improved numeracy because they </w:t>
      </w:r>
      <w:r w:rsidR="00641BA6" w:rsidRPr="00A16957">
        <w:rPr>
          <w:rFonts w:ascii="Arial" w:hAnsi="Arial" w:cs="Arial"/>
          <w:noProof/>
          <w:sz w:val="22"/>
          <w:szCs w:val="22"/>
        </w:rPr>
        <w:t>do not</w:t>
      </w:r>
      <w:r w:rsidR="00440F9F" w:rsidRPr="00A16957">
        <w:rPr>
          <w:rFonts w:ascii="Arial" w:hAnsi="Arial" w:cs="Arial"/>
          <w:noProof/>
          <w:sz w:val="22"/>
          <w:szCs w:val="22"/>
        </w:rPr>
        <w:t xml:space="preserve"> connect numeracy t</w:t>
      </w:r>
      <w:r w:rsidR="00641BA6" w:rsidRPr="00A16957">
        <w:rPr>
          <w:rFonts w:ascii="Arial" w:hAnsi="Arial" w:cs="Arial"/>
          <w:noProof/>
          <w:sz w:val="22"/>
          <w:szCs w:val="22"/>
        </w:rPr>
        <w:t>o their everyday life</w:t>
      </w:r>
      <w:r w:rsidR="00F05D3B" w:rsidRPr="00A16957">
        <w:rPr>
          <w:rFonts w:ascii="Arial" w:hAnsi="Arial" w:cs="Arial"/>
          <w:noProof/>
          <w:sz w:val="22"/>
          <w:szCs w:val="22"/>
        </w:rPr>
        <w:t>’. Adult ‘n</w:t>
      </w:r>
      <w:r w:rsidR="00440F9F" w:rsidRPr="00A16957">
        <w:rPr>
          <w:rFonts w:ascii="Arial" w:hAnsi="Arial" w:cs="Arial"/>
          <w:noProof/>
          <w:sz w:val="22"/>
          <w:szCs w:val="22"/>
        </w:rPr>
        <w:t>umeracy levels in the UK are</w:t>
      </w:r>
      <w:r w:rsidR="00F05D3B" w:rsidRPr="00A16957">
        <w:rPr>
          <w:rFonts w:ascii="Arial" w:hAnsi="Arial" w:cs="Arial"/>
          <w:noProof/>
          <w:sz w:val="22"/>
          <w:szCs w:val="22"/>
        </w:rPr>
        <w:t xml:space="preserve"> considerably</w:t>
      </w:r>
      <w:r w:rsidR="00440F9F" w:rsidRPr="00A16957">
        <w:rPr>
          <w:rFonts w:ascii="Arial" w:hAnsi="Arial" w:cs="Arial"/>
          <w:noProof/>
          <w:sz w:val="22"/>
          <w:szCs w:val="22"/>
        </w:rPr>
        <w:t xml:space="preserve"> low by international standard</w:t>
      </w:r>
      <w:r w:rsidR="00F05D3B" w:rsidRPr="00A16957">
        <w:rPr>
          <w:rFonts w:ascii="Arial" w:hAnsi="Arial" w:cs="Arial"/>
          <w:noProof/>
          <w:sz w:val="22"/>
          <w:szCs w:val="22"/>
        </w:rPr>
        <w:t>’</w:t>
      </w:r>
      <w:r w:rsidR="00440F9F" w:rsidRPr="00A16957">
        <w:rPr>
          <w:rFonts w:ascii="Arial" w:hAnsi="Arial" w:cs="Arial"/>
          <w:noProof/>
          <w:sz w:val="22"/>
          <w:szCs w:val="22"/>
        </w:rPr>
        <w:t xml:space="preserve"> </w:t>
      </w:r>
      <w:sdt>
        <w:sdtPr>
          <w:rPr>
            <w:rFonts w:ascii="Arial" w:hAnsi="Arial" w:cs="Arial"/>
            <w:noProof/>
            <w:sz w:val="22"/>
            <w:szCs w:val="22"/>
          </w:rPr>
          <w:id w:val="-960798916"/>
          <w:citation/>
        </w:sdtPr>
        <w:sdtEndPr/>
        <w:sdtContent>
          <w:r w:rsidR="00440F9F" w:rsidRPr="00A16957">
            <w:rPr>
              <w:rFonts w:ascii="Arial" w:hAnsi="Arial" w:cs="Arial"/>
              <w:noProof/>
              <w:sz w:val="22"/>
              <w:szCs w:val="22"/>
            </w:rPr>
            <w:fldChar w:fldCharType="begin"/>
          </w:r>
          <w:r w:rsidR="00440F9F" w:rsidRPr="00A16957">
            <w:rPr>
              <w:rFonts w:ascii="Arial" w:hAnsi="Arial" w:cs="Arial"/>
              <w:noProof/>
              <w:sz w:val="22"/>
              <w:szCs w:val="22"/>
            </w:rPr>
            <w:instrText xml:space="preserve">CITATION HalND \p 8 \l 2057 </w:instrText>
          </w:r>
          <w:r w:rsidR="00440F9F" w:rsidRPr="00A16957">
            <w:rPr>
              <w:rFonts w:ascii="Arial" w:hAnsi="Arial" w:cs="Arial"/>
              <w:noProof/>
              <w:sz w:val="22"/>
              <w:szCs w:val="22"/>
            </w:rPr>
            <w:fldChar w:fldCharType="separate"/>
          </w:r>
          <w:r w:rsidR="00440F9F" w:rsidRPr="00A16957">
            <w:rPr>
              <w:rFonts w:ascii="Arial" w:hAnsi="Arial" w:cs="Arial"/>
              <w:noProof/>
              <w:sz w:val="22"/>
              <w:szCs w:val="22"/>
            </w:rPr>
            <w:t>(Haldane, ND, p. 8)</w:t>
          </w:r>
          <w:r w:rsidR="00440F9F" w:rsidRPr="00A16957">
            <w:rPr>
              <w:rFonts w:ascii="Arial" w:hAnsi="Arial" w:cs="Arial"/>
              <w:noProof/>
              <w:sz w:val="22"/>
              <w:szCs w:val="22"/>
            </w:rPr>
            <w:fldChar w:fldCharType="end"/>
          </w:r>
        </w:sdtContent>
      </w:sdt>
      <w:r w:rsidR="00641BA6" w:rsidRPr="00A16957">
        <w:rPr>
          <w:rFonts w:ascii="Arial" w:hAnsi="Arial" w:cs="Arial"/>
          <w:noProof/>
          <w:sz w:val="22"/>
          <w:szCs w:val="22"/>
        </w:rPr>
        <w:t>. If adults are not reaching the levels of numeracy expected this will undoubtlbly impact on how they accelerate childrens learning</w:t>
      </w:r>
      <w:r w:rsidR="00CF3116" w:rsidRPr="00A16957">
        <w:rPr>
          <w:rFonts w:ascii="Arial" w:hAnsi="Arial" w:cs="Arial"/>
          <w:noProof/>
          <w:sz w:val="22"/>
          <w:szCs w:val="22"/>
        </w:rPr>
        <w:t xml:space="preserve"> not only at home</w:t>
      </w:r>
      <w:r w:rsidR="00641BA6" w:rsidRPr="00A16957">
        <w:rPr>
          <w:rFonts w:ascii="Arial" w:hAnsi="Arial" w:cs="Arial"/>
          <w:noProof/>
          <w:sz w:val="22"/>
          <w:szCs w:val="22"/>
        </w:rPr>
        <w:t xml:space="preserve">, but within the educational setting. </w:t>
      </w:r>
    </w:p>
    <w:p w:rsidR="00F56686" w:rsidRPr="00A16957" w:rsidRDefault="00641BA6" w:rsidP="00A16957">
      <w:pPr>
        <w:overflowPunct w:val="0"/>
        <w:autoSpaceDE w:val="0"/>
        <w:autoSpaceDN w:val="0"/>
        <w:adjustRightInd w:val="0"/>
        <w:spacing w:before="120" w:line="360" w:lineRule="auto"/>
        <w:ind w:right="-46"/>
        <w:jc w:val="both"/>
        <w:textAlignment w:val="baseline"/>
        <w:rPr>
          <w:rFonts w:ascii="Arial" w:hAnsi="Arial" w:cs="Arial"/>
          <w:noProof/>
          <w:sz w:val="22"/>
          <w:szCs w:val="22"/>
        </w:rPr>
      </w:pPr>
      <w:r w:rsidRPr="00A16957">
        <w:rPr>
          <w:rFonts w:ascii="Arial" w:hAnsi="Arial" w:cs="Arial"/>
          <w:noProof/>
          <w:sz w:val="22"/>
          <w:szCs w:val="22"/>
        </w:rPr>
        <w:t xml:space="preserve">According to </w:t>
      </w:r>
      <w:r w:rsidR="00130AB9" w:rsidRPr="00A16957">
        <w:rPr>
          <w:rFonts w:ascii="Arial" w:hAnsi="Arial" w:cs="Arial"/>
          <w:noProof/>
          <w:sz w:val="22"/>
          <w:szCs w:val="22"/>
        </w:rPr>
        <w:t xml:space="preserve">NurseryWorld, (2014, Para. 4) </w:t>
      </w:r>
    </w:p>
    <w:p w:rsidR="00EA5540" w:rsidRPr="00A16957" w:rsidRDefault="00130AB9" w:rsidP="00A16957">
      <w:pPr>
        <w:overflowPunct w:val="0"/>
        <w:autoSpaceDE w:val="0"/>
        <w:autoSpaceDN w:val="0"/>
        <w:adjustRightInd w:val="0"/>
        <w:spacing w:before="120" w:line="360" w:lineRule="auto"/>
        <w:ind w:left="567" w:right="1088"/>
        <w:jc w:val="both"/>
        <w:textAlignment w:val="baseline"/>
        <w:rPr>
          <w:rFonts w:ascii="Arial" w:hAnsi="Arial" w:cs="Arial"/>
          <w:noProof/>
          <w:sz w:val="22"/>
          <w:szCs w:val="22"/>
        </w:rPr>
      </w:pPr>
      <w:r w:rsidRPr="00A16957">
        <w:rPr>
          <w:rFonts w:ascii="Arial" w:hAnsi="Arial" w:cs="Arial"/>
          <w:noProof/>
          <w:sz w:val="22"/>
          <w:szCs w:val="22"/>
        </w:rPr>
        <w:t xml:space="preserve">‘28% of children in England </w:t>
      </w:r>
      <w:r w:rsidRPr="00A16957">
        <w:rPr>
          <w:rFonts w:ascii="Arial" w:hAnsi="Arial" w:cs="Arial"/>
          <w:sz w:val="22"/>
          <w:szCs w:val="22"/>
        </w:rPr>
        <w:t xml:space="preserve">did not achieve the expected level in maths at the end of </w:t>
      </w:r>
      <w:r w:rsidR="00F56686" w:rsidRPr="00A16957">
        <w:rPr>
          <w:rFonts w:ascii="Arial" w:hAnsi="Arial" w:cs="Arial"/>
          <w:sz w:val="22"/>
          <w:szCs w:val="22"/>
        </w:rPr>
        <w:t>the early year’s foundation stage</w:t>
      </w:r>
      <w:r w:rsidR="00CF3116" w:rsidRPr="00A16957">
        <w:rPr>
          <w:rFonts w:ascii="Arial" w:hAnsi="Arial" w:cs="Arial"/>
          <w:noProof/>
          <w:sz w:val="22"/>
          <w:szCs w:val="22"/>
        </w:rPr>
        <w:t>.</w:t>
      </w:r>
      <w:r w:rsidR="00641BA6" w:rsidRPr="00A16957">
        <w:rPr>
          <w:rFonts w:ascii="Arial" w:hAnsi="Arial" w:cs="Arial"/>
          <w:noProof/>
          <w:sz w:val="22"/>
          <w:szCs w:val="22"/>
        </w:rPr>
        <w:t xml:space="preserve"> </w:t>
      </w:r>
      <w:r w:rsidR="00CF3116" w:rsidRPr="00A16957">
        <w:rPr>
          <w:rFonts w:ascii="Arial" w:hAnsi="Arial" w:cs="Arial"/>
          <w:noProof/>
          <w:sz w:val="22"/>
          <w:szCs w:val="22"/>
        </w:rPr>
        <w:t>T</w:t>
      </w:r>
      <w:r w:rsidR="00641BA6" w:rsidRPr="00A16957">
        <w:rPr>
          <w:rFonts w:ascii="Arial" w:hAnsi="Arial" w:cs="Arial"/>
          <w:noProof/>
          <w:sz w:val="22"/>
          <w:szCs w:val="22"/>
        </w:rPr>
        <w:t>he lack of mathematical confidence</w:t>
      </w:r>
      <w:r w:rsidR="00CF3116" w:rsidRPr="00A16957">
        <w:rPr>
          <w:rFonts w:ascii="Arial" w:hAnsi="Arial" w:cs="Arial"/>
          <w:noProof/>
          <w:sz w:val="22"/>
          <w:szCs w:val="22"/>
        </w:rPr>
        <w:t xml:space="preserve"> in the abilities of Early Years Prac</w:t>
      </w:r>
      <w:r w:rsidR="00641BA6" w:rsidRPr="00A16957">
        <w:rPr>
          <w:rFonts w:ascii="Arial" w:hAnsi="Arial" w:cs="Arial"/>
          <w:noProof/>
          <w:sz w:val="22"/>
          <w:szCs w:val="22"/>
        </w:rPr>
        <w:t>tioners</w:t>
      </w:r>
      <w:r w:rsidR="00CF3116" w:rsidRPr="00A16957">
        <w:rPr>
          <w:rFonts w:ascii="Arial" w:hAnsi="Arial" w:cs="Arial"/>
          <w:noProof/>
          <w:sz w:val="22"/>
          <w:szCs w:val="22"/>
        </w:rPr>
        <w:t xml:space="preserve"> (EYP) are</w:t>
      </w:r>
      <w:r w:rsidR="00641BA6" w:rsidRPr="00A16957">
        <w:rPr>
          <w:rFonts w:ascii="Arial" w:hAnsi="Arial" w:cs="Arial"/>
          <w:noProof/>
          <w:sz w:val="22"/>
          <w:szCs w:val="22"/>
        </w:rPr>
        <w:t xml:space="preserve"> failing to provide children with the expected start to their maths education</w:t>
      </w:r>
      <w:r w:rsidR="00F56686" w:rsidRPr="00A16957">
        <w:rPr>
          <w:rFonts w:ascii="Arial" w:hAnsi="Arial" w:cs="Arial"/>
          <w:noProof/>
          <w:sz w:val="22"/>
          <w:szCs w:val="22"/>
        </w:rPr>
        <w:t>’</w:t>
      </w:r>
      <w:r w:rsidR="00641BA6" w:rsidRPr="00A16957">
        <w:rPr>
          <w:rFonts w:ascii="Arial" w:hAnsi="Arial" w:cs="Arial"/>
          <w:noProof/>
          <w:sz w:val="22"/>
          <w:szCs w:val="22"/>
        </w:rPr>
        <w:t>.</w:t>
      </w:r>
    </w:p>
    <w:p w:rsidR="00AB5661" w:rsidRPr="00A16957" w:rsidRDefault="00AB5661" w:rsidP="00A16957">
      <w:pPr>
        <w:overflowPunct w:val="0"/>
        <w:autoSpaceDE w:val="0"/>
        <w:autoSpaceDN w:val="0"/>
        <w:adjustRightInd w:val="0"/>
        <w:spacing w:before="120" w:line="360" w:lineRule="auto"/>
        <w:ind w:left="567" w:right="1088"/>
        <w:jc w:val="both"/>
        <w:textAlignment w:val="baseline"/>
        <w:rPr>
          <w:rFonts w:ascii="Arial" w:hAnsi="Arial" w:cs="Arial"/>
          <w:noProof/>
          <w:sz w:val="22"/>
          <w:szCs w:val="22"/>
        </w:rPr>
      </w:pPr>
    </w:p>
    <w:p w:rsidR="008007A5" w:rsidRPr="00A16957" w:rsidRDefault="00F05D3B" w:rsidP="00A16957">
      <w:pPr>
        <w:spacing w:after="160" w:line="360" w:lineRule="auto"/>
        <w:jc w:val="both"/>
        <w:rPr>
          <w:rFonts w:ascii="Arial" w:hAnsi="Arial" w:cs="Arial"/>
          <w:noProof/>
          <w:sz w:val="22"/>
          <w:szCs w:val="22"/>
        </w:rPr>
      </w:pPr>
      <w:r w:rsidRPr="00A16957">
        <w:rPr>
          <w:rFonts w:ascii="Arial" w:hAnsi="Arial" w:cs="Arial"/>
          <w:noProof/>
          <w:sz w:val="22"/>
          <w:szCs w:val="22"/>
        </w:rPr>
        <w:t>In addition to the low standard of numeracy in adults</w:t>
      </w:r>
      <w:r w:rsidR="00476059" w:rsidRPr="00A16957">
        <w:rPr>
          <w:rFonts w:ascii="Arial" w:hAnsi="Arial" w:cs="Arial"/>
          <w:noProof/>
          <w:sz w:val="22"/>
          <w:szCs w:val="22"/>
        </w:rPr>
        <w:t xml:space="preserve">, </w:t>
      </w:r>
      <w:r w:rsidRPr="00A16957">
        <w:rPr>
          <w:rFonts w:ascii="Arial" w:hAnsi="Arial" w:cs="Arial"/>
          <w:noProof/>
          <w:sz w:val="22"/>
          <w:szCs w:val="22"/>
        </w:rPr>
        <w:t xml:space="preserve">it is suggested that </w:t>
      </w:r>
      <w:r w:rsidR="00A65524" w:rsidRPr="00A16957">
        <w:rPr>
          <w:rFonts w:ascii="Arial" w:hAnsi="Arial" w:cs="Arial"/>
          <w:noProof/>
          <w:sz w:val="22"/>
          <w:szCs w:val="22"/>
        </w:rPr>
        <w:t>there is also a large</w:t>
      </w:r>
      <w:r w:rsidRPr="00A16957">
        <w:rPr>
          <w:rFonts w:ascii="Arial" w:hAnsi="Arial" w:cs="Arial"/>
          <w:noProof/>
          <w:sz w:val="22"/>
          <w:szCs w:val="22"/>
        </w:rPr>
        <w:t xml:space="preserve"> impact to </w:t>
      </w:r>
      <w:r w:rsidR="00476059" w:rsidRPr="00A16957">
        <w:rPr>
          <w:rFonts w:ascii="Arial" w:hAnsi="Arial" w:cs="Arial"/>
          <w:noProof/>
          <w:sz w:val="22"/>
          <w:szCs w:val="22"/>
        </w:rPr>
        <w:t xml:space="preserve">children who live in the poorest families and </w:t>
      </w:r>
      <w:r w:rsidRPr="00A16957">
        <w:rPr>
          <w:rFonts w:ascii="Arial" w:hAnsi="Arial" w:cs="Arial"/>
          <w:noProof/>
          <w:sz w:val="22"/>
          <w:szCs w:val="22"/>
        </w:rPr>
        <w:t>with</w:t>
      </w:r>
      <w:r w:rsidR="00476059" w:rsidRPr="00A16957">
        <w:rPr>
          <w:rFonts w:ascii="Arial" w:hAnsi="Arial" w:cs="Arial"/>
          <w:noProof/>
          <w:sz w:val="22"/>
          <w:szCs w:val="22"/>
        </w:rPr>
        <w:t>i</w:t>
      </w:r>
      <w:r w:rsidRPr="00A16957">
        <w:rPr>
          <w:rFonts w:ascii="Arial" w:hAnsi="Arial" w:cs="Arial"/>
          <w:noProof/>
          <w:sz w:val="22"/>
          <w:szCs w:val="22"/>
        </w:rPr>
        <w:t xml:space="preserve">n the more deprived communities. </w:t>
      </w:r>
      <w:r w:rsidR="00476059" w:rsidRPr="00A16957">
        <w:rPr>
          <w:rFonts w:ascii="Arial" w:hAnsi="Arial" w:cs="Arial"/>
          <w:noProof/>
          <w:sz w:val="22"/>
          <w:szCs w:val="22"/>
        </w:rPr>
        <w:t xml:space="preserve">‘By the age of 11, four out of ten children who are in receipt of free school meals are unable to read to the standard required’ </w:t>
      </w:r>
      <w:sdt>
        <w:sdtPr>
          <w:rPr>
            <w:rFonts w:ascii="Arial" w:hAnsi="Arial" w:cs="Arial"/>
            <w:noProof/>
            <w:sz w:val="22"/>
            <w:szCs w:val="22"/>
          </w:rPr>
          <w:id w:val="1508477779"/>
          <w:citation/>
        </w:sdtPr>
        <w:sdtEndPr/>
        <w:sdtContent>
          <w:r w:rsidR="00476059" w:rsidRPr="00A16957">
            <w:rPr>
              <w:rFonts w:ascii="Arial" w:hAnsi="Arial" w:cs="Arial"/>
              <w:noProof/>
              <w:sz w:val="22"/>
              <w:szCs w:val="22"/>
            </w:rPr>
            <w:fldChar w:fldCharType="begin"/>
          </w:r>
          <w:r w:rsidR="00476059" w:rsidRPr="00A16957">
            <w:rPr>
              <w:rFonts w:ascii="Arial" w:hAnsi="Arial" w:cs="Arial"/>
              <w:noProof/>
              <w:sz w:val="22"/>
              <w:szCs w:val="22"/>
            </w:rPr>
            <w:instrText xml:space="preserve">CITATION OnR14 \p 4 \l 2057 </w:instrText>
          </w:r>
          <w:r w:rsidR="00476059" w:rsidRPr="00A16957">
            <w:rPr>
              <w:rFonts w:ascii="Arial" w:hAnsi="Arial" w:cs="Arial"/>
              <w:noProof/>
              <w:sz w:val="22"/>
              <w:szCs w:val="22"/>
            </w:rPr>
            <w:fldChar w:fldCharType="separate"/>
          </w:r>
          <w:r w:rsidR="00476059" w:rsidRPr="00A16957">
            <w:rPr>
              <w:rFonts w:ascii="Arial" w:hAnsi="Arial" w:cs="Arial"/>
              <w:noProof/>
              <w:sz w:val="22"/>
              <w:szCs w:val="22"/>
            </w:rPr>
            <w:t>(Cdn, 2014, p. 4)</w:t>
          </w:r>
          <w:r w:rsidR="00476059" w:rsidRPr="00A16957">
            <w:rPr>
              <w:rFonts w:ascii="Arial" w:hAnsi="Arial" w:cs="Arial"/>
              <w:noProof/>
              <w:sz w:val="22"/>
              <w:szCs w:val="22"/>
            </w:rPr>
            <w:fldChar w:fldCharType="end"/>
          </w:r>
        </w:sdtContent>
      </w:sdt>
      <w:r w:rsidR="00476059" w:rsidRPr="00A16957">
        <w:rPr>
          <w:rFonts w:ascii="Arial" w:hAnsi="Arial" w:cs="Arial"/>
          <w:noProof/>
          <w:sz w:val="22"/>
          <w:szCs w:val="22"/>
        </w:rPr>
        <w:t>. Competent reading serves a</w:t>
      </w:r>
      <w:r w:rsidR="008007A5" w:rsidRPr="00A16957">
        <w:rPr>
          <w:rFonts w:ascii="Arial" w:hAnsi="Arial" w:cs="Arial"/>
          <w:noProof/>
          <w:sz w:val="22"/>
          <w:szCs w:val="22"/>
        </w:rPr>
        <w:t>s a critical</w:t>
      </w:r>
      <w:r w:rsidR="00476059" w:rsidRPr="00A16957">
        <w:rPr>
          <w:rFonts w:ascii="Arial" w:hAnsi="Arial" w:cs="Arial"/>
          <w:noProof/>
          <w:sz w:val="22"/>
          <w:szCs w:val="22"/>
        </w:rPr>
        <w:t xml:space="preserve"> route</w:t>
      </w:r>
      <w:r w:rsidR="008007A5" w:rsidRPr="00A16957">
        <w:rPr>
          <w:rFonts w:ascii="Arial" w:hAnsi="Arial" w:cs="Arial"/>
          <w:noProof/>
          <w:sz w:val="22"/>
          <w:szCs w:val="22"/>
        </w:rPr>
        <w:t xml:space="preserve"> to </w:t>
      </w:r>
      <w:r w:rsidRPr="00A16957">
        <w:rPr>
          <w:rFonts w:ascii="Arial" w:hAnsi="Arial" w:cs="Arial"/>
          <w:noProof/>
          <w:sz w:val="22"/>
          <w:szCs w:val="22"/>
        </w:rPr>
        <w:t>cross over the wider curriculm,</w:t>
      </w:r>
      <w:r w:rsidR="008007A5" w:rsidRPr="00A16957">
        <w:rPr>
          <w:rFonts w:ascii="Arial" w:hAnsi="Arial" w:cs="Arial"/>
          <w:noProof/>
          <w:sz w:val="22"/>
          <w:szCs w:val="22"/>
        </w:rPr>
        <w:t xml:space="preserve"> it </w:t>
      </w:r>
      <w:r w:rsidR="00476059" w:rsidRPr="00A16957">
        <w:rPr>
          <w:rFonts w:ascii="Arial" w:hAnsi="Arial" w:cs="Arial"/>
          <w:noProof/>
          <w:sz w:val="22"/>
          <w:szCs w:val="22"/>
        </w:rPr>
        <w:t xml:space="preserve"> opens up new discoveries to intellegence, imagination and self assurance </w:t>
      </w:r>
      <w:r w:rsidR="008007A5" w:rsidRPr="00A16957">
        <w:rPr>
          <w:rFonts w:ascii="Arial" w:hAnsi="Arial" w:cs="Arial"/>
          <w:noProof/>
          <w:sz w:val="22"/>
          <w:szCs w:val="22"/>
        </w:rPr>
        <w:t xml:space="preserve">to create a </w:t>
      </w:r>
      <w:r w:rsidRPr="00A16957">
        <w:rPr>
          <w:rFonts w:ascii="Arial" w:hAnsi="Arial" w:cs="Arial"/>
          <w:noProof/>
          <w:sz w:val="22"/>
          <w:szCs w:val="22"/>
        </w:rPr>
        <w:t>more confident learning experience</w:t>
      </w:r>
      <w:r w:rsidR="008007A5" w:rsidRPr="00A16957">
        <w:rPr>
          <w:rFonts w:ascii="Arial" w:hAnsi="Arial" w:cs="Arial"/>
          <w:noProof/>
          <w:sz w:val="22"/>
          <w:szCs w:val="22"/>
        </w:rPr>
        <w:t xml:space="preserve"> </w:t>
      </w:r>
      <w:sdt>
        <w:sdtPr>
          <w:rPr>
            <w:rFonts w:ascii="Arial" w:hAnsi="Arial" w:cs="Arial"/>
            <w:noProof/>
            <w:sz w:val="22"/>
            <w:szCs w:val="22"/>
          </w:rPr>
          <w:id w:val="-591167483"/>
          <w:citation/>
        </w:sdtPr>
        <w:sdtEndPr/>
        <w:sdtContent>
          <w:r w:rsidR="008007A5" w:rsidRPr="00A16957">
            <w:rPr>
              <w:rFonts w:ascii="Arial" w:hAnsi="Arial" w:cs="Arial"/>
              <w:noProof/>
              <w:sz w:val="22"/>
              <w:szCs w:val="22"/>
            </w:rPr>
            <w:fldChar w:fldCharType="begin"/>
          </w:r>
          <w:r w:rsidR="008007A5" w:rsidRPr="00A16957">
            <w:rPr>
              <w:rFonts w:ascii="Arial" w:hAnsi="Arial" w:cs="Arial"/>
              <w:noProof/>
              <w:sz w:val="22"/>
              <w:szCs w:val="22"/>
            </w:rPr>
            <w:instrText xml:space="preserve"> CITATION OnR14 \l 2057 </w:instrText>
          </w:r>
          <w:r w:rsidR="008007A5" w:rsidRPr="00A16957">
            <w:rPr>
              <w:rFonts w:ascii="Arial" w:hAnsi="Arial" w:cs="Arial"/>
              <w:noProof/>
              <w:sz w:val="22"/>
              <w:szCs w:val="22"/>
            </w:rPr>
            <w:fldChar w:fldCharType="separate"/>
          </w:r>
          <w:r w:rsidR="008007A5" w:rsidRPr="00A16957">
            <w:rPr>
              <w:rFonts w:ascii="Arial" w:hAnsi="Arial" w:cs="Arial"/>
              <w:noProof/>
              <w:sz w:val="22"/>
              <w:szCs w:val="22"/>
            </w:rPr>
            <w:t>(Cdn, 2014)</w:t>
          </w:r>
          <w:r w:rsidR="008007A5" w:rsidRPr="00A16957">
            <w:rPr>
              <w:rFonts w:ascii="Arial" w:hAnsi="Arial" w:cs="Arial"/>
              <w:noProof/>
              <w:sz w:val="22"/>
              <w:szCs w:val="22"/>
            </w:rPr>
            <w:fldChar w:fldCharType="end"/>
          </w:r>
        </w:sdtContent>
      </w:sdt>
      <w:r w:rsidR="008007A5" w:rsidRPr="00A16957">
        <w:rPr>
          <w:rFonts w:ascii="Arial" w:hAnsi="Arial" w:cs="Arial"/>
          <w:noProof/>
          <w:sz w:val="22"/>
          <w:szCs w:val="22"/>
        </w:rPr>
        <w:t xml:space="preserve">. The school where one works has over half of the pupils in receipt of free school meals (FSM), compared to the ‘Welsh secondary school average of 17.4%’ </w:t>
      </w:r>
      <w:r w:rsidR="008007A5" w:rsidRPr="00A16957">
        <w:rPr>
          <w:rFonts w:ascii="Arial" w:hAnsi="Arial" w:cs="Arial"/>
          <w:sz w:val="22"/>
          <w:szCs w:val="22"/>
          <w:shd w:val="clear" w:color="auto" w:fill="FFFFFF"/>
        </w:rPr>
        <w:t>Guide, (2019, para. 1).</w:t>
      </w:r>
      <w:r w:rsidR="00060557" w:rsidRPr="00A16957">
        <w:rPr>
          <w:rFonts w:ascii="Arial" w:hAnsi="Arial" w:cs="Arial"/>
          <w:sz w:val="22"/>
          <w:szCs w:val="22"/>
          <w:shd w:val="clear" w:color="auto" w:fill="FFFFFF"/>
        </w:rPr>
        <w:t xml:space="preserve"> Over half of pupils are below expected reading age, a small percentage of Year Seven (YR7) pupils are </w:t>
      </w:r>
      <w:r w:rsidR="00060557" w:rsidRPr="00A16957">
        <w:rPr>
          <w:rFonts w:ascii="Arial" w:hAnsi="Arial" w:cs="Arial"/>
          <w:sz w:val="22"/>
          <w:szCs w:val="22"/>
          <w:shd w:val="clear" w:color="auto" w:fill="FFFFFF"/>
        </w:rPr>
        <w:lastRenderedPageBreak/>
        <w:t>two years behind their expected reading age; the overwhelming majority are three years or more behind.</w:t>
      </w:r>
      <w:r w:rsidR="001D7AB4" w:rsidRPr="00A16957">
        <w:rPr>
          <w:rFonts w:ascii="Arial" w:hAnsi="Arial" w:cs="Arial"/>
          <w:sz w:val="22"/>
          <w:szCs w:val="22"/>
          <w:shd w:val="clear" w:color="auto" w:fill="FFFFFF"/>
        </w:rPr>
        <w:t xml:space="preserve"> </w:t>
      </w:r>
      <w:r w:rsidR="004758AF" w:rsidRPr="00A16957">
        <w:rPr>
          <w:rFonts w:ascii="Arial" w:hAnsi="Arial" w:cs="Arial"/>
          <w:noProof/>
          <w:sz w:val="22"/>
          <w:szCs w:val="22"/>
          <w:shd w:val="clear" w:color="auto" w:fill="FFFFFF"/>
        </w:rPr>
        <w:t xml:space="preserve">McLeod, (2018, para. 3) states that </w:t>
      </w:r>
      <w:sdt>
        <w:sdtPr>
          <w:rPr>
            <w:rFonts w:ascii="Arial" w:hAnsi="Arial" w:cs="Arial"/>
            <w:noProof/>
            <w:sz w:val="22"/>
            <w:szCs w:val="22"/>
            <w:shd w:val="clear" w:color="auto" w:fill="FFFFFF"/>
          </w:rPr>
          <w:id w:val="-580993520"/>
          <w:citation/>
        </w:sdtPr>
        <w:sdtEndPr/>
        <w:sdtContent>
          <w:r w:rsidR="004758AF" w:rsidRPr="00A16957">
            <w:rPr>
              <w:rFonts w:ascii="Arial" w:hAnsi="Arial" w:cs="Arial"/>
              <w:noProof/>
              <w:sz w:val="22"/>
              <w:szCs w:val="22"/>
              <w:shd w:val="clear" w:color="auto" w:fill="FFFFFF"/>
            </w:rPr>
            <w:fldChar w:fldCharType="begin"/>
          </w:r>
          <w:r w:rsidR="004758AF" w:rsidRPr="00A16957">
            <w:rPr>
              <w:rFonts w:ascii="Arial" w:hAnsi="Arial" w:cs="Arial"/>
              <w:noProof/>
              <w:sz w:val="22"/>
              <w:szCs w:val="22"/>
              <w:shd w:val="clear" w:color="auto" w:fill="FFFFFF"/>
            </w:rPr>
            <w:instrText xml:space="preserve"> CITATION Pia76 \l 2057 </w:instrText>
          </w:r>
          <w:r w:rsidR="004758AF" w:rsidRPr="00A16957">
            <w:rPr>
              <w:rFonts w:ascii="Arial" w:hAnsi="Arial" w:cs="Arial"/>
              <w:noProof/>
              <w:sz w:val="22"/>
              <w:szCs w:val="22"/>
              <w:shd w:val="clear" w:color="auto" w:fill="FFFFFF"/>
            </w:rPr>
            <w:fldChar w:fldCharType="separate"/>
          </w:r>
          <w:r w:rsidR="004758AF" w:rsidRPr="00A16957">
            <w:rPr>
              <w:rFonts w:ascii="Arial" w:hAnsi="Arial" w:cs="Arial"/>
              <w:noProof/>
              <w:sz w:val="22"/>
              <w:szCs w:val="22"/>
              <w:shd w:val="clear" w:color="auto" w:fill="FFFFFF"/>
            </w:rPr>
            <w:t>(Piaget, 1976)</w:t>
          </w:r>
          <w:r w:rsidR="004758AF" w:rsidRPr="00A16957">
            <w:rPr>
              <w:rFonts w:ascii="Arial" w:hAnsi="Arial" w:cs="Arial"/>
              <w:noProof/>
              <w:sz w:val="22"/>
              <w:szCs w:val="22"/>
              <w:shd w:val="clear" w:color="auto" w:fill="FFFFFF"/>
            </w:rPr>
            <w:fldChar w:fldCharType="end"/>
          </w:r>
        </w:sdtContent>
      </w:sdt>
      <w:r w:rsidR="004758AF" w:rsidRPr="00A16957">
        <w:rPr>
          <w:rFonts w:ascii="Arial" w:hAnsi="Arial" w:cs="Arial"/>
          <w:noProof/>
          <w:sz w:val="22"/>
          <w:szCs w:val="22"/>
          <w:shd w:val="clear" w:color="auto" w:fill="FFFFFF"/>
        </w:rPr>
        <w:t xml:space="preserve"> claimed that</w:t>
      </w:r>
      <w:r w:rsidR="00A72665" w:rsidRPr="00A16957">
        <w:rPr>
          <w:rFonts w:ascii="Arial" w:hAnsi="Arial" w:cs="Arial"/>
          <w:noProof/>
          <w:sz w:val="22"/>
          <w:szCs w:val="22"/>
          <w:shd w:val="clear" w:color="auto" w:fill="FFFFFF"/>
        </w:rPr>
        <w:t xml:space="preserve"> when </w:t>
      </w:r>
      <w:r w:rsidR="004758AF" w:rsidRPr="00A16957">
        <w:rPr>
          <w:rFonts w:ascii="Arial" w:hAnsi="Arial" w:cs="Arial"/>
          <w:noProof/>
          <w:sz w:val="22"/>
          <w:szCs w:val="22"/>
          <w:shd w:val="clear" w:color="auto" w:fill="FFFFFF"/>
        </w:rPr>
        <w:t xml:space="preserve"> an infant is born </w:t>
      </w:r>
      <w:r w:rsidR="00A72665" w:rsidRPr="00A16957">
        <w:rPr>
          <w:rFonts w:ascii="Arial" w:hAnsi="Arial" w:cs="Arial"/>
          <w:noProof/>
          <w:sz w:val="22"/>
          <w:szCs w:val="22"/>
          <w:shd w:val="clear" w:color="auto" w:fill="FFFFFF"/>
        </w:rPr>
        <w:t xml:space="preserve">it has </w:t>
      </w:r>
      <w:r w:rsidR="004758AF" w:rsidRPr="00A16957">
        <w:rPr>
          <w:rFonts w:ascii="Arial" w:hAnsi="Arial" w:cs="Arial"/>
          <w:noProof/>
          <w:sz w:val="22"/>
          <w:szCs w:val="22"/>
          <w:shd w:val="clear" w:color="auto" w:fill="FFFFFF"/>
        </w:rPr>
        <w:t>certain abilities and characteristics, and that cognitive development occurs as a result of what happens in the child's environment and the biological maturation process.</w:t>
      </w:r>
    </w:p>
    <w:p w:rsidR="005071AB" w:rsidRPr="00A16957" w:rsidRDefault="00E9071C" w:rsidP="00A16957">
      <w:pPr>
        <w:overflowPunct w:val="0"/>
        <w:autoSpaceDE w:val="0"/>
        <w:autoSpaceDN w:val="0"/>
        <w:adjustRightInd w:val="0"/>
        <w:spacing w:before="120" w:line="360" w:lineRule="auto"/>
        <w:ind w:right="95"/>
        <w:jc w:val="both"/>
        <w:textAlignment w:val="baseline"/>
        <w:rPr>
          <w:rFonts w:ascii="Arial" w:hAnsi="Arial" w:cs="Arial"/>
          <w:sz w:val="22"/>
          <w:szCs w:val="22"/>
          <w:shd w:val="clear" w:color="auto" w:fill="FFFFFF"/>
        </w:rPr>
      </w:pPr>
      <w:r w:rsidRPr="00A16957">
        <w:rPr>
          <w:rFonts w:ascii="Arial" w:hAnsi="Arial" w:cs="Arial"/>
          <w:sz w:val="22"/>
          <w:szCs w:val="22"/>
          <w:shd w:val="clear" w:color="auto" w:fill="FFFFFF"/>
        </w:rPr>
        <w:t xml:space="preserve">In 2011 </w:t>
      </w:r>
      <w:r w:rsidR="00143012" w:rsidRPr="00A16957">
        <w:rPr>
          <w:rFonts w:ascii="Arial" w:hAnsi="Arial" w:cs="Arial"/>
          <w:sz w:val="22"/>
          <w:szCs w:val="22"/>
          <w:shd w:val="clear" w:color="auto" w:fill="FFFFFF"/>
        </w:rPr>
        <w:t>there had been concerning evidence that young people in Wales lacked the adequate literacy and numeracy skills</w:t>
      </w:r>
      <w:r w:rsidR="00586A63" w:rsidRPr="00A16957">
        <w:rPr>
          <w:rFonts w:ascii="Arial" w:hAnsi="Arial" w:cs="Arial"/>
          <w:sz w:val="22"/>
          <w:szCs w:val="22"/>
          <w:shd w:val="clear" w:color="auto" w:fill="FFFFFF"/>
        </w:rPr>
        <w:t xml:space="preserve">, </w:t>
      </w:r>
      <w:r w:rsidR="00143012" w:rsidRPr="00A16957">
        <w:rPr>
          <w:rFonts w:ascii="Arial" w:hAnsi="Arial" w:cs="Arial"/>
          <w:sz w:val="22"/>
          <w:szCs w:val="22"/>
          <w:shd w:val="clear" w:color="auto" w:fill="FFFFFF"/>
        </w:rPr>
        <w:t>this was reported by</w:t>
      </w:r>
      <w:r w:rsidR="00586A63" w:rsidRPr="00A16957">
        <w:rPr>
          <w:rFonts w:ascii="Arial" w:hAnsi="Arial" w:cs="Arial"/>
          <w:sz w:val="22"/>
          <w:szCs w:val="22"/>
          <w:shd w:val="clear" w:color="auto" w:fill="FFFFFF"/>
        </w:rPr>
        <w:t xml:space="preserve"> ‘Anne Keane Chief Inspector of Education and Training in Wales</w:t>
      </w:r>
      <w:r w:rsidR="00143012" w:rsidRPr="00A16957">
        <w:rPr>
          <w:rFonts w:ascii="Arial" w:hAnsi="Arial" w:cs="Arial"/>
          <w:sz w:val="22"/>
          <w:szCs w:val="22"/>
          <w:shd w:val="clear" w:color="auto" w:fill="FFFFFF"/>
        </w:rPr>
        <w:t xml:space="preserve"> </w:t>
      </w:r>
      <w:r w:rsidR="00586A63" w:rsidRPr="00A16957">
        <w:rPr>
          <w:rFonts w:ascii="Arial" w:hAnsi="Arial" w:cs="Arial"/>
          <w:sz w:val="22"/>
          <w:szCs w:val="22"/>
          <w:shd w:val="clear" w:color="auto" w:fill="FFFFFF"/>
        </w:rPr>
        <w:t xml:space="preserve">in the </w:t>
      </w:r>
      <w:r w:rsidR="00586A63" w:rsidRPr="00A16957">
        <w:rPr>
          <w:rFonts w:ascii="Arial" w:hAnsi="Arial" w:cs="Arial"/>
          <w:sz w:val="22"/>
          <w:szCs w:val="22"/>
        </w:rPr>
        <w:t>Annual Report of Her Majesty's Chief Inspector of Education and Training in Wales 2011- 2012</w:t>
      </w:r>
      <w:r w:rsidR="00586A63" w:rsidRPr="00A16957">
        <w:rPr>
          <w:rFonts w:ascii="Arial" w:hAnsi="Arial" w:cs="Arial"/>
          <w:bCs/>
          <w:sz w:val="22"/>
          <w:szCs w:val="22"/>
        </w:rPr>
        <w:t xml:space="preserve">’ </w:t>
      </w:r>
      <w:r w:rsidR="00586A63" w:rsidRPr="00A16957">
        <w:rPr>
          <w:rFonts w:ascii="Arial" w:hAnsi="Arial" w:cs="Arial"/>
          <w:noProof/>
          <w:sz w:val="22"/>
          <w:szCs w:val="22"/>
          <w:shd w:val="clear" w:color="auto" w:fill="FFFFFF"/>
        </w:rPr>
        <w:t xml:space="preserve">Keane, (2013, para. 1). </w:t>
      </w:r>
      <w:r w:rsidR="00A65524" w:rsidRPr="00A16957">
        <w:rPr>
          <w:rFonts w:ascii="Arial" w:hAnsi="Arial" w:cs="Arial"/>
          <w:noProof/>
          <w:sz w:val="22"/>
          <w:szCs w:val="22"/>
          <w:shd w:val="clear" w:color="auto" w:fill="FFFFFF"/>
        </w:rPr>
        <w:t xml:space="preserve"> </w:t>
      </w:r>
      <w:r w:rsidR="00143012" w:rsidRPr="00A16957">
        <w:rPr>
          <w:rFonts w:ascii="Arial" w:hAnsi="Arial" w:cs="Arial"/>
          <w:noProof/>
          <w:sz w:val="22"/>
          <w:szCs w:val="22"/>
          <w:shd w:val="clear" w:color="auto" w:fill="FFFFFF"/>
        </w:rPr>
        <w:t xml:space="preserve">Keane, (2013, para. 6) </w:t>
      </w:r>
      <w:r w:rsidR="00586A63" w:rsidRPr="00A16957">
        <w:rPr>
          <w:rFonts w:ascii="Arial" w:hAnsi="Arial" w:cs="Arial"/>
          <w:sz w:val="22"/>
          <w:szCs w:val="22"/>
          <w:shd w:val="clear" w:color="auto" w:fill="FFFFFF"/>
        </w:rPr>
        <w:t xml:space="preserve">informs </w:t>
      </w:r>
      <w:r w:rsidR="00143012" w:rsidRPr="00A16957">
        <w:rPr>
          <w:rFonts w:ascii="Arial" w:hAnsi="Arial" w:cs="Arial"/>
          <w:sz w:val="22"/>
          <w:szCs w:val="22"/>
          <w:shd w:val="clear" w:color="auto" w:fill="FFFFFF"/>
        </w:rPr>
        <w:t xml:space="preserve">that there was a </w:t>
      </w:r>
      <w:r w:rsidR="00586A63" w:rsidRPr="00A16957">
        <w:rPr>
          <w:rFonts w:ascii="Arial" w:hAnsi="Arial" w:cs="Arial"/>
          <w:sz w:val="22"/>
          <w:szCs w:val="22"/>
          <w:shd w:val="clear" w:color="auto" w:fill="FFFFFF"/>
        </w:rPr>
        <w:t>‘significant</w:t>
      </w:r>
      <w:r w:rsidR="00143012" w:rsidRPr="00A16957">
        <w:rPr>
          <w:rFonts w:ascii="Arial" w:hAnsi="Arial" w:cs="Arial"/>
          <w:sz w:val="22"/>
          <w:szCs w:val="22"/>
          <w:shd w:val="clear" w:color="auto" w:fill="FFFFFF"/>
        </w:rPr>
        <w:t xml:space="preserve"> </w:t>
      </w:r>
      <w:r w:rsidR="00586A63" w:rsidRPr="00A16957">
        <w:rPr>
          <w:rFonts w:ascii="Arial" w:hAnsi="Arial" w:cs="Arial"/>
          <w:sz w:val="22"/>
          <w:szCs w:val="22"/>
          <w:shd w:val="clear" w:color="auto" w:fill="FFFFFF"/>
        </w:rPr>
        <w:t xml:space="preserve">concern within the reading, writing and numeracy levels’ and it was critical that schools must improve in these areas’. </w:t>
      </w:r>
      <w:r w:rsidR="005071AB" w:rsidRPr="00A16957">
        <w:rPr>
          <w:rFonts w:ascii="Arial" w:hAnsi="Arial" w:cs="Arial"/>
          <w:sz w:val="22"/>
          <w:szCs w:val="22"/>
          <w:shd w:val="clear" w:color="auto" w:fill="FFFFFF"/>
        </w:rPr>
        <w:t xml:space="preserve">After this report </w:t>
      </w:r>
      <w:r w:rsidR="005071AB" w:rsidRPr="00A16957">
        <w:rPr>
          <w:rFonts w:ascii="Arial" w:hAnsi="Arial" w:cs="Arial"/>
          <w:sz w:val="22"/>
          <w:szCs w:val="22"/>
        </w:rPr>
        <w:t xml:space="preserve">The National Literacy and Numeracy Framework was published in </w:t>
      </w:r>
      <w:r w:rsidR="00A65524" w:rsidRPr="00A16957">
        <w:rPr>
          <w:rFonts w:ascii="Arial" w:hAnsi="Arial" w:cs="Arial"/>
          <w:sz w:val="22"/>
          <w:szCs w:val="22"/>
        </w:rPr>
        <w:t>2012,</w:t>
      </w:r>
      <w:r w:rsidR="005071AB" w:rsidRPr="00A16957">
        <w:rPr>
          <w:rFonts w:ascii="Arial" w:hAnsi="Arial" w:cs="Arial"/>
          <w:sz w:val="22"/>
          <w:szCs w:val="22"/>
        </w:rPr>
        <w:t xml:space="preserve"> </w:t>
      </w:r>
      <w:r w:rsidR="00A65524" w:rsidRPr="00A16957">
        <w:rPr>
          <w:rFonts w:ascii="Arial" w:hAnsi="Arial" w:cs="Arial"/>
          <w:sz w:val="22"/>
          <w:szCs w:val="22"/>
          <w:shd w:val="clear" w:color="auto" w:fill="FFFFFF"/>
        </w:rPr>
        <w:t>the</w:t>
      </w:r>
      <w:r w:rsidR="005071AB" w:rsidRPr="00A16957">
        <w:rPr>
          <w:rFonts w:ascii="Arial" w:hAnsi="Arial" w:cs="Arial"/>
          <w:sz w:val="22"/>
          <w:szCs w:val="22"/>
          <w:shd w:val="clear" w:color="auto" w:fill="FFFFFF"/>
        </w:rPr>
        <w:t xml:space="preserve"> plans outlined a series of policy initiatives aimed at addressing </w:t>
      </w:r>
      <w:r w:rsidR="00A65524" w:rsidRPr="00A16957">
        <w:rPr>
          <w:rFonts w:ascii="Arial" w:hAnsi="Arial" w:cs="Arial"/>
          <w:sz w:val="22"/>
          <w:szCs w:val="22"/>
          <w:shd w:val="clear" w:color="auto" w:fill="FFFFFF"/>
        </w:rPr>
        <w:t>the long</w:t>
      </w:r>
      <w:r w:rsidR="005071AB" w:rsidRPr="00A16957">
        <w:rPr>
          <w:rFonts w:ascii="Arial" w:hAnsi="Arial" w:cs="Arial"/>
          <w:sz w:val="22"/>
          <w:szCs w:val="22"/>
          <w:shd w:val="clear" w:color="auto" w:fill="FFFFFF"/>
        </w:rPr>
        <w:t xml:space="preserve">-term change in the way essential skills are approached. This would see national reading and numeracy testing; assist all teachers in being successful literacy and numeracy teachers; and encourage the value of literacy and numeracy as important life skills for all students </w:t>
      </w:r>
      <w:sdt>
        <w:sdtPr>
          <w:rPr>
            <w:rFonts w:ascii="Arial" w:hAnsi="Arial" w:cs="Arial"/>
            <w:sz w:val="22"/>
            <w:szCs w:val="22"/>
            <w:shd w:val="clear" w:color="auto" w:fill="FFFFFF"/>
          </w:rPr>
          <w:id w:val="2146695630"/>
          <w:citation/>
        </w:sdtPr>
        <w:sdtEndPr/>
        <w:sdtContent>
          <w:r w:rsidR="005071AB" w:rsidRPr="00A16957">
            <w:rPr>
              <w:rFonts w:ascii="Arial" w:hAnsi="Arial" w:cs="Arial"/>
              <w:sz w:val="22"/>
              <w:szCs w:val="22"/>
              <w:shd w:val="clear" w:color="auto" w:fill="FFFFFF"/>
            </w:rPr>
            <w:fldChar w:fldCharType="begin"/>
          </w:r>
          <w:r w:rsidR="005071AB" w:rsidRPr="00A16957">
            <w:rPr>
              <w:rFonts w:ascii="Arial" w:hAnsi="Arial" w:cs="Arial"/>
              <w:sz w:val="22"/>
              <w:szCs w:val="22"/>
              <w:shd w:val="clear" w:color="auto" w:fill="FFFFFF"/>
            </w:rPr>
            <w:instrText xml:space="preserve"> CITATION Wel16 \l 2057 </w:instrText>
          </w:r>
          <w:r w:rsidR="005071AB" w:rsidRPr="00A16957">
            <w:rPr>
              <w:rFonts w:ascii="Arial" w:hAnsi="Arial" w:cs="Arial"/>
              <w:sz w:val="22"/>
              <w:szCs w:val="22"/>
              <w:shd w:val="clear" w:color="auto" w:fill="FFFFFF"/>
            </w:rPr>
            <w:fldChar w:fldCharType="separate"/>
          </w:r>
          <w:r w:rsidR="005071AB" w:rsidRPr="00A16957">
            <w:rPr>
              <w:rFonts w:ascii="Arial" w:hAnsi="Arial" w:cs="Arial"/>
              <w:noProof/>
              <w:sz w:val="22"/>
              <w:szCs w:val="22"/>
              <w:shd w:val="clear" w:color="auto" w:fill="FFFFFF"/>
            </w:rPr>
            <w:t>(WelshGovernment, 2016)</w:t>
          </w:r>
          <w:r w:rsidR="005071AB" w:rsidRPr="00A16957">
            <w:rPr>
              <w:rFonts w:ascii="Arial" w:hAnsi="Arial" w:cs="Arial"/>
              <w:sz w:val="22"/>
              <w:szCs w:val="22"/>
              <w:shd w:val="clear" w:color="auto" w:fill="FFFFFF"/>
            </w:rPr>
            <w:fldChar w:fldCharType="end"/>
          </w:r>
        </w:sdtContent>
      </w:sdt>
      <w:r w:rsidR="005071AB" w:rsidRPr="00A16957">
        <w:rPr>
          <w:rFonts w:ascii="Arial" w:hAnsi="Arial" w:cs="Arial"/>
          <w:sz w:val="22"/>
          <w:szCs w:val="22"/>
          <w:shd w:val="clear" w:color="auto" w:fill="FFFFFF"/>
        </w:rPr>
        <w:t xml:space="preserve">.  </w:t>
      </w:r>
    </w:p>
    <w:p w:rsidR="00060557" w:rsidRPr="00A16957" w:rsidRDefault="00060557" w:rsidP="00A16957">
      <w:pPr>
        <w:overflowPunct w:val="0"/>
        <w:autoSpaceDE w:val="0"/>
        <w:autoSpaceDN w:val="0"/>
        <w:adjustRightInd w:val="0"/>
        <w:spacing w:before="120" w:line="360" w:lineRule="auto"/>
        <w:ind w:right="95"/>
        <w:jc w:val="both"/>
        <w:textAlignment w:val="baseline"/>
        <w:rPr>
          <w:rFonts w:ascii="Arial" w:hAnsi="Arial" w:cs="Arial"/>
          <w:sz w:val="22"/>
          <w:szCs w:val="22"/>
          <w:shd w:val="clear" w:color="auto" w:fill="FFFFFF"/>
        </w:rPr>
      </w:pPr>
    </w:p>
    <w:p w:rsidR="008E7641" w:rsidRPr="00A16957" w:rsidRDefault="00E9071C" w:rsidP="00A16957">
      <w:pPr>
        <w:pStyle w:val="NormalWeb"/>
        <w:shd w:val="clear" w:color="auto" w:fill="FFFFFF"/>
        <w:spacing w:before="0" w:beforeAutospacing="0" w:after="300" w:afterAutospacing="0" w:line="360" w:lineRule="auto"/>
        <w:jc w:val="both"/>
        <w:rPr>
          <w:rFonts w:ascii="Arial" w:hAnsi="Arial" w:cs="Arial"/>
          <w:sz w:val="22"/>
          <w:szCs w:val="22"/>
          <w:shd w:val="clear" w:color="auto" w:fill="FFFFFF"/>
        </w:rPr>
      </w:pPr>
      <w:r w:rsidRPr="00A16957">
        <w:rPr>
          <w:rFonts w:ascii="Arial" w:hAnsi="Arial" w:cs="Arial"/>
          <w:sz w:val="22"/>
          <w:szCs w:val="22"/>
          <w:shd w:val="clear" w:color="auto" w:fill="FFFFFF"/>
        </w:rPr>
        <w:t>The national Literacy and Numeracy Framework (LNF) became a statutory requirement</w:t>
      </w:r>
      <w:r w:rsidR="00586A63" w:rsidRPr="00A16957">
        <w:rPr>
          <w:rFonts w:ascii="Arial" w:hAnsi="Arial" w:cs="Arial"/>
          <w:sz w:val="22"/>
          <w:szCs w:val="22"/>
          <w:shd w:val="clear" w:color="auto" w:fill="FFFFFF"/>
        </w:rPr>
        <w:t xml:space="preserve"> in 2013 ensuring that c</w:t>
      </w:r>
      <w:r w:rsidRPr="00A16957">
        <w:rPr>
          <w:rFonts w:ascii="Arial" w:hAnsi="Arial" w:cs="Arial"/>
          <w:sz w:val="22"/>
          <w:szCs w:val="22"/>
          <w:shd w:val="clear" w:color="auto" w:fill="FFFFFF"/>
        </w:rPr>
        <w:t xml:space="preserve">hildren have an annual reading and numeracy </w:t>
      </w:r>
      <w:r w:rsidR="005071AB" w:rsidRPr="00A16957">
        <w:rPr>
          <w:rFonts w:ascii="Arial" w:hAnsi="Arial" w:cs="Arial"/>
          <w:sz w:val="22"/>
          <w:szCs w:val="22"/>
          <w:shd w:val="clear" w:color="auto" w:fill="FFFFFF"/>
        </w:rPr>
        <w:t xml:space="preserve">test, which enables school to see </w:t>
      </w:r>
      <w:r w:rsidR="00A65524" w:rsidRPr="00A16957">
        <w:rPr>
          <w:rFonts w:ascii="Arial" w:hAnsi="Arial" w:cs="Arial"/>
          <w:sz w:val="22"/>
          <w:szCs w:val="22"/>
          <w:shd w:val="clear" w:color="auto" w:fill="FFFFFF"/>
        </w:rPr>
        <w:t>individual pupil levels</w:t>
      </w:r>
      <w:r w:rsidRPr="00A16957">
        <w:rPr>
          <w:rFonts w:ascii="Arial" w:hAnsi="Arial" w:cs="Arial"/>
          <w:sz w:val="22"/>
          <w:szCs w:val="22"/>
          <w:shd w:val="clear" w:color="auto" w:fill="FFFFFF"/>
        </w:rPr>
        <w:t>. These levels</w:t>
      </w:r>
      <w:r w:rsidR="005071AB" w:rsidRPr="00A16957">
        <w:rPr>
          <w:rFonts w:ascii="Arial" w:hAnsi="Arial" w:cs="Arial"/>
          <w:sz w:val="22"/>
          <w:szCs w:val="22"/>
          <w:shd w:val="clear" w:color="auto" w:fill="FFFFFF"/>
        </w:rPr>
        <w:t xml:space="preserve"> </w:t>
      </w:r>
      <w:r w:rsidR="00A65524" w:rsidRPr="00A16957">
        <w:rPr>
          <w:rFonts w:ascii="Arial" w:hAnsi="Arial" w:cs="Arial"/>
          <w:sz w:val="22"/>
          <w:szCs w:val="22"/>
          <w:shd w:val="clear" w:color="auto" w:fill="FFFFFF"/>
        </w:rPr>
        <w:t xml:space="preserve">are </w:t>
      </w:r>
      <w:r w:rsidR="005071AB" w:rsidRPr="00A16957">
        <w:rPr>
          <w:rFonts w:ascii="Arial" w:hAnsi="Arial" w:cs="Arial"/>
          <w:sz w:val="22"/>
          <w:szCs w:val="22"/>
          <w:shd w:val="clear" w:color="auto" w:fill="FFFFFF"/>
        </w:rPr>
        <w:t>measured</w:t>
      </w:r>
      <w:r w:rsidR="0011203F" w:rsidRPr="00A16957">
        <w:rPr>
          <w:rFonts w:ascii="Arial" w:hAnsi="Arial" w:cs="Arial"/>
          <w:sz w:val="22"/>
          <w:szCs w:val="22"/>
          <w:shd w:val="clear" w:color="auto" w:fill="FFFFFF"/>
        </w:rPr>
        <w:t xml:space="preserve">: </w:t>
      </w:r>
      <w:r w:rsidRPr="00A16957">
        <w:rPr>
          <w:rFonts w:ascii="Arial" w:hAnsi="Arial" w:cs="Arial"/>
          <w:sz w:val="22"/>
          <w:szCs w:val="22"/>
          <w:shd w:val="clear" w:color="auto" w:fill="FFFFFF"/>
        </w:rPr>
        <w:t xml:space="preserve"> ‘Above average for year group, average for year group, below average for year group and considerably below average for year group’ </w:t>
      </w:r>
      <w:r w:rsidRPr="00A16957">
        <w:rPr>
          <w:rFonts w:ascii="Arial" w:hAnsi="Arial" w:cs="Arial"/>
          <w:noProof/>
          <w:sz w:val="22"/>
          <w:szCs w:val="22"/>
          <w:shd w:val="clear" w:color="auto" w:fill="FFFFFF"/>
        </w:rPr>
        <w:t>(Wales, ND, para. 1)</w:t>
      </w:r>
      <w:r w:rsidR="005071AB" w:rsidRPr="00A16957">
        <w:rPr>
          <w:rFonts w:ascii="Arial" w:hAnsi="Arial" w:cs="Arial"/>
          <w:sz w:val="22"/>
          <w:szCs w:val="22"/>
          <w:shd w:val="clear" w:color="auto" w:fill="FFFFFF"/>
        </w:rPr>
        <w:t>.</w:t>
      </w:r>
      <w:r w:rsidR="00A65524" w:rsidRPr="00A16957">
        <w:rPr>
          <w:rFonts w:ascii="Arial" w:hAnsi="Arial" w:cs="Arial"/>
          <w:sz w:val="22"/>
          <w:szCs w:val="22"/>
          <w:shd w:val="clear" w:color="auto" w:fill="FFFFFF"/>
        </w:rPr>
        <w:t xml:space="preserve"> There are four </w:t>
      </w:r>
      <w:r w:rsidR="0011203F" w:rsidRPr="00A16957">
        <w:rPr>
          <w:rFonts w:ascii="Arial" w:hAnsi="Arial" w:cs="Arial"/>
          <w:sz w:val="22"/>
          <w:szCs w:val="22"/>
          <w:shd w:val="clear" w:color="auto" w:fill="FFFFFF"/>
        </w:rPr>
        <w:t>priorities</w:t>
      </w:r>
      <w:r w:rsidR="00A65524" w:rsidRPr="00A16957">
        <w:rPr>
          <w:rFonts w:ascii="Arial" w:hAnsi="Arial" w:cs="Arial"/>
          <w:sz w:val="22"/>
          <w:szCs w:val="22"/>
          <w:shd w:val="clear" w:color="auto" w:fill="FFFFFF"/>
        </w:rPr>
        <w:t xml:space="preserve"> in this policy which include: </w:t>
      </w:r>
      <w:r w:rsidR="0011203F" w:rsidRPr="00A16957">
        <w:rPr>
          <w:rFonts w:ascii="Arial" w:hAnsi="Arial" w:cs="Arial"/>
          <w:sz w:val="22"/>
          <w:szCs w:val="22"/>
          <w:shd w:val="clear" w:color="auto" w:fill="FFFFFF"/>
        </w:rPr>
        <w:t>‘Inclusive</w:t>
      </w:r>
      <w:r w:rsidR="00A65524" w:rsidRPr="00A16957">
        <w:rPr>
          <w:rFonts w:ascii="Arial" w:hAnsi="Arial" w:cs="Arial"/>
          <w:sz w:val="22"/>
          <w:szCs w:val="22"/>
          <w:shd w:val="clear" w:color="auto" w:fill="FFFFFF"/>
        </w:rPr>
        <w:t xml:space="preserve"> improvement in literacy in numeracy, </w:t>
      </w:r>
      <w:r w:rsidR="00A65524" w:rsidRPr="00A16957">
        <w:rPr>
          <w:rFonts w:ascii="Arial" w:hAnsi="Arial" w:cs="Arial"/>
          <w:noProof/>
          <w:sz w:val="22"/>
          <w:szCs w:val="22"/>
        </w:rPr>
        <w:t xml:space="preserve">Assisting teachers in being outstanding literacy and numeracy educators, </w:t>
      </w:r>
      <w:r w:rsidR="0011203F" w:rsidRPr="00A16957">
        <w:rPr>
          <w:rFonts w:ascii="Arial" w:hAnsi="Arial" w:cs="Arial"/>
          <w:noProof/>
          <w:sz w:val="22"/>
          <w:szCs w:val="22"/>
        </w:rPr>
        <w:t>ensuring learner is a priority and literacy and numeracy is realated to the real world’ WelshGovernment, (2016, p. 4).</w:t>
      </w:r>
      <w:r w:rsidR="00A65524" w:rsidRPr="00A16957">
        <w:rPr>
          <w:rFonts w:ascii="Arial" w:hAnsi="Arial" w:cs="Arial"/>
          <w:sz w:val="22"/>
          <w:szCs w:val="22"/>
          <w:shd w:val="clear" w:color="auto" w:fill="FFFFFF"/>
        </w:rPr>
        <w:t xml:space="preserve"> </w:t>
      </w:r>
      <w:r w:rsidR="005071AB" w:rsidRPr="00A16957">
        <w:rPr>
          <w:rFonts w:ascii="Arial" w:hAnsi="Arial" w:cs="Arial"/>
          <w:sz w:val="22"/>
          <w:szCs w:val="22"/>
          <w:shd w:val="clear" w:color="auto" w:fill="FFFFFF"/>
        </w:rPr>
        <w:t xml:space="preserve"> </w:t>
      </w:r>
      <w:r w:rsidR="008007A5" w:rsidRPr="00A16957">
        <w:rPr>
          <w:rFonts w:ascii="Arial" w:hAnsi="Arial" w:cs="Arial"/>
          <w:sz w:val="22"/>
          <w:szCs w:val="22"/>
          <w:shd w:val="clear" w:color="auto" w:fill="FFFFFF"/>
        </w:rPr>
        <w:t xml:space="preserve">In </w:t>
      </w:r>
      <w:r w:rsidR="0011203F" w:rsidRPr="00A16957">
        <w:rPr>
          <w:rFonts w:ascii="Arial" w:hAnsi="Arial" w:cs="Arial"/>
          <w:sz w:val="22"/>
          <w:szCs w:val="22"/>
          <w:shd w:val="clear" w:color="auto" w:fill="FFFFFF"/>
        </w:rPr>
        <w:t>one’s</w:t>
      </w:r>
      <w:r w:rsidR="008007A5" w:rsidRPr="00A16957">
        <w:rPr>
          <w:rFonts w:ascii="Arial" w:hAnsi="Arial" w:cs="Arial"/>
          <w:sz w:val="22"/>
          <w:szCs w:val="22"/>
          <w:shd w:val="clear" w:color="auto" w:fill="FFFFFF"/>
        </w:rPr>
        <w:t xml:space="preserve"> </w:t>
      </w:r>
      <w:r w:rsidRPr="00A16957">
        <w:rPr>
          <w:rFonts w:ascii="Arial" w:hAnsi="Arial" w:cs="Arial"/>
          <w:sz w:val="22"/>
          <w:szCs w:val="22"/>
          <w:shd w:val="clear" w:color="auto" w:fill="FFFFFF"/>
        </w:rPr>
        <w:t>school,</w:t>
      </w:r>
      <w:r w:rsidR="008007A5" w:rsidRPr="00A16957">
        <w:rPr>
          <w:rFonts w:ascii="Arial" w:hAnsi="Arial" w:cs="Arial"/>
          <w:sz w:val="22"/>
          <w:szCs w:val="22"/>
          <w:shd w:val="clear" w:color="auto" w:fill="FFFFFF"/>
        </w:rPr>
        <w:t xml:space="preserve"> </w:t>
      </w:r>
      <w:r w:rsidR="00443BEE" w:rsidRPr="00A16957">
        <w:rPr>
          <w:rFonts w:ascii="Arial" w:hAnsi="Arial" w:cs="Arial"/>
          <w:sz w:val="22"/>
          <w:szCs w:val="22"/>
          <w:shd w:val="clear" w:color="auto" w:fill="FFFFFF"/>
        </w:rPr>
        <w:t>over 50% transition from YR6 to the school with below average numeracy levels more concerning is that 30% of the cohort transition with considerably</w:t>
      </w:r>
      <w:r w:rsidR="00060557" w:rsidRPr="00A16957">
        <w:rPr>
          <w:rFonts w:ascii="Arial" w:hAnsi="Arial" w:cs="Arial"/>
          <w:sz w:val="22"/>
          <w:szCs w:val="22"/>
          <w:shd w:val="clear" w:color="auto" w:fill="FFFFFF"/>
        </w:rPr>
        <w:t xml:space="preserve"> low numeracy levels.</w:t>
      </w:r>
      <w:r w:rsidR="008C6451" w:rsidRPr="00A16957">
        <w:rPr>
          <w:rFonts w:ascii="Arial" w:hAnsi="Arial" w:cs="Arial"/>
          <w:sz w:val="22"/>
          <w:szCs w:val="22"/>
          <w:shd w:val="clear" w:color="auto" w:fill="FFFFFF"/>
        </w:rPr>
        <w:t xml:space="preserve"> </w:t>
      </w:r>
    </w:p>
    <w:p w:rsidR="00C32B96" w:rsidRPr="00A16957" w:rsidRDefault="008E7641" w:rsidP="00A16957">
      <w:pPr>
        <w:pStyle w:val="NormalWeb"/>
        <w:shd w:val="clear" w:color="auto" w:fill="FFFFFF"/>
        <w:spacing w:after="300" w:line="360" w:lineRule="auto"/>
        <w:jc w:val="both"/>
        <w:rPr>
          <w:rFonts w:ascii="Arial" w:hAnsi="Arial" w:cs="Arial"/>
          <w:sz w:val="22"/>
          <w:szCs w:val="22"/>
          <w:shd w:val="clear" w:color="auto" w:fill="FFFFFF"/>
        </w:rPr>
      </w:pPr>
      <w:r w:rsidRPr="00A16957">
        <w:rPr>
          <w:rFonts w:ascii="Arial" w:hAnsi="Arial" w:cs="Arial"/>
          <w:sz w:val="22"/>
          <w:szCs w:val="22"/>
          <w:shd w:val="clear" w:color="auto" w:fill="FFFFFF"/>
        </w:rPr>
        <w:t xml:space="preserve">Professor Graham Donaldson </w:t>
      </w:r>
      <w:sdt>
        <w:sdtPr>
          <w:rPr>
            <w:rFonts w:ascii="Arial" w:hAnsi="Arial" w:cs="Arial"/>
            <w:sz w:val="22"/>
            <w:szCs w:val="22"/>
            <w:shd w:val="clear" w:color="auto" w:fill="FFFFFF"/>
          </w:rPr>
          <w:id w:val="1255468809"/>
          <w:citation/>
        </w:sdtPr>
        <w:sdtEndPr/>
        <w:sdtContent>
          <w:r w:rsidRPr="00A16957">
            <w:rPr>
              <w:rFonts w:ascii="Arial" w:hAnsi="Arial" w:cs="Arial"/>
              <w:sz w:val="22"/>
              <w:szCs w:val="22"/>
              <w:shd w:val="clear" w:color="auto" w:fill="FFFFFF"/>
            </w:rPr>
            <w:fldChar w:fldCharType="begin"/>
          </w:r>
          <w:r w:rsidRPr="00A16957">
            <w:rPr>
              <w:rFonts w:ascii="Arial" w:hAnsi="Arial" w:cs="Arial"/>
              <w:sz w:val="22"/>
              <w:szCs w:val="22"/>
              <w:shd w:val="clear" w:color="auto" w:fill="FFFFFF"/>
            </w:rPr>
            <w:instrText xml:space="preserve"> CITATION Gra15 \l 2057 </w:instrText>
          </w:r>
          <w:r w:rsidRPr="00A16957">
            <w:rPr>
              <w:rFonts w:ascii="Arial" w:hAnsi="Arial" w:cs="Arial"/>
              <w:sz w:val="22"/>
              <w:szCs w:val="22"/>
              <w:shd w:val="clear" w:color="auto" w:fill="FFFFFF"/>
            </w:rPr>
            <w:fldChar w:fldCharType="separate"/>
          </w:r>
          <w:r w:rsidRPr="00A16957">
            <w:rPr>
              <w:rFonts w:ascii="Arial" w:hAnsi="Arial" w:cs="Arial"/>
              <w:noProof/>
              <w:sz w:val="22"/>
              <w:szCs w:val="22"/>
              <w:shd w:val="clear" w:color="auto" w:fill="FFFFFF"/>
            </w:rPr>
            <w:t>(Donaldson, 2015)</w:t>
          </w:r>
          <w:r w:rsidRPr="00A16957">
            <w:rPr>
              <w:rFonts w:ascii="Arial" w:hAnsi="Arial" w:cs="Arial"/>
              <w:sz w:val="22"/>
              <w:szCs w:val="22"/>
              <w:shd w:val="clear" w:color="auto" w:fill="FFFFFF"/>
            </w:rPr>
            <w:fldChar w:fldCharType="end"/>
          </w:r>
        </w:sdtContent>
      </w:sdt>
      <w:r w:rsidRPr="00A16957">
        <w:rPr>
          <w:rFonts w:ascii="Arial" w:hAnsi="Arial" w:cs="Arial"/>
          <w:sz w:val="22"/>
          <w:szCs w:val="22"/>
          <w:shd w:val="clear" w:color="auto" w:fill="FFFFFF"/>
        </w:rPr>
        <w:t xml:space="preserve"> was consulted to reform the current school curriculum. In 2014, Donaldson was asked to revisit the school curriculum as well as the way pupils are assessed from foundation to Key Stage Four (KS4). In 1988 the curriculum changed to a more subject centered philosophy </w:t>
      </w:r>
      <w:r w:rsidR="00530A70" w:rsidRPr="00A16957">
        <w:rPr>
          <w:rFonts w:ascii="Arial" w:hAnsi="Arial" w:cs="Arial"/>
          <w:sz w:val="22"/>
          <w:szCs w:val="22"/>
          <w:shd w:val="clear" w:color="auto" w:fill="FFFFFF"/>
        </w:rPr>
        <w:t>leaving</w:t>
      </w:r>
      <w:r w:rsidRPr="00A16957">
        <w:rPr>
          <w:rFonts w:ascii="Arial" w:hAnsi="Arial" w:cs="Arial"/>
          <w:sz w:val="22"/>
          <w:szCs w:val="22"/>
          <w:shd w:val="clear" w:color="auto" w:fill="FFFFFF"/>
        </w:rPr>
        <w:t xml:space="preserve"> the 1967 child centered philosophy</w:t>
      </w:r>
      <w:r w:rsidR="00530A70" w:rsidRPr="00A16957">
        <w:rPr>
          <w:rFonts w:ascii="Arial" w:hAnsi="Arial" w:cs="Arial"/>
          <w:sz w:val="22"/>
          <w:szCs w:val="22"/>
          <w:shd w:val="clear" w:color="auto" w:fill="FFFFFF"/>
        </w:rPr>
        <w:t xml:space="preserve"> behind. T</w:t>
      </w:r>
      <w:r w:rsidRPr="00A16957">
        <w:rPr>
          <w:rFonts w:ascii="Arial" w:hAnsi="Arial" w:cs="Arial"/>
          <w:sz w:val="22"/>
          <w:szCs w:val="22"/>
          <w:shd w:val="clear" w:color="auto" w:fill="FFFFFF"/>
        </w:rPr>
        <w:t xml:space="preserve">his was a radical departure </w:t>
      </w:r>
      <w:r w:rsidR="00530A70" w:rsidRPr="00A16957">
        <w:rPr>
          <w:rFonts w:ascii="Arial" w:hAnsi="Arial" w:cs="Arial"/>
          <w:sz w:val="22"/>
          <w:szCs w:val="22"/>
          <w:shd w:val="clear" w:color="auto" w:fill="FFFFFF"/>
        </w:rPr>
        <w:t xml:space="preserve">and it expressed concerns about pupil’s educational experiences. Inconsistency was seen within the curriculum since 1988 reform, hence the government had become increasingly concerned about school standards, especially in regards to literacy and numeracy. </w:t>
      </w:r>
    </w:p>
    <w:p w:rsidR="00C32B96" w:rsidRPr="00A16957" w:rsidRDefault="00C32B96" w:rsidP="00A16957">
      <w:pPr>
        <w:pStyle w:val="NormalWeb"/>
        <w:shd w:val="clear" w:color="auto" w:fill="FFFFFF"/>
        <w:spacing w:after="300" w:line="360" w:lineRule="auto"/>
        <w:jc w:val="both"/>
        <w:rPr>
          <w:rFonts w:ascii="Arial" w:hAnsi="Arial" w:cs="Arial"/>
          <w:sz w:val="22"/>
          <w:szCs w:val="22"/>
          <w:shd w:val="clear" w:color="auto" w:fill="FFFFFF"/>
        </w:rPr>
      </w:pPr>
    </w:p>
    <w:p w:rsidR="00C32B96" w:rsidRPr="00A16957" w:rsidRDefault="00C32B96" w:rsidP="00A16957">
      <w:pPr>
        <w:pStyle w:val="NormalWeb"/>
        <w:shd w:val="clear" w:color="auto" w:fill="FFFFFF"/>
        <w:spacing w:after="300" w:line="360" w:lineRule="auto"/>
        <w:jc w:val="both"/>
        <w:rPr>
          <w:rFonts w:ascii="Arial" w:hAnsi="Arial" w:cs="Arial"/>
          <w:sz w:val="22"/>
          <w:szCs w:val="22"/>
          <w:shd w:val="clear" w:color="auto" w:fill="FFFFFF"/>
        </w:rPr>
      </w:pPr>
    </w:p>
    <w:p w:rsidR="00C32B96" w:rsidRPr="00A16957" w:rsidRDefault="00C32B96" w:rsidP="00A16957">
      <w:pPr>
        <w:pStyle w:val="NormalWeb"/>
        <w:shd w:val="clear" w:color="auto" w:fill="FFFFFF"/>
        <w:spacing w:after="300" w:line="360" w:lineRule="auto"/>
        <w:jc w:val="both"/>
        <w:rPr>
          <w:rFonts w:ascii="Arial" w:hAnsi="Arial" w:cs="Arial"/>
          <w:noProof/>
          <w:sz w:val="22"/>
          <w:szCs w:val="22"/>
          <w:shd w:val="clear" w:color="auto" w:fill="FFFFFF"/>
        </w:rPr>
      </w:pPr>
      <w:r w:rsidRPr="00A16957">
        <w:rPr>
          <w:rFonts w:ascii="Arial" w:hAnsi="Arial" w:cs="Arial"/>
          <w:noProof/>
          <w:sz w:val="22"/>
          <w:szCs w:val="22"/>
          <w:shd w:val="clear" w:color="auto" w:fill="FFFFFF"/>
        </w:rPr>
        <w:t>Donaldson, (2015, p. 43) suggested that:</w:t>
      </w:r>
    </w:p>
    <w:p w:rsidR="00530A70" w:rsidRPr="00A16957" w:rsidRDefault="00C32B96" w:rsidP="00A16957">
      <w:pPr>
        <w:pStyle w:val="NormalWeb"/>
        <w:shd w:val="clear" w:color="auto" w:fill="FFFFFF"/>
        <w:spacing w:after="300" w:line="360" w:lineRule="auto"/>
        <w:ind w:left="567" w:right="1088"/>
        <w:jc w:val="both"/>
        <w:rPr>
          <w:rFonts w:ascii="Arial" w:hAnsi="Arial" w:cs="Arial"/>
          <w:noProof/>
          <w:sz w:val="22"/>
          <w:szCs w:val="22"/>
          <w:shd w:val="clear" w:color="auto" w:fill="FFFFFF"/>
        </w:rPr>
      </w:pPr>
      <w:r w:rsidRPr="00A16957">
        <w:rPr>
          <w:rFonts w:ascii="Arial" w:hAnsi="Arial" w:cs="Arial"/>
          <w:noProof/>
          <w:sz w:val="22"/>
          <w:szCs w:val="22"/>
          <w:shd w:val="clear" w:color="auto" w:fill="FFFFFF"/>
        </w:rPr>
        <w:t>‘The future vision for literacy and numeracy growth from 3 to 16 will build on the work that has already been done in Wales to integrate these skills at the core of, and crucially through, the Welsh educational system. The standards for literacy and numeracy will be part of, and primarily outlined inside, the Languages, literacy, and numeracy sections of the curriculum’.</w:t>
      </w:r>
    </w:p>
    <w:p w:rsidR="008A477F" w:rsidRPr="00A16957" w:rsidRDefault="00F94D80" w:rsidP="00A16957">
      <w:pPr>
        <w:pStyle w:val="NormalWeb"/>
        <w:shd w:val="clear" w:color="auto" w:fill="FFFFFF"/>
        <w:spacing w:before="0" w:beforeAutospacing="0" w:after="300" w:afterAutospacing="0" w:line="360" w:lineRule="auto"/>
        <w:jc w:val="both"/>
        <w:rPr>
          <w:rFonts w:ascii="Arial" w:hAnsi="Arial" w:cs="Arial"/>
          <w:sz w:val="22"/>
          <w:szCs w:val="22"/>
          <w:shd w:val="clear" w:color="auto" w:fill="FFFFFF"/>
        </w:rPr>
      </w:pPr>
      <w:r w:rsidRPr="00A16957">
        <w:rPr>
          <w:rFonts w:ascii="Arial" w:hAnsi="Arial" w:cs="Arial"/>
          <w:sz w:val="22"/>
          <w:szCs w:val="22"/>
          <w:shd w:val="clear" w:color="auto" w:fill="FFFFFF"/>
        </w:rPr>
        <w:t xml:space="preserve">To effectively teach numeracy </w:t>
      </w:r>
      <w:r w:rsidR="008A477F" w:rsidRPr="00A16957">
        <w:rPr>
          <w:rFonts w:ascii="Arial" w:hAnsi="Arial" w:cs="Arial"/>
          <w:sz w:val="22"/>
          <w:szCs w:val="22"/>
          <w:shd w:val="clear" w:color="auto" w:fill="FFFFFF"/>
        </w:rPr>
        <w:t xml:space="preserve">understanding the </w:t>
      </w:r>
      <w:r w:rsidRPr="00A16957">
        <w:rPr>
          <w:rFonts w:ascii="Arial" w:hAnsi="Arial" w:cs="Arial"/>
          <w:sz w:val="22"/>
          <w:szCs w:val="22"/>
          <w:shd w:val="clear" w:color="auto" w:fill="FFFFFF"/>
        </w:rPr>
        <w:t xml:space="preserve">four proficiency </w:t>
      </w:r>
      <w:r w:rsidR="008A477F" w:rsidRPr="00A16957">
        <w:rPr>
          <w:rFonts w:ascii="Arial" w:hAnsi="Arial" w:cs="Arial"/>
          <w:sz w:val="22"/>
          <w:szCs w:val="22"/>
          <w:shd w:val="clear" w:color="auto" w:fill="FFFFFF"/>
        </w:rPr>
        <w:t xml:space="preserve">strands is essential. The strands are: </w:t>
      </w:r>
    </w:p>
    <w:p w:rsidR="00F94D80" w:rsidRPr="00A16957" w:rsidRDefault="008A477F" w:rsidP="00A16957">
      <w:pPr>
        <w:pStyle w:val="NormalWeb"/>
        <w:shd w:val="clear" w:color="auto" w:fill="FFFFFF"/>
        <w:spacing w:before="0" w:beforeAutospacing="0" w:after="300" w:afterAutospacing="0" w:line="360" w:lineRule="auto"/>
        <w:ind w:left="567" w:right="1088"/>
        <w:jc w:val="both"/>
        <w:rPr>
          <w:rFonts w:ascii="Arial" w:hAnsi="Arial" w:cs="Arial"/>
          <w:sz w:val="22"/>
          <w:szCs w:val="22"/>
          <w:shd w:val="clear" w:color="auto" w:fill="FFFFFF"/>
        </w:rPr>
      </w:pPr>
      <w:r w:rsidRPr="00A16957">
        <w:rPr>
          <w:rFonts w:ascii="Arial" w:hAnsi="Arial" w:cs="Arial"/>
          <w:sz w:val="22"/>
          <w:szCs w:val="22"/>
          <w:shd w:val="clear" w:color="auto" w:fill="FFFFFF"/>
        </w:rPr>
        <w:t>“U</w:t>
      </w:r>
      <w:r w:rsidR="00F94D80" w:rsidRPr="00A16957">
        <w:rPr>
          <w:rFonts w:ascii="Arial" w:hAnsi="Arial" w:cs="Arial"/>
          <w:sz w:val="22"/>
          <w:szCs w:val="22"/>
          <w:shd w:val="clear" w:color="auto" w:fill="FFFFFF"/>
        </w:rPr>
        <w:t>nderstanding</w:t>
      </w:r>
      <w:r w:rsidR="00510BC9" w:rsidRPr="00A16957">
        <w:rPr>
          <w:rFonts w:ascii="Arial" w:hAnsi="Arial" w:cs="Arial"/>
          <w:sz w:val="22"/>
          <w:szCs w:val="22"/>
          <w:shd w:val="clear" w:color="auto" w:fill="FFFFFF"/>
        </w:rPr>
        <w:t xml:space="preserve"> -</w:t>
      </w:r>
      <w:r w:rsidR="00F94D80" w:rsidRPr="00A16957">
        <w:rPr>
          <w:rFonts w:ascii="Arial" w:hAnsi="Arial" w:cs="Arial"/>
          <w:sz w:val="22"/>
          <w:szCs w:val="22"/>
          <w:shd w:val="clear" w:color="auto" w:fill="FFFFFF"/>
        </w:rPr>
        <w:t xml:space="preserve"> this means, linking names, numerals, and quantities, as well as partitioning </w:t>
      </w:r>
      <w:r w:rsidRPr="00A16957">
        <w:rPr>
          <w:rFonts w:ascii="Arial" w:hAnsi="Arial" w:cs="Arial"/>
          <w:sz w:val="22"/>
          <w:szCs w:val="22"/>
          <w:shd w:val="clear" w:color="auto" w:fill="FFFFFF"/>
        </w:rPr>
        <w:t>numbers</w:t>
      </w:r>
      <w:r w:rsidR="00F94D80" w:rsidRPr="00A16957">
        <w:rPr>
          <w:rFonts w:ascii="Arial" w:hAnsi="Arial" w:cs="Arial"/>
          <w:sz w:val="22"/>
          <w:szCs w:val="22"/>
          <w:shd w:val="clear" w:color="auto" w:fill="FFFFFF"/>
        </w:rPr>
        <w:t xml:space="preserve"> in a variety of ways. Fluency</w:t>
      </w:r>
      <w:r w:rsidR="00510BC9" w:rsidRPr="00A16957">
        <w:rPr>
          <w:rFonts w:ascii="Arial" w:hAnsi="Arial" w:cs="Arial"/>
          <w:sz w:val="22"/>
          <w:szCs w:val="22"/>
          <w:shd w:val="clear" w:color="auto" w:fill="FFFFFF"/>
        </w:rPr>
        <w:t xml:space="preserve"> -</w:t>
      </w:r>
      <w:r w:rsidR="00F94D80" w:rsidRPr="00A16957">
        <w:rPr>
          <w:rFonts w:ascii="Arial" w:hAnsi="Arial" w:cs="Arial"/>
          <w:sz w:val="22"/>
          <w:szCs w:val="22"/>
          <w:shd w:val="clear" w:color="auto" w:fill="FFFFFF"/>
        </w:rPr>
        <w:t xml:space="preserve"> is when counting numbers in sequences is used such as, forward and backwards. Also finding numbers on a number line, and naming the days of the week are all skills that can be learned quickly.</w:t>
      </w:r>
      <w:r w:rsidRPr="00A16957">
        <w:rPr>
          <w:rFonts w:ascii="Arial" w:hAnsi="Arial" w:cs="Arial"/>
          <w:sz w:val="22"/>
          <w:szCs w:val="22"/>
          <w:shd w:val="clear" w:color="auto" w:fill="FFFFFF"/>
        </w:rPr>
        <w:t xml:space="preserve"> Problem Solving</w:t>
      </w:r>
      <w:r w:rsidR="00510BC9" w:rsidRPr="00A16957">
        <w:rPr>
          <w:rFonts w:ascii="Arial" w:hAnsi="Arial" w:cs="Arial"/>
          <w:sz w:val="22"/>
          <w:szCs w:val="22"/>
          <w:shd w:val="clear" w:color="auto" w:fill="FFFFFF"/>
        </w:rPr>
        <w:t xml:space="preserve"> -</w:t>
      </w:r>
      <w:r w:rsidRPr="00A16957">
        <w:rPr>
          <w:rFonts w:ascii="Arial" w:hAnsi="Arial" w:cs="Arial"/>
          <w:sz w:val="22"/>
          <w:szCs w:val="22"/>
          <w:shd w:val="clear" w:color="auto" w:fill="FFFFFF"/>
        </w:rPr>
        <w:t xml:space="preserve"> is used when giving and receiving directions to unfamiliar locations, using common counting sequences to solve unfamiliar problems, and debating the reasonableness of the response. Lastl</w:t>
      </w:r>
      <w:r w:rsidR="00510BC9" w:rsidRPr="00A16957">
        <w:rPr>
          <w:rFonts w:ascii="Arial" w:hAnsi="Arial" w:cs="Arial"/>
          <w:sz w:val="22"/>
          <w:szCs w:val="22"/>
          <w:shd w:val="clear" w:color="auto" w:fill="FFFFFF"/>
        </w:rPr>
        <w:t xml:space="preserve">y reasoning - </w:t>
      </w:r>
      <w:r w:rsidRPr="00A16957">
        <w:rPr>
          <w:rFonts w:ascii="Arial" w:hAnsi="Arial" w:cs="Arial"/>
          <w:sz w:val="22"/>
          <w:szCs w:val="22"/>
          <w:shd w:val="clear" w:color="auto" w:fill="FFFFFF"/>
        </w:rPr>
        <w:t>this is when Using standardised informal units to explain direct and indirect length comparisons, justifying data representations, and explaining trends that have been formed”</w:t>
      </w:r>
      <w:r w:rsidR="00510BC9" w:rsidRPr="00A16957">
        <w:rPr>
          <w:rFonts w:ascii="Arial" w:hAnsi="Arial" w:cs="Arial"/>
          <w:sz w:val="22"/>
          <w:szCs w:val="22"/>
          <w:shd w:val="clear" w:color="auto" w:fill="FFFFFF"/>
        </w:rPr>
        <w:t xml:space="preserve"> </w:t>
      </w:r>
      <w:r w:rsidR="00510BC9" w:rsidRPr="00A16957">
        <w:rPr>
          <w:rFonts w:ascii="Arial" w:hAnsi="Arial" w:cs="Arial"/>
          <w:noProof/>
          <w:sz w:val="22"/>
          <w:szCs w:val="22"/>
          <w:shd w:val="clear" w:color="auto" w:fill="FFFFFF"/>
        </w:rPr>
        <w:t>Wilmot, (ND, para. 8)</w:t>
      </w:r>
    </w:p>
    <w:p w:rsidR="00776577" w:rsidRPr="00A16957" w:rsidRDefault="00060557" w:rsidP="00A16957">
      <w:pPr>
        <w:pStyle w:val="NormalWeb"/>
        <w:spacing w:line="360" w:lineRule="auto"/>
        <w:jc w:val="both"/>
        <w:rPr>
          <w:rFonts w:ascii="Arial" w:hAnsi="Arial" w:cs="Arial"/>
          <w:bCs/>
          <w:color w:val="202124"/>
          <w:sz w:val="22"/>
          <w:szCs w:val="22"/>
          <w:shd w:val="clear" w:color="auto" w:fill="FFFFFF"/>
        </w:rPr>
      </w:pPr>
      <w:r w:rsidRPr="00A16957">
        <w:rPr>
          <w:rFonts w:ascii="Arial" w:hAnsi="Arial" w:cs="Arial"/>
          <w:sz w:val="22"/>
          <w:szCs w:val="22"/>
          <w:shd w:val="clear" w:color="auto" w:fill="FFFFFF"/>
        </w:rPr>
        <w:t xml:space="preserve">The school provides a variety of interventions </w:t>
      </w:r>
      <w:r w:rsidR="00E66107" w:rsidRPr="00A16957">
        <w:rPr>
          <w:rFonts w:ascii="Arial" w:hAnsi="Arial" w:cs="Arial"/>
          <w:sz w:val="22"/>
          <w:szCs w:val="22"/>
          <w:shd w:val="clear" w:color="auto" w:fill="FFFFFF"/>
        </w:rPr>
        <w:t>one of the more successful interventions is recognising that co</w:t>
      </w:r>
      <w:r w:rsidR="00AB5661" w:rsidRPr="00A16957">
        <w:rPr>
          <w:rFonts w:ascii="Arial" w:hAnsi="Arial" w:cs="Arial"/>
          <w:sz w:val="22"/>
          <w:szCs w:val="22"/>
          <w:shd w:val="clear" w:color="auto" w:fill="FFFFFF"/>
        </w:rPr>
        <w:t>mbining numeracy and literacy is</w:t>
      </w:r>
      <w:r w:rsidR="00E66107" w:rsidRPr="00A16957">
        <w:rPr>
          <w:rFonts w:ascii="Arial" w:hAnsi="Arial" w:cs="Arial"/>
          <w:sz w:val="22"/>
          <w:szCs w:val="22"/>
          <w:shd w:val="clear" w:color="auto" w:fill="FFFFFF"/>
        </w:rPr>
        <w:t xml:space="preserve"> one is more effective</w:t>
      </w:r>
      <w:r w:rsidR="00AB5661" w:rsidRPr="00A16957">
        <w:rPr>
          <w:rFonts w:ascii="Arial" w:hAnsi="Arial" w:cs="Arial"/>
          <w:sz w:val="22"/>
          <w:szCs w:val="22"/>
          <w:shd w:val="clear" w:color="auto" w:fill="FFFFFF"/>
        </w:rPr>
        <w:t xml:space="preserve"> ways of teaching rather than focusing on the individual subject.</w:t>
      </w:r>
      <w:r w:rsidR="00E66107" w:rsidRPr="00A16957">
        <w:rPr>
          <w:rFonts w:ascii="Arial" w:hAnsi="Arial" w:cs="Arial"/>
          <w:sz w:val="22"/>
          <w:szCs w:val="22"/>
          <w:shd w:val="clear" w:color="auto" w:fill="FFFFFF"/>
        </w:rPr>
        <w:t xml:space="preserve"> </w:t>
      </w:r>
      <w:r w:rsidR="008C6451" w:rsidRPr="00A16957">
        <w:rPr>
          <w:rFonts w:ascii="Arial" w:hAnsi="Arial" w:cs="Arial"/>
          <w:sz w:val="22"/>
          <w:szCs w:val="22"/>
          <w:shd w:val="clear" w:color="auto" w:fill="FFFFFF"/>
        </w:rPr>
        <w:t>The school has</w:t>
      </w:r>
      <w:r w:rsidRPr="00A16957">
        <w:rPr>
          <w:rFonts w:ascii="Arial" w:hAnsi="Arial" w:cs="Arial"/>
          <w:sz w:val="22"/>
          <w:szCs w:val="22"/>
          <w:shd w:val="clear" w:color="auto" w:fill="FFFFFF"/>
        </w:rPr>
        <w:t xml:space="preserve"> a skills centre where pupils who have a numeracy or reading de</w:t>
      </w:r>
      <w:r w:rsidR="00E66107" w:rsidRPr="00A16957">
        <w:rPr>
          <w:rFonts w:ascii="Arial" w:hAnsi="Arial" w:cs="Arial"/>
          <w:sz w:val="22"/>
          <w:szCs w:val="22"/>
          <w:shd w:val="clear" w:color="auto" w:fill="FFFFFF"/>
        </w:rPr>
        <w:t xml:space="preserve">ficit receive formal intervention once a week for one hour in groups no more than four. </w:t>
      </w:r>
      <w:r w:rsidR="00E66107" w:rsidRPr="00A16957">
        <w:rPr>
          <w:rFonts w:ascii="Arial" w:hAnsi="Arial" w:cs="Arial"/>
          <w:noProof/>
          <w:sz w:val="22"/>
          <w:szCs w:val="22"/>
        </w:rPr>
        <w:t>These groups are formed by finding commonalities in the skills shortage of both subjects and allowing for an individual approach to upskilling each pupil.</w:t>
      </w:r>
      <w:r w:rsidR="00776577" w:rsidRPr="00A16957">
        <w:rPr>
          <w:rFonts w:ascii="Arial" w:hAnsi="Arial" w:cs="Arial"/>
          <w:noProof/>
          <w:sz w:val="22"/>
          <w:szCs w:val="22"/>
        </w:rPr>
        <w:t xml:space="preserve"> We also have an added numeracy focus intervention after the LNF testing in YR9 where KS4 pupils are identified as needing further intervention. </w:t>
      </w:r>
      <w:r w:rsidR="00776577" w:rsidRPr="00A16957">
        <w:rPr>
          <w:rFonts w:ascii="Arial" w:hAnsi="Arial" w:cs="Arial"/>
          <w:color w:val="000000"/>
          <w:sz w:val="22"/>
          <w:szCs w:val="22"/>
        </w:rPr>
        <w:t xml:space="preserve">The groups consist of 4-5 learners and potentially 6 groups and the groups will be set dependant on topic issues they encountered during the LNF testing. The program will run for 6 weeks with a diagnostic test implemented before and after the program. This will allow us to gauge progress, and if leaners require </w:t>
      </w:r>
      <w:r w:rsidR="00776577" w:rsidRPr="00A16957">
        <w:rPr>
          <w:rFonts w:ascii="Arial" w:hAnsi="Arial" w:cs="Arial"/>
          <w:color w:val="000000"/>
          <w:sz w:val="22"/>
          <w:szCs w:val="22"/>
        </w:rPr>
        <w:lastRenderedPageBreak/>
        <w:t>further intervention, this will be discussed within Area of learning and Experience (AOLE) and allocated further attention. Successful learners will progress and be monitored by math class teacher. Once a 6-week program has completed, new groups are allocated and the process repeated with the new learners individual needs in mind.</w:t>
      </w:r>
      <w:r w:rsidR="008C6451" w:rsidRPr="00A16957">
        <w:rPr>
          <w:rFonts w:ascii="Arial" w:hAnsi="Arial" w:cs="Arial"/>
          <w:sz w:val="22"/>
          <w:szCs w:val="22"/>
          <w:shd w:val="clear" w:color="auto" w:fill="FFFFFF"/>
        </w:rPr>
        <w:t xml:space="preserve"> The school also hosts over 20% of children that English</w:t>
      </w:r>
      <w:r w:rsidR="008C6451" w:rsidRPr="00A16957">
        <w:rPr>
          <w:rFonts w:ascii="Arial" w:hAnsi="Arial" w:cs="Arial"/>
          <w:color w:val="202124"/>
          <w:sz w:val="22"/>
          <w:szCs w:val="22"/>
          <w:shd w:val="clear" w:color="auto" w:fill="FFFFFF"/>
        </w:rPr>
        <w:t xml:space="preserve"> for Speakers of Other Languages (</w:t>
      </w:r>
      <w:r w:rsidR="008C6451" w:rsidRPr="00A16957">
        <w:rPr>
          <w:rFonts w:ascii="Arial" w:hAnsi="Arial" w:cs="Arial"/>
          <w:bCs/>
          <w:color w:val="202124"/>
          <w:sz w:val="22"/>
          <w:szCs w:val="22"/>
          <w:shd w:val="clear" w:color="auto" w:fill="FFFFFF"/>
        </w:rPr>
        <w:t>ESOL) ensuring that numeracy relates to real life with differentiated exercises and projects that practise numeracy vocabulary as well as basic numeracy skills</w:t>
      </w:r>
      <w:r w:rsidR="00EC1DD0" w:rsidRPr="00A16957">
        <w:rPr>
          <w:rFonts w:ascii="Arial" w:hAnsi="Arial" w:cs="Arial"/>
          <w:bCs/>
          <w:color w:val="202124"/>
          <w:sz w:val="22"/>
          <w:szCs w:val="22"/>
          <w:shd w:val="clear" w:color="auto" w:fill="FFFFFF"/>
        </w:rPr>
        <w:t xml:space="preserve"> </w:t>
      </w:r>
      <w:r w:rsidR="008C6451" w:rsidRPr="00A16957">
        <w:rPr>
          <w:rFonts w:ascii="Arial" w:hAnsi="Arial" w:cs="Arial"/>
          <w:bCs/>
          <w:color w:val="202124"/>
          <w:sz w:val="22"/>
          <w:szCs w:val="22"/>
          <w:shd w:val="clear" w:color="auto" w:fill="FFFFFF"/>
        </w:rPr>
        <w:t xml:space="preserve">is essential for these learners </w:t>
      </w:r>
      <w:r w:rsidR="00EC1DD0" w:rsidRPr="00A16957">
        <w:rPr>
          <w:rFonts w:ascii="Arial" w:hAnsi="Arial" w:cs="Arial"/>
          <w:bCs/>
          <w:color w:val="202124"/>
          <w:sz w:val="22"/>
          <w:szCs w:val="22"/>
          <w:shd w:val="clear" w:color="auto" w:fill="FFFFFF"/>
        </w:rPr>
        <w:t>who may</w:t>
      </w:r>
      <w:r w:rsidR="008C6451" w:rsidRPr="00A16957">
        <w:rPr>
          <w:rFonts w:ascii="Arial" w:hAnsi="Arial" w:cs="Arial"/>
          <w:bCs/>
          <w:color w:val="202124"/>
          <w:sz w:val="22"/>
          <w:szCs w:val="22"/>
          <w:shd w:val="clear" w:color="auto" w:fill="FFFFFF"/>
        </w:rPr>
        <w:t xml:space="preserve"> not understand the concept </w:t>
      </w:r>
      <w:r w:rsidR="00EC1DD0" w:rsidRPr="00A16957">
        <w:rPr>
          <w:rFonts w:ascii="Arial" w:hAnsi="Arial" w:cs="Arial"/>
          <w:bCs/>
          <w:color w:val="202124"/>
          <w:sz w:val="22"/>
          <w:szCs w:val="22"/>
          <w:shd w:val="clear" w:color="auto" w:fill="FFFFFF"/>
        </w:rPr>
        <w:t>of the English</w:t>
      </w:r>
      <w:r w:rsidR="008C6451" w:rsidRPr="00A16957">
        <w:rPr>
          <w:rFonts w:ascii="Arial" w:hAnsi="Arial" w:cs="Arial"/>
          <w:bCs/>
          <w:color w:val="202124"/>
          <w:sz w:val="22"/>
          <w:szCs w:val="22"/>
          <w:shd w:val="clear" w:color="auto" w:fill="FFFFFF"/>
        </w:rPr>
        <w:t xml:space="preserve"> language and the rules</w:t>
      </w:r>
      <w:r w:rsidR="00EC1DD0" w:rsidRPr="00A16957">
        <w:rPr>
          <w:rFonts w:ascii="Arial" w:hAnsi="Arial" w:cs="Arial"/>
          <w:bCs/>
          <w:color w:val="202124"/>
          <w:sz w:val="22"/>
          <w:szCs w:val="22"/>
          <w:shd w:val="clear" w:color="auto" w:fill="FFFFFF"/>
        </w:rPr>
        <w:t xml:space="preserve"> </w:t>
      </w:r>
      <w:sdt>
        <w:sdtPr>
          <w:rPr>
            <w:rFonts w:ascii="Arial" w:hAnsi="Arial" w:cs="Arial"/>
            <w:bCs/>
            <w:color w:val="202124"/>
            <w:sz w:val="22"/>
            <w:szCs w:val="22"/>
            <w:shd w:val="clear" w:color="auto" w:fill="FFFFFF"/>
          </w:rPr>
          <w:id w:val="-59402827"/>
          <w:citation/>
        </w:sdtPr>
        <w:sdtEndPr/>
        <w:sdtContent>
          <w:r w:rsidR="00EC1DD0" w:rsidRPr="00A16957">
            <w:rPr>
              <w:rFonts w:ascii="Arial" w:hAnsi="Arial" w:cs="Arial"/>
              <w:bCs/>
              <w:color w:val="202124"/>
              <w:sz w:val="22"/>
              <w:szCs w:val="22"/>
              <w:shd w:val="clear" w:color="auto" w:fill="FFFFFF"/>
            </w:rPr>
            <w:fldChar w:fldCharType="begin"/>
          </w:r>
          <w:r w:rsidR="00EC1DD0" w:rsidRPr="00A16957">
            <w:rPr>
              <w:rFonts w:ascii="Arial" w:hAnsi="Arial" w:cs="Arial"/>
              <w:bCs/>
              <w:color w:val="202124"/>
              <w:sz w:val="22"/>
              <w:szCs w:val="22"/>
              <w:shd w:val="clear" w:color="auto" w:fill="FFFFFF"/>
            </w:rPr>
            <w:instrText xml:space="preserve"> CITATION ESO19 \l 2057 </w:instrText>
          </w:r>
          <w:r w:rsidR="00EC1DD0" w:rsidRPr="00A16957">
            <w:rPr>
              <w:rFonts w:ascii="Arial" w:hAnsi="Arial" w:cs="Arial"/>
              <w:bCs/>
              <w:color w:val="202124"/>
              <w:sz w:val="22"/>
              <w:szCs w:val="22"/>
              <w:shd w:val="clear" w:color="auto" w:fill="FFFFFF"/>
            </w:rPr>
            <w:fldChar w:fldCharType="separate"/>
          </w:r>
          <w:r w:rsidR="00EC1DD0" w:rsidRPr="00A16957">
            <w:rPr>
              <w:rFonts w:ascii="Arial" w:hAnsi="Arial" w:cs="Arial"/>
              <w:noProof/>
              <w:color w:val="202124"/>
              <w:sz w:val="22"/>
              <w:szCs w:val="22"/>
              <w:shd w:val="clear" w:color="auto" w:fill="FFFFFF"/>
            </w:rPr>
            <w:t>(Nexus, 2019)</w:t>
          </w:r>
          <w:r w:rsidR="00EC1DD0" w:rsidRPr="00A16957">
            <w:rPr>
              <w:rFonts w:ascii="Arial" w:hAnsi="Arial" w:cs="Arial"/>
              <w:bCs/>
              <w:color w:val="202124"/>
              <w:sz w:val="22"/>
              <w:szCs w:val="22"/>
              <w:shd w:val="clear" w:color="auto" w:fill="FFFFFF"/>
            </w:rPr>
            <w:fldChar w:fldCharType="end"/>
          </w:r>
        </w:sdtContent>
      </w:sdt>
      <w:r w:rsidR="00EC1DD0" w:rsidRPr="00A16957">
        <w:rPr>
          <w:rFonts w:ascii="Arial" w:hAnsi="Arial" w:cs="Arial"/>
          <w:bCs/>
          <w:color w:val="202124"/>
          <w:sz w:val="22"/>
          <w:szCs w:val="22"/>
          <w:shd w:val="clear" w:color="auto" w:fill="FFFFFF"/>
        </w:rPr>
        <w:t>.</w:t>
      </w:r>
      <w:r w:rsidR="008C6451" w:rsidRPr="00A16957">
        <w:rPr>
          <w:rFonts w:ascii="Arial" w:hAnsi="Arial" w:cs="Arial"/>
          <w:bCs/>
          <w:color w:val="202124"/>
          <w:sz w:val="22"/>
          <w:szCs w:val="22"/>
          <w:shd w:val="clear" w:color="auto" w:fill="FFFFFF"/>
        </w:rPr>
        <w:t xml:space="preserve"> </w:t>
      </w:r>
    </w:p>
    <w:p w:rsidR="00AB5661" w:rsidRPr="00F12026" w:rsidRDefault="00F12026" w:rsidP="00A16957">
      <w:pPr>
        <w:spacing w:before="100" w:beforeAutospacing="1" w:after="100" w:afterAutospacing="1" w:line="360" w:lineRule="auto"/>
        <w:jc w:val="both"/>
        <w:rPr>
          <w:rFonts w:ascii="Arial" w:hAnsi="Arial" w:cs="Arial"/>
          <w:color w:val="000000"/>
          <w:sz w:val="22"/>
          <w:szCs w:val="22"/>
        </w:rPr>
      </w:pPr>
      <w:r w:rsidRPr="00F12026">
        <w:rPr>
          <w:rFonts w:ascii="Arial" w:hAnsi="Arial" w:cs="Arial"/>
          <w:color w:val="000000"/>
          <w:sz w:val="22"/>
          <w:szCs w:val="22"/>
        </w:rPr>
        <w:t xml:space="preserve">There is no single effective intervention programme. However, success is more likely to be determined by how well our pupils are targeted, assessed and monitored and how the overall programme is managed within the </w:t>
      </w:r>
      <w:r w:rsidR="00AB5661" w:rsidRPr="00A16957">
        <w:rPr>
          <w:rFonts w:ascii="Arial" w:hAnsi="Arial" w:cs="Arial"/>
          <w:color w:val="000000"/>
          <w:sz w:val="22"/>
          <w:szCs w:val="22"/>
        </w:rPr>
        <w:t>school. The</w:t>
      </w:r>
      <w:r w:rsidRPr="00A16957">
        <w:rPr>
          <w:rFonts w:ascii="Arial" w:hAnsi="Arial" w:cs="Arial"/>
          <w:color w:val="000000"/>
          <w:sz w:val="22"/>
          <w:szCs w:val="22"/>
        </w:rPr>
        <w:t xml:space="preserve"> pupils in YR7 and YR8 have</w:t>
      </w:r>
      <w:r w:rsidRPr="00F12026">
        <w:rPr>
          <w:rFonts w:ascii="Arial" w:hAnsi="Arial" w:cs="Arial"/>
          <w:color w:val="000000"/>
          <w:sz w:val="22"/>
          <w:szCs w:val="22"/>
        </w:rPr>
        <w:t xml:space="preserve"> been identified by analysing their standardised score from their National Numeracy test. However, it does not end there </w:t>
      </w:r>
      <w:r w:rsidRPr="00A16957">
        <w:rPr>
          <w:rFonts w:ascii="Arial" w:hAnsi="Arial" w:cs="Arial"/>
          <w:color w:val="000000"/>
          <w:sz w:val="22"/>
          <w:szCs w:val="22"/>
        </w:rPr>
        <w:t>analysation will begin to</w:t>
      </w:r>
      <w:r w:rsidRPr="00F12026">
        <w:rPr>
          <w:rFonts w:ascii="Arial" w:hAnsi="Arial" w:cs="Arial"/>
          <w:color w:val="000000"/>
          <w:sz w:val="22"/>
          <w:szCs w:val="22"/>
        </w:rPr>
        <w:t xml:space="preserve"> look at why the pupils are underachieving; Could it be poor basic numeracy, poor working-memory, poor attendance, issues with teacher-pupil rel</w:t>
      </w:r>
      <w:r w:rsidR="00AB5661" w:rsidRPr="00A16957">
        <w:rPr>
          <w:rFonts w:ascii="Arial" w:hAnsi="Arial" w:cs="Arial"/>
          <w:color w:val="000000"/>
          <w:sz w:val="22"/>
          <w:szCs w:val="22"/>
        </w:rPr>
        <w:t>ationship or maths exam anxiety. T</w:t>
      </w:r>
      <w:r w:rsidR="00AB5661" w:rsidRPr="00F12026">
        <w:rPr>
          <w:rFonts w:ascii="Arial" w:hAnsi="Arial" w:cs="Arial"/>
          <w:color w:val="000000"/>
          <w:sz w:val="22"/>
          <w:szCs w:val="22"/>
        </w:rPr>
        <w:t xml:space="preserve">he Programme will run on a half termly rolling cycle. Pupils will be assessed at the start and the end of the cycle. They will be monitored by the numeracy coordinator throughout the year with the </w:t>
      </w:r>
      <w:r w:rsidR="00AB5661" w:rsidRPr="00A16957">
        <w:rPr>
          <w:rFonts w:ascii="Arial" w:hAnsi="Arial" w:cs="Arial"/>
          <w:color w:val="000000"/>
          <w:sz w:val="22"/>
          <w:szCs w:val="22"/>
        </w:rPr>
        <w:t>assistance of AOLE</w:t>
      </w:r>
      <w:r w:rsidR="00AB5661" w:rsidRPr="00F12026">
        <w:rPr>
          <w:rFonts w:ascii="Arial" w:hAnsi="Arial" w:cs="Arial"/>
          <w:color w:val="000000"/>
          <w:sz w:val="22"/>
          <w:szCs w:val="22"/>
        </w:rPr>
        <w:t>.</w:t>
      </w:r>
      <w:r w:rsidR="00AB5661" w:rsidRPr="00A16957">
        <w:rPr>
          <w:rFonts w:ascii="Arial" w:hAnsi="Arial" w:cs="Arial"/>
          <w:color w:val="000000"/>
          <w:sz w:val="22"/>
          <w:szCs w:val="22"/>
        </w:rPr>
        <w:t xml:space="preserve"> </w:t>
      </w:r>
    </w:p>
    <w:p w:rsidR="005C3558" w:rsidRPr="00A16957" w:rsidRDefault="00A86595" w:rsidP="00A16957">
      <w:pPr>
        <w:spacing w:before="100" w:beforeAutospacing="1" w:after="100" w:afterAutospacing="1" w:line="360" w:lineRule="auto"/>
        <w:jc w:val="both"/>
        <w:rPr>
          <w:rFonts w:ascii="Arial" w:hAnsi="Arial" w:cs="Arial"/>
          <w:color w:val="000000"/>
          <w:sz w:val="22"/>
          <w:szCs w:val="22"/>
        </w:rPr>
      </w:pPr>
      <w:r w:rsidRPr="00A86595">
        <w:rPr>
          <w:rFonts w:ascii="Arial" w:hAnsi="Arial" w:cs="Arial"/>
          <w:color w:val="000000"/>
          <w:sz w:val="22"/>
          <w:szCs w:val="22"/>
        </w:rPr>
        <w:t>It's important to learn about each individual learner’s unique strengths and weaknesses once they've been chosen for intervention. Numeracy is a vast topic that necessitates a wide range of abilities. Every pupil is on a unique learning path, and the intervention should be tailored to their specific needs.</w:t>
      </w:r>
      <w:r w:rsidRPr="00A16957">
        <w:rPr>
          <w:rFonts w:ascii="Arial" w:hAnsi="Arial" w:cs="Arial"/>
          <w:color w:val="000000"/>
          <w:sz w:val="22"/>
          <w:szCs w:val="22"/>
        </w:rPr>
        <w:t xml:space="preserve"> This</w:t>
      </w:r>
      <w:r w:rsidR="005C3558" w:rsidRPr="00A16957">
        <w:rPr>
          <w:rFonts w:ascii="Arial" w:hAnsi="Arial" w:cs="Arial"/>
          <w:color w:val="000000"/>
          <w:sz w:val="22"/>
          <w:szCs w:val="22"/>
        </w:rPr>
        <w:t xml:space="preserve"> links with the work of Lev Vygotsky (1978), where he believed that children learned more effectively through assisted learning. </w:t>
      </w:r>
      <w:r w:rsidR="00AB5661" w:rsidRPr="00A16957">
        <w:rPr>
          <w:rFonts w:ascii="Arial" w:hAnsi="Arial" w:cs="Arial"/>
          <w:color w:val="000000"/>
          <w:sz w:val="22"/>
          <w:szCs w:val="22"/>
        </w:rPr>
        <w:t>Monitoring</w:t>
      </w:r>
      <w:r w:rsidR="005C3558" w:rsidRPr="00A16957">
        <w:rPr>
          <w:rFonts w:ascii="Arial" w:hAnsi="Arial" w:cs="Arial"/>
          <w:color w:val="000000"/>
          <w:sz w:val="22"/>
          <w:szCs w:val="22"/>
        </w:rPr>
        <w:t xml:space="preserve"> and assessing can assist pupils through the zone of proximal development (ZPD), guiding a pupil through the phases of learning, bridging the gap between the pupils present and future abilities. Vygotsky (1978) also believed that </w:t>
      </w:r>
      <w:r w:rsidR="00AB5661" w:rsidRPr="00A16957">
        <w:rPr>
          <w:rFonts w:ascii="Arial" w:hAnsi="Arial" w:cs="Arial"/>
          <w:color w:val="000000"/>
          <w:sz w:val="22"/>
          <w:szCs w:val="22"/>
        </w:rPr>
        <w:t>conversations</w:t>
      </w:r>
      <w:r w:rsidR="005C3558" w:rsidRPr="00A16957">
        <w:rPr>
          <w:rFonts w:ascii="Arial" w:hAnsi="Arial" w:cs="Arial"/>
          <w:color w:val="000000"/>
          <w:sz w:val="22"/>
          <w:szCs w:val="22"/>
        </w:rPr>
        <w:t xml:space="preserve"> between the experienced helper and the pupils was </w:t>
      </w:r>
      <w:r w:rsidR="00AB5661" w:rsidRPr="00A16957">
        <w:rPr>
          <w:rFonts w:ascii="Arial" w:hAnsi="Arial" w:cs="Arial"/>
          <w:color w:val="000000"/>
          <w:sz w:val="22"/>
          <w:szCs w:val="22"/>
        </w:rPr>
        <w:t>crucial</w:t>
      </w:r>
      <w:r w:rsidR="005C3558" w:rsidRPr="00A16957">
        <w:rPr>
          <w:rFonts w:ascii="Arial" w:hAnsi="Arial" w:cs="Arial"/>
          <w:color w:val="000000"/>
          <w:sz w:val="22"/>
          <w:szCs w:val="22"/>
        </w:rPr>
        <w:t>, within ones school p</w:t>
      </w:r>
      <w:r w:rsidR="005C3558" w:rsidRPr="00F12026">
        <w:rPr>
          <w:rFonts w:ascii="Arial" w:hAnsi="Arial" w:cs="Arial"/>
          <w:color w:val="000000"/>
          <w:sz w:val="22"/>
          <w:szCs w:val="22"/>
        </w:rPr>
        <w:t xml:space="preserve">upils’ engagement in an intervention is essential if the intervention is to be successful. When a pupil is selected, </w:t>
      </w:r>
      <w:r w:rsidR="005C3558" w:rsidRPr="00A16957">
        <w:rPr>
          <w:rFonts w:ascii="Arial" w:hAnsi="Arial" w:cs="Arial"/>
          <w:color w:val="000000"/>
          <w:sz w:val="22"/>
          <w:szCs w:val="22"/>
        </w:rPr>
        <w:t xml:space="preserve">communication between teacher and pupil is critical to make it a success. </w:t>
      </w:r>
      <w:r w:rsidR="00AB5661" w:rsidRPr="00A16957">
        <w:rPr>
          <w:rFonts w:ascii="Arial" w:hAnsi="Arial" w:cs="Arial"/>
          <w:color w:val="000000"/>
          <w:sz w:val="22"/>
          <w:szCs w:val="22"/>
        </w:rPr>
        <w:t>Feedback</w:t>
      </w:r>
      <w:r w:rsidR="005C3558" w:rsidRPr="00F12026">
        <w:rPr>
          <w:rFonts w:ascii="Arial" w:hAnsi="Arial" w:cs="Arial"/>
          <w:color w:val="000000"/>
          <w:sz w:val="22"/>
          <w:szCs w:val="22"/>
        </w:rPr>
        <w:t xml:space="preserve"> </w:t>
      </w:r>
      <w:r w:rsidR="005C3558" w:rsidRPr="00A16957">
        <w:rPr>
          <w:rFonts w:ascii="Arial" w:hAnsi="Arial" w:cs="Arial"/>
          <w:color w:val="000000"/>
          <w:sz w:val="22"/>
          <w:szCs w:val="22"/>
        </w:rPr>
        <w:t xml:space="preserve">from pupils is requested </w:t>
      </w:r>
      <w:r w:rsidR="005C3558" w:rsidRPr="00F12026">
        <w:rPr>
          <w:rFonts w:ascii="Arial" w:hAnsi="Arial" w:cs="Arial"/>
          <w:color w:val="000000"/>
          <w:sz w:val="22"/>
          <w:szCs w:val="22"/>
        </w:rPr>
        <w:t>throu</w:t>
      </w:r>
      <w:r w:rsidR="005C3558" w:rsidRPr="00A16957">
        <w:rPr>
          <w:rFonts w:ascii="Arial" w:hAnsi="Arial" w:cs="Arial"/>
          <w:color w:val="000000"/>
          <w:sz w:val="22"/>
          <w:szCs w:val="22"/>
        </w:rPr>
        <w:t>ghout the intervention process</w:t>
      </w:r>
      <w:r w:rsidR="00AB5661" w:rsidRPr="00A16957">
        <w:rPr>
          <w:rFonts w:ascii="Arial" w:hAnsi="Arial" w:cs="Arial"/>
          <w:color w:val="000000"/>
          <w:sz w:val="22"/>
          <w:szCs w:val="22"/>
        </w:rPr>
        <w:t xml:space="preserve"> </w:t>
      </w:r>
      <w:sdt>
        <w:sdtPr>
          <w:rPr>
            <w:rFonts w:ascii="Arial" w:hAnsi="Arial" w:cs="Arial"/>
            <w:color w:val="000000"/>
            <w:sz w:val="22"/>
            <w:szCs w:val="22"/>
          </w:rPr>
          <w:id w:val="1607694287"/>
          <w:citation/>
        </w:sdtPr>
        <w:sdtEndPr/>
        <w:sdtContent>
          <w:r w:rsidR="00AB5661" w:rsidRPr="00A16957">
            <w:rPr>
              <w:rFonts w:ascii="Arial" w:hAnsi="Arial" w:cs="Arial"/>
              <w:color w:val="000000"/>
              <w:sz w:val="22"/>
              <w:szCs w:val="22"/>
            </w:rPr>
            <w:fldChar w:fldCharType="begin"/>
          </w:r>
          <w:r w:rsidR="00AB5661" w:rsidRPr="00A16957">
            <w:rPr>
              <w:rFonts w:ascii="Arial" w:hAnsi="Arial" w:cs="Arial"/>
              <w:color w:val="000000"/>
              <w:sz w:val="22"/>
              <w:szCs w:val="22"/>
            </w:rPr>
            <w:instrText xml:space="preserve"> CITATION Mar04 \l 2057 </w:instrText>
          </w:r>
          <w:r w:rsidR="00AB5661" w:rsidRPr="00A16957">
            <w:rPr>
              <w:rFonts w:ascii="Arial" w:hAnsi="Arial" w:cs="Arial"/>
              <w:color w:val="000000"/>
              <w:sz w:val="22"/>
              <w:szCs w:val="22"/>
            </w:rPr>
            <w:fldChar w:fldCharType="separate"/>
          </w:r>
          <w:r w:rsidR="00AB5661" w:rsidRPr="00A16957">
            <w:rPr>
              <w:rFonts w:ascii="Arial" w:hAnsi="Arial" w:cs="Arial"/>
              <w:noProof/>
              <w:color w:val="000000"/>
              <w:sz w:val="22"/>
              <w:szCs w:val="22"/>
            </w:rPr>
            <w:t>(Dastous, 2004)</w:t>
          </w:r>
          <w:r w:rsidR="00AB5661" w:rsidRPr="00A16957">
            <w:rPr>
              <w:rFonts w:ascii="Arial" w:hAnsi="Arial" w:cs="Arial"/>
              <w:color w:val="000000"/>
              <w:sz w:val="22"/>
              <w:szCs w:val="22"/>
            </w:rPr>
            <w:fldChar w:fldCharType="end"/>
          </w:r>
        </w:sdtContent>
      </w:sdt>
      <w:r w:rsidR="00AB5661" w:rsidRPr="00A16957">
        <w:rPr>
          <w:rFonts w:ascii="Arial" w:hAnsi="Arial" w:cs="Arial"/>
          <w:color w:val="000000"/>
          <w:sz w:val="22"/>
          <w:szCs w:val="22"/>
        </w:rPr>
        <w:t>.</w:t>
      </w:r>
    </w:p>
    <w:p w:rsidR="00C32B96" w:rsidRPr="00A16957" w:rsidRDefault="00C32B96" w:rsidP="00A16957">
      <w:pPr>
        <w:spacing w:after="160" w:line="360" w:lineRule="auto"/>
        <w:jc w:val="both"/>
        <w:rPr>
          <w:rFonts w:ascii="Arial" w:hAnsi="Arial" w:cs="Arial"/>
          <w:color w:val="000000"/>
          <w:sz w:val="22"/>
          <w:szCs w:val="22"/>
        </w:rPr>
      </w:pPr>
      <w:r w:rsidRPr="00A16957">
        <w:rPr>
          <w:rFonts w:ascii="Arial" w:hAnsi="Arial" w:cs="Arial"/>
          <w:color w:val="000000"/>
          <w:sz w:val="22"/>
          <w:szCs w:val="22"/>
        </w:rPr>
        <w:br w:type="page"/>
      </w:r>
    </w:p>
    <w:p w:rsidR="006F13F2" w:rsidRPr="00A16957" w:rsidRDefault="00EC1DD0" w:rsidP="00A16957">
      <w:pPr>
        <w:spacing w:line="360" w:lineRule="auto"/>
        <w:jc w:val="both"/>
        <w:rPr>
          <w:rFonts w:ascii="Arial" w:hAnsi="Arial" w:cs="Arial"/>
          <w:iCs/>
          <w:sz w:val="22"/>
          <w:szCs w:val="22"/>
        </w:rPr>
      </w:pPr>
      <w:r w:rsidRPr="00A16957">
        <w:rPr>
          <w:rFonts w:ascii="Arial" w:hAnsi="Arial" w:cs="Arial"/>
          <w:color w:val="000000"/>
          <w:sz w:val="22"/>
          <w:szCs w:val="22"/>
        </w:rPr>
        <w:lastRenderedPageBreak/>
        <w:t xml:space="preserve">In </w:t>
      </w:r>
      <w:r w:rsidR="00A16957" w:rsidRPr="00A16957">
        <w:rPr>
          <w:rFonts w:ascii="Arial" w:hAnsi="Arial" w:cs="Arial"/>
          <w:color w:val="000000"/>
          <w:sz w:val="22"/>
          <w:szCs w:val="22"/>
        </w:rPr>
        <w:t>analysis</w:t>
      </w:r>
      <w:r w:rsidRPr="00A16957">
        <w:rPr>
          <w:rFonts w:ascii="Arial" w:hAnsi="Arial" w:cs="Arial"/>
          <w:color w:val="000000"/>
          <w:sz w:val="22"/>
          <w:szCs w:val="22"/>
        </w:rPr>
        <w:t xml:space="preserve"> of this essay </w:t>
      </w:r>
      <w:r w:rsidR="00C32B96" w:rsidRPr="00A16957">
        <w:rPr>
          <w:rFonts w:ascii="Arial" w:hAnsi="Arial" w:cs="Arial"/>
          <w:color w:val="000000"/>
          <w:sz w:val="22"/>
          <w:szCs w:val="22"/>
        </w:rPr>
        <w:t>numeracy has evolved more in the 21</w:t>
      </w:r>
      <w:r w:rsidR="00C32B96" w:rsidRPr="00A16957">
        <w:rPr>
          <w:rFonts w:ascii="Arial" w:hAnsi="Arial" w:cs="Arial"/>
          <w:color w:val="000000"/>
          <w:sz w:val="22"/>
          <w:szCs w:val="22"/>
          <w:vertAlign w:val="superscript"/>
        </w:rPr>
        <w:t>st</w:t>
      </w:r>
      <w:r w:rsidR="00C32B96" w:rsidRPr="00A16957">
        <w:rPr>
          <w:rFonts w:ascii="Arial" w:hAnsi="Arial" w:cs="Arial"/>
          <w:color w:val="000000"/>
          <w:sz w:val="22"/>
          <w:szCs w:val="22"/>
        </w:rPr>
        <w:t xml:space="preserve"> Century and being used </w:t>
      </w:r>
      <w:r w:rsidR="00A16957" w:rsidRPr="00A16957">
        <w:rPr>
          <w:rFonts w:ascii="Arial" w:hAnsi="Arial" w:cs="Arial"/>
          <w:color w:val="000000"/>
          <w:sz w:val="22"/>
          <w:szCs w:val="22"/>
        </w:rPr>
        <w:t>widely</w:t>
      </w:r>
      <w:r w:rsidR="00C32B96" w:rsidRPr="00A16957">
        <w:rPr>
          <w:rFonts w:ascii="Arial" w:hAnsi="Arial" w:cs="Arial"/>
          <w:color w:val="000000"/>
          <w:sz w:val="22"/>
          <w:szCs w:val="22"/>
        </w:rPr>
        <w:t xml:space="preserve"> in the real world. With the use of technology, numerical data is being used more in the world of work. Gone are the days when the simple maths and </w:t>
      </w:r>
      <w:r w:rsidR="00A16957" w:rsidRPr="00A16957">
        <w:rPr>
          <w:rFonts w:ascii="Arial" w:hAnsi="Arial" w:cs="Arial"/>
          <w:color w:val="000000"/>
          <w:sz w:val="22"/>
          <w:szCs w:val="22"/>
        </w:rPr>
        <w:t>procedural</w:t>
      </w:r>
      <w:r w:rsidR="00C32B96" w:rsidRPr="00A16957">
        <w:rPr>
          <w:rFonts w:ascii="Arial" w:hAnsi="Arial" w:cs="Arial"/>
          <w:color w:val="000000"/>
          <w:sz w:val="22"/>
          <w:szCs w:val="22"/>
        </w:rPr>
        <w:t xml:space="preserve"> knowledge would suffice linking numeracy to </w:t>
      </w:r>
      <w:r w:rsidR="00A16957" w:rsidRPr="00A16957">
        <w:rPr>
          <w:rFonts w:ascii="Arial" w:hAnsi="Arial" w:cs="Arial"/>
          <w:color w:val="000000"/>
          <w:sz w:val="22"/>
          <w:szCs w:val="22"/>
        </w:rPr>
        <w:t>everyday</w:t>
      </w:r>
      <w:r w:rsidR="00C32B96" w:rsidRPr="00A16957">
        <w:rPr>
          <w:rFonts w:ascii="Arial" w:hAnsi="Arial" w:cs="Arial"/>
          <w:color w:val="000000"/>
          <w:sz w:val="22"/>
          <w:szCs w:val="22"/>
        </w:rPr>
        <w:t xml:space="preserve"> life has become esse</w:t>
      </w:r>
      <w:r w:rsidR="006F13F2" w:rsidRPr="00A16957">
        <w:rPr>
          <w:rFonts w:ascii="Arial" w:hAnsi="Arial" w:cs="Arial"/>
          <w:color w:val="000000"/>
          <w:sz w:val="22"/>
          <w:szCs w:val="22"/>
        </w:rPr>
        <w:t>ntial and critical. This essay highlighted that not all children are privileged to have numeracy taught at home, adults in the UK</w:t>
      </w:r>
      <w:r w:rsidR="00A16957">
        <w:rPr>
          <w:rFonts w:ascii="Arial" w:hAnsi="Arial" w:cs="Arial"/>
          <w:color w:val="000000"/>
          <w:sz w:val="22"/>
          <w:szCs w:val="22"/>
        </w:rPr>
        <w:t xml:space="preserve"> are significan</w:t>
      </w:r>
      <w:r w:rsidR="00A16957" w:rsidRPr="00A16957">
        <w:rPr>
          <w:rFonts w:ascii="Arial" w:hAnsi="Arial" w:cs="Arial"/>
          <w:color w:val="000000"/>
          <w:sz w:val="22"/>
          <w:szCs w:val="22"/>
        </w:rPr>
        <w:t>tly</w:t>
      </w:r>
      <w:r w:rsidR="006F13F2" w:rsidRPr="00A16957">
        <w:rPr>
          <w:rFonts w:ascii="Arial" w:hAnsi="Arial" w:cs="Arial"/>
          <w:color w:val="000000"/>
          <w:sz w:val="22"/>
          <w:szCs w:val="22"/>
        </w:rPr>
        <w:t xml:space="preserve"> at lower levels of numeracy than the International standard also it is evident that internal and external factors play a large part in the way children learn. </w:t>
      </w:r>
      <w:r w:rsidR="00A16957" w:rsidRPr="00A16957">
        <w:rPr>
          <w:rFonts w:ascii="Arial" w:hAnsi="Arial" w:cs="Arial"/>
          <w:color w:val="000000"/>
          <w:sz w:val="22"/>
          <w:szCs w:val="22"/>
        </w:rPr>
        <w:t>One’s</w:t>
      </w:r>
      <w:r w:rsidR="006F13F2" w:rsidRPr="00A16957">
        <w:rPr>
          <w:rFonts w:ascii="Arial" w:hAnsi="Arial" w:cs="Arial"/>
          <w:color w:val="000000"/>
          <w:sz w:val="22"/>
          <w:szCs w:val="22"/>
        </w:rPr>
        <w:t xml:space="preserve"> school according to </w:t>
      </w:r>
      <w:r w:rsidR="006F13F2" w:rsidRPr="00A16957">
        <w:rPr>
          <w:rFonts w:ascii="Arial" w:hAnsi="Arial" w:cs="Arial"/>
          <w:iCs/>
          <w:sz w:val="22"/>
          <w:szCs w:val="22"/>
        </w:rPr>
        <w:t>Estyn, (2016 p. 3), ‘</w:t>
      </w:r>
      <w:r w:rsidR="00542A72" w:rsidRPr="00A86595">
        <w:rPr>
          <w:rFonts w:ascii="Arial" w:hAnsi="Arial" w:cs="Arial"/>
          <w:iCs/>
          <w:sz w:val="22"/>
          <w:szCs w:val="22"/>
        </w:rPr>
        <w:t>the</w:t>
      </w:r>
      <w:r w:rsidR="00A86595" w:rsidRPr="00A86595">
        <w:rPr>
          <w:rFonts w:ascii="Arial" w:hAnsi="Arial" w:cs="Arial"/>
          <w:iCs/>
          <w:sz w:val="22"/>
          <w:szCs w:val="22"/>
        </w:rPr>
        <w:t xml:space="preserve"> number of students on the special needs register at the school </w:t>
      </w:r>
      <w:r w:rsidR="00542A72" w:rsidRPr="00A86595">
        <w:rPr>
          <w:rFonts w:ascii="Arial" w:hAnsi="Arial" w:cs="Arial"/>
          <w:iCs/>
          <w:sz w:val="22"/>
          <w:szCs w:val="22"/>
        </w:rPr>
        <w:t>is higher</w:t>
      </w:r>
      <w:r w:rsidR="00A86595" w:rsidRPr="00A86595">
        <w:rPr>
          <w:rFonts w:ascii="Arial" w:hAnsi="Arial" w:cs="Arial"/>
          <w:iCs/>
          <w:sz w:val="22"/>
          <w:szCs w:val="22"/>
        </w:rPr>
        <w:t xml:space="preserve"> than the national </w:t>
      </w:r>
      <w:r w:rsidR="00542A72" w:rsidRPr="00A86595">
        <w:rPr>
          <w:rFonts w:ascii="Arial" w:hAnsi="Arial" w:cs="Arial"/>
          <w:iCs/>
          <w:sz w:val="22"/>
          <w:szCs w:val="22"/>
        </w:rPr>
        <w:t>average,</w:t>
      </w:r>
      <w:r w:rsidR="00A86595" w:rsidRPr="00A86595">
        <w:rPr>
          <w:rFonts w:ascii="Arial" w:hAnsi="Arial" w:cs="Arial"/>
          <w:iCs/>
          <w:sz w:val="22"/>
          <w:szCs w:val="22"/>
        </w:rPr>
        <w:t xml:space="preserve"> they also have a higher average for students with spec</w:t>
      </w:r>
      <w:r w:rsidR="00542A72">
        <w:rPr>
          <w:rFonts w:ascii="Arial" w:hAnsi="Arial" w:cs="Arial"/>
          <w:iCs/>
          <w:sz w:val="22"/>
          <w:szCs w:val="22"/>
        </w:rPr>
        <w:t>ial educational needs in Wales</w:t>
      </w:r>
      <w:r w:rsidR="006F13F2" w:rsidRPr="00A16957">
        <w:rPr>
          <w:rFonts w:ascii="Arial" w:hAnsi="Arial" w:cs="Arial"/>
          <w:iCs/>
          <w:sz w:val="22"/>
          <w:szCs w:val="22"/>
        </w:rPr>
        <w:t xml:space="preserve">. </w:t>
      </w:r>
      <w:r w:rsidR="00253A19" w:rsidRPr="00A16957">
        <w:rPr>
          <w:rFonts w:ascii="Arial" w:hAnsi="Arial" w:cs="Arial"/>
          <w:iCs/>
          <w:sz w:val="22"/>
          <w:szCs w:val="22"/>
        </w:rPr>
        <w:t>Children</w:t>
      </w:r>
      <w:r w:rsidR="006F13F2" w:rsidRPr="00A16957">
        <w:rPr>
          <w:rFonts w:ascii="Arial" w:hAnsi="Arial" w:cs="Arial"/>
          <w:iCs/>
          <w:sz w:val="22"/>
          <w:szCs w:val="22"/>
        </w:rPr>
        <w:t xml:space="preserve"> with SEN transfer language differently and the process of th</w:t>
      </w:r>
      <w:r w:rsidR="00253A19" w:rsidRPr="00A16957">
        <w:rPr>
          <w:rFonts w:ascii="Arial" w:hAnsi="Arial" w:cs="Arial"/>
          <w:iCs/>
          <w:sz w:val="22"/>
          <w:szCs w:val="22"/>
        </w:rPr>
        <w:t xml:space="preserve">e transfer of language can vary, </w:t>
      </w:r>
      <w:r w:rsidR="006F13F2" w:rsidRPr="00A16957">
        <w:rPr>
          <w:rFonts w:ascii="Arial" w:hAnsi="Arial" w:cs="Arial"/>
          <w:iCs/>
          <w:sz w:val="22"/>
          <w:szCs w:val="22"/>
        </w:rPr>
        <w:t xml:space="preserve">phonological skills to improve reading or memory skills should not be assumed for every child and each programme of intervention should be tailored to each individual child </w:t>
      </w:r>
      <w:sdt>
        <w:sdtPr>
          <w:rPr>
            <w:rFonts w:ascii="Arial" w:hAnsi="Arial" w:cs="Arial"/>
            <w:iCs/>
            <w:sz w:val="22"/>
            <w:szCs w:val="22"/>
          </w:rPr>
          <w:id w:val="-654604378"/>
          <w:citation/>
        </w:sdtPr>
        <w:sdtEndPr/>
        <w:sdtContent>
          <w:r w:rsidR="00253A19" w:rsidRPr="00A16957">
            <w:rPr>
              <w:rFonts w:ascii="Arial" w:hAnsi="Arial" w:cs="Arial"/>
              <w:iCs/>
              <w:sz w:val="22"/>
              <w:szCs w:val="22"/>
            </w:rPr>
            <w:fldChar w:fldCharType="begin"/>
          </w:r>
          <w:r w:rsidR="00253A19" w:rsidRPr="00A16957">
            <w:rPr>
              <w:rFonts w:ascii="Arial" w:hAnsi="Arial" w:cs="Arial"/>
              <w:iCs/>
              <w:sz w:val="22"/>
              <w:szCs w:val="22"/>
            </w:rPr>
            <w:instrText xml:space="preserve"> CITATION car17 \l 2057 </w:instrText>
          </w:r>
          <w:r w:rsidR="00253A19" w:rsidRPr="00A16957">
            <w:rPr>
              <w:rFonts w:ascii="Arial" w:hAnsi="Arial" w:cs="Arial"/>
              <w:iCs/>
              <w:sz w:val="22"/>
              <w:szCs w:val="22"/>
            </w:rPr>
            <w:fldChar w:fldCharType="separate"/>
          </w:r>
          <w:r w:rsidR="00253A19" w:rsidRPr="00A16957">
            <w:rPr>
              <w:rFonts w:ascii="Arial" w:hAnsi="Arial" w:cs="Arial"/>
              <w:noProof/>
              <w:sz w:val="22"/>
              <w:szCs w:val="22"/>
            </w:rPr>
            <w:t>(Carroll, et al., 2017)</w:t>
          </w:r>
          <w:r w:rsidR="00253A19" w:rsidRPr="00A16957">
            <w:rPr>
              <w:rFonts w:ascii="Arial" w:hAnsi="Arial" w:cs="Arial"/>
              <w:iCs/>
              <w:sz w:val="22"/>
              <w:szCs w:val="22"/>
            </w:rPr>
            <w:fldChar w:fldCharType="end"/>
          </w:r>
        </w:sdtContent>
      </w:sdt>
      <w:r w:rsidR="00253A19" w:rsidRPr="00A16957">
        <w:rPr>
          <w:rFonts w:ascii="Arial" w:hAnsi="Arial" w:cs="Arial"/>
          <w:iCs/>
          <w:sz w:val="22"/>
          <w:szCs w:val="22"/>
        </w:rPr>
        <w:t xml:space="preserve">. </w:t>
      </w:r>
    </w:p>
    <w:p w:rsidR="00253A19" w:rsidRPr="00A16957" w:rsidRDefault="00253A19" w:rsidP="00A16957">
      <w:pPr>
        <w:spacing w:line="360" w:lineRule="auto"/>
        <w:jc w:val="both"/>
        <w:rPr>
          <w:rFonts w:ascii="Arial" w:hAnsi="Arial" w:cs="Arial"/>
          <w:iCs/>
          <w:sz w:val="22"/>
          <w:szCs w:val="22"/>
        </w:rPr>
      </w:pPr>
    </w:p>
    <w:p w:rsidR="006646A2" w:rsidRPr="00203A74" w:rsidRDefault="00253A19" w:rsidP="00203A74">
      <w:pPr>
        <w:shd w:val="clear" w:color="auto" w:fill="FFFFFF"/>
        <w:spacing w:line="360" w:lineRule="auto"/>
        <w:jc w:val="both"/>
        <w:textAlignment w:val="baseline"/>
        <w:rPr>
          <w:rFonts w:ascii="Arial" w:hAnsi="Arial" w:cs="Arial"/>
          <w:noProof/>
          <w:color w:val="000000"/>
          <w:sz w:val="22"/>
          <w:szCs w:val="22"/>
        </w:rPr>
      </w:pPr>
      <w:r w:rsidRPr="00A16957">
        <w:rPr>
          <w:rFonts w:ascii="Arial" w:hAnsi="Arial" w:cs="Arial"/>
          <w:iCs/>
          <w:sz w:val="22"/>
          <w:szCs w:val="22"/>
        </w:rPr>
        <w:t xml:space="preserve">Intervention in the school links with the theroys of </w:t>
      </w:r>
      <w:r w:rsidRPr="00A16957">
        <w:rPr>
          <w:rFonts w:ascii="Arial" w:hAnsi="Arial" w:cs="Arial"/>
          <w:noProof/>
          <w:sz w:val="22"/>
          <w:szCs w:val="22"/>
        </w:rPr>
        <w:t>Bruner, (1966)</w:t>
      </w:r>
      <w:r w:rsidR="00A86595">
        <w:rPr>
          <w:rFonts w:ascii="Arial" w:hAnsi="Arial" w:cs="Arial"/>
          <w:iCs/>
          <w:sz w:val="22"/>
          <w:szCs w:val="22"/>
        </w:rPr>
        <w:t xml:space="preserve"> and Vy</w:t>
      </w:r>
      <w:r w:rsidRPr="00A16957">
        <w:rPr>
          <w:rFonts w:ascii="Arial" w:hAnsi="Arial" w:cs="Arial"/>
          <w:iCs/>
          <w:sz w:val="22"/>
          <w:szCs w:val="22"/>
        </w:rPr>
        <w:t>gotsky (1978)</w:t>
      </w:r>
      <w:r w:rsidR="006A6852" w:rsidRPr="00A16957">
        <w:rPr>
          <w:rFonts w:ascii="Arial" w:hAnsi="Arial" w:cs="Arial"/>
          <w:iCs/>
          <w:sz w:val="22"/>
          <w:szCs w:val="22"/>
        </w:rPr>
        <w:t>. Bruner theory is used where they build upon their prior knowledge of numeracy</w:t>
      </w:r>
      <w:r w:rsidR="00A16957" w:rsidRPr="00A16957">
        <w:rPr>
          <w:rFonts w:ascii="Arial" w:hAnsi="Arial" w:cs="Arial"/>
          <w:iCs/>
          <w:sz w:val="22"/>
          <w:szCs w:val="22"/>
        </w:rPr>
        <w:t xml:space="preserve"> </w:t>
      </w:r>
      <w:sdt>
        <w:sdtPr>
          <w:rPr>
            <w:rFonts w:ascii="Arial" w:hAnsi="Arial" w:cs="Arial"/>
            <w:iCs/>
            <w:sz w:val="22"/>
            <w:szCs w:val="22"/>
          </w:rPr>
          <w:id w:val="-1439829433"/>
          <w:citation/>
        </w:sdtPr>
        <w:sdtEndPr/>
        <w:sdtContent>
          <w:r w:rsidR="00A16957" w:rsidRPr="00A16957">
            <w:rPr>
              <w:rFonts w:ascii="Arial" w:hAnsi="Arial" w:cs="Arial"/>
              <w:iCs/>
              <w:sz w:val="22"/>
              <w:szCs w:val="22"/>
            </w:rPr>
            <w:fldChar w:fldCharType="begin"/>
          </w:r>
          <w:r w:rsidR="00A16957" w:rsidRPr="00A16957">
            <w:rPr>
              <w:rFonts w:ascii="Arial" w:hAnsi="Arial" w:cs="Arial"/>
              <w:iCs/>
              <w:sz w:val="22"/>
              <w:szCs w:val="22"/>
            </w:rPr>
            <w:instrText xml:space="preserve"> CITATION Jer66 \l 2057 </w:instrText>
          </w:r>
          <w:r w:rsidR="00A16957" w:rsidRPr="00A16957">
            <w:rPr>
              <w:rFonts w:ascii="Arial" w:hAnsi="Arial" w:cs="Arial"/>
              <w:iCs/>
              <w:sz w:val="22"/>
              <w:szCs w:val="22"/>
            </w:rPr>
            <w:fldChar w:fldCharType="separate"/>
          </w:r>
          <w:r w:rsidR="00A16957" w:rsidRPr="00A16957">
            <w:rPr>
              <w:rFonts w:ascii="Arial" w:hAnsi="Arial" w:cs="Arial"/>
              <w:noProof/>
              <w:sz w:val="22"/>
              <w:szCs w:val="22"/>
            </w:rPr>
            <w:t>(Bruner, 1966)</w:t>
          </w:r>
          <w:r w:rsidR="00A16957" w:rsidRPr="00A16957">
            <w:rPr>
              <w:rFonts w:ascii="Arial" w:hAnsi="Arial" w:cs="Arial"/>
              <w:iCs/>
              <w:sz w:val="22"/>
              <w:szCs w:val="22"/>
            </w:rPr>
            <w:fldChar w:fldCharType="end"/>
          </w:r>
        </w:sdtContent>
      </w:sdt>
      <w:r w:rsidR="006A6852" w:rsidRPr="00A16957">
        <w:rPr>
          <w:rFonts w:ascii="Arial" w:hAnsi="Arial" w:cs="Arial"/>
          <w:iCs/>
          <w:sz w:val="22"/>
          <w:szCs w:val="22"/>
        </w:rPr>
        <w:t xml:space="preserve">, however because numeracy is such a wide subject using </w:t>
      </w:r>
      <w:r w:rsidR="00A16957" w:rsidRPr="00A16957">
        <w:rPr>
          <w:rFonts w:ascii="Arial" w:hAnsi="Arial" w:cs="Arial"/>
          <w:iCs/>
          <w:sz w:val="22"/>
          <w:szCs w:val="22"/>
        </w:rPr>
        <w:t>Vygotsky’s</w:t>
      </w:r>
      <w:r w:rsidR="006A6852" w:rsidRPr="00A16957">
        <w:rPr>
          <w:rFonts w:ascii="Arial" w:hAnsi="Arial" w:cs="Arial"/>
          <w:iCs/>
          <w:sz w:val="22"/>
          <w:szCs w:val="22"/>
        </w:rPr>
        <w:t xml:space="preserve"> scaffolding method is advantageous in the school. </w:t>
      </w:r>
      <w:r w:rsidR="006A6852" w:rsidRPr="00A16957">
        <w:rPr>
          <w:rFonts w:ascii="Arial" w:hAnsi="Arial" w:cs="Arial"/>
          <w:color w:val="000000"/>
          <w:sz w:val="22"/>
          <w:szCs w:val="22"/>
        </w:rPr>
        <w:t xml:space="preserve">A lot of pupils refer to the visual -spatial working memory blackboard in their head, which is why it's important in maths. It lets you remember the problem and enables the view of the numbers in your head to work out the answer. If the spatial memory is poor, the blackboard is really small and can only fit a few things on it - which is why some pupils need scaffolding as they are unable to hold the numbers in the head. </w:t>
      </w:r>
      <w:r w:rsidR="006A6852" w:rsidRPr="006A6852">
        <w:rPr>
          <w:rFonts w:ascii="Arial" w:hAnsi="Arial" w:cs="Arial"/>
          <w:color w:val="000000"/>
          <w:sz w:val="22"/>
          <w:szCs w:val="22"/>
        </w:rPr>
        <w:t>Phonological memory is similar in that there is limited space in there to keep all the inst</w:t>
      </w:r>
      <w:r w:rsidR="006A6852" w:rsidRPr="00A16957">
        <w:rPr>
          <w:rFonts w:ascii="Arial" w:hAnsi="Arial" w:cs="Arial"/>
          <w:color w:val="000000"/>
          <w:sz w:val="22"/>
          <w:szCs w:val="22"/>
        </w:rPr>
        <w:t>ructions. Which is why some pupils</w:t>
      </w:r>
      <w:r w:rsidR="006A6852" w:rsidRPr="006A6852">
        <w:rPr>
          <w:rFonts w:ascii="Arial" w:hAnsi="Arial" w:cs="Arial"/>
          <w:color w:val="000000"/>
          <w:sz w:val="22"/>
          <w:szCs w:val="22"/>
        </w:rPr>
        <w:t xml:space="preserve"> need lists, or chunks of instructions - they forget everything after you say open your bo</w:t>
      </w:r>
      <w:r w:rsidR="006A6852" w:rsidRPr="00A16957">
        <w:rPr>
          <w:rFonts w:ascii="Arial" w:hAnsi="Arial" w:cs="Arial"/>
          <w:color w:val="000000"/>
          <w:sz w:val="22"/>
          <w:szCs w:val="22"/>
        </w:rPr>
        <w:t xml:space="preserve">ok and write the title and date. Even though </w:t>
      </w:r>
      <w:r w:rsidR="006A6852" w:rsidRPr="00A16957">
        <w:rPr>
          <w:rFonts w:ascii="Arial" w:hAnsi="Arial" w:cs="Arial"/>
          <w:noProof/>
          <w:color w:val="000000"/>
          <w:sz w:val="22"/>
          <w:szCs w:val="22"/>
        </w:rPr>
        <w:t xml:space="preserve">B.F.Skinner (1957) was often critisised for the simplicity of his theory using repetivness and postive reinforcement within numeracy </w:t>
      </w:r>
      <w:r w:rsidR="00A16957" w:rsidRPr="00A16957">
        <w:rPr>
          <w:rFonts w:ascii="Arial" w:hAnsi="Arial" w:cs="Arial"/>
          <w:noProof/>
          <w:color w:val="000000"/>
          <w:sz w:val="22"/>
          <w:szCs w:val="22"/>
        </w:rPr>
        <w:t xml:space="preserve">can benefit the spatial working memory if a child links a postive reinforcement to a maths process then no matter what number change the process stays the same </w:t>
      </w:r>
      <w:sdt>
        <w:sdtPr>
          <w:rPr>
            <w:rFonts w:ascii="Arial" w:hAnsi="Arial" w:cs="Arial"/>
            <w:noProof/>
            <w:color w:val="000000"/>
            <w:sz w:val="22"/>
            <w:szCs w:val="22"/>
          </w:rPr>
          <w:id w:val="451216373"/>
          <w:citation/>
        </w:sdtPr>
        <w:sdtEndPr/>
        <w:sdtContent>
          <w:r w:rsidR="00A16957" w:rsidRPr="00A16957">
            <w:rPr>
              <w:rFonts w:ascii="Arial" w:hAnsi="Arial" w:cs="Arial"/>
              <w:noProof/>
              <w:color w:val="000000"/>
              <w:sz w:val="22"/>
              <w:szCs w:val="22"/>
            </w:rPr>
            <w:fldChar w:fldCharType="begin"/>
          </w:r>
          <w:r w:rsidR="00A16957" w:rsidRPr="00A16957">
            <w:rPr>
              <w:rFonts w:ascii="Arial" w:hAnsi="Arial" w:cs="Arial"/>
              <w:noProof/>
              <w:color w:val="000000"/>
              <w:sz w:val="22"/>
              <w:szCs w:val="22"/>
            </w:rPr>
            <w:instrText xml:space="preserve"> CITATION BFS57 \l 2057 </w:instrText>
          </w:r>
          <w:r w:rsidR="00A16957" w:rsidRPr="00A16957">
            <w:rPr>
              <w:rFonts w:ascii="Arial" w:hAnsi="Arial" w:cs="Arial"/>
              <w:noProof/>
              <w:color w:val="000000"/>
              <w:sz w:val="22"/>
              <w:szCs w:val="22"/>
            </w:rPr>
            <w:fldChar w:fldCharType="separate"/>
          </w:r>
          <w:r w:rsidR="00A16957" w:rsidRPr="00A16957">
            <w:rPr>
              <w:rFonts w:ascii="Arial" w:hAnsi="Arial" w:cs="Arial"/>
              <w:noProof/>
              <w:color w:val="000000"/>
              <w:sz w:val="22"/>
              <w:szCs w:val="22"/>
            </w:rPr>
            <w:t>(B.F.Skinner, 1957)</w:t>
          </w:r>
          <w:r w:rsidR="00A16957" w:rsidRPr="00A16957">
            <w:rPr>
              <w:rFonts w:ascii="Arial" w:hAnsi="Arial" w:cs="Arial"/>
              <w:noProof/>
              <w:color w:val="000000"/>
              <w:sz w:val="22"/>
              <w:szCs w:val="22"/>
            </w:rPr>
            <w:fldChar w:fldCharType="end"/>
          </w:r>
        </w:sdtContent>
      </w:sdt>
      <w:r w:rsidR="00203A74">
        <w:rPr>
          <w:rFonts w:ascii="Arial" w:hAnsi="Arial" w:cs="Arial"/>
          <w:noProof/>
          <w:color w:val="000000"/>
          <w:sz w:val="22"/>
          <w:szCs w:val="22"/>
        </w:rPr>
        <w:t>.</w:t>
      </w:r>
    </w:p>
    <w:p w:rsidR="00956414" w:rsidRPr="00A16957" w:rsidRDefault="00956414" w:rsidP="00A16957">
      <w:pPr>
        <w:pStyle w:val="NormalWeb"/>
        <w:spacing w:line="360" w:lineRule="auto"/>
        <w:jc w:val="both"/>
        <w:rPr>
          <w:rFonts w:ascii="Arial" w:hAnsi="Arial" w:cs="Arial"/>
          <w:noProof/>
          <w:sz w:val="22"/>
          <w:szCs w:val="22"/>
        </w:rPr>
      </w:pPr>
    </w:p>
    <w:p w:rsidR="00956414" w:rsidRPr="00A16957" w:rsidRDefault="00956414" w:rsidP="00A16957">
      <w:pPr>
        <w:pStyle w:val="NormalWeb"/>
        <w:spacing w:line="360" w:lineRule="auto"/>
        <w:jc w:val="both"/>
        <w:rPr>
          <w:rFonts w:ascii="Arial" w:hAnsi="Arial" w:cs="Arial"/>
          <w:noProof/>
          <w:sz w:val="22"/>
          <w:szCs w:val="22"/>
        </w:rPr>
      </w:pPr>
    </w:p>
    <w:p w:rsidR="006646A2" w:rsidRPr="00A16957" w:rsidRDefault="006646A2" w:rsidP="00A16957">
      <w:pPr>
        <w:pStyle w:val="NormalWeb"/>
        <w:spacing w:line="360" w:lineRule="auto"/>
        <w:jc w:val="both"/>
        <w:rPr>
          <w:rFonts w:ascii="Arial" w:hAnsi="Arial" w:cs="Arial"/>
          <w:color w:val="000000"/>
          <w:sz w:val="22"/>
          <w:szCs w:val="22"/>
        </w:rPr>
      </w:pPr>
    </w:p>
    <w:p w:rsidR="00641BA6" w:rsidRPr="00A16957" w:rsidRDefault="00641BA6" w:rsidP="00A16957">
      <w:pPr>
        <w:overflowPunct w:val="0"/>
        <w:autoSpaceDE w:val="0"/>
        <w:autoSpaceDN w:val="0"/>
        <w:adjustRightInd w:val="0"/>
        <w:spacing w:before="120" w:line="360" w:lineRule="auto"/>
        <w:ind w:right="-46"/>
        <w:jc w:val="both"/>
        <w:textAlignment w:val="baseline"/>
        <w:rPr>
          <w:rFonts w:ascii="Arial" w:hAnsi="Arial" w:cs="Arial"/>
          <w:noProof/>
          <w:sz w:val="22"/>
          <w:szCs w:val="22"/>
        </w:rPr>
      </w:pPr>
    </w:p>
    <w:p w:rsidR="00F436DF" w:rsidRPr="00A16957" w:rsidRDefault="00F436DF" w:rsidP="00A16957">
      <w:pPr>
        <w:overflowPunct w:val="0"/>
        <w:autoSpaceDE w:val="0"/>
        <w:autoSpaceDN w:val="0"/>
        <w:adjustRightInd w:val="0"/>
        <w:spacing w:before="120" w:line="360" w:lineRule="auto"/>
        <w:ind w:right="-46"/>
        <w:jc w:val="both"/>
        <w:textAlignment w:val="baseline"/>
        <w:rPr>
          <w:rFonts w:ascii="Arial" w:hAnsi="Arial" w:cs="Arial"/>
          <w:sz w:val="22"/>
          <w:szCs w:val="22"/>
        </w:rPr>
      </w:pPr>
    </w:p>
    <w:p w:rsidR="00F436DF" w:rsidRDefault="00960B86" w:rsidP="00A16957">
      <w:pPr>
        <w:overflowPunct w:val="0"/>
        <w:autoSpaceDE w:val="0"/>
        <w:autoSpaceDN w:val="0"/>
        <w:adjustRightInd w:val="0"/>
        <w:spacing w:before="120" w:line="360" w:lineRule="auto"/>
        <w:ind w:right="-46"/>
        <w:jc w:val="both"/>
        <w:textAlignment w:val="baseline"/>
        <w:rPr>
          <w:rFonts w:ascii="Arial" w:hAnsi="Arial" w:cs="Arial"/>
          <w:sz w:val="22"/>
          <w:szCs w:val="22"/>
        </w:rPr>
      </w:pPr>
      <w:r>
        <w:rPr>
          <w:rFonts w:ascii="Arial" w:hAnsi="Arial" w:cs="Arial"/>
          <w:sz w:val="22"/>
          <w:szCs w:val="22"/>
        </w:rPr>
        <w:t>References</w:t>
      </w:r>
    </w:p>
    <w:p w:rsidR="00960B86" w:rsidRDefault="00960B86" w:rsidP="00960B86">
      <w:pPr>
        <w:pStyle w:val="Bibliography"/>
        <w:ind w:left="720" w:hanging="720"/>
        <w:rPr>
          <w:noProof/>
          <w:sz w:val="24"/>
          <w:szCs w:val="24"/>
        </w:rPr>
      </w:pPr>
      <w:r>
        <w:rPr>
          <w:rFonts w:ascii="Arial" w:hAnsi="Arial" w:cs="Arial"/>
          <w:sz w:val="22"/>
          <w:szCs w:val="22"/>
        </w:rPr>
        <w:fldChar w:fldCharType="begin"/>
      </w:r>
      <w:r>
        <w:rPr>
          <w:rFonts w:ascii="Arial" w:hAnsi="Arial" w:cs="Arial"/>
          <w:sz w:val="22"/>
          <w:szCs w:val="22"/>
        </w:rPr>
        <w:instrText xml:space="preserve"> BIBLIOGRAPHY  \l 2057 </w:instrText>
      </w:r>
      <w:r>
        <w:rPr>
          <w:rFonts w:ascii="Arial" w:hAnsi="Arial" w:cs="Arial"/>
          <w:sz w:val="22"/>
          <w:szCs w:val="22"/>
        </w:rPr>
        <w:fldChar w:fldCharType="separate"/>
      </w:r>
      <w:r>
        <w:rPr>
          <w:i/>
          <w:iCs/>
          <w:noProof/>
        </w:rPr>
        <w:t>American Psychologcal Association</w:t>
      </w:r>
      <w:r>
        <w:rPr>
          <w:noProof/>
        </w:rPr>
        <w:t>. (2015, 01 15). Accessed 05 13, 2021, from www.apa.org: https://www.apa.org/pubs/highlights/peeps/issue-37</w:t>
      </w:r>
    </w:p>
    <w:p w:rsidR="00960B86" w:rsidRDefault="00960B86" w:rsidP="00960B86">
      <w:pPr>
        <w:pStyle w:val="Bibliography"/>
        <w:ind w:left="720" w:hanging="720"/>
        <w:rPr>
          <w:noProof/>
        </w:rPr>
      </w:pPr>
      <w:r>
        <w:rPr>
          <w:noProof/>
        </w:rPr>
        <w:t xml:space="preserve">B.F.Skinner. (1957). </w:t>
      </w:r>
      <w:r>
        <w:rPr>
          <w:i/>
          <w:iCs/>
          <w:noProof/>
        </w:rPr>
        <w:t>Verbal Behaviour.</w:t>
      </w:r>
      <w:r>
        <w:rPr>
          <w:noProof/>
        </w:rPr>
        <w:t xml:space="preserve"> Cambridge. Accessed 03 15, 2021</w:t>
      </w:r>
    </w:p>
    <w:p w:rsidR="00960B86" w:rsidRDefault="00960B86" w:rsidP="00960B86">
      <w:pPr>
        <w:pStyle w:val="Bibliography"/>
        <w:ind w:left="720" w:hanging="720"/>
        <w:rPr>
          <w:noProof/>
        </w:rPr>
      </w:pPr>
      <w:r>
        <w:rPr>
          <w:noProof/>
        </w:rPr>
        <w:t xml:space="preserve">Bruner, J. S. (1966). </w:t>
      </w:r>
      <w:r>
        <w:rPr>
          <w:i/>
          <w:iCs/>
          <w:noProof/>
        </w:rPr>
        <w:t>Toward a theory of Instruction.</w:t>
      </w:r>
      <w:r>
        <w:rPr>
          <w:noProof/>
        </w:rPr>
        <w:t xml:space="preserve"> London. Accessed 05 13, 2021, from https://www.google.co.uk/books/edition/Toward_a_Theory_of_Instruction/F_d96D9FmbUC?hl=en&amp;gbpv=1</w:t>
      </w:r>
    </w:p>
    <w:p w:rsidR="00960B86" w:rsidRDefault="00960B86" w:rsidP="00960B86">
      <w:pPr>
        <w:pStyle w:val="Bibliography"/>
        <w:ind w:left="720" w:hanging="720"/>
        <w:rPr>
          <w:noProof/>
        </w:rPr>
      </w:pPr>
      <w:r>
        <w:rPr>
          <w:noProof/>
        </w:rPr>
        <w:t xml:space="preserve">Carroll, J., Bradley, L., Crawford, H., Hannant, ,. P., Johnson, H., &amp; Thompson, A. (2017). </w:t>
      </w:r>
      <w:r>
        <w:rPr>
          <w:i/>
          <w:iCs/>
          <w:noProof/>
        </w:rPr>
        <w:t>SEN support: A rapid.</w:t>
      </w:r>
      <w:r>
        <w:rPr>
          <w:noProof/>
        </w:rPr>
        <w:t xml:space="preserve"> Education, Coventry. Accessed 05 13, 2021, from https://assets.publishing.service.gov.uk/government/uploads/system/uploads/attachment_data/file/628630/DfE_SEN_Support_REA_Report.pdf</w:t>
      </w:r>
    </w:p>
    <w:p w:rsidR="00960B86" w:rsidRDefault="00960B86" w:rsidP="00960B86">
      <w:pPr>
        <w:pStyle w:val="Bibliography"/>
        <w:ind w:left="720" w:hanging="720"/>
        <w:rPr>
          <w:noProof/>
        </w:rPr>
      </w:pPr>
      <w:r>
        <w:rPr>
          <w:noProof/>
        </w:rPr>
        <w:t xml:space="preserve">Cdn. (2014). </w:t>
      </w:r>
      <w:r>
        <w:rPr>
          <w:i/>
          <w:iCs/>
          <w:noProof/>
        </w:rPr>
        <w:t>How reading can help children escape poverty.</w:t>
      </w:r>
      <w:r>
        <w:rPr>
          <w:noProof/>
        </w:rPr>
        <w:t xml:space="preserve"> London: Save the Children. Accessed 05 12, 2021, from https://cdn.literacytrust.org.uk/media/documents/Read_On_Get_On_launch_report_2014.pdf</w:t>
      </w:r>
    </w:p>
    <w:p w:rsidR="00960B86" w:rsidRDefault="00960B86" w:rsidP="00960B86">
      <w:pPr>
        <w:pStyle w:val="Bibliography"/>
        <w:ind w:left="720" w:hanging="720"/>
        <w:rPr>
          <w:noProof/>
        </w:rPr>
      </w:pPr>
      <w:r>
        <w:rPr>
          <w:noProof/>
        </w:rPr>
        <w:t xml:space="preserve">Chinn, S., &amp; Ashcroft, R. (2017). </w:t>
      </w:r>
      <w:r>
        <w:rPr>
          <w:i/>
          <w:iCs/>
          <w:noProof/>
        </w:rPr>
        <w:t>Dyscalculia, Dyslexia and Mathematics</w:t>
      </w:r>
      <w:r>
        <w:rPr>
          <w:noProof/>
        </w:rPr>
        <w:t xml:space="preserve"> (Vol. 4). Accessed 05 12, 2021, from https://media.wiley.com/product_data/excerpt/62/11191599/1119159962-123.pdf</w:t>
      </w:r>
    </w:p>
    <w:p w:rsidR="00960B86" w:rsidRDefault="00960B86" w:rsidP="00960B86">
      <w:pPr>
        <w:pStyle w:val="Bibliography"/>
        <w:ind w:left="720" w:hanging="720"/>
        <w:rPr>
          <w:noProof/>
        </w:rPr>
      </w:pPr>
      <w:r>
        <w:rPr>
          <w:noProof/>
        </w:rPr>
        <w:t xml:space="preserve">CIPD. (2021). </w:t>
      </w:r>
      <w:r>
        <w:rPr>
          <w:i/>
          <w:iCs/>
          <w:noProof/>
        </w:rPr>
        <w:t>www.cipd.co.uk/Images/reflective-practice-guide_tcm18-12524.pdf.</w:t>
      </w:r>
      <w:r>
        <w:rPr>
          <w:noProof/>
        </w:rPr>
        <w:t xml:space="preserve"> Accessed 04 07, 2021, from www.cipd.co.uk: https://www.cipd.co.uk/Images/reflective-practice-guide_tcm18-12524.pdf</w:t>
      </w:r>
    </w:p>
    <w:p w:rsidR="00960B86" w:rsidRDefault="00960B86" w:rsidP="00960B86">
      <w:pPr>
        <w:pStyle w:val="Bibliography"/>
        <w:ind w:left="720" w:hanging="720"/>
        <w:rPr>
          <w:noProof/>
        </w:rPr>
      </w:pPr>
      <w:r>
        <w:rPr>
          <w:noProof/>
        </w:rPr>
        <w:t>Dastous, M. R. (2004, 01 10). Bruner vs. Vygotsky: An Analysis of Divergent. Accessed 05 13, 2021, from https://www.dastous.us/pro_portfolio/graduate/Bruner%20and%20Vygotsky.pdf</w:t>
      </w:r>
    </w:p>
    <w:p w:rsidR="00960B86" w:rsidRDefault="00960B86" w:rsidP="00960B86">
      <w:pPr>
        <w:pStyle w:val="Bibliography"/>
        <w:ind w:left="720" w:hanging="720"/>
        <w:rPr>
          <w:noProof/>
        </w:rPr>
      </w:pPr>
      <w:r>
        <w:rPr>
          <w:noProof/>
        </w:rPr>
        <w:t xml:space="preserve">Discoverers, F. (2020). </w:t>
      </w:r>
      <w:r>
        <w:rPr>
          <w:i/>
          <w:iCs/>
          <w:noProof/>
        </w:rPr>
        <w:t>How to Develop Early Numeracy Skills</w:t>
      </w:r>
      <w:r>
        <w:rPr>
          <w:noProof/>
        </w:rPr>
        <w:t>. Accessed 05 12, 2021, from firstdiscoverers.co.uk: https://www.firstdiscoverers.co.uk/develop-early-numeracy-skills/</w:t>
      </w:r>
    </w:p>
    <w:p w:rsidR="00960B86" w:rsidRDefault="00960B86" w:rsidP="00960B86">
      <w:pPr>
        <w:pStyle w:val="Bibliography"/>
        <w:ind w:left="720" w:hanging="720"/>
        <w:rPr>
          <w:noProof/>
        </w:rPr>
      </w:pPr>
      <w:r>
        <w:rPr>
          <w:noProof/>
        </w:rPr>
        <w:t xml:space="preserve">Donaldson, G. (2015). </w:t>
      </w:r>
      <w:r>
        <w:rPr>
          <w:i/>
          <w:iCs/>
          <w:noProof/>
        </w:rPr>
        <w:t>Independent Review of Curriculum and Assessment Arrangements in Wales.</w:t>
      </w:r>
      <w:r>
        <w:rPr>
          <w:noProof/>
        </w:rPr>
        <w:t xml:space="preserve"> Wales. Accessed 05 13, 2021, from https://gov.wales/sites/default/files/publications/2018-03/successful-futures.pdf</w:t>
      </w:r>
    </w:p>
    <w:p w:rsidR="00960B86" w:rsidRDefault="00960B86" w:rsidP="00960B86">
      <w:pPr>
        <w:pStyle w:val="Bibliography"/>
        <w:ind w:left="720" w:hanging="720"/>
        <w:rPr>
          <w:noProof/>
        </w:rPr>
      </w:pPr>
      <w:r>
        <w:rPr>
          <w:noProof/>
        </w:rPr>
        <w:t xml:space="preserve">Government, W. C. (2020, 02 24). </w:t>
      </w:r>
      <w:r>
        <w:rPr>
          <w:i/>
          <w:iCs/>
          <w:noProof/>
        </w:rPr>
        <w:t>Intermediate Phase :Addressing Barriers to Learning - Mathematics</w:t>
      </w:r>
      <w:r>
        <w:rPr>
          <w:noProof/>
        </w:rPr>
        <w:t>. Accessed 05 12, 2021, from wcedctli.co.za: https://wcedctli.co.za/node/44686</w:t>
      </w:r>
    </w:p>
    <w:p w:rsidR="00960B86" w:rsidRDefault="00960B86" w:rsidP="00960B86">
      <w:pPr>
        <w:pStyle w:val="Bibliography"/>
        <w:ind w:left="720" w:hanging="720"/>
        <w:rPr>
          <w:noProof/>
        </w:rPr>
      </w:pPr>
      <w:r>
        <w:rPr>
          <w:noProof/>
        </w:rPr>
        <w:t xml:space="preserve">Grenwich, U. o. (ND). </w:t>
      </w:r>
      <w:r>
        <w:rPr>
          <w:i/>
          <w:iCs/>
          <w:noProof/>
        </w:rPr>
        <w:t>Formative vs Summative</w:t>
      </w:r>
      <w:r>
        <w:rPr>
          <w:noProof/>
        </w:rPr>
        <w:t>. Accessed 05 12, 2021, from www.gre.ac.uk: https://www.gre.ac.uk/learning-teaching/assessment/assessment/design/formative-vs-summative#:~:text=The%20purpose%20of%20formative%20assessment,feedback%20to%20staff%20and%20students.&amp;text=The%20goal%20of%20summative%20assessment,against%20some%20standard</w:t>
      </w:r>
    </w:p>
    <w:p w:rsidR="00960B86" w:rsidRDefault="00960B86" w:rsidP="00960B86">
      <w:pPr>
        <w:pStyle w:val="Bibliography"/>
        <w:ind w:left="720" w:hanging="720"/>
        <w:rPr>
          <w:noProof/>
        </w:rPr>
      </w:pPr>
      <w:r>
        <w:rPr>
          <w:noProof/>
        </w:rPr>
        <w:t xml:space="preserve">Guide, T. S. (2019). </w:t>
      </w:r>
      <w:r>
        <w:rPr>
          <w:i/>
          <w:iCs/>
          <w:noProof/>
        </w:rPr>
        <w:t>SCHOOL GUIDE RATING.</w:t>
      </w:r>
      <w:r>
        <w:rPr>
          <w:noProof/>
        </w:rPr>
        <w:t xml:space="preserve"> The school guide. Accessed 05 12, 2021, from https://www.schoolguide.co.uk/schools/dylan-thomas-community-school-swansea</w:t>
      </w:r>
    </w:p>
    <w:p w:rsidR="00960B86" w:rsidRDefault="00960B86" w:rsidP="00960B86">
      <w:pPr>
        <w:pStyle w:val="Bibliography"/>
        <w:ind w:left="720" w:hanging="720"/>
        <w:rPr>
          <w:noProof/>
        </w:rPr>
      </w:pPr>
      <w:r>
        <w:rPr>
          <w:noProof/>
        </w:rPr>
        <w:t xml:space="preserve">Haldane, A. (ND). </w:t>
      </w:r>
      <w:r>
        <w:rPr>
          <w:i/>
          <w:iCs/>
          <w:noProof/>
        </w:rPr>
        <w:t>Numerate nation.</w:t>
      </w:r>
      <w:r>
        <w:rPr>
          <w:noProof/>
        </w:rPr>
        <w:t xml:space="preserve"> The Policy Institute. Accessed 05 12, 2021, from https://www.kcl.ac.uk/policy-institute/assets/national-numeracy-day-2019.pdf</w:t>
      </w:r>
    </w:p>
    <w:p w:rsidR="00960B86" w:rsidRDefault="00960B86" w:rsidP="00960B86">
      <w:pPr>
        <w:pStyle w:val="Bibliography"/>
        <w:ind w:left="720" w:hanging="720"/>
        <w:rPr>
          <w:noProof/>
        </w:rPr>
      </w:pPr>
      <w:r>
        <w:rPr>
          <w:noProof/>
        </w:rPr>
        <w:t xml:space="preserve">Hasa. (2020, 05 19). </w:t>
      </w:r>
      <w:r>
        <w:rPr>
          <w:i/>
          <w:iCs/>
          <w:noProof/>
        </w:rPr>
        <w:t>Difference Between Mathematics and Numeracy</w:t>
      </w:r>
      <w:r>
        <w:rPr>
          <w:noProof/>
        </w:rPr>
        <w:t>. Accessed 05 13, 2021, from https://pediaa.com/difference-between-mathematics-and-numeracy/</w:t>
      </w:r>
    </w:p>
    <w:p w:rsidR="00960B86" w:rsidRDefault="00960B86" w:rsidP="00960B86">
      <w:pPr>
        <w:pStyle w:val="Bibliography"/>
        <w:ind w:left="720" w:hanging="720"/>
        <w:rPr>
          <w:noProof/>
        </w:rPr>
      </w:pPr>
      <w:r>
        <w:rPr>
          <w:noProof/>
        </w:rPr>
        <w:t xml:space="preserve">Joseph Glick. (1997). </w:t>
      </w:r>
      <w:r>
        <w:rPr>
          <w:i/>
          <w:iCs/>
          <w:noProof/>
        </w:rPr>
        <w:t>THE COLLECTED WORKS OF L. S. VYGOTSKY</w:t>
      </w:r>
      <w:r>
        <w:rPr>
          <w:noProof/>
        </w:rPr>
        <w:t xml:space="preserve"> (Vol. 4). (R. W. RIEBER, Ed., &amp; M. J. HALL, Trans.) New York.</w:t>
      </w:r>
    </w:p>
    <w:p w:rsidR="00960B86" w:rsidRDefault="00960B86" w:rsidP="00960B86">
      <w:pPr>
        <w:pStyle w:val="Bibliography"/>
        <w:ind w:left="720" w:hanging="720"/>
        <w:rPr>
          <w:noProof/>
        </w:rPr>
      </w:pPr>
      <w:r>
        <w:rPr>
          <w:noProof/>
        </w:rPr>
        <w:t xml:space="preserve">Keane, A. (2013). </w:t>
      </w:r>
      <w:r>
        <w:rPr>
          <w:i/>
          <w:iCs/>
          <w:noProof/>
        </w:rPr>
        <w:t>Annual Report of Her Majesty's Chief Inspector of Education and Training in Wales 2011- 2012.</w:t>
      </w:r>
      <w:r>
        <w:rPr>
          <w:noProof/>
        </w:rPr>
        <w:t xml:space="preserve"> Accessed 05 13, 2021, from https://www.estyn.gov.wales/news/annual-report-her-majestys-chief-inspector-education-and-training-wales-2011-2012</w:t>
      </w:r>
    </w:p>
    <w:p w:rsidR="00960B86" w:rsidRDefault="00960B86" w:rsidP="00960B86">
      <w:pPr>
        <w:pStyle w:val="Bibliography"/>
        <w:ind w:left="720" w:hanging="720"/>
        <w:rPr>
          <w:noProof/>
        </w:rPr>
      </w:pPr>
      <w:r>
        <w:rPr>
          <w:noProof/>
        </w:rPr>
        <w:t xml:space="preserve">Kyttala, M., Lehto, J. E., Van Luit, J., &amp; Hautumaki, J. (2003). Visiospartial working memory and early numeracy. In </w:t>
      </w:r>
      <w:r>
        <w:rPr>
          <w:i/>
          <w:iCs/>
          <w:noProof/>
        </w:rPr>
        <w:t>Education and child psychology.</w:t>
      </w:r>
      <w:r>
        <w:rPr>
          <w:noProof/>
        </w:rPr>
        <w:t xml:space="preserve"> Accessed 05 13, 2021</w:t>
      </w:r>
    </w:p>
    <w:p w:rsidR="00960B86" w:rsidRDefault="00960B86" w:rsidP="00960B86">
      <w:pPr>
        <w:pStyle w:val="Bibliography"/>
        <w:ind w:left="720" w:hanging="720"/>
        <w:rPr>
          <w:noProof/>
        </w:rPr>
      </w:pPr>
      <w:r>
        <w:rPr>
          <w:noProof/>
        </w:rPr>
        <w:t xml:space="preserve">London, K. C. (2019, 05 15). </w:t>
      </w:r>
      <w:r>
        <w:rPr>
          <w:i/>
          <w:iCs/>
          <w:noProof/>
        </w:rPr>
        <w:t>Research reveals how poor maths skills are holding the UK back</w:t>
      </w:r>
      <w:r>
        <w:rPr>
          <w:noProof/>
        </w:rPr>
        <w:t>. Accessed 05 12, 2021, from www.kcl.ac.uk: https://www.kcl.ac.uk/news/research-reveals-how-poor-maths-skills-are-holding-the-uk-back</w:t>
      </w:r>
    </w:p>
    <w:p w:rsidR="00960B86" w:rsidRDefault="00960B86" w:rsidP="00960B86">
      <w:pPr>
        <w:pStyle w:val="Bibliography"/>
        <w:ind w:left="720" w:hanging="720"/>
        <w:rPr>
          <w:noProof/>
        </w:rPr>
      </w:pPr>
      <w:r>
        <w:rPr>
          <w:noProof/>
        </w:rPr>
        <w:t xml:space="preserve">McLeod, S. (2018). </w:t>
      </w:r>
      <w:r>
        <w:rPr>
          <w:i/>
          <w:iCs/>
          <w:noProof/>
        </w:rPr>
        <w:t>Jean Piaget's Theory and Stages of Cognitive Development</w:t>
      </w:r>
      <w:r>
        <w:rPr>
          <w:noProof/>
        </w:rPr>
        <w:t>. Accessed 05 13, 2021, from Simplypsychology.org: https://www.simplypsychology.org/piaget.html#:~:text=Piaget%20(1936)%20was%20the%20first,to%20reveal%20different%20cognitive%20abilities.</w:t>
      </w:r>
    </w:p>
    <w:p w:rsidR="00960B86" w:rsidRDefault="00960B86" w:rsidP="00960B86">
      <w:pPr>
        <w:pStyle w:val="Bibliography"/>
        <w:ind w:left="720" w:hanging="720"/>
        <w:rPr>
          <w:noProof/>
        </w:rPr>
      </w:pPr>
      <w:r>
        <w:rPr>
          <w:noProof/>
        </w:rPr>
        <w:t xml:space="preserve">McLeod, S. (2019). </w:t>
      </w:r>
      <w:r>
        <w:rPr>
          <w:i/>
          <w:iCs/>
          <w:noProof/>
        </w:rPr>
        <w:t>The Zone of Proximal Development and Scaffolding</w:t>
      </w:r>
      <w:r>
        <w:rPr>
          <w:noProof/>
        </w:rPr>
        <w:t>. Accessed 11 04, 2020, from Simply Psychology: https://www.simplypsychology.org/Zone-of-Proximal-Development.html</w:t>
      </w:r>
    </w:p>
    <w:p w:rsidR="00960B86" w:rsidRDefault="00960B86" w:rsidP="00960B86">
      <w:pPr>
        <w:pStyle w:val="Bibliography"/>
        <w:ind w:left="720" w:hanging="720"/>
        <w:rPr>
          <w:noProof/>
        </w:rPr>
      </w:pPr>
      <w:r>
        <w:rPr>
          <w:noProof/>
        </w:rPr>
        <w:t xml:space="preserve">Nexus, E. (2019). </w:t>
      </w:r>
      <w:r>
        <w:rPr>
          <w:i/>
          <w:iCs/>
          <w:noProof/>
        </w:rPr>
        <w:t>ESOL and numeracy</w:t>
      </w:r>
      <w:r>
        <w:rPr>
          <w:noProof/>
        </w:rPr>
        <w:t>. Accessed 05 13, 2021, from esol.britishcouncil.org: https://esol.britishcouncil.org/content/teachers/lessons-and-activities/teaching-beginners/esol-and-numeracy#:~:text=ESOL</w:t>
      </w:r>
    </w:p>
    <w:p w:rsidR="00960B86" w:rsidRDefault="00960B86" w:rsidP="00960B86">
      <w:pPr>
        <w:pStyle w:val="Bibliography"/>
        <w:ind w:left="720" w:hanging="720"/>
        <w:rPr>
          <w:noProof/>
        </w:rPr>
      </w:pPr>
      <w:r>
        <w:rPr>
          <w:noProof/>
        </w:rPr>
        <w:lastRenderedPageBreak/>
        <w:t xml:space="preserve">NurseryWorld. (2014, 11 25). </w:t>
      </w:r>
      <w:r>
        <w:rPr>
          <w:i/>
          <w:iCs/>
          <w:noProof/>
        </w:rPr>
        <w:t>Early years 'failing' children at maths</w:t>
      </w:r>
      <w:r>
        <w:rPr>
          <w:noProof/>
        </w:rPr>
        <w:t>. Accessed 05 12, 2021, from nurseryworld.co.uk: https://www.nurseryworld.co.uk/news/article/early-years-failing-children-at-maths</w:t>
      </w:r>
    </w:p>
    <w:p w:rsidR="00960B86" w:rsidRDefault="00960B86" w:rsidP="00960B86">
      <w:pPr>
        <w:pStyle w:val="Bibliography"/>
        <w:ind w:left="720" w:hanging="720"/>
        <w:rPr>
          <w:noProof/>
        </w:rPr>
      </w:pPr>
      <w:r>
        <w:rPr>
          <w:noProof/>
        </w:rPr>
        <w:t xml:space="preserve">Piaget, J. (1976). </w:t>
      </w:r>
      <w:r>
        <w:rPr>
          <w:i/>
          <w:iCs/>
          <w:noProof/>
        </w:rPr>
        <w:t>Piaget and his school.</w:t>
      </w:r>
      <w:r>
        <w:rPr>
          <w:noProof/>
        </w:rPr>
        <w:t xml:space="preserve"> Accessed from 13</w:t>
      </w:r>
    </w:p>
    <w:p w:rsidR="00960B86" w:rsidRDefault="00960B86" w:rsidP="00960B86">
      <w:pPr>
        <w:pStyle w:val="Bibliography"/>
        <w:ind w:left="720" w:hanging="720"/>
        <w:rPr>
          <w:noProof/>
        </w:rPr>
      </w:pPr>
      <w:r>
        <w:rPr>
          <w:noProof/>
        </w:rPr>
        <w:t xml:space="preserve">Project, I. E. (ND). </w:t>
      </w:r>
      <w:r>
        <w:rPr>
          <w:i/>
          <w:iCs/>
          <w:noProof/>
        </w:rPr>
        <w:t>Spatial Relationships</w:t>
      </w:r>
      <w:r>
        <w:rPr>
          <w:noProof/>
        </w:rPr>
        <w:t>. Accessed 05 13, 2021, from illinoisearlylearning.org: https://illinoisearlylearning.org/ielg/spatial/</w:t>
      </w:r>
    </w:p>
    <w:p w:rsidR="00960B86" w:rsidRDefault="00960B86" w:rsidP="00960B86">
      <w:pPr>
        <w:pStyle w:val="Bibliography"/>
        <w:ind w:left="720" w:hanging="720"/>
        <w:rPr>
          <w:noProof/>
        </w:rPr>
      </w:pPr>
      <w:r>
        <w:rPr>
          <w:noProof/>
        </w:rPr>
        <w:t xml:space="preserve">Tout, D. (2020). </w:t>
      </w:r>
      <w:r>
        <w:rPr>
          <w:i/>
          <w:iCs/>
          <w:noProof/>
        </w:rPr>
        <w:t>Critical Connections Between Numeracy and Mathematics.</w:t>
      </w:r>
      <w:r>
        <w:rPr>
          <w:noProof/>
        </w:rPr>
        <w:t xml:space="preserve"> Department of Education and Training. Accessed 05 12, 2021, from https://research.acer.edu.au/cgi/viewcontent.cgi?article=1030&amp;context=learning_processes</w:t>
      </w:r>
    </w:p>
    <w:p w:rsidR="00960B86" w:rsidRDefault="00960B86" w:rsidP="00960B86">
      <w:pPr>
        <w:pStyle w:val="Bibliography"/>
        <w:ind w:left="720" w:hanging="720"/>
        <w:rPr>
          <w:noProof/>
        </w:rPr>
      </w:pPr>
      <w:r>
        <w:rPr>
          <w:noProof/>
        </w:rPr>
        <w:t xml:space="preserve">Victoria. (2019). </w:t>
      </w:r>
      <w:r>
        <w:rPr>
          <w:i/>
          <w:iCs/>
          <w:noProof/>
        </w:rPr>
        <w:t>Numeracy for all learners</w:t>
      </w:r>
      <w:r>
        <w:rPr>
          <w:noProof/>
        </w:rPr>
        <w:t>. Accessed 05 12, 2021, from www.education.vic.gov.au: https://www.education.vic.gov.au/school/teachers/teachingresources/discipline/maths/Pages/numeracy-for-all-learners.aspx</w:t>
      </w:r>
    </w:p>
    <w:p w:rsidR="00960B86" w:rsidRDefault="00960B86" w:rsidP="00960B86">
      <w:pPr>
        <w:pStyle w:val="Bibliography"/>
        <w:ind w:left="720" w:hanging="720"/>
        <w:rPr>
          <w:noProof/>
        </w:rPr>
      </w:pPr>
      <w:r>
        <w:rPr>
          <w:noProof/>
        </w:rPr>
        <w:t xml:space="preserve">Wales, A. c. (ND). </w:t>
      </w:r>
      <w:r>
        <w:rPr>
          <w:i/>
          <w:iCs/>
          <w:noProof/>
        </w:rPr>
        <w:t>National Literacy and Numeracy Framework (LNF)</w:t>
      </w:r>
      <w:r>
        <w:rPr>
          <w:noProof/>
        </w:rPr>
        <w:t>. Accessed 05 13, 2021, from https://celc.arts.wales/artists/the-lnf-framework: https://celc.arts.wales/artists/the-lnf-framework/</w:t>
      </w:r>
    </w:p>
    <w:p w:rsidR="00960B86" w:rsidRDefault="00960B86" w:rsidP="00960B86">
      <w:pPr>
        <w:pStyle w:val="Bibliography"/>
        <w:ind w:left="720" w:hanging="720"/>
        <w:rPr>
          <w:noProof/>
        </w:rPr>
      </w:pPr>
      <w:r>
        <w:rPr>
          <w:noProof/>
        </w:rPr>
        <w:t xml:space="preserve">WelshGovernment. (2016). </w:t>
      </w:r>
      <w:r>
        <w:rPr>
          <w:i/>
          <w:iCs/>
          <w:noProof/>
        </w:rPr>
        <w:t>National Literacy and Numeracy Programme – a strategic action plan.</w:t>
      </w:r>
      <w:r>
        <w:rPr>
          <w:noProof/>
        </w:rPr>
        <w:t xml:space="preserve"> Accessed 05 13, 2021, from https://gov.wales/sites/default/files/publications/2018-11/national-literacy-and-numeracy-programme-a-strategic-action-plan.pdf</w:t>
      </w:r>
    </w:p>
    <w:p w:rsidR="00960B86" w:rsidRDefault="00960B86" w:rsidP="00960B86">
      <w:pPr>
        <w:pStyle w:val="Bibliography"/>
        <w:ind w:left="720" w:hanging="720"/>
        <w:rPr>
          <w:noProof/>
        </w:rPr>
      </w:pPr>
      <w:r>
        <w:rPr>
          <w:noProof/>
        </w:rPr>
        <w:t xml:space="preserve">Wilmot, R. (ND). </w:t>
      </w:r>
      <w:r>
        <w:rPr>
          <w:i/>
          <w:iCs/>
          <w:noProof/>
        </w:rPr>
        <w:t>Literacy and Numeracy Strategies.</w:t>
      </w:r>
      <w:r>
        <w:rPr>
          <w:noProof/>
        </w:rPr>
        <w:t xml:space="preserve"> Accessed 05 13, 2021, from rebeccawilmot.weebly.com: https://rebeccawilmot.weebly.com/25-literacy-and-numeracy-strategies.html</w:t>
      </w:r>
    </w:p>
    <w:p w:rsidR="00960B86" w:rsidRDefault="00960B86" w:rsidP="00960B86">
      <w:pPr>
        <w:pStyle w:val="Bibliography"/>
        <w:ind w:left="720" w:hanging="720"/>
        <w:rPr>
          <w:noProof/>
        </w:rPr>
      </w:pPr>
      <w:r>
        <w:rPr>
          <w:noProof/>
        </w:rPr>
        <w:t xml:space="preserve">Wladawsky-Berger, I. (2013, 04 22). </w:t>
      </w:r>
      <w:r>
        <w:rPr>
          <w:i/>
          <w:iCs/>
          <w:noProof/>
        </w:rPr>
        <w:t>Reflections on Storytelling</w:t>
      </w:r>
      <w:r>
        <w:rPr>
          <w:noProof/>
        </w:rPr>
        <w:t>. Accessed 04 07, 2021, from ww.blog.irvingwb.com: https://blog.irvingwb.com/blog/2013/04/reflections-on-storytelling.html</w:t>
      </w:r>
    </w:p>
    <w:p w:rsidR="00960B86" w:rsidRDefault="00960B86" w:rsidP="00960B86">
      <w:pPr>
        <w:pStyle w:val="Bibliography"/>
        <w:ind w:left="720" w:hanging="720"/>
        <w:rPr>
          <w:noProof/>
        </w:rPr>
      </w:pPr>
      <w:r>
        <w:rPr>
          <w:noProof/>
        </w:rPr>
        <w:t xml:space="preserve">Zoladek, L., &amp; Roberts, W. A. (1978). </w:t>
      </w:r>
      <w:r>
        <w:rPr>
          <w:i/>
          <w:iCs/>
          <w:noProof/>
        </w:rPr>
        <w:t>The sensory basis of spatial memory in the rat.</w:t>
      </w:r>
      <w:r>
        <w:rPr>
          <w:noProof/>
        </w:rPr>
        <w:t xml:space="preserve"> London and Canada. Accessed 05 13, 2021, from https://link.springer.com/content/pdf/10.3758/BF03212006.pdf</w:t>
      </w:r>
    </w:p>
    <w:p w:rsidR="00960B86" w:rsidRPr="00A16957" w:rsidRDefault="00960B86" w:rsidP="00960B86">
      <w:pPr>
        <w:overflowPunct w:val="0"/>
        <w:autoSpaceDE w:val="0"/>
        <w:autoSpaceDN w:val="0"/>
        <w:adjustRightInd w:val="0"/>
        <w:spacing w:before="120" w:line="360" w:lineRule="auto"/>
        <w:ind w:right="-46"/>
        <w:jc w:val="both"/>
        <w:textAlignment w:val="baseline"/>
        <w:rPr>
          <w:rFonts w:ascii="Arial" w:hAnsi="Arial" w:cs="Arial"/>
          <w:sz w:val="22"/>
          <w:szCs w:val="22"/>
        </w:rPr>
      </w:pPr>
      <w:r>
        <w:rPr>
          <w:rFonts w:ascii="Arial" w:hAnsi="Arial" w:cs="Arial"/>
          <w:sz w:val="22"/>
          <w:szCs w:val="22"/>
        </w:rPr>
        <w:fldChar w:fldCharType="end"/>
      </w:r>
    </w:p>
    <w:p w:rsidR="009E7BC6" w:rsidRPr="00A16957" w:rsidRDefault="009E7BC6" w:rsidP="00A16957">
      <w:pPr>
        <w:overflowPunct w:val="0"/>
        <w:autoSpaceDE w:val="0"/>
        <w:autoSpaceDN w:val="0"/>
        <w:adjustRightInd w:val="0"/>
        <w:spacing w:before="120" w:line="360" w:lineRule="auto"/>
        <w:ind w:right="-46"/>
        <w:jc w:val="both"/>
        <w:textAlignment w:val="baseline"/>
        <w:rPr>
          <w:rFonts w:ascii="Arial" w:hAnsi="Arial" w:cs="Arial"/>
          <w:sz w:val="22"/>
          <w:szCs w:val="22"/>
        </w:rPr>
      </w:pPr>
    </w:p>
    <w:p w:rsidR="003E4B80" w:rsidRPr="00A16957" w:rsidRDefault="003E4B80" w:rsidP="00A16957">
      <w:pPr>
        <w:spacing w:line="360" w:lineRule="auto"/>
        <w:jc w:val="both"/>
        <w:rPr>
          <w:rFonts w:ascii="Arial" w:hAnsi="Arial" w:cs="Arial"/>
          <w:sz w:val="22"/>
          <w:szCs w:val="22"/>
        </w:rPr>
      </w:pPr>
      <w:bookmarkStart w:id="0" w:name="_GoBack"/>
      <w:bookmarkEnd w:id="0"/>
    </w:p>
    <w:sectPr w:rsidR="003E4B80" w:rsidRPr="00A1695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2B72" w:rsidRDefault="00552B72" w:rsidP="00552B72">
      <w:r>
        <w:separator/>
      </w:r>
    </w:p>
  </w:endnote>
  <w:endnote w:type="continuationSeparator" w:id="0">
    <w:p w:rsidR="00552B72" w:rsidRDefault="00552B72" w:rsidP="00552B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2783207"/>
      <w:docPartObj>
        <w:docPartGallery w:val="Page Numbers (Bottom of Page)"/>
        <w:docPartUnique/>
      </w:docPartObj>
    </w:sdtPr>
    <w:sdtEndPr>
      <w:rPr>
        <w:noProof/>
      </w:rPr>
    </w:sdtEndPr>
    <w:sdtContent>
      <w:p w:rsidR="00552B72" w:rsidRDefault="00552B72">
        <w:pPr>
          <w:pStyle w:val="Footer"/>
          <w:jc w:val="right"/>
        </w:pPr>
        <w:r>
          <w:fldChar w:fldCharType="begin"/>
        </w:r>
        <w:r>
          <w:instrText xml:space="preserve"> PAGE   \* MERGEFORMAT </w:instrText>
        </w:r>
        <w:r>
          <w:fldChar w:fldCharType="separate"/>
        </w:r>
        <w:r w:rsidR="00960B86">
          <w:rPr>
            <w:noProof/>
          </w:rPr>
          <w:t>8</w:t>
        </w:r>
        <w:r>
          <w:rPr>
            <w:noProof/>
          </w:rPr>
          <w:fldChar w:fldCharType="end"/>
        </w:r>
      </w:p>
    </w:sdtContent>
  </w:sdt>
  <w:p w:rsidR="00552B72" w:rsidRDefault="00552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2B72" w:rsidRDefault="00552B72" w:rsidP="00552B72">
      <w:r>
        <w:separator/>
      </w:r>
    </w:p>
  </w:footnote>
  <w:footnote w:type="continuationSeparator" w:id="0">
    <w:p w:rsidR="00552B72" w:rsidRDefault="00552B72" w:rsidP="00552B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59558B1"/>
    <w:multiLevelType w:val="multilevel"/>
    <w:tmpl w:val="A8CE7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89D"/>
    <w:rsid w:val="0000089D"/>
    <w:rsid w:val="00060557"/>
    <w:rsid w:val="000970D9"/>
    <w:rsid w:val="00097872"/>
    <w:rsid w:val="000E7398"/>
    <w:rsid w:val="0011203F"/>
    <w:rsid w:val="00130AB9"/>
    <w:rsid w:val="00143012"/>
    <w:rsid w:val="001C20B3"/>
    <w:rsid w:val="001D7AB4"/>
    <w:rsid w:val="00203A74"/>
    <w:rsid w:val="00222FCE"/>
    <w:rsid w:val="00244E41"/>
    <w:rsid w:val="00253A19"/>
    <w:rsid w:val="003372AA"/>
    <w:rsid w:val="003E4B80"/>
    <w:rsid w:val="003F08B1"/>
    <w:rsid w:val="00440F9F"/>
    <w:rsid w:val="00443BEE"/>
    <w:rsid w:val="004758AF"/>
    <w:rsid w:val="00476059"/>
    <w:rsid w:val="00483742"/>
    <w:rsid w:val="005071AB"/>
    <w:rsid w:val="00510BC9"/>
    <w:rsid w:val="00530A70"/>
    <w:rsid w:val="00542A72"/>
    <w:rsid w:val="00552B72"/>
    <w:rsid w:val="005742D4"/>
    <w:rsid w:val="00581BDD"/>
    <w:rsid w:val="00586A63"/>
    <w:rsid w:val="005C3558"/>
    <w:rsid w:val="00641BA6"/>
    <w:rsid w:val="00653854"/>
    <w:rsid w:val="006646A2"/>
    <w:rsid w:val="006A6852"/>
    <w:rsid w:val="006D5620"/>
    <w:rsid w:val="006F13F2"/>
    <w:rsid w:val="00704401"/>
    <w:rsid w:val="007477EF"/>
    <w:rsid w:val="00776577"/>
    <w:rsid w:val="007D1A7C"/>
    <w:rsid w:val="008007A5"/>
    <w:rsid w:val="008A477F"/>
    <w:rsid w:val="008C6451"/>
    <w:rsid w:val="008E7641"/>
    <w:rsid w:val="009553B4"/>
    <w:rsid w:val="00956414"/>
    <w:rsid w:val="00960B86"/>
    <w:rsid w:val="00976AB1"/>
    <w:rsid w:val="009B77CB"/>
    <w:rsid w:val="009E7BC6"/>
    <w:rsid w:val="00A16957"/>
    <w:rsid w:val="00A65524"/>
    <w:rsid w:val="00A72665"/>
    <w:rsid w:val="00A86595"/>
    <w:rsid w:val="00AB5661"/>
    <w:rsid w:val="00C107C4"/>
    <w:rsid w:val="00C32B96"/>
    <w:rsid w:val="00C3657D"/>
    <w:rsid w:val="00CF3116"/>
    <w:rsid w:val="00D054F9"/>
    <w:rsid w:val="00D14B08"/>
    <w:rsid w:val="00E66107"/>
    <w:rsid w:val="00E9071C"/>
    <w:rsid w:val="00EA5540"/>
    <w:rsid w:val="00EC1DD0"/>
    <w:rsid w:val="00F05D3B"/>
    <w:rsid w:val="00F12026"/>
    <w:rsid w:val="00F436DF"/>
    <w:rsid w:val="00F56686"/>
    <w:rsid w:val="00F94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CE2D2"/>
  <w15:chartTrackingRefBased/>
  <w15:docId w15:val="{106C8CBE-52DB-4A8D-B690-6A6781A7E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089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586A6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089D"/>
    <w:pPr>
      <w:spacing w:before="100" w:beforeAutospacing="1" w:after="100" w:afterAutospacing="1"/>
    </w:pPr>
    <w:rPr>
      <w:sz w:val="24"/>
      <w:szCs w:val="24"/>
    </w:rPr>
  </w:style>
  <w:style w:type="character" w:styleId="Strong">
    <w:name w:val="Strong"/>
    <w:basedOn w:val="DefaultParagraphFont"/>
    <w:uiPriority w:val="22"/>
    <w:qFormat/>
    <w:rsid w:val="00653854"/>
    <w:rPr>
      <w:b/>
      <w:bCs/>
    </w:rPr>
  </w:style>
  <w:style w:type="paragraph" w:styleId="Header">
    <w:name w:val="header"/>
    <w:basedOn w:val="Normal"/>
    <w:link w:val="HeaderChar"/>
    <w:uiPriority w:val="99"/>
    <w:unhideWhenUsed/>
    <w:rsid w:val="00552B72"/>
    <w:pPr>
      <w:tabs>
        <w:tab w:val="center" w:pos="4513"/>
        <w:tab w:val="right" w:pos="9026"/>
      </w:tabs>
    </w:pPr>
  </w:style>
  <w:style w:type="character" w:customStyle="1" w:styleId="HeaderChar">
    <w:name w:val="Header Char"/>
    <w:basedOn w:val="DefaultParagraphFont"/>
    <w:link w:val="Header"/>
    <w:uiPriority w:val="99"/>
    <w:rsid w:val="00552B7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52B72"/>
    <w:pPr>
      <w:tabs>
        <w:tab w:val="center" w:pos="4513"/>
        <w:tab w:val="right" w:pos="9026"/>
      </w:tabs>
    </w:pPr>
  </w:style>
  <w:style w:type="character" w:customStyle="1" w:styleId="FooterChar">
    <w:name w:val="Footer Char"/>
    <w:basedOn w:val="DefaultParagraphFont"/>
    <w:link w:val="Footer"/>
    <w:uiPriority w:val="99"/>
    <w:rsid w:val="00552B72"/>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C20B3"/>
    <w:rPr>
      <w:color w:val="0000FF"/>
      <w:u w:val="single"/>
    </w:rPr>
  </w:style>
  <w:style w:type="character" w:customStyle="1" w:styleId="jss1224">
    <w:name w:val="jss1224"/>
    <w:basedOn w:val="DefaultParagraphFont"/>
    <w:rsid w:val="00EA5540"/>
  </w:style>
  <w:style w:type="character" w:customStyle="1" w:styleId="Heading1Char">
    <w:name w:val="Heading 1 Char"/>
    <w:basedOn w:val="DefaultParagraphFont"/>
    <w:link w:val="Heading1"/>
    <w:uiPriority w:val="9"/>
    <w:rsid w:val="00586A63"/>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8A477F"/>
  </w:style>
  <w:style w:type="character" w:styleId="FollowedHyperlink">
    <w:name w:val="FollowedHyperlink"/>
    <w:basedOn w:val="DefaultParagraphFont"/>
    <w:uiPriority w:val="99"/>
    <w:semiHidden/>
    <w:unhideWhenUsed/>
    <w:rsid w:val="009564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022471">
      <w:bodyDiv w:val="1"/>
      <w:marLeft w:val="0"/>
      <w:marRight w:val="0"/>
      <w:marTop w:val="0"/>
      <w:marBottom w:val="0"/>
      <w:divBdr>
        <w:top w:val="none" w:sz="0" w:space="0" w:color="auto"/>
        <w:left w:val="none" w:sz="0" w:space="0" w:color="auto"/>
        <w:bottom w:val="none" w:sz="0" w:space="0" w:color="auto"/>
        <w:right w:val="none" w:sz="0" w:space="0" w:color="auto"/>
      </w:divBdr>
    </w:div>
    <w:div w:id="137043091">
      <w:bodyDiv w:val="1"/>
      <w:marLeft w:val="0"/>
      <w:marRight w:val="0"/>
      <w:marTop w:val="0"/>
      <w:marBottom w:val="0"/>
      <w:divBdr>
        <w:top w:val="none" w:sz="0" w:space="0" w:color="auto"/>
        <w:left w:val="none" w:sz="0" w:space="0" w:color="auto"/>
        <w:bottom w:val="none" w:sz="0" w:space="0" w:color="auto"/>
        <w:right w:val="none" w:sz="0" w:space="0" w:color="auto"/>
      </w:divBdr>
    </w:div>
    <w:div w:id="169102389">
      <w:bodyDiv w:val="1"/>
      <w:marLeft w:val="0"/>
      <w:marRight w:val="0"/>
      <w:marTop w:val="0"/>
      <w:marBottom w:val="0"/>
      <w:divBdr>
        <w:top w:val="none" w:sz="0" w:space="0" w:color="auto"/>
        <w:left w:val="none" w:sz="0" w:space="0" w:color="auto"/>
        <w:bottom w:val="none" w:sz="0" w:space="0" w:color="auto"/>
        <w:right w:val="none" w:sz="0" w:space="0" w:color="auto"/>
      </w:divBdr>
    </w:div>
    <w:div w:id="170998710">
      <w:bodyDiv w:val="1"/>
      <w:marLeft w:val="0"/>
      <w:marRight w:val="0"/>
      <w:marTop w:val="0"/>
      <w:marBottom w:val="0"/>
      <w:divBdr>
        <w:top w:val="none" w:sz="0" w:space="0" w:color="auto"/>
        <w:left w:val="none" w:sz="0" w:space="0" w:color="auto"/>
        <w:bottom w:val="none" w:sz="0" w:space="0" w:color="auto"/>
        <w:right w:val="none" w:sz="0" w:space="0" w:color="auto"/>
      </w:divBdr>
    </w:div>
    <w:div w:id="202524335">
      <w:bodyDiv w:val="1"/>
      <w:marLeft w:val="0"/>
      <w:marRight w:val="0"/>
      <w:marTop w:val="0"/>
      <w:marBottom w:val="0"/>
      <w:divBdr>
        <w:top w:val="none" w:sz="0" w:space="0" w:color="auto"/>
        <w:left w:val="none" w:sz="0" w:space="0" w:color="auto"/>
        <w:bottom w:val="none" w:sz="0" w:space="0" w:color="auto"/>
        <w:right w:val="none" w:sz="0" w:space="0" w:color="auto"/>
      </w:divBdr>
    </w:div>
    <w:div w:id="277881631">
      <w:bodyDiv w:val="1"/>
      <w:marLeft w:val="0"/>
      <w:marRight w:val="0"/>
      <w:marTop w:val="0"/>
      <w:marBottom w:val="0"/>
      <w:divBdr>
        <w:top w:val="none" w:sz="0" w:space="0" w:color="auto"/>
        <w:left w:val="none" w:sz="0" w:space="0" w:color="auto"/>
        <w:bottom w:val="none" w:sz="0" w:space="0" w:color="auto"/>
        <w:right w:val="none" w:sz="0" w:space="0" w:color="auto"/>
      </w:divBdr>
    </w:div>
    <w:div w:id="329601973">
      <w:bodyDiv w:val="1"/>
      <w:marLeft w:val="0"/>
      <w:marRight w:val="0"/>
      <w:marTop w:val="0"/>
      <w:marBottom w:val="0"/>
      <w:divBdr>
        <w:top w:val="none" w:sz="0" w:space="0" w:color="auto"/>
        <w:left w:val="none" w:sz="0" w:space="0" w:color="auto"/>
        <w:bottom w:val="none" w:sz="0" w:space="0" w:color="auto"/>
        <w:right w:val="none" w:sz="0" w:space="0" w:color="auto"/>
      </w:divBdr>
    </w:div>
    <w:div w:id="378746172">
      <w:bodyDiv w:val="1"/>
      <w:marLeft w:val="0"/>
      <w:marRight w:val="0"/>
      <w:marTop w:val="0"/>
      <w:marBottom w:val="0"/>
      <w:divBdr>
        <w:top w:val="none" w:sz="0" w:space="0" w:color="auto"/>
        <w:left w:val="none" w:sz="0" w:space="0" w:color="auto"/>
        <w:bottom w:val="none" w:sz="0" w:space="0" w:color="auto"/>
        <w:right w:val="none" w:sz="0" w:space="0" w:color="auto"/>
      </w:divBdr>
    </w:div>
    <w:div w:id="393041135">
      <w:bodyDiv w:val="1"/>
      <w:marLeft w:val="0"/>
      <w:marRight w:val="0"/>
      <w:marTop w:val="0"/>
      <w:marBottom w:val="0"/>
      <w:divBdr>
        <w:top w:val="none" w:sz="0" w:space="0" w:color="auto"/>
        <w:left w:val="none" w:sz="0" w:space="0" w:color="auto"/>
        <w:bottom w:val="none" w:sz="0" w:space="0" w:color="auto"/>
        <w:right w:val="none" w:sz="0" w:space="0" w:color="auto"/>
      </w:divBdr>
    </w:div>
    <w:div w:id="394813733">
      <w:bodyDiv w:val="1"/>
      <w:marLeft w:val="0"/>
      <w:marRight w:val="0"/>
      <w:marTop w:val="0"/>
      <w:marBottom w:val="0"/>
      <w:divBdr>
        <w:top w:val="none" w:sz="0" w:space="0" w:color="auto"/>
        <w:left w:val="none" w:sz="0" w:space="0" w:color="auto"/>
        <w:bottom w:val="none" w:sz="0" w:space="0" w:color="auto"/>
        <w:right w:val="none" w:sz="0" w:space="0" w:color="auto"/>
      </w:divBdr>
    </w:div>
    <w:div w:id="397048302">
      <w:bodyDiv w:val="1"/>
      <w:marLeft w:val="0"/>
      <w:marRight w:val="0"/>
      <w:marTop w:val="0"/>
      <w:marBottom w:val="0"/>
      <w:divBdr>
        <w:top w:val="none" w:sz="0" w:space="0" w:color="auto"/>
        <w:left w:val="none" w:sz="0" w:space="0" w:color="auto"/>
        <w:bottom w:val="none" w:sz="0" w:space="0" w:color="auto"/>
        <w:right w:val="none" w:sz="0" w:space="0" w:color="auto"/>
      </w:divBdr>
      <w:divsChild>
        <w:div w:id="853885820">
          <w:marLeft w:val="0"/>
          <w:marRight w:val="0"/>
          <w:marTop w:val="0"/>
          <w:marBottom w:val="0"/>
          <w:divBdr>
            <w:top w:val="none" w:sz="0" w:space="0" w:color="auto"/>
            <w:left w:val="none" w:sz="0" w:space="0" w:color="auto"/>
            <w:bottom w:val="none" w:sz="0" w:space="0" w:color="auto"/>
            <w:right w:val="none" w:sz="0" w:space="0" w:color="auto"/>
          </w:divBdr>
        </w:div>
        <w:div w:id="308445157">
          <w:marLeft w:val="0"/>
          <w:marRight w:val="0"/>
          <w:marTop w:val="0"/>
          <w:marBottom w:val="0"/>
          <w:divBdr>
            <w:top w:val="none" w:sz="0" w:space="0" w:color="auto"/>
            <w:left w:val="none" w:sz="0" w:space="0" w:color="auto"/>
            <w:bottom w:val="none" w:sz="0" w:space="0" w:color="auto"/>
            <w:right w:val="none" w:sz="0" w:space="0" w:color="auto"/>
          </w:divBdr>
        </w:div>
        <w:div w:id="507907721">
          <w:marLeft w:val="0"/>
          <w:marRight w:val="0"/>
          <w:marTop w:val="0"/>
          <w:marBottom w:val="0"/>
          <w:divBdr>
            <w:top w:val="none" w:sz="0" w:space="0" w:color="auto"/>
            <w:left w:val="none" w:sz="0" w:space="0" w:color="auto"/>
            <w:bottom w:val="none" w:sz="0" w:space="0" w:color="auto"/>
            <w:right w:val="none" w:sz="0" w:space="0" w:color="auto"/>
          </w:divBdr>
        </w:div>
      </w:divsChild>
    </w:div>
    <w:div w:id="407770591">
      <w:bodyDiv w:val="1"/>
      <w:marLeft w:val="0"/>
      <w:marRight w:val="0"/>
      <w:marTop w:val="0"/>
      <w:marBottom w:val="0"/>
      <w:divBdr>
        <w:top w:val="none" w:sz="0" w:space="0" w:color="auto"/>
        <w:left w:val="none" w:sz="0" w:space="0" w:color="auto"/>
        <w:bottom w:val="none" w:sz="0" w:space="0" w:color="auto"/>
        <w:right w:val="none" w:sz="0" w:space="0" w:color="auto"/>
      </w:divBdr>
    </w:div>
    <w:div w:id="498927170">
      <w:bodyDiv w:val="1"/>
      <w:marLeft w:val="0"/>
      <w:marRight w:val="0"/>
      <w:marTop w:val="0"/>
      <w:marBottom w:val="0"/>
      <w:divBdr>
        <w:top w:val="none" w:sz="0" w:space="0" w:color="auto"/>
        <w:left w:val="none" w:sz="0" w:space="0" w:color="auto"/>
        <w:bottom w:val="none" w:sz="0" w:space="0" w:color="auto"/>
        <w:right w:val="none" w:sz="0" w:space="0" w:color="auto"/>
      </w:divBdr>
    </w:div>
    <w:div w:id="520557435">
      <w:bodyDiv w:val="1"/>
      <w:marLeft w:val="0"/>
      <w:marRight w:val="0"/>
      <w:marTop w:val="0"/>
      <w:marBottom w:val="0"/>
      <w:divBdr>
        <w:top w:val="none" w:sz="0" w:space="0" w:color="auto"/>
        <w:left w:val="none" w:sz="0" w:space="0" w:color="auto"/>
        <w:bottom w:val="none" w:sz="0" w:space="0" w:color="auto"/>
        <w:right w:val="none" w:sz="0" w:space="0" w:color="auto"/>
      </w:divBdr>
    </w:div>
    <w:div w:id="604307693">
      <w:bodyDiv w:val="1"/>
      <w:marLeft w:val="0"/>
      <w:marRight w:val="0"/>
      <w:marTop w:val="0"/>
      <w:marBottom w:val="0"/>
      <w:divBdr>
        <w:top w:val="none" w:sz="0" w:space="0" w:color="auto"/>
        <w:left w:val="none" w:sz="0" w:space="0" w:color="auto"/>
        <w:bottom w:val="none" w:sz="0" w:space="0" w:color="auto"/>
        <w:right w:val="none" w:sz="0" w:space="0" w:color="auto"/>
      </w:divBdr>
    </w:div>
    <w:div w:id="677922271">
      <w:bodyDiv w:val="1"/>
      <w:marLeft w:val="0"/>
      <w:marRight w:val="0"/>
      <w:marTop w:val="0"/>
      <w:marBottom w:val="0"/>
      <w:divBdr>
        <w:top w:val="none" w:sz="0" w:space="0" w:color="auto"/>
        <w:left w:val="none" w:sz="0" w:space="0" w:color="auto"/>
        <w:bottom w:val="none" w:sz="0" w:space="0" w:color="auto"/>
        <w:right w:val="none" w:sz="0" w:space="0" w:color="auto"/>
      </w:divBdr>
    </w:div>
    <w:div w:id="734016130">
      <w:bodyDiv w:val="1"/>
      <w:marLeft w:val="0"/>
      <w:marRight w:val="0"/>
      <w:marTop w:val="0"/>
      <w:marBottom w:val="0"/>
      <w:divBdr>
        <w:top w:val="none" w:sz="0" w:space="0" w:color="auto"/>
        <w:left w:val="none" w:sz="0" w:space="0" w:color="auto"/>
        <w:bottom w:val="none" w:sz="0" w:space="0" w:color="auto"/>
        <w:right w:val="none" w:sz="0" w:space="0" w:color="auto"/>
      </w:divBdr>
    </w:div>
    <w:div w:id="752434390">
      <w:bodyDiv w:val="1"/>
      <w:marLeft w:val="0"/>
      <w:marRight w:val="0"/>
      <w:marTop w:val="0"/>
      <w:marBottom w:val="0"/>
      <w:divBdr>
        <w:top w:val="none" w:sz="0" w:space="0" w:color="auto"/>
        <w:left w:val="none" w:sz="0" w:space="0" w:color="auto"/>
        <w:bottom w:val="none" w:sz="0" w:space="0" w:color="auto"/>
        <w:right w:val="none" w:sz="0" w:space="0" w:color="auto"/>
      </w:divBdr>
    </w:div>
    <w:div w:id="850336460">
      <w:bodyDiv w:val="1"/>
      <w:marLeft w:val="0"/>
      <w:marRight w:val="0"/>
      <w:marTop w:val="0"/>
      <w:marBottom w:val="0"/>
      <w:divBdr>
        <w:top w:val="none" w:sz="0" w:space="0" w:color="auto"/>
        <w:left w:val="none" w:sz="0" w:space="0" w:color="auto"/>
        <w:bottom w:val="none" w:sz="0" w:space="0" w:color="auto"/>
        <w:right w:val="none" w:sz="0" w:space="0" w:color="auto"/>
      </w:divBdr>
    </w:div>
    <w:div w:id="909659105">
      <w:bodyDiv w:val="1"/>
      <w:marLeft w:val="0"/>
      <w:marRight w:val="0"/>
      <w:marTop w:val="0"/>
      <w:marBottom w:val="0"/>
      <w:divBdr>
        <w:top w:val="none" w:sz="0" w:space="0" w:color="auto"/>
        <w:left w:val="none" w:sz="0" w:space="0" w:color="auto"/>
        <w:bottom w:val="none" w:sz="0" w:space="0" w:color="auto"/>
        <w:right w:val="none" w:sz="0" w:space="0" w:color="auto"/>
      </w:divBdr>
    </w:div>
    <w:div w:id="988746905">
      <w:bodyDiv w:val="1"/>
      <w:marLeft w:val="0"/>
      <w:marRight w:val="0"/>
      <w:marTop w:val="0"/>
      <w:marBottom w:val="0"/>
      <w:divBdr>
        <w:top w:val="none" w:sz="0" w:space="0" w:color="auto"/>
        <w:left w:val="none" w:sz="0" w:space="0" w:color="auto"/>
        <w:bottom w:val="none" w:sz="0" w:space="0" w:color="auto"/>
        <w:right w:val="none" w:sz="0" w:space="0" w:color="auto"/>
      </w:divBdr>
    </w:div>
    <w:div w:id="994455750">
      <w:bodyDiv w:val="1"/>
      <w:marLeft w:val="0"/>
      <w:marRight w:val="0"/>
      <w:marTop w:val="0"/>
      <w:marBottom w:val="0"/>
      <w:divBdr>
        <w:top w:val="none" w:sz="0" w:space="0" w:color="auto"/>
        <w:left w:val="none" w:sz="0" w:space="0" w:color="auto"/>
        <w:bottom w:val="none" w:sz="0" w:space="0" w:color="auto"/>
        <w:right w:val="none" w:sz="0" w:space="0" w:color="auto"/>
      </w:divBdr>
    </w:div>
    <w:div w:id="1024676809">
      <w:bodyDiv w:val="1"/>
      <w:marLeft w:val="0"/>
      <w:marRight w:val="0"/>
      <w:marTop w:val="0"/>
      <w:marBottom w:val="0"/>
      <w:divBdr>
        <w:top w:val="none" w:sz="0" w:space="0" w:color="auto"/>
        <w:left w:val="none" w:sz="0" w:space="0" w:color="auto"/>
        <w:bottom w:val="none" w:sz="0" w:space="0" w:color="auto"/>
        <w:right w:val="none" w:sz="0" w:space="0" w:color="auto"/>
      </w:divBdr>
    </w:div>
    <w:div w:id="1109816215">
      <w:bodyDiv w:val="1"/>
      <w:marLeft w:val="0"/>
      <w:marRight w:val="0"/>
      <w:marTop w:val="0"/>
      <w:marBottom w:val="0"/>
      <w:divBdr>
        <w:top w:val="none" w:sz="0" w:space="0" w:color="auto"/>
        <w:left w:val="none" w:sz="0" w:space="0" w:color="auto"/>
        <w:bottom w:val="none" w:sz="0" w:space="0" w:color="auto"/>
        <w:right w:val="none" w:sz="0" w:space="0" w:color="auto"/>
      </w:divBdr>
    </w:div>
    <w:div w:id="1120539607">
      <w:bodyDiv w:val="1"/>
      <w:marLeft w:val="0"/>
      <w:marRight w:val="0"/>
      <w:marTop w:val="0"/>
      <w:marBottom w:val="0"/>
      <w:divBdr>
        <w:top w:val="none" w:sz="0" w:space="0" w:color="auto"/>
        <w:left w:val="none" w:sz="0" w:space="0" w:color="auto"/>
        <w:bottom w:val="none" w:sz="0" w:space="0" w:color="auto"/>
        <w:right w:val="none" w:sz="0" w:space="0" w:color="auto"/>
      </w:divBdr>
    </w:div>
    <w:div w:id="1162887740">
      <w:bodyDiv w:val="1"/>
      <w:marLeft w:val="0"/>
      <w:marRight w:val="0"/>
      <w:marTop w:val="0"/>
      <w:marBottom w:val="0"/>
      <w:divBdr>
        <w:top w:val="none" w:sz="0" w:space="0" w:color="auto"/>
        <w:left w:val="none" w:sz="0" w:space="0" w:color="auto"/>
        <w:bottom w:val="none" w:sz="0" w:space="0" w:color="auto"/>
        <w:right w:val="none" w:sz="0" w:space="0" w:color="auto"/>
      </w:divBdr>
    </w:div>
    <w:div w:id="1254168291">
      <w:bodyDiv w:val="1"/>
      <w:marLeft w:val="0"/>
      <w:marRight w:val="0"/>
      <w:marTop w:val="0"/>
      <w:marBottom w:val="0"/>
      <w:divBdr>
        <w:top w:val="none" w:sz="0" w:space="0" w:color="auto"/>
        <w:left w:val="none" w:sz="0" w:space="0" w:color="auto"/>
        <w:bottom w:val="none" w:sz="0" w:space="0" w:color="auto"/>
        <w:right w:val="none" w:sz="0" w:space="0" w:color="auto"/>
      </w:divBdr>
    </w:div>
    <w:div w:id="1255944399">
      <w:bodyDiv w:val="1"/>
      <w:marLeft w:val="0"/>
      <w:marRight w:val="0"/>
      <w:marTop w:val="0"/>
      <w:marBottom w:val="0"/>
      <w:divBdr>
        <w:top w:val="none" w:sz="0" w:space="0" w:color="auto"/>
        <w:left w:val="none" w:sz="0" w:space="0" w:color="auto"/>
        <w:bottom w:val="none" w:sz="0" w:space="0" w:color="auto"/>
        <w:right w:val="none" w:sz="0" w:space="0" w:color="auto"/>
      </w:divBdr>
    </w:div>
    <w:div w:id="1302268387">
      <w:bodyDiv w:val="1"/>
      <w:marLeft w:val="0"/>
      <w:marRight w:val="0"/>
      <w:marTop w:val="0"/>
      <w:marBottom w:val="0"/>
      <w:divBdr>
        <w:top w:val="none" w:sz="0" w:space="0" w:color="auto"/>
        <w:left w:val="none" w:sz="0" w:space="0" w:color="auto"/>
        <w:bottom w:val="none" w:sz="0" w:space="0" w:color="auto"/>
        <w:right w:val="none" w:sz="0" w:space="0" w:color="auto"/>
      </w:divBdr>
    </w:div>
    <w:div w:id="1324120489">
      <w:bodyDiv w:val="1"/>
      <w:marLeft w:val="0"/>
      <w:marRight w:val="0"/>
      <w:marTop w:val="0"/>
      <w:marBottom w:val="0"/>
      <w:divBdr>
        <w:top w:val="none" w:sz="0" w:space="0" w:color="auto"/>
        <w:left w:val="none" w:sz="0" w:space="0" w:color="auto"/>
        <w:bottom w:val="none" w:sz="0" w:space="0" w:color="auto"/>
        <w:right w:val="none" w:sz="0" w:space="0" w:color="auto"/>
      </w:divBdr>
    </w:div>
    <w:div w:id="1359161374">
      <w:bodyDiv w:val="1"/>
      <w:marLeft w:val="0"/>
      <w:marRight w:val="0"/>
      <w:marTop w:val="0"/>
      <w:marBottom w:val="0"/>
      <w:divBdr>
        <w:top w:val="none" w:sz="0" w:space="0" w:color="auto"/>
        <w:left w:val="none" w:sz="0" w:space="0" w:color="auto"/>
        <w:bottom w:val="none" w:sz="0" w:space="0" w:color="auto"/>
        <w:right w:val="none" w:sz="0" w:space="0" w:color="auto"/>
      </w:divBdr>
    </w:div>
    <w:div w:id="1386761362">
      <w:bodyDiv w:val="1"/>
      <w:marLeft w:val="0"/>
      <w:marRight w:val="0"/>
      <w:marTop w:val="0"/>
      <w:marBottom w:val="0"/>
      <w:divBdr>
        <w:top w:val="none" w:sz="0" w:space="0" w:color="auto"/>
        <w:left w:val="none" w:sz="0" w:space="0" w:color="auto"/>
        <w:bottom w:val="none" w:sz="0" w:space="0" w:color="auto"/>
        <w:right w:val="none" w:sz="0" w:space="0" w:color="auto"/>
      </w:divBdr>
    </w:div>
    <w:div w:id="1422069652">
      <w:bodyDiv w:val="1"/>
      <w:marLeft w:val="0"/>
      <w:marRight w:val="0"/>
      <w:marTop w:val="0"/>
      <w:marBottom w:val="0"/>
      <w:divBdr>
        <w:top w:val="none" w:sz="0" w:space="0" w:color="auto"/>
        <w:left w:val="none" w:sz="0" w:space="0" w:color="auto"/>
        <w:bottom w:val="none" w:sz="0" w:space="0" w:color="auto"/>
        <w:right w:val="none" w:sz="0" w:space="0" w:color="auto"/>
      </w:divBdr>
    </w:div>
    <w:div w:id="1439987552">
      <w:bodyDiv w:val="1"/>
      <w:marLeft w:val="0"/>
      <w:marRight w:val="0"/>
      <w:marTop w:val="0"/>
      <w:marBottom w:val="0"/>
      <w:divBdr>
        <w:top w:val="none" w:sz="0" w:space="0" w:color="auto"/>
        <w:left w:val="none" w:sz="0" w:space="0" w:color="auto"/>
        <w:bottom w:val="none" w:sz="0" w:space="0" w:color="auto"/>
        <w:right w:val="none" w:sz="0" w:space="0" w:color="auto"/>
      </w:divBdr>
    </w:div>
    <w:div w:id="1487435890">
      <w:bodyDiv w:val="1"/>
      <w:marLeft w:val="0"/>
      <w:marRight w:val="0"/>
      <w:marTop w:val="0"/>
      <w:marBottom w:val="0"/>
      <w:divBdr>
        <w:top w:val="none" w:sz="0" w:space="0" w:color="auto"/>
        <w:left w:val="none" w:sz="0" w:space="0" w:color="auto"/>
        <w:bottom w:val="none" w:sz="0" w:space="0" w:color="auto"/>
        <w:right w:val="none" w:sz="0" w:space="0" w:color="auto"/>
      </w:divBdr>
    </w:div>
    <w:div w:id="1518808658">
      <w:bodyDiv w:val="1"/>
      <w:marLeft w:val="0"/>
      <w:marRight w:val="0"/>
      <w:marTop w:val="0"/>
      <w:marBottom w:val="0"/>
      <w:divBdr>
        <w:top w:val="none" w:sz="0" w:space="0" w:color="auto"/>
        <w:left w:val="none" w:sz="0" w:space="0" w:color="auto"/>
        <w:bottom w:val="none" w:sz="0" w:space="0" w:color="auto"/>
        <w:right w:val="none" w:sz="0" w:space="0" w:color="auto"/>
      </w:divBdr>
    </w:div>
    <w:div w:id="1529878749">
      <w:bodyDiv w:val="1"/>
      <w:marLeft w:val="0"/>
      <w:marRight w:val="0"/>
      <w:marTop w:val="0"/>
      <w:marBottom w:val="0"/>
      <w:divBdr>
        <w:top w:val="none" w:sz="0" w:space="0" w:color="auto"/>
        <w:left w:val="none" w:sz="0" w:space="0" w:color="auto"/>
        <w:bottom w:val="none" w:sz="0" w:space="0" w:color="auto"/>
        <w:right w:val="none" w:sz="0" w:space="0" w:color="auto"/>
      </w:divBdr>
    </w:div>
    <w:div w:id="1554392845">
      <w:bodyDiv w:val="1"/>
      <w:marLeft w:val="0"/>
      <w:marRight w:val="0"/>
      <w:marTop w:val="0"/>
      <w:marBottom w:val="0"/>
      <w:divBdr>
        <w:top w:val="none" w:sz="0" w:space="0" w:color="auto"/>
        <w:left w:val="none" w:sz="0" w:space="0" w:color="auto"/>
        <w:bottom w:val="none" w:sz="0" w:space="0" w:color="auto"/>
        <w:right w:val="none" w:sz="0" w:space="0" w:color="auto"/>
      </w:divBdr>
    </w:div>
    <w:div w:id="1598712708">
      <w:bodyDiv w:val="1"/>
      <w:marLeft w:val="0"/>
      <w:marRight w:val="0"/>
      <w:marTop w:val="0"/>
      <w:marBottom w:val="0"/>
      <w:divBdr>
        <w:top w:val="none" w:sz="0" w:space="0" w:color="auto"/>
        <w:left w:val="none" w:sz="0" w:space="0" w:color="auto"/>
        <w:bottom w:val="none" w:sz="0" w:space="0" w:color="auto"/>
        <w:right w:val="none" w:sz="0" w:space="0" w:color="auto"/>
      </w:divBdr>
    </w:div>
    <w:div w:id="1674800032">
      <w:bodyDiv w:val="1"/>
      <w:marLeft w:val="0"/>
      <w:marRight w:val="0"/>
      <w:marTop w:val="0"/>
      <w:marBottom w:val="0"/>
      <w:divBdr>
        <w:top w:val="none" w:sz="0" w:space="0" w:color="auto"/>
        <w:left w:val="none" w:sz="0" w:space="0" w:color="auto"/>
        <w:bottom w:val="none" w:sz="0" w:space="0" w:color="auto"/>
        <w:right w:val="none" w:sz="0" w:space="0" w:color="auto"/>
      </w:divBdr>
    </w:div>
    <w:div w:id="1684673844">
      <w:bodyDiv w:val="1"/>
      <w:marLeft w:val="0"/>
      <w:marRight w:val="0"/>
      <w:marTop w:val="0"/>
      <w:marBottom w:val="0"/>
      <w:divBdr>
        <w:top w:val="none" w:sz="0" w:space="0" w:color="auto"/>
        <w:left w:val="none" w:sz="0" w:space="0" w:color="auto"/>
        <w:bottom w:val="none" w:sz="0" w:space="0" w:color="auto"/>
        <w:right w:val="none" w:sz="0" w:space="0" w:color="auto"/>
      </w:divBdr>
    </w:div>
    <w:div w:id="1707677870">
      <w:bodyDiv w:val="1"/>
      <w:marLeft w:val="0"/>
      <w:marRight w:val="0"/>
      <w:marTop w:val="0"/>
      <w:marBottom w:val="0"/>
      <w:divBdr>
        <w:top w:val="none" w:sz="0" w:space="0" w:color="auto"/>
        <w:left w:val="none" w:sz="0" w:space="0" w:color="auto"/>
        <w:bottom w:val="none" w:sz="0" w:space="0" w:color="auto"/>
        <w:right w:val="none" w:sz="0" w:space="0" w:color="auto"/>
      </w:divBdr>
    </w:div>
    <w:div w:id="1722745641">
      <w:bodyDiv w:val="1"/>
      <w:marLeft w:val="0"/>
      <w:marRight w:val="0"/>
      <w:marTop w:val="0"/>
      <w:marBottom w:val="0"/>
      <w:divBdr>
        <w:top w:val="none" w:sz="0" w:space="0" w:color="auto"/>
        <w:left w:val="none" w:sz="0" w:space="0" w:color="auto"/>
        <w:bottom w:val="none" w:sz="0" w:space="0" w:color="auto"/>
        <w:right w:val="none" w:sz="0" w:space="0" w:color="auto"/>
      </w:divBdr>
    </w:div>
    <w:div w:id="1793358026">
      <w:bodyDiv w:val="1"/>
      <w:marLeft w:val="0"/>
      <w:marRight w:val="0"/>
      <w:marTop w:val="0"/>
      <w:marBottom w:val="0"/>
      <w:divBdr>
        <w:top w:val="none" w:sz="0" w:space="0" w:color="auto"/>
        <w:left w:val="none" w:sz="0" w:space="0" w:color="auto"/>
        <w:bottom w:val="none" w:sz="0" w:space="0" w:color="auto"/>
        <w:right w:val="none" w:sz="0" w:space="0" w:color="auto"/>
      </w:divBdr>
    </w:div>
    <w:div w:id="1801337779">
      <w:bodyDiv w:val="1"/>
      <w:marLeft w:val="0"/>
      <w:marRight w:val="0"/>
      <w:marTop w:val="0"/>
      <w:marBottom w:val="0"/>
      <w:divBdr>
        <w:top w:val="none" w:sz="0" w:space="0" w:color="auto"/>
        <w:left w:val="none" w:sz="0" w:space="0" w:color="auto"/>
        <w:bottom w:val="none" w:sz="0" w:space="0" w:color="auto"/>
        <w:right w:val="none" w:sz="0" w:space="0" w:color="auto"/>
      </w:divBdr>
    </w:div>
    <w:div w:id="1806390426">
      <w:bodyDiv w:val="1"/>
      <w:marLeft w:val="0"/>
      <w:marRight w:val="0"/>
      <w:marTop w:val="0"/>
      <w:marBottom w:val="0"/>
      <w:divBdr>
        <w:top w:val="none" w:sz="0" w:space="0" w:color="auto"/>
        <w:left w:val="none" w:sz="0" w:space="0" w:color="auto"/>
        <w:bottom w:val="none" w:sz="0" w:space="0" w:color="auto"/>
        <w:right w:val="none" w:sz="0" w:space="0" w:color="auto"/>
      </w:divBdr>
    </w:div>
    <w:div w:id="1864901547">
      <w:bodyDiv w:val="1"/>
      <w:marLeft w:val="0"/>
      <w:marRight w:val="0"/>
      <w:marTop w:val="0"/>
      <w:marBottom w:val="0"/>
      <w:divBdr>
        <w:top w:val="none" w:sz="0" w:space="0" w:color="auto"/>
        <w:left w:val="none" w:sz="0" w:space="0" w:color="auto"/>
        <w:bottom w:val="none" w:sz="0" w:space="0" w:color="auto"/>
        <w:right w:val="none" w:sz="0" w:space="0" w:color="auto"/>
      </w:divBdr>
    </w:div>
    <w:div w:id="1870487439">
      <w:bodyDiv w:val="1"/>
      <w:marLeft w:val="0"/>
      <w:marRight w:val="0"/>
      <w:marTop w:val="0"/>
      <w:marBottom w:val="0"/>
      <w:divBdr>
        <w:top w:val="none" w:sz="0" w:space="0" w:color="auto"/>
        <w:left w:val="none" w:sz="0" w:space="0" w:color="auto"/>
        <w:bottom w:val="none" w:sz="0" w:space="0" w:color="auto"/>
        <w:right w:val="none" w:sz="0" w:space="0" w:color="auto"/>
      </w:divBdr>
    </w:div>
    <w:div w:id="1892227785">
      <w:bodyDiv w:val="1"/>
      <w:marLeft w:val="0"/>
      <w:marRight w:val="0"/>
      <w:marTop w:val="0"/>
      <w:marBottom w:val="0"/>
      <w:divBdr>
        <w:top w:val="none" w:sz="0" w:space="0" w:color="auto"/>
        <w:left w:val="none" w:sz="0" w:space="0" w:color="auto"/>
        <w:bottom w:val="none" w:sz="0" w:space="0" w:color="auto"/>
        <w:right w:val="none" w:sz="0" w:space="0" w:color="auto"/>
      </w:divBdr>
      <w:divsChild>
        <w:div w:id="1032148754">
          <w:marLeft w:val="0"/>
          <w:marRight w:val="0"/>
          <w:marTop w:val="0"/>
          <w:marBottom w:val="0"/>
          <w:divBdr>
            <w:top w:val="none" w:sz="0" w:space="0" w:color="auto"/>
            <w:left w:val="none" w:sz="0" w:space="0" w:color="auto"/>
            <w:bottom w:val="none" w:sz="0" w:space="0" w:color="auto"/>
            <w:right w:val="none" w:sz="0" w:space="0" w:color="auto"/>
          </w:divBdr>
        </w:div>
        <w:div w:id="2033607338">
          <w:marLeft w:val="0"/>
          <w:marRight w:val="0"/>
          <w:marTop w:val="0"/>
          <w:marBottom w:val="0"/>
          <w:divBdr>
            <w:top w:val="none" w:sz="0" w:space="0" w:color="auto"/>
            <w:left w:val="none" w:sz="0" w:space="0" w:color="auto"/>
            <w:bottom w:val="none" w:sz="0" w:space="0" w:color="auto"/>
            <w:right w:val="none" w:sz="0" w:space="0" w:color="auto"/>
          </w:divBdr>
        </w:div>
        <w:div w:id="848713463">
          <w:marLeft w:val="0"/>
          <w:marRight w:val="0"/>
          <w:marTop w:val="0"/>
          <w:marBottom w:val="0"/>
          <w:divBdr>
            <w:top w:val="none" w:sz="0" w:space="0" w:color="auto"/>
            <w:left w:val="none" w:sz="0" w:space="0" w:color="auto"/>
            <w:bottom w:val="none" w:sz="0" w:space="0" w:color="auto"/>
            <w:right w:val="none" w:sz="0" w:space="0" w:color="auto"/>
          </w:divBdr>
        </w:div>
      </w:divsChild>
    </w:div>
    <w:div w:id="1907765807">
      <w:bodyDiv w:val="1"/>
      <w:marLeft w:val="0"/>
      <w:marRight w:val="0"/>
      <w:marTop w:val="0"/>
      <w:marBottom w:val="0"/>
      <w:divBdr>
        <w:top w:val="none" w:sz="0" w:space="0" w:color="auto"/>
        <w:left w:val="none" w:sz="0" w:space="0" w:color="auto"/>
        <w:bottom w:val="none" w:sz="0" w:space="0" w:color="auto"/>
        <w:right w:val="none" w:sz="0" w:space="0" w:color="auto"/>
      </w:divBdr>
    </w:div>
    <w:div w:id="1972400140">
      <w:bodyDiv w:val="1"/>
      <w:marLeft w:val="0"/>
      <w:marRight w:val="0"/>
      <w:marTop w:val="0"/>
      <w:marBottom w:val="0"/>
      <w:divBdr>
        <w:top w:val="none" w:sz="0" w:space="0" w:color="auto"/>
        <w:left w:val="none" w:sz="0" w:space="0" w:color="auto"/>
        <w:bottom w:val="none" w:sz="0" w:space="0" w:color="auto"/>
        <w:right w:val="none" w:sz="0" w:space="0" w:color="auto"/>
      </w:divBdr>
    </w:div>
    <w:div w:id="2107576535">
      <w:bodyDiv w:val="1"/>
      <w:marLeft w:val="0"/>
      <w:marRight w:val="0"/>
      <w:marTop w:val="0"/>
      <w:marBottom w:val="0"/>
      <w:divBdr>
        <w:top w:val="none" w:sz="0" w:space="0" w:color="auto"/>
        <w:left w:val="none" w:sz="0" w:space="0" w:color="auto"/>
        <w:bottom w:val="none" w:sz="0" w:space="0" w:color="auto"/>
        <w:right w:val="none" w:sz="0" w:space="0" w:color="auto"/>
      </w:divBdr>
      <w:divsChild>
        <w:div w:id="1019232634">
          <w:marLeft w:val="0"/>
          <w:marRight w:val="0"/>
          <w:marTop w:val="0"/>
          <w:marBottom w:val="0"/>
          <w:divBdr>
            <w:top w:val="none" w:sz="0" w:space="0" w:color="auto"/>
            <w:left w:val="none" w:sz="0" w:space="0" w:color="auto"/>
            <w:bottom w:val="none" w:sz="0" w:space="0" w:color="auto"/>
            <w:right w:val="none" w:sz="0" w:space="0" w:color="auto"/>
          </w:divBdr>
        </w:div>
        <w:div w:id="2096710198">
          <w:marLeft w:val="0"/>
          <w:marRight w:val="0"/>
          <w:marTop w:val="0"/>
          <w:marBottom w:val="0"/>
          <w:divBdr>
            <w:top w:val="none" w:sz="0" w:space="0" w:color="auto"/>
            <w:left w:val="none" w:sz="0" w:space="0" w:color="auto"/>
            <w:bottom w:val="none" w:sz="0" w:space="0" w:color="auto"/>
            <w:right w:val="none" w:sz="0" w:space="0" w:color="auto"/>
          </w:divBdr>
        </w:div>
        <w:div w:id="664356875">
          <w:marLeft w:val="0"/>
          <w:marRight w:val="0"/>
          <w:marTop w:val="0"/>
          <w:marBottom w:val="0"/>
          <w:divBdr>
            <w:top w:val="none" w:sz="0" w:space="0" w:color="auto"/>
            <w:left w:val="none" w:sz="0" w:space="0" w:color="auto"/>
            <w:bottom w:val="none" w:sz="0" w:space="0" w:color="auto"/>
            <w:right w:val="none" w:sz="0" w:space="0" w:color="auto"/>
          </w:divBdr>
        </w:div>
      </w:divsChild>
    </w:div>
    <w:div w:id="2108037384">
      <w:bodyDiv w:val="1"/>
      <w:marLeft w:val="0"/>
      <w:marRight w:val="0"/>
      <w:marTop w:val="0"/>
      <w:marBottom w:val="0"/>
      <w:divBdr>
        <w:top w:val="none" w:sz="0" w:space="0" w:color="auto"/>
        <w:left w:val="none" w:sz="0" w:space="0" w:color="auto"/>
        <w:bottom w:val="none" w:sz="0" w:space="0" w:color="auto"/>
        <w:right w:val="none" w:sz="0" w:space="0" w:color="auto"/>
      </w:divBdr>
    </w:div>
    <w:div w:id="2114475853">
      <w:bodyDiv w:val="1"/>
      <w:marLeft w:val="0"/>
      <w:marRight w:val="0"/>
      <w:marTop w:val="0"/>
      <w:marBottom w:val="0"/>
      <w:divBdr>
        <w:top w:val="none" w:sz="0" w:space="0" w:color="auto"/>
        <w:left w:val="none" w:sz="0" w:space="0" w:color="auto"/>
        <w:bottom w:val="none" w:sz="0" w:space="0" w:color="auto"/>
        <w:right w:val="none" w:sz="0" w:space="0" w:color="auto"/>
      </w:divBdr>
    </w:div>
    <w:div w:id="213640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Wes201</b:Tag>
    <b:SourceType>InternetSite</b:SourceType>
    <b:Guid>{91900FD6-481A-4E19-8355-25BE83F759C9}</b:Guid>
    <b:Title>Intermediate Phase :Addressing Barriers to Learning - Mathematics</b:Title>
    <b:InternetSiteTitle>wcedctli.co.za</b:InternetSiteTitle>
    <b:Year>2020</b:Year>
    <b:Month>02</b:Month>
    <b:Day>24</b:Day>
    <b:URL>https://wcedctli.co.za/node/44686</b:URL>
    <b:Author>
      <b:Author>
        <b:NameList>
          <b:Person>
            <b:Last>Government</b:Last>
            <b:First>West</b:First>
            <b:Middle>Cape</b:Middle>
          </b:Person>
        </b:NameList>
      </b:Author>
    </b:Author>
    <b:YearAccessed>2021</b:YearAccessed>
    <b:MonthAccessed>05</b:MonthAccessed>
    <b:DayAccessed>12</b:DayAccessed>
    <b:RefOrder>1</b:RefOrder>
  </b:Source>
  <b:Source>
    <b:Tag>Irv13</b:Tag>
    <b:SourceType>InternetSite</b:SourceType>
    <b:Guid>{98E97833-B82E-47C2-BF01-BAB56DD2B8E2}</b:Guid>
    <b:Author>
      <b:Author>
        <b:NameList>
          <b:Person>
            <b:Last>Wladawsky-Berger</b:Last>
            <b:First>Irving</b:First>
          </b:Person>
        </b:NameList>
      </b:Author>
    </b:Author>
    <b:Title>Reflections on Storytelling</b:Title>
    <b:InternetSiteTitle>ww.blog.irvingwb.com</b:InternetSiteTitle>
    <b:Year>2013</b:Year>
    <b:Month>04</b:Month>
    <b:Day>22</b:Day>
    <b:URL>https://blog.irvingwb.com/blog/2013/04/reflections-on-storytelling.html</b:URL>
    <b:YearAccessed>2021</b:YearAccessed>
    <b:MonthAccessed>04</b:MonthAccessed>
    <b:DayAccessed>07</b:DayAccessed>
    <b:RefOrder>16</b:RefOrder>
  </b:Source>
  <b:Source>
    <b:Tag>CIP21</b:Tag>
    <b:SourceType>DocumentFromInternetSite</b:SourceType>
    <b:Guid>{4C114588-41E1-4FB9-A6C1-D41D9654CA8B}</b:Guid>
    <b:Title>www.cipd.co.uk/Images/reflective-practice-guide_tcm18-12524.pdf</b:Title>
    <b:InternetSiteTitle>www.cipd.co.uk</b:InternetSiteTitle>
    <b:Year>2021</b:Year>
    <b:URL>https://www.cipd.co.uk/Images/reflective-practice-guide_tcm18-12524.pdf</b:URL>
    <b:Author>
      <b:Author>
        <b:NameList>
          <b:Person>
            <b:Last>CIPD</b:Last>
          </b:Person>
        </b:NameList>
      </b:Author>
    </b:Author>
    <b:YearAccessed>2021</b:YearAccessed>
    <b:MonthAccessed>04</b:MonthAccessed>
    <b:DayAccessed>07</b:DayAccessed>
    <b:RefOrder>17</b:RefOrder>
  </b:Source>
  <b:Source>
    <b:Tag>UniND</b:Tag>
    <b:SourceType>InternetSite</b:SourceType>
    <b:Guid>{728D1FA3-ED4A-47E1-904E-16098DDE27E9}</b:Guid>
    <b:Title>Formative vs Summative</b:Title>
    <b:InternetSiteTitle>www.gre.ac.uk</b:InternetSiteTitle>
    <b:Year>ND</b:Year>
    <b:URL>https://www.gre.ac.uk/learning-teaching/assessment/assessment/design/formative-vs-summative#:~:text=The%20purpose%20of%20formative%20assessment,feedback%20to%20staff%20and%20students.&amp;text=The%20goal%20of%20summative%20assessment,against%20some%20standard</b:URL>
    <b:Author>
      <b:Author>
        <b:NameList>
          <b:Person>
            <b:Last>Grenwich</b:Last>
            <b:First>University</b:First>
            <b:Middle>of</b:Middle>
          </b:Person>
        </b:NameList>
      </b:Author>
    </b:Author>
    <b:YearAccessed>2021</b:YearAccessed>
    <b:MonthAccessed>05</b:MonthAccessed>
    <b:DayAccessed>12</b:DayAccessed>
    <b:RefOrder>18</b:RefOrder>
  </b:Source>
  <b:Source>
    <b:Tag>Chi17</b:Tag>
    <b:SourceType>Book</b:SourceType>
    <b:Guid>{848FB083-0BEB-4910-AC10-5BBF7A300375}</b:Guid>
    <b:Title>Dyscalculia, Dyslexia and Mathematics</b:Title>
    <b:Year>2017</b:Year>
    <b:URL>https://media.wiley.com/product_data/excerpt/62/11191599/1119159962-123.pdf</b:URL>
    <b:Pages>360</b:Pages>
    <b:Author>
      <b:Author>
        <b:NameList>
          <b:Person>
            <b:Last>Chinn</b:Last>
            <b:First>Steve</b:First>
          </b:Person>
          <b:Person>
            <b:Last>Ashcroft</b:Last>
            <b:First>Richard</b:First>
          </b:Person>
        </b:NameList>
      </b:Author>
    </b:Author>
    <b:Volume>4</b:Volume>
    <b:YearAccessed>2021</b:YearAccessed>
    <b:MonthAccessed>05</b:MonthAccessed>
    <b:DayAccessed>12</b:DayAccessed>
    <b:RefOrder>19</b:RefOrder>
  </b:Source>
  <b:Source>
    <b:Tag>Dav20</b:Tag>
    <b:SourceType>Report</b:SourceType>
    <b:Guid>{2D135AA6-A5B3-48B9-858F-B414CDDDE702}</b:Guid>
    <b:Title>Critical Connections Between Numeracy and Mathematics</b:Title>
    <b:Year>2020</b:Year>
    <b:Author>
      <b:Author>
        <b:NameList>
          <b:Person>
            <b:Last>Tout</b:Last>
            <b:First>Dave</b:First>
          </b:Person>
        </b:NameList>
      </b:Author>
    </b:Author>
    <b:Department>Department of Education and Training</b:Department>
    <b:Pages>11</b:Pages>
    <b:YearAccessed>2021</b:YearAccessed>
    <b:MonthAccessed>05</b:MonthAccessed>
    <b:DayAccessed>12</b:DayAccessed>
    <b:URL>https://research.acer.edu.au/cgi/viewcontent.cgi?article=1030&amp;context=learning_processes</b:URL>
    <b:RefOrder>2</b:RefOrder>
  </b:Source>
  <b:Source>
    <b:Tag>Vic19</b:Tag>
    <b:SourceType>InternetSite</b:SourceType>
    <b:Guid>{531D6A5C-FBD0-4AB8-B64A-6300CB101D0C}</b:Guid>
    <b:Title>Numeracy for all learners</b:Title>
    <b:Year>2019</b:Year>
    <b:InternetSiteTitle>www.education.vic.gov.au</b:InternetSiteTitle>
    <b:URL>https://www.education.vic.gov.au/school/teachers/teachingresources/discipline/maths/Pages/numeracy-for-all-learners.aspx</b:URL>
    <b:Author>
      <b:Author>
        <b:NameList>
          <b:Person>
            <b:Last>Victoria</b:Last>
          </b:Person>
        </b:NameList>
      </b:Author>
    </b:Author>
    <b:YearAccessed>2021</b:YearAccessed>
    <b:MonthAccessed>05</b:MonthAccessed>
    <b:DayAccessed>12</b:DayAccessed>
    <b:RefOrder>4</b:RefOrder>
  </b:Source>
  <b:Source>
    <b:Tag>Dis20</b:Tag>
    <b:SourceType>InternetSite</b:SourceType>
    <b:Guid>{A36FABC6-F505-47C3-8B4E-FFE7F8369A98}</b:Guid>
    <b:Author>
      <b:Author>
        <b:NameList>
          <b:Person>
            <b:Last>Discoverers</b:Last>
            <b:First>First</b:First>
          </b:Person>
        </b:NameList>
      </b:Author>
    </b:Author>
    <b:Title>How to Develop Early Numeracy Skills</b:Title>
    <b:InternetSiteTitle>firstdiscoverers.co.uk</b:InternetSiteTitle>
    <b:Year>2020</b:Year>
    <b:URL>https://www.firstdiscoverers.co.uk/develop-early-numeracy-skills/</b:URL>
    <b:YearAccessed>2021</b:YearAccessed>
    <b:MonthAccessed>05</b:MonthAccessed>
    <b:DayAccessed>12</b:DayAccessed>
    <b:RefOrder>5</b:RefOrder>
  </b:Source>
  <b:Source>
    <b:Tag>Nur14</b:Tag>
    <b:SourceType>InternetSite</b:SourceType>
    <b:Guid>{EA940F19-4432-47BF-8476-83CD3633A01F}</b:Guid>
    <b:Title>Early years 'failing' children at maths</b:Title>
    <b:InternetSiteTitle>nurseryworld.co.uk</b:InternetSiteTitle>
    <b:Year>2014</b:Year>
    <b:Month>11</b:Month>
    <b:Day>25</b:Day>
    <b:URL>https://www.nurseryworld.co.uk/news/article/early-years-failing-children-at-maths</b:URL>
    <b:Author>
      <b:Author>
        <b:NameList>
          <b:Person>
            <b:Last>NurseryWorld</b:Last>
          </b:Person>
        </b:NameList>
      </b:Author>
    </b:Author>
    <b:YearAccessed>2021</b:YearAccessed>
    <b:MonthAccessed>05</b:MonthAccessed>
    <b:DayAccessed>12</b:DayAccessed>
    <b:RefOrder>20</b:RefOrder>
  </b:Source>
  <b:Source>
    <b:Tag>Kin19</b:Tag>
    <b:SourceType>InternetSite</b:SourceType>
    <b:Guid>{92723199-0DE6-4CE3-B85E-A616830A257E}</b:Guid>
    <b:Title>Research reveals how poor maths skills are holding the UK back</b:Title>
    <b:InternetSiteTitle>www.kcl.ac.uk</b:InternetSiteTitle>
    <b:Year>2019</b:Year>
    <b:Month>05</b:Month>
    <b:Day>15</b:Day>
    <b:URL>https://www.kcl.ac.uk/news/research-reveals-how-poor-maths-skills-are-holding-the-uk-back</b:URL>
    <b:Author>
      <b:Author>
        <b:NameList>
          <b:Person>
            <b:Last>London</b:Last>
            <b:First>Kings</b:First>
            <b:Middle>College</b:Middle>
          </b:Person>
        </b:NameList>
      </b:Author>
    </b:Author>
    <b:YearAccessed>2021</b:YearAccessed>
    <b:MonthAccessed>05</b:MonthAccessed>
    <b:DayAccessed>12</b:DayAccessed>
    <b:RefOrder>21</b:RefOrder>
  </b:Source>
  <b:Source>
    <b:Tag>HalND</b:Tag>
    <b:SourceType>Report</b:SourceType>
    <b:Guid>{C1B092D7-CFE8-4153-B06B-6C1178016FF0}</b:Guid>
    <b:Author>
      <b:Author>
        <b:NameList>
          <b:Person>
            <b:Last>Haldane</b:Last>
            <b:First>Andy</b:First>
          </b:Person>
        </b:NameList>
      </b:Author>
    </b:Author>
    <b:Title>Numerate nation</b:Title>
    <b:Year>ND</b:Year>
    <b:URL>https://www.kcl.ac.uk/policy-institute/assets/national-numeracy-day-2019.pdf</b:URL>
    <b:YearAccessed>2021</b:YearAccessed>
    <b:MonthAccessed>05</b:MonthAccessed>
    <b:DayAccessed>12</b:DayAccessed>
    <b:Institution>The Policy Institute</b:Institution>
    <b:Pages>24</b:Pages>
    <b:RefOrder>6</b:RefOrder>
  </b:Source>
  <b:Source>
    <b:Tag>The191</b:Tag>
    <b:SourceType>Report</b:SourceType>
    <b:Guid>{B9007A24-E7C9-40DE-B911-1E7202629A99}</b:Guid>
    <b:Title>SCHOOL GUIDE RATING</b:Title>
    <b:Year>2019</b:Year>
    <b:Publisher>The school guide</b:Publisher>
    <b:Author>
      <b:Author>
        <b:NameList>
          <b:Person>
            <b:Last>Guide</b:Last>
            <b:Middle>School</b:Middle>
            <b:First>The </b:First>
          </b:Person>
        </b:NameList>
      </b:Author>
    </b:Author>
    <b:YearAccessed>2021</b:YearAccessed>
    <b:MonthAccessed>05</b:MonthAccessed>
    <b:DayAccessed>12</b:DayAccessed>
    <b:URL>https://www.schoolguide.co.uk/schools/dylan-thomas-community-school-swansea</b:URL>
    <b:RefOrder>22</b:RefOrder>
  </b:Source>
  <b:Source>
    <b:Tag>OnR14</b:Tag>
    <b:SourceType>Report</b:SourceType>
    <b:Guid>{A729B966-9D2D-47F6-A60A-4DE0A0D74518}</b:Guid>
    <b:Title>How reading can help children escape poverty</b:Title>
    <b:Year>2014</b:Year>
    <b:City>London</b:City>
    <b:Publisher>Save the Children</b:Publisher>
    <b:Author>
      <b:Author>
        <b:NameList>
          <b:Person>
            <b:Last>Cdn</b:Last>
          </b:Person>
        </b:NameList>
      </b:Author>
    </b:Author>
    <b:Pages>64</b:Pages>
    <b:YearAccessed>2021</b:YearAccessed>
    <b:MonthAccessed>05</b:MonthAccessed>
    <b:DayAccessed>12</b:DayAccessed>
    <b:URL>https://cdn.literacytrust.org.uk/media/documents/Read_On_Get_On_launch_report_2014.pdf</b:URL>
    <b:RefOrder>7</b:RefOrder>
  </b:Source>
  <b:Source>
    <b:Tag>ArtND</b:Tag>
    <b:SourceType>InternetSite</b:SourceType>
    <b:Guid>{45D51763-FF4C-4E31-BD95-7D6B00F4851F}</b:Guid>
    <b:Title>National Literacy and Numeracy Framework (LNF)</b:Title>
    <b:InternetSiteTitle>https://celc.arts.wales/artists/the-lnf-framework</b:InternetSiteTitle>
    <b:Year>ND</b:Year>
    <b:URL>https://celc.arts.wales/artists/the-lnf-framework/</b:URL>
    <b:Author>
      <b:Author>
        <b:NameList>
          <b:Person>
            <b:Last>Wales</b:Last>
            <b:First>Arts</b:First>
            <b:Middle>council of</b:Middle>
          </b:Person>
        </b:NameList>
      </b:Author>
    </b:Author>
    <b:YearAccessed>2021</b:YearAccessed>
    <b:MonthAccessed>05</b:MonthAccessed>
    <b:DayAccessed>13</b:DayAccessed>
    <b:RefOrder>23</b:RefOrder>
  </b:Source>
  <b:Source>
    <b:Tag>Ann13</b:Tag>
    <b:SourceType>Report</b:SourceType>
    <b:Guid>{F42A8D65-B6CE-407C-B2FC-8DE40DE83D6B}</b:Guid>
    <b:Title>Annual Report of Her Majesty's Chief Inspector of Education and Training in Wales 2011- 2012</b:Title>
    <b:Year>2013</b:Year>
    <b:URL>https://www.estyn.gov.wales/news/annual-report-her-majestys-chief-inspector-education-and-training-wales-2011-2012</b:URL>
    <b:Author>
      <b:Author>
        <b:NameList>
          <b:Person>
            <b:Last>Keane</b:Last>
            <b:First>Anne</b:First>
          </b:Person>
        </b:NameList>
      </b:Author>
    </b:Author>
    <b:YearAccessed>2021</b:YearAccessed>
    <b:MonthAccessed>05</b:MonthAccessed>
    <b:DayAccessed>13</b:DayAccessed>
    <b:RefOrder>24</b:RefOrder>
  </b:Source>
  <b:Source>
    <b:Tag>Wel16</b:Tag>
    <b:SourceType>Report</b:SourceType>
    <b:Guid>{98C0AAEA-5068-4D20-A09B-799027934BC5}</b:Guid>
    <b:Title>National Literacy and Numeracy Programme – a strategic action plan</b:Title>
    <b:Year>2016</b:Year>
    <b:Author>
      <b:Author>
        <b:NameList>
          <b:Person>
            <b:Last>WelshGovernment</b:Last>
          </b:Person>
        </b:NameList>
      </b:Author>
    </b:Author>
    <b:Pages>26</b:Pages>
    <b:YearAccessed>2021</b:YearAccessed>
    <b:MonthAccessed>05</b:MonthAccessed>
    <b:DayAccessed>13</b:DayAccessed>
    <b:URL>https://gov.wales/sites/default/files/publications/2018-11/national-literacy-and-numeracy-programme-a-strategic-action-plan.pdf</b:URL>
    <b:RefOrder>9</b:RefOrder>
  </b:Source>
  <b:Source>
    <b:Tag>Zol78</b:Tag>
    <b:SourceType>Book</b:SourceType>
    <b:Guid>{3C5F82A1-21CA-41BB-A711-86749496B9D0}</b:Guid>
    <b:Title>The sensory basis of spatial memory in the rat</b:Title>
    <b:Year>1978</b:Year>
    <b:City>London and Canada</b:City>
    <b:Author>
      <b:Author>
        <b:NameList>
          <b:Person>
            <b:Last>Zoladek</b:Last>
            <b:First>LUCIA</b:First>
          </b:Person>
          <b:Person>
            <b:Last>Roberts</b:Last>
            <b:Middle>A</b:Middle>
            <b:First>WILLIAM</b:First>
          </b:Person>
        </b:NameList>
      </b:Author>
    </b:Author>
    <b:Pages>5</b:Pages>
    <b:YearAccessed>2021</b:YearAccessed>
    <b:MonthAccessed>05</b:MonthAccessed>
    <b:DayAccessed>13</b:DayAccessed>
    <b:URL>https://link.springer.com/content/pdf/10.3758/BF03212006.pdf</b:URL>
    <b:RefOrder>25</b:RefOrder>
  </b:Source>
  <b:Source>
    <b:Tag>Ame15</b:Tag>
    <b:SourceType>InternetSite</b:SourceType>
    <b:Guid>{00A6612F-9227-4C15-A021-5B67203FA72C}</b:Guid>
    <b:Title>American Psychologcal Association</b:Title>
    <b:Year>2015</b:Year>
    <b:InternetSiteTitle>www.apa.org</b:InternetSiteTitle>
    <b:Month>01</b:Month>
    <b:Day>15</b:Day>
    <b:URL>https://www.apa.org/pubs/highlights/peeps/issue-37</b:URL>
    <b:YearAccessed>2021</b:YearAccessed>
    <b:MonthAccessed>05</b:MonthAccessed>
    <b:DayAccessed>13</b:DayAccessed>
    <b:RefOrder>26</b:RefOrder>
  </b:Source>
  <b:Source>
    <b:Tag>IllND</b:Tag>
    <b:SourceType>InternetSite</b:SourceType>
    <b:Guid>{F188006A-15FF-4541-BDE8-F4E2DAF6F728}</b:Guid>
    <b:Title>Spatial Relationships</b:Title>
    <b:InternetSiteTitle>illinoisearlylearning.org</b:InternetSiteTitle>
    <b:Year>ND</b:Year>
    <b:URL>https://illinoisearlylearning.org/ielg/spatial/</b:URL>
    <b:Author>
      <b:Author>
        <b:NameList>
          <b:Person>
            <b:Last>Project</b:Last>
            <b:First>Illinois</b:First>
            <b:Middle>Early Learning</b:Middle>
          </b:Person>
        </b:NameList>
      </b:Author>
    </b:Author>
    <b:YearAccessed>2021</b:YearAccessed>
    <b:MonthAccessed>05</b:MonthAccessed>
    <b:DayAccessed>13</b:DayAccessed>
    <b:RefOrder>27</b:RefOrder>
  </b:Source>
  <b:Source>
    <b:Tag>Has20</b:Tag>
    <b:SourceType>InternetSite</b:SourceType>
    <b:Guid>{78D4BAA3-4A20-4821-BE64-D8E964667A4F}</b:Guid>
    <b:Title>Difference Between Mathematics and Numeracy</b:Title>
    <b:Year>2020</b:Year>
    <b:Author>
      <b:Author>
        <b:NameList>
          <b:Person>
            <b:Last>Hasa</b:Last>
          </b:Person>
        </b:NameList>
      </b:Author>
    </b:Author>
    <b:Month>05</b:Month>
    <b:Day>19</b:Day>
    <b:URL>https://pediaa.com/difference-between-mathematics-and-numeracy/</b:URL>
    <b:YearAccessed>2021</b:YearAccessed>
    <b:MonthAccessed>05</b:MonthAccessed>
    <b:DayAccessed>13</b:DayAccessed>
    <b:RefOrder>28</b:RefOrder>
  </b:Source>
  <b:Source>
    <b:Tag>RebND</b:Tag>
    <b:SourceType>InternetSite</b:SourceType>
    <b:Guid>{1A551762-0029-4B06-9672-E897B4A2C6AE}</b:Guid>
    <b:Title>Literacy and Numeracy Strategies.</b:Title>
    <b:InternetSiteTitle>rebeccawilmot.weebly.com</b:InternetSiteTitle>
    <b:Year>ND</b:Year>
    <b:URL>https://rebeccawilmot.weebly.com/25-literacy-and-numeracy-strategies.html</b:URL>
    <b:Author>
      <b:Author>
        <b:NameList>
          <b:Person>
            <b:Last>Wilmot</b:Last>
            <b:First>Rebecca</b:First>
          </b:Person>
        </b:NameList>
      </b:Author>
    </b:Author>
    <b:YearAccessed>2021</b:YearAccessed>
    <b:MonthAccessed>05</b:MonthAccessed>
    <b:DayAccessed>13</b:DayAccessed>
    <b:RefOrder>29</b:RefOrder>
  </b:Source>
  <b:Source>
    <b:Tag>Kyt03</b:Tag>
    <b:SourceType>BookSection</b:SourceType>
    <b:Guid>{E3AC72AE-284A-404E-A641-8F40BE8A6E33}</b:Guid>
    <b:Title>Visiospartial working memory and early numeracy</b:Title>
    <b:Year>2003</b:Year>
    <b:BookTitle>Education and child psychology</b:BookTitle>
    <b:Author>
      <b:Author>
        <b:NameList>
          <b:Person>
            <b:Last>Kyttala</b:Last>
            <b:First>Minna</b:First>
          </b:Person>
          <b:Person>
            <b:Last>Lehto</b:Last>
            <b:Middle>E</b:Middle>
            <b:First>Juhani</b:First>
          </b:Person>
          <b:Person>
            <b:Last>Van Luit</b:Last>
            <b:First>Johannes</b:First>
          </b:Person>
          <b:Person>
            <b:Last>Hautumaki</b:Last>
            <b:First>Jarko</b:First>
          </b:Person>
        </b:NameList>
      </b:Author>
    </b:Author>
    <b:YearAccessed>2021</b:YearAccessed>
    <b:MonthAccessed>05</b:MonthAccessed>
    <b:DayAccessed>13</b:DayAccessed>
    <b:RefOrder>3</b:RefOrder>
  </b:Source>
  <b:Source>
    <b:Tag>Jer66</b:Tag>
    <b:SourceType>Book</b:SourceType>
    <b:Guid>{15633B20-0845-45CC-BDD2-1F2ED087C713}</b:Guid>
    <b:Title>Toward a theory of Instruction</b:Title>
    <b:Year>1966</b:Year>
    <b:Pages>173</b:Pages>
    <b:City>London</b:City>
    <b:Author>
      <b:Author>
        <b:NameList>
          <b:Person>
            <b:Last>Bruner</b:Last>
            <b:First>Jerome</b:First>
            <b:Middle>S</b:Middle>
          </b:Person>
        </b:NameList>
      </b:Author>
    </b:Author>
    <b:YearAccessed>2021</b:YearAccessed>
    <b:MonthAccessed>05</b:MonthAccessed>
    <b:DayAccessed>13</b:DayAccessed>
    <b:URL>https://www.google.co.uk/books/edition/Toward_a_Theory_of_Instruction/F_d96D9FmbUC?hl=en&amp;gbpv=1</b:URL>
    <b:RefOrder>14</b:RefOrder>
  </b:Source>
  <b:Source>
    <b:Tag>McL181</b:Tag>
    <b:SourceType>InternetSite</b:SourceType>
    <b:Guid>{AB7F50E5-7B5A-497F-AFDC-BB5ACF18BBF5}</b:Guid>
    <b:Author>
      <b:Author>
        <b:NameList>
          <b:Person>
            <b:Last>McLeod</b:Last>
            <b:First>Saul</b:First>
          </b:Person>
        </b:NameList>
      </b:Author>
    </b:Author>
    <b:Title>Jean Piaget's Theory and Stages of Cognitive Development</b:Title>
    <b:InternetSiteTitle>Simplypsychology.org</b:InternetSiteTitle>
    <b:Year>2018</b:Year>
    <b:URL>https://www.simplypsychology.org/piaget.html#:~:text=Piaget%20(1936)%20was%20the%20first,to%20reveal%20different%20cognitive%20abilities.</b:URL>
    <b:YearAccessed>2021</b:YearAccessed>
    <b:MonthAccessed>05</b:MonthAccessed>
    <b:DayAccessed>13</b:DayAccessed>
    <b:RefOrder>30</b:RefOrder>
  </b:Source>
  <b:Source>
    <b:Tag>Pia76</b:Tag>
    <b:SourceType>Book</b:SourceType>
    <b:Guid>{C672B376-7695-4B96-A013-586FEB8CC9D5}</b:Guid>
    <b:Author>
      <b:Author>
        <b:NameList>
          <b:Person>
            <b:Last>Piaget</b:Last>
            <b:First>Jean</b:First>
          </b:Person>
        </b:NameList>
      </b:Author>
    </b:Author>
    <b:Title>Piaget and his school</b:Title>
    <b:Year>1976</b:Year>
    <b:MonthAccessed>2021</b:MonthAccessed>
    <b:DayAccessed>05</b:DayAccessed>
    <b:URL>13</b:URL>
    <b:RefOrder>8</b:RefOrder>
  </b:Source>
  <b:Source>
    <b:Tag>Jos97</b:Tag>
    <b:SourceType>Book</b:SourceType>
    <b:Guid>{6668100F-469B-4430-A625-6E21BD04A8BF}</b:Guid>
    <b:Author>
      <b:Author>
        <b:NameList>
          <b:Person>
            <b:Last>Joseph Glick</b:Last>
          </b:Person>
        </b:NameList>
      </b:Author>
      <b:Editor>
        <b:NameList>
          <b:Person>
            <b:Last>RIEBER</b:Last>
            <b:First>ROBERT</b:First>
            <b:Middle>W.</b:Middle>
          </b:Person>
        </b:NameList>
      </b:Editor>
      <b:Translator>
        <b:NameList>
          <b:Person>
            <b:Last>HALL</b:Last>
            <b:First>MARIE</b:First>
            <b:Middle>J.</b:Middle>
          </b:Person>
        </b:NameList>
      </b:Translator>
    </b:Author>
    <b:Title>THE COLLECTED WORKS OF L. S. VYGOTSKY</b:Title>
    <b:Year>1997</b:Year>
    <b:City>New York</b:City>
    <b:Volume>4</b:Volume>
    <b:RefOrder>31</b:RefOrder>
  </b:Source>
  <b:Source>
    <b:Tag>McL19</b:Tag>
    <b:SourceType>InternetSite</b:SourceType>
    <b:Guid>{260C655F-422E-42D7-B672-8712226CC342}</b:Guid>
    <b:Title>The Zone of Proximal Development and Scaffolding</b:Title>
    <b:Year>2019</b:Year>
    <b:Author>
      <b:Author>
        <b:NameList>
          <b:Person>
            <b:Last>McLeod</b:Last>
            <b:First>Saul</b:First>
          </b:Person>
        </b:NameList>
      </b:Author>
    </b:Author>
    <b:InternetSiteTitle>Simply Psychology</b:InternetSiteTitle>
    <b:URL>https://www.simplypsychology.org/Zone-of-Proximal-Development.html</b:URL>
    <b:YearAccessed>2020</b:YearAccessed>
    <b:MonthAccessed>11</b:MonthAccessed>
    <b:DayAccessed>04</b:DayAccessed>
    <b:RefOrder>32</b:RefOrder>
  </b:Source>
  <b:Source>
    <b:Tag>Mar04</b:Tag>
    <b:SourceType>ElectronicSource</b:SourceType>
    <b:Guid>{83E2EA07-E96B-4043-A17F-F975E5F3CE60}</b:Guid>
    <b:Title>Bruner vs. Vygotsky: An Analysis of Divergent</b:Title>
    <b:Year>2004</b:Year>
    <b:Month>01</b:Month>
    <b:Day>10</b:Day>
    <b:Author>
      <b:Author>
        <b:NameList>
          <b:Person>
            <b:Last>Dastous</b:Last>
            <b:First>Marc</b:First>
            <b:Middle>R.</b:Middle>
          </b:Person>
        </b:NameList>
      </b:Author>
    </b:Author>
    <b:YearAccessed>2021</b:YearAccessed>
    <b:MonthAccessed>05</b:MonthAccessed>
    <b:DayAccessed>13</b:DayAccessed>
    <b:URL>https://www.dastous.us/pro_portfolio/graduate/Bruner%20and%20Vygotsky.pdf</b:URL>
    <b:RefOrder>12</b:RefOrder>
  </b:Source>
  <b:Source>
    <b:Tag>ESO19</b:Tag>
    <b:SourceType>InternetSite</b:SourceType>
    <b:Guid>{327C014E-5A6B-49D8-A476-38C44F67670E}</b:Guid>
    <b:Title>ESOL and numeracy</b:Title>
    <b:Year>2019</b:Year>
    <b:YearAccessed>2021</b:YearAccessed>
    <b:MonthAccessed>05</b:MonthAccessed>
    <b:DayAccessed>13</b:DayAccessed>
    <b:URL>https://esol.britishcouncil.org/content/teachers/lessons-and-activities/teaching-beginners/esol-and-numeracy#:~:text=ESOL</b:URL>
    <b:Author>
      <b:Author>
        <b:NameList>
          <b:Person>
            <b:Last>Nexus</b:Last>
            <b:First>ESOL</b:First>
          </b:Person>
        </b:NameList>
      </b:Author>
    </b:Author>
    <b:InternetSiteTitle>esol.britishcouncil.org</b:InternetSiteTitle>
    <b:RefOrder>11</b:RefOrder>
  </b:Source>
  <b:Source>
    <b:Tag>Gra15</b:Tag>
    <b:SourceType>Report</b:SourceType>
    <b:Guid>{2CA400F4-5843-4785-B4ED-C938F159AC54}</b:Guid>
    <b:Title>Independent Review of Curriculum and Assessment Arrangements in Wales</b:Title>
    <b:Year>2015</b:Year>
    <b:URL>https://gov.wales/sites/default/files/publications/2018-03/successful-futures.pdf</b:URL>
    <b:City>Wales</b:City>
    <b:Author>
      <b:Author>
        <b:NameList>
          <b:Person>
            <b:Last>Donaldson</b:Last>
            <b:First>Graham</b:First>
          </b:Person>
        </b:NameList>
      </b:Author>
    </b:Author>
    <b:Pages>24</b:Pages>
    <b:YearAccessed>2021</b:YearAccessed>
    <b:MonthAccessed>05</b:MonthAccessed>
    <b:DayAccessed>13</b:DayAccessed>
    <b:RefOrder>10</b:RefOrder>
  </b:Source>
  <b:Source>
    <b:Tag>car17</b:Tag>
    <b:SourceType>Report</b:SourceType>
    <b:Guid>{A3278942-BA4C-450F-9995-4DE9088057F3}</b:Guid>
    <b:Title>SEN support: A rapid</b:Title>
    <b:Year>2017</b:Year>
    <b:URL>https://assets.publishing.service.gov.uk/government/uploads/system/uploads/attachment_data/file/628630/DfE_SEN_Support_REA_Report.pdf</b:URL>
    <b:City>Coventry</b:City>
    <b:Department>Education</b:Department>
    <b:Pages>106</b:Pages>
    <b:YearAccessed>2021</b:YearAccessed>
    <b:MonthAccessed>05</b:MonthAccessed>
    <b:DayAccessed>13</b:DayAccessed>
    <b:Author>
      <b:Author>
        <b:NameList>
          <b:Person>
            <b:Last>Carroll</b:Last>
            <b:First>Julia</b:First>
          </b:Person>
          <b:Person>
            <b:Last>Bradley</b:Last>
            <b:First>Louise</b:First>
          </b:Person>
          <b:Person>
            <b:Last>Crawford</b:Last>
            <b:First>Hayley</b:First>
          </b:Person>
          <b:Person>
            <b:Last>Hannant</b:Last>
            <b:First>,</b:First>
            <b:Middle>Penny</b:Middle>
          </b:Person>
          <b:Person>
            <b:Last>Johnson</b:Last>
            <b:First>Helen</b:First>
          </b:Person>
          <b:Person>
            <b:Last>Thompson</b:Last>
            <b:First>Angela</b:First>
          </b:Person>
        </b:NameList>
      </b:Author>
    </b:Author>
    <b:RefOrder>13</b:RefOrder>
  </b:Source>
  <b:Source>
    <b:Tag>BFS57</b:Tag>
    <b:SourceType>Book</b:SourceType>
    <b:Guid>{8292A479-8C16-492D-AAC5-4FB13C8397E0}</b:Guid>
    <b:Title>Verbal Behaviour</b:Title>
    <b:Year>1957</b:Year>
    <b:Author>
      <b:Author>
        <b:NameList>
          <b:Person>
            <b:Last>B.F.Skinner</b:Last>
          </b:Person>
        </b:NameList>
      </b:Author>
    </b:Author>
    <b:City>Cambridge</b:City>
    <b:YearAccessed>2021</b:YearAccessed>
    <b:MonthAccessed>03</b:MonthAccessed>
    <b:DayAccessed>15</b:DayAccessed>
    <b:RefOrder>15</b:RefOrder>
  </b:Source>
</b:Sources>
</file>

<file path=customXml/itemProps1.xml><?xml version="1.0" encoding="utf-8"?>
<ds:datastoreItem xmlns:ds="http://schemas.openxmlformats.org/officeDocument/2006/customXml" ds:itemID="{29586623-C28C-4745-85F4-13FE2EE19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3276</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21911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Tracy Simons</cp:lastModifiedBy>
  <cp:revision>5</cp:revision>
  <dcterms:created xsi:type="dcterms:W3CDTF">2021-05-13T21:19:00Z</dcterms:created>
  <dcterms:modified xsi:type="dcterms:W3CDTF">2021-05-13T21:49:00Z</dcterms:modified>
</cp:coreProperties>
</file>