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6ABDC431" w:rsidR="7908378C" w:rsidRDefault="7908378C" w:rsidP="33572C6E">
            <w:pPr>
              <w:ind w:right="237"/>
              <w:rPr>
                <w:b/>
                <w:bCs/>
                <w:color w:val="auto"/>
                <w:sz w:val="32"/>
                <w:szCs w:val="32"/>
              </w:rPr>
            </w:pPr>
            <w:r w:rsidRPr="33572C6E">
              <w:rPr>
                <w:b/>
                <w:bCs/>
                <w:color w:val="auto"/>
                <w:sz w:val="32"/>
                <w:szCs w:val="32"/>
              </w:rPr>
              <w:t xml:space="preserve">Learner name: </w:t>
            </w:r>
            <w:r w:rsidR="00C7447F">
              <w:rPr>
                <w:b/>
                <w:bCs/>
                <w:color w:val="auto"/>
                <w:sz w:val="32"/>
                <w:szCs w:val="32"/>
              </w:rPr>
              <w:t xml:space="preserve"> Gareth David Martin Hirst</w:t>
            </w:r>
          </w:p>
          <w:p w14:paraId="3A3A802D" w14:textId="77777777" w:rsidR="33572C6E" w:rsidRDefault="33572C6E" w:rsidP="33572C6E">
            <w:pPr>
              <w:ind w:right="237"/>
              <w:rPr>
                <w:b/>
                <w:bCs/>
                <w:color w:val="auto"/>
                <w:sz w:val="32"/>
                <w:szCs w:val="32"/>
              </w:rPr>
            </w:pPr>
          </w:p>
          <w:p w14:paraId="7883A53E" w14:textId="4052E8C1" w:rsidR="7908378C" w:rsidRDefault="7908378C" w:rsidP="33572C6E">
            <w:pPr>
              <w:ind w:right="237"/>
              <w:rPr>
                <w:b/>
                <w:bCs/>
                <w:color w:val="auto"/>
                <w:sz w:val="32"/>
                <w:szCs w:val="32"/>
              </w:rPr>
            </w:pPr>
            <w:r w:rsidRPr="33572C6E">
              <w:rPr>
                <w:b/>
                <w:bCs/>
                <w:color w:val="auto"/>
                <w:sz w:val="32"/>
                <w:szCs w:val="32"/>
              </w:rPr>
              <w:t>Learner’s University Registration Number:</w:t>
            </w:r>
            <w:r w:rsidR="00C7447F">
              <w:rPr>
                <w:b/>
                <w:bCs/>
                <w:color w:val="auto"/>
                <w:sz w:val="32"/>
                <w:szCs w:val="32"/>
              </w:rPr>
              <w:t xml:space="preserve"> 2124826</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789CC45A" w14:textId="77777777" w:rsidR="00C7447F" w:rsidRPr="00C7447F" w:rsidRDefault="00F927A1" w:rsidP="00C7447F">
      <w:pPr>
        <w:rPr>
          <w:rFonts w:asciiTheme="majorHAnsi" w:eastAsiaTheme="minorHAnsi" w:hAnsiTheme="majorHAnsi" w:cstheme="majorHAnsi"/>
          <w:b/>
          <w:bCs/>
          <w:color w:val="auto"/>
          <w:sz w:val="24"/>
          <w:szCs w:val="24"/>
          <w:u w:val="single"/>
          <w:lang w:eastAsia="en-US"/>
        </w:rPr>
      </w:pPr>
      <w:r w:rsidRPr="00E676F7">
        <w:rPr>
          <w:color w:val="auto"/>
          <w:sz w:val="24"/>
        </w:rPr>
        <w:br w:type="page"/>
      </w:r>
      <w:r w:rsidR="00EA28F1">
        <w:rPr>
          <w:sz w:val="24"/>
          <w:szCs w:val="24"/>
        </w:rPr>
        <w:lastRenderedPageBreak/>
        <w:t xml:space="preserve"> </w:t>
      </w:r>
      <w:r w:rsidR="00C7447F" w:rsidRPr="00C7447F">
        <w:rPr>
          <w:rFonts w:asciiTheme="majorHAnsi" w:eastAsiaTheme="minorHAnsi" w:hAnsiTheme="majorHAnsi" w:cstheme="majorHAnsi"/>
          <w:b/>
          <w:bCs/>
          <w:color w:val="auto"/>
          <w:sz w:val="24"/>
          <w:szCs w:val="24"/>
          <w:u w:val="single"/>
          <w:lang w:eastAsia="en-US"/>
        </w:rPr>
        <w:t>Task 1</w:t>
      </w:r>
    </w:p>
    <w:p w14:paraId="31259926"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 xml:space="preserve">For this reflection I will be basing the reflective approach on Driscoll’s (2007) model. This model relates to three questions used to reflect on a situation or scenario that has happened. The three questions are ‘What?’, ‘So What?’, and ‘Now What?’. These three questions will be used throughout this task to aid in the reflective process. Driscoll’s reflective model allows for a given situation to be explored and evaluated providing a greater understanding (Norman and Nixon 2013). </w:t>
      </w:r>
    </w:p>
    <w:p w14:paraId="0A710260"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The incident I will be focusing on is one where I specifically dealt with the golden hour enquiries which I conducted after an incident had taken place. The first part of Driscoll’s reflective model is the What stage, this stage focuses on highlighting key events and explains what has happened.</w:t>
      </w:r>
    </w:p>
    <w:p w14:paraId="2C74DFDD"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u w:val="single"/>
          <w:lang w:eastAsia="en-US"/>
        </w:rPr>
      </w:pPr>
      <w:r w:rsidRPr="00C7447F">
        <w:rPr>
          <w:rFonts w:asciiTheme="majorHAnsi" w:eastAsiaTheme="minorHAnsi" w:hAnsiTheme="majorHAnsi" w:cstheme="majorHAnsi"/>
          <w:color w:val="auto"/>
          <w:sz w:val="24"/>
          <w:szCs w:val="24"/>
          <w:u w:val="single"/>
          <w:lang w:eastAsia="en-US"/>
        </w:rPr>
        <w:t>What?</w:t>
      </w:r>
    </w:p>
    <w:p w14:paraId="1ABCE399"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 xml:space="preserve"> The neighbouring team struggled to resource and attend an emergency response call whereby the call handler was able to give suitable advice to prevent the incident from worsening. Due to the reporting person being able to reassure the call handler that there was no immediate danger the call was downgraded.  The reporting person made a second call to the police as she felt that she was unable to cope with her husband whilst being back at her house. The call become a priority due to the possible mental health nature that was highlighted by the reporting person, stating the female was unable to deal with her husband and his mental health issues. </w:t>
      </w:r>
    </w:p>
    <w:p w14:paraId="5B7434E7"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My colleague and I arrived at the address, I got to the door and heard a female scream from inside the house, whom I can only assume was the reporting person, the door was unlocked, and I entered activating my body worn camera. When entering the house, I approached a female in distress who was sat on the stairs approximately three metres from the front door shaking with a dog lead wrapped tightly around her arm attached to her rather large dog that remained alert and a knife clutched to her chest.</w:t>
      </w:r>
    </w:p>
    <w:p w14:paraId="141E7755"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FF0000"/>
          <w:sz w:val="24"/>
          <w:szCs w:val="24"/>
          <w:lang w:eastAsia="en-US"/>
        </w:rPr>
      </w:pPr>
      <w:r w:rsidRPr="00C7447F">
        <w:rPr>
          <w:rFonts w:asciiTheme="majorHAnsi" w:eastAsiaTheme="minorHAnsi" w:hAnsiTheme="majorHAnsi" w:cstheme="majorHAnsi"/>
          <w:color w:val="auto"/>
          <w:sz w:val="24"/>
          <w:szCs w:val="24"/>
          <w:lang w:eastAsia="en-US"/>
        </w:rPr>
        <w:t xml:space="preserve">My colleague calmly approached the female to listen to the issues that have unfolded, and the use of the National Decision Model (NDM) was used to take the appropriate action. As I opened the lounge door which came off the hallway, there was a male who was calmly rigidly sitting on the sofa, when entering I could smell intoxicants and the male had a glazed eyes </w:t>
      </w:r>
      <w:r w:rsidRPr="00C7447F">
        <w:rPr>
          <w:rFonts w:asciiTheme="majorHAnsi" w:eastAsiaTheme="minorHAnsi" w:hAnsiTheme="majorHAnsi" w:cstheme="majorHAnsi"/>
          <w:color w:val="auto"/>
          <w:sz w:val="24"/>
          <w:szCs w:val="24"/>
          <w:lang w:eastAsia="en-US"/>
        </w:rPr>
        <w:lastRenderedPageBreak/>
        <w:t xml:space="preserve">and little to no expression. while my colleague reassured the female on the stairs, I kept the door a jar in case the situation escalated for either myself or my colleague and attempted to gather details of what has happened from both </w:t>
      </w:r>
      <w:r w:rsidRPr="00C7447F">
        <w:rPr>
          <w:rFonts w:asciiTheme="majorHAnsi" w:eastAsiaTheme="minorHAnsi" w:hAnsiTheme="majorHAnsi" w:cstheme="majorHAnsi"/>
          <w:color w:val="000000" w:themeColor="text1"/>
          <w:sz w:val="24"/>
          <w:szCs w:val="24"/>
          <w:lang w:eastAsia="en-US"/>
        </w:rPr>
        <w:t>separately. It was clear this was domestic related and once we entered the property as the female was clearly fearful of her partner who was in the other room considering using the knife and the dog to defend herself.</w:t>
      </w:r>
    </w:p>
    <w:p w14:paraId="6FD4C38E"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 xml:space="preserve">When I spoke with the male he was clearly intoxicated, unable to put a sentence together, struggling to concentrate on the questions I was putting forward to him. When asked what had happened this evening he was unwilling to say, keeping his answers short and stating he wasn’t sure why we had attended the property. The male said he had drunk approximately 2 bottles of red wine and when attempting to gain the males details it was evident how intoxicated he was as he could not give his details and he became embarrassed. </w:t>
      </w:r>
    </w:p>
    <w:p w14:paraId="505F09F5"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The female explained the ongoing domestic abuse she had been suffering and the control she has been under by her partner was too much and she was living in fear of what could happen. The male was arrested for domestic related offences and after given the caution he stated under his breath while being handcuffed to the rear “She will be sorry for this” at this moment I reminded him that he was under caution. He was conveyed by colleagues to the closest police station where his custody was authorised by the custody sergeant.</w:t>
      </w:r>
    </w:p>
    <w:p w14:paraId="690DE114"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 xml:space="preserve">I spoke to the victim to explain the process of moving forward if she would be willing to give a statement and how she can be supported through the process and understanding the process of going to court. During which time she was with her daughter, she was overwhelmed with the situation, and I felt it considerate and appropriate to give her time to think about it. My colleague and I returned shortly afterwards to discover the victim </w:t>
      </w:r>
      <w:proofErr w:type="gramStart"/>
      <w:r w:rsidRPr="00C7447F">
        <w:rPr>
          <w:rFonts w:asciiTheme="majorHAnsi" w:eastAsiaTheme="minorHAnsi" w:hAnsiTheme="majorHAnsi" w:cstheme="majorHAnsi"/>
          <w:color w:val="auto"/>
          <w:sz w:val="24"/>
          <w:szCs w:val="24"/>
          <w:lang w:eastAsia="en-US"/>
        </w:rPr>
        <w:t>was</w:t>
      </w:r>
      <w:proofErr w:type="gramEnd"/>
      <w:r w:rsidRPr="00C7447F">
        <w:rPr>
          <w:rFonts w:asciiTheme="majorHAnsi" w:eastAsiaTheme="minorHAnsi" w:hAnsiTheme="majorHAnsi" w:cstheme="majorHAnsi"/>
          <w:color w:val="auto"/>
          <w:sz w:val="24"/>
          <w:szCs w:val="24"/>
          <w:lang w:eastAsia="en-US"/>
        </w:rPr>
        <w:t xml:space="preserve"> willing to give a statement, I explained the process once again so her daughter who was in her late thirties understood to explain at </w:t>
      </w:r>
      <w:proofErr w:type="spellStart"/>
      <w:r w:rsidRPr="00C7447F">
        <w:rPr>
          <w:rFonts w:asciiTheme="majorHAnsi" w:eastAsiaTheme="minorHAnsi" w:hAnsiTheme="majorHAnsi" w:cstheme="majorHAnsi"/>
          <w:color w:val="auto"/>
          <w:sz w:val="24"/>
          <w:szCs w:val="24"/>
          <w:lang w:eastAsia="en-US"/>
        </w:rPr>
        <w:t>anytime</w:t>
      </w:r>
      <w:proofErr w:type="spellEnd"/>
      <w:r w:rsidRPr="00C7447F">
        <w:rPr>
          <w:rFonts w:asciiTheme="majorHAnsi" w:eastAsiaTheme="minorHAnsi" w:hAnsiTheme="majorHAnsi" w:cstheme="majorHAnsi"/>
          <w:color w:val="auto"/>
          <w:sz w:val="24"/>
          <w:szCs w:val="24"/>
          <w:lang w:eastAsia="en-US"/>
        </w:rPr>
        <w:t xml:space="preserve"> to her mother.</w:t>
      </w:r>
    </w:p>
    <w:p w14:paraId="5480BDBE"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 xml:space="preserve">When taking the statement, I reassured the victim that we could take a break at any moment, when explaining the situation and ongoing violence she has had with her partner she would act out his aggression towards her and become emotional bringing up what has happened, I gave her time to consider her answers when I asked for further explanation and giving her time to have space in-between. Once the statement was complete, thorough answers were completed to pass to third party agencies for victim support. I completed a </w:t>
      </w:r>
      <w:r w:rsidRPr="00C7447F">
        <w:rPr>
          <w:rFonts w:asciiTheme="majorHAnsi" w:eastAsiaTheme="minorHAnsi" w:hAnsiTheme="majorHAnsi" w:cstheme="majorHAnsi"/>
          <w:color w:val="auto"/>
          <w:sz w:val="24"/>
          <w:szCs w:val="24"/>
          <w:lang w:eastAsia="en-US"/>
        </w:rPr>
        <w:lastRenderedPageBreak/>
        <w:t>public protection notification whilst with her making sure that everything was thoroughly explained for when they give the victim the support and the aftercare which is needed.</w:t>
      </w:r>
    </w:p>
    <w:p w14:paraId="69FBF711"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 xml:space="preserve">Leaving the victims address myself and my colleague made sure any needs and expectations were met including any questions she had, mainly surrounding when the detained person would be released and if he would be returning that evening. I explained due to him being intoxicated he will not be interviewed until he is deemed fit to do so and upon his release there would be bail conditions not to approach her or her address. The victim felt reassured. </w:t>
      </w:r>
    </w:p>
    <w:p w14:paraId="0242273D"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On returning to the station, I made the decision to complete a statement for what I witnessed while the detained person was being arrested stating “She will be sorry for this”.  I considered this to be significant if the victim further down the line makes the decision to withdraw support in prosecution and there is an opportunity for a victimless prosecution.</w:t>
      </w:r>
    </w:p>
    <w:p w14:paraId="3EE7FD64"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u w:val="single"/>
          <w:lang w:eastAsia="en-US"/>
        </w:rPr>
      </w:pPr>
      <w:r w:rsidRPr="00C7447F">
        <w:rPr>
          <w:rFonts w:asciiTheme="majorHAnsi" w:eastAsiaTheme="minorHAnsi" w:hAnsiTheme="majorHAnsi" w:cstheme="majorHAnsi"/>
          <w:color w:val="auto"/>
          <w:sz w:val="24"/>
          <w:szCs w:val="24"/>
          <w:u w:val="single"/>
          <w:lang w:eastAsia="en-US"/>
        </w:rPr>
        <w:t>So What?</w:t>
      </w:r>
    </w:p>
    <w:p w14:paraId="64F0C1F1"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bCs/>
          <w:sz w:val="24"/>
          <w:szCs w:val="24"/>
          <w:shd w:val="clear" w:color="auto" w:fill="FFFFFF"/>
          <w:lang w:eastAsia="en-US"/>
        </w:rPr>
        <w:t xml:space="preserve">The next stage of the reflective process in the ‘So What?’ stage. This stage emphasises the impact of the individuals’ reactions and feelings of the situation. This stage allows for an analysis of the scenario, highlighting what went well. </w:t>
      </w:r>
    </w:p>
    <w:p w14:paraId="034D1884"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 xml:space="preserve">According to the College of Policing it is essential to take positive action when dealing with domestic abuse incidents (College of Policing 2023). The Human Rights Act 1998 highlights the positive obligations within the United Kingdom (UK) to protect those from acts which restrict their rights. By ensuring an individual’s rights are protected allows for their right to life, the right to not be subjected to torture of degrading treatment and allows for their right of privacy within their private and family life to be protected. The use of the Human Rights Act 1998 allows for those individuals to be protected and safeguarded from harm or risk to life. In relation to the scenario highlighted on arrival to the property it was essential to ensure the female was safe and free of any harm, whilst ensuring the rights of all involved are respected. It was paramount I was sensitive to the female as well as the male due to the ongoing issues with both individuals. </w:t>
      </w:r>
    </w:p>
    <w:p w14:paraId="3FB22AE3"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 xml:space="preserve">The Police and Criminal Evidence Act 1984 (PACE) encompasses and regulates a code of practice that ensures the regulation of policing powers and protects the rights of the public (Bell 2013). Code G within the PACE Act 1984 states that among other grounds the Act allows </w:t>
      </w:r>
      <w:r w:rsidRPr="00C7447F">
        <w:rPr>
          <w:rFonts w:asciiTheme="majorHAnsi" w:eastAsiaTheme="minorHAnsi" w:hAnsiTheme="majorHAnsi" w:cstheme="majorHAnsi"/>
          <w:color w:val="auto"/>
          <w:sz w:val="24"/>
          <w:szCs w:val="24"/>
          <w:lang w:eastAsia="en-US"/>
        </w:rPr>
        <w:lastRenderedPageBreak/>
        <w:t xml:space="preserve">an officer to carry out an arrest who they believe have grounds that an individuals may intimidate or threaten another individual to allow for prompt and effective investigation of the offence (GOV.UK 2013). Additionally, it crucial the decision for an individual to be arrested comes from the leading officer and the victim should not be asked if they require an arrest to happen. The scenario emphasises the need for the male to be arrested due to the female being threatened and scared of the male. Additionally, as the male was intoxicated it was impossible to gather the relevant information. </w:t>
      </w:r>
    </w:p>
    <w:p w14:paraId="31242361"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 xml:space="preserve">The National Decision Model (NDM) should be used by everyone in policing. The model encompasses six elements providing structure and rationale when making decisions. The six elements include Code of Ethics, </w:t>
      </w:r>
      <w:proofErr w:type="gramStart"/>
      <w:r w:rsidRPr="00C7447F">
        <w:rPr>
          <w:rFonts w:asciiTheme="majorHAnsi" w:eastAsiaTheme="minorHAnsi" w:hAnsiTheme="majorHAnsi" w:cstheme="majorHAnsi"/>
          <w:color w:val="auto"/>
          <w:sz w:val="24"/>
          <w:szCs w:val="24"/>
          <w:lang w:eastAsia="en-US"/>
        </w:rPr>
        <w:t>Gathering</w:t>
      </w:r>
      <w:proofErr w:type="gramEnd"/>
      <w:r w:rsidRPr="00C7447F">
        <w:rPr>
          <w:rFonts w:asciiTheme="majorHAnsi" w:eastAsiaTheme="minorHAnsi" w:hAnsiTheme="majorHAnsi" w:cstheme="majorHAnsi"/>
          <w:color w:val="auto"/>
          <w:sz w:val="24"/>
          <w:szCs w:val="24"/>
          <w:lang w:eastAsia="en-US"/>
        </w:rPr>
        <w:t xml:space="preserve"> information and intelligence, Assess threat and risk, Consider powers and policy, Identify options and contingencies and take action and review what happened. The use of the NDM allows the officer to focus on elements at one given time (The College of Policing 2014). The use of this model was essential during this scenario as it enabled the relevant and appropriate information to be obtained from both individuals. </w:t>
      </w:r>
    </w:p>
    <w:p w14:paraId="526E13B5"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Furthermore, it is essential when dealing with those who are vulnerable appropriate approaches are used. Approaches such as effective communication are essential for example the use of building a rapport with the individuals involved. This allows for a professional relationship to be developed whereby a mutual trust between individual and officer is obtained to allow for effective information gathering (Reid 2021). Ensuring when communicating with the individuals that questions are asked in ‘the right way’ will allow for the individual to ‘open up’ and relay the information that is needed. Showing empathy when communicating with individuals is essential as it allows for a greater understanding of how they are feeling (Jennings 2014). Therefore, the use of empathy allows for individuals values, feelings, and beliefs to be taken into consideration. Thus, enforcing the effectiveness of the communication process.</w:t>
      </w:r>
    </w:p>
    <w:p w14:paraId="63F6EDEE"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 xml:space="preserve">Ensuring I used effective communication allowed for greater understanding between us and the individuals involved in the scenario. To obtain trust and show empathy towards the individuals I ensured I showed no judgement towards them, I ensured I actively listened to all the information the female had to offer whilst showing her reassurance throughout. </w:t>
      </w:r>
    </w:p>
    <w:p w14:paraId="1312A1E0"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000000" w:themeColor="text1"/>
          <w:sz w:val="24"/>
          <w:szCs w:val="24"/>
          <w:lang w:eastAsia="en-US"/>
        </w:rPr>
      </w:pPr>
      <w:r w:rsidRPr="00C7447F">
        <w:rPr>
          <w:rFonts w:asciiTheme="majorHAnsi" w:eastAsiaTheme="minorHAnsi" w:hAnsiTheme="majorHAnsi" w:cstheme="majorHAnsi"/>
          <w:color w:val="000000" w:themeColor="text1"/>
          <w:sz w:val="24"/>
          <w:szCs w:val="24"/>
          <w:lang w:eastAsia="en-US"/>
        </w:rPr>
        <w:lastRenderedPageBreak/>
        <w:t xml:space="preserve">Several approaches are additionally used to target and prevent repeat victimisation and repeat offending. Approaches such as targeting places whereby the places that create the most demand for the police are monitored this therefore providing a crime reduction strategy within a given area (Farrell and Pease 2012). However, evidence highlights that crime such burglary is affected by this not all crimes are reduced. Additionally, the use of targeting people can have an impact on crime by focusing on specific induvial who are victims of repeat offenders (Robinson 2006). Findings suggest this is beneficial in reducing both </w:t>
      </w:r>
      <w:proofErr w:type="spellStart"/>
      <w:r w:rsidRPr="00C7447F">
        <w:rPr>
          <w:rFonts w:asciiTheme="majorHAnsi" w:eastAsiaTheme="minorHAnsi" w:hAnsiTheme="majorHAnsi" w:cstheme="majorHAnsi"/>
          <w:color w:val="000000" w:themeColor="text1"/>
          <w:sz w:val="24"/>
          <w:szCs w:val="24"/>
          <w:lang w:eastAsia="en-US"/>
        </w:rPr>
        <w:t>revictimisation</w:t>
      </w:r>
      <w:proofErr w:type="spellEnd"/>
      <w:r w:rsidRPr="00C7447F">
        <w:rPr>
          <w:rFonts w:asciiTheme="majorHAnsi" w:eastAsiaTheme="minorHAnsi" w:hAnsiTheme="majorHAnsi" w:cstheme="majorHAnsi"/>
          <w:color w:val="000000" w:themeColor="text1"/>
          <w:sz w:val="24"/>
          <w:szCs w:val="24"/>
          <w:lang w:eastAsia="en-US"/>
        </w:rPr>
        <w:t xml:space="preserve"> and overall crime when repeat victims and their surrounding neighbours are targeted. </w:t>
      </w:r>
    </w:p>
    <w:p w14:paraId="4CD8BCC1" w14:textId="77777777" w:rsidR="00C7447F" w:rsidRPr="00C7447F" w:rsidRDefault="00C7447F" w:rsidP="00C7447F">
      <w:pPr>
        <w:overflowPunct/>
        <w:autoSpaceDE/>
        <w:autoSpaceDN/>
        <w:adjustRightInd/>
        <w:spacing w:after="160" w:line="259" w:lineRule="auto"/>
        <w:textAlignment w:val="auto"/>
        <w:rPr>
          <w:rFonts w:asciiTheme="majorHAnsi" w:eastAsiaTheme="minorHAnsi" w:hAnsiTheme="majorHAnsi" w:cstheme="majorHAnsi"/>
          <w:color w:val="auto"/>
          <w:sz w:val="24"/>
          <w:szCs w:val="24"/>
          <w:u w:val="single"/>
          <w:lang w:eastAsia="en-US"/>
        </w:rPr>
      </w:pPr>
      <w:r w:rsidRPr="00C7447F">
        <w:rPr>
          <w:rFonts w:asciiTheme="majorHAnsi" w:eastAsiaTheme="minorHAnsi" w:hAnsiTheme="majorHAnsi" w:cstheme="majorHAnsi"/>
          <w:color w:val="auto"/>
          <w:sz w:val="24"/>
          <w:szCs w:val="24"/>
          <w:u w:val="single"/>
          <w:lang w:eastAsia="en-US"/>
        </w:rPr>
        <w:t>Now What?</w:t>
      </w:r>
    </w:p>
    <w:p w14:paraId="31CE22AA"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 xml:space="preserve">This stage is the final process of reflection and aids to evaluate a shared experience or an event and include the actions and responses from those individuals involved in the scenario. Additionally, this stage allows those to revisit what has happened and learn from experiences by ways to improve or act. </w:t>
      </w:r>
    </w:p>
    <w:p w14:paraId="4C149279"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 xml:space="preserve">Following this incident, when communicating with individuals who are vulnerable it is essential to ensure you obtain trust where possible to ensure an effective communication process. During this scenario I felt I was able to provide the female with reassurance therefore gain here trust and enable her to provide a statement and provide us with as much information as possible. </w:t>
      </w:r>
    </w:p>
    <w:p w14:paraId="4C440712"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2"/>
          <w:lang w:eastAsia="en-US"/>
        </w:rPr>
      </w:pPr>
      <w:r w:rsidRPr="00C7447F">
        <w:rPr>
          <w:rFonts w:asciiTheme="majorHAnsi" w:eastAsiaTheme="minorHAnsi" w:hAnsiTheme="majorHAnsi" w:cstheme="majorHAnsi"/>
          <w:color w:val="auto"/>
          <w:sz w:val="24"/>
          <w:szCs w:val="24"/>
          <w:lang w:eastAsia="en-US"/>
        </w:rPr>
        <w:t xml:space="preserve">Additionally, from researching and reflecting on this scenario, it has provided me the opportunity to further increase my knowledge of the importance of effective communication skills especially when communicating with vulnerable individuals. It has also highlighted the need to use further approaches such as reassurance and empathy to provide a safe environment for the female individual.  </w:t>
      </w:r>
      <w:r w:rsidRPr="00C7447F">
        <w:rPr>
          <w:rFonts w:asciiTheme="majorHAnsi" w:eastAsiaTheme="minorHAnsi" w:hAnsiTheme="majorHAnsi" w:cstheme="majorHAnsi"/>
          <w:color w:val="auto"/>
          <w:sz w:val="24"/>
          <w:szCs w:val="22"/>
          <w:lang w:eastAsia="en-US"/>
        </w:rPr>
        <w:t>For future experiences I will follow techniques to ensure when dealing with vulnerable individuals the situations are effectively managed to allow for positive and effective outcomes. Therefore, safeguarding my colleagues, the public and myself.</w:t>
      </w:r>
    </w:p>
    <w:p w14:paraId="68D01295"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2"/>
          <w:u w:val="single"/>
          <w:lang w:eastAsia="en-US"/>
        </w:rPr>
      </w:pPr>
      <w:r w:rsidRPr="00C7447F">
        <w:rPr>
          <w:rFonts w:asciiTheme="majorHAnsi" w:eastAsiaTheme="minorHAnsi" w:hAnsiTheme="majorHAnsi" w:cstheme="majorHAnsi"/>
          <w:color w:val="auto"/>
          <w:sz w:val="24"/>
          <w:szCs w:val="22"/>
          <w:u w:val="single"/>
          <w:lang w:eastAsia="en-US"/>
        </w:rPr>
        <w:t xml:space="preserve">Conclusion </w:t>
      </w:r>
    </w:p>
    <w:p w14:paraId="1165BE31"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This task emphasises the importance of</w:t>
      </w:r>
      <w:r w:rsidRPr="00C7447F">
        <w:rPr>
          <w:rFonts w:asciiTheme="majorHAnsi" w:eastAsiaTheme="minorHAnsi" w:hAnsiTheme="majorHAnsi" w:cstheme="majorHAnsi"/>
          <w:color w:val="auto"/>
          <w:sz w:val="24"/>
          <w:szCs w:val="22"/>
          <w:lang w:eastAsia="en-US"/>
        </w:rPr>
        <w:t xml:space="preserve"> using reflection in everyday practice to ensure individuals evaluate their practice and improve their skills for future experiences. This </w:t>
      </w:r>
      <w:r w:rsidRPr="00C7447F">
        <w:rPr>
          <w:rFonts w:asciiTheme="majorHAnsi" w:eastAsiaTheme="minorHAnsi" w:hAnsiTheme="majorHAnsi" w:cstheme="majorHAnsi"/>
          <w:color w:val="auto"/>
          <w:sz w:val="24"/>
          <w:szCs w:val="22"/>
          <w:lang w:eastAsia="en-US"/>
        </w:rPr>
        <w:lastRenderedPageBreak/>
        <w:t xml:space="preserve">provides additional learning opportunities to further evaluate scenarios from different perspectives. Self-reflection is the power to witness and evaluate our own behavioural processes. It has also allowed me to reflect on </w:t>
      </w:r>
      <w:r w:rsidRPr="00C7447F">
        <w:rPr>
          <w:rFonts w:asciiTheme="majorHAnsi" w:eastAsiaTheme="minorHAnsi" w:hAnsiTheme="majorHAnsi" w:cstheme="majorHAnsi"/>
          <w:color w:val="auto"/>
          <w:sz w:val="24"/>
          <w:szCs w:val="24"/>
          <w:lang w:eastAsia="en-US"/>
        </w:rPr>
        <w:t xml:space="preserve">ways on how to manage the scenario highlighted. </w:t>
      </w:r>
    </w:p>
    <w:p w14:paraId="073E0C09"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2"/>
          <w:szCs w:val="22"/>
          <w:lang w:eastAsia="en-US"/>
        </w:rPr>
      </w:pPr>
      <w:r w:rsidRPr="00C7447F">
        <w:rPr>
          <w:rFonts w:asciiTheme="majorHAnsi" w:eastAsiaTheme="minorHAnsi" w:hAnsiTheme="majorHAnsi" w:cstheme="majorHAnsi"/>
          <w:color w:val="auto"/>
          <w:sz w:val="24"/>
          <w:szCs w:val="24"/>
          <w:lang w:eastAsia="en-US"/>
        </w:rPr>
        <w:t xml:space="preserve">(2046 words) </w:t>
      </w:r>
    </w:p>
    <w:p w14:paraId="72606B84"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2"/>
          <w:u w:val="single"/>
          <w:lang w:eastAsia="en-US"/>
        </w:rPr>
      </w:pPr>
    </w:p>
    <w:p w14:paraId="3A992624" w14:textId="54780CA4"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 xml:space="preserve">Task 2 </w:t>
      </w:r>
    </w:p>
    <w:p w14:paraId="205911B7"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Task 2 Option 2: Policing communities</w:t>
      </w:r>
    </w:p>
    <w:p w14:paraId="14095CC5"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 xml:space="preserve">In regards </w:t>
      </w:r>
      <w:proofErr w:type="gramStart"/>
      <w:r w:rsidRPr="00C7447F">
        <w:rPr>
          <w:rFonts w:asciiTheme="majorHAnsi" w:eastAsiaTheme="minorHAnsi" w:hAnsiTheme="majorHAnsi" w:cstheme="majorHAnsi"/>
          <w:color w:val="auto"/>
          <w:sz w:val="24"/>
          <w:szCs w:val="24"/>
          <w:lang w:eastAsia="en-US"/>
        </w:rPr>
        <w:t>to  community</w:t>
      </w:r>
      <w:proofErr w:type="gramEnd"/>
      <w:r w:rsidRPr="00C7447F">
        <w:rPr>
          <w:rFonts w:asciiTheme="majorHAnsi" w:eastAsiaTheme="minorHAnsi" w:hAnsiTheme="majorHAnsi" w:cstheme="majorHAnsi"/>
          <w:color w:val="auto"/>
          <w:sz w:val="24"/>
          <w:szCs w:val="24"/>
          <w:lang w:eastAsia="en-US"/>
        </w:rPr>
        <w:t xml:space="preserve"> policing, I have chosen an incident that I have attended that presented a complex issue for the community, and that I played a significant role in providing a response. In this task I will critically evaluate a range of interventions that I have employed to promote community engagement that assisted in resolving the issue.</w:t>
      </w:r>
    </w:p>
    <w:p w14:paraId="4638A963"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To provide an account using a reflective model I have chosen Driscoll’s 2007 ‘The What Model’. This encompasses three questions – ‘What?’, ‘So what?’, and ‘Now What?’ are used to reflect on an event or scenario according to Driscoll’s (2007) model of reflection. To facilitate reflection, these three questions will be used throughout. This model has been applied to this assignment because it enables evaluation and reflection of the experience. I’ll use the incident that occurred during my time responding to a call since my tutorship.</w:t>
      </w:r>
    </w:p>
    <w:p w14:paraId="06C7212C"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The ‘What?’ is the first stage in Driscoll’s reflective model. This stage emphasises and highlights the significant occurrences and provides an explanation of what has occurred.</w:t>
      </w:r>
    </w:p>
    <w:p w14:paraId="20503F2C"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8"/>
          <w:szCs w:val="28"/>
          <w:u w:val="single"/>
          <w:lang w:eastAsia="en-US"/>
        </w:rPr>
      </w:pPr>
      <w:r w:rsidRPr="00C7447F">
        <w:rPr>
          <w:rFonts w:asciiTheme="majorHAnsi" w:eastAsiaTheme="minorHAnsi" w:hAnsiTheme="majorHAnsi" w:cstheme="majorHAnsi"/>
          <w:color w:val="auto"/>
          <w:sz w:val="28"/>
          <w:szCs w:val="28"/>
          <w:u w:val="single"/>
          <w:lang w:eastAsia="en-US"/>
        </w:rPr>
        <w:t>What?</w:t>
      </w:r>
    </w:p>
    <w:p w14:paraId="41943893"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 xml:space="preserve">My colleague and I were leaving a call which was reported by a neighbour that youths were climbing and entering the old, abandoned school which was opposite their house. While in attendance there was no-one there but there was a way of entry which I notified the local authority. </w:t>
      </w:r>
    </w:p>
    <w:p w14:paraId="6E4B4514"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 xml:space="preserve">A member of the public flagged us down as we were leaving the area, to tell us if we were attending the corner shop at the top of the hill as there seemed to be a disturbance there. I </w:t>
      </w:r>
      <w:r w:rsidRPr="00C7447F">
        <w:rPr>
          <w:rFonts w:asciiTheme="majorHAnsi" w:eastAsiaTheme="minorHAnsi" w:hAnsiTheme="majorHAnsi" w:cstheme="majorHAnsi"/>
          <w:color w:val="auto"/>
          <w:sz w:val="24"/>
          <w:szCs w:val="24"/>
          <w:lang w:eastAsia="en-US"/>
        </w:rPr>
        <w:lastRenderedPageBreak/>
        <w:t xml:space="preserve">checked with the public service centre by my police issued radio device if any call had been made, there was none yet but I reassured him that we’d make our way over. </w:t>
      </w:r>
    </w:p>
    <w:p w14:paraId="58A5FCC3"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When my colleague and I at the corner shop, there was a crowd of around twenty people standing outside the shop, arguing, and spectating. I contacted the public service centre to ask for an occurrence to be created for the incident and asked for any available units to assist to prevent any situation from escalating.</w:t>
      </w:r>
    </w:p>
    <w:p w14:paraId="72DE9F47"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 xml:space="preserve">According to The College of Policing (2013) a group of individuals known as a ‘crowd’ can result in a spread of behaviour caused by the members’ involved if they were to become extremely emotional or hostile and this could spread to those around them. A minority may have the chance to mobilise and influence those around them. This supports the action I had taken to inform the service centre and ask for more units. </w:t>
      </w:r>
    </w:p>
    <w:p w14:paraId="619149D9"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I spoke with someone who seemed to have a grasp of the situation, explaining that a group of youths had entered the corner shop. This escalated into a fight with the sales assistant and a racist term was used against the sales assistant which was meant with offence and then left the area. I asked if anyone who was in the area to give details to my colleague if they were in the location at the time of the incident if they would need to be contacted again for information or even a statement.</w:t>
      </w:r>
    </w:p>
    <w:p w14:paraId="1DCAE8C5"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 xml:space="preserve">Once in the shop I spoke with the victim of the incident, he was visibly shaken up about what had happened. Once I gained details to be able to update the log, I asked him to explain what had happened. He stated that it was a group of boys who regularly came into the shop, he asked them to leave earlier that day as they were causing trouble. </w:t>
      </w:r>
    </w:p>
    <w:p w14:paraId="0C50865E"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When they came back into the shop, he asked them to leave as they were ‘play fighting’ with the intention to pull and push things off the shelves in the shop and cause a mess. The victim gave them a warning to leave as he was pulling the shutters down, as his warning was unheard, he ushered them out of the shop and whilst outside the two teenage boys attempted to go back into the shop while the shutters were coming down.</w:t>
      </w:r>
    </w:p>
    <w:p w14:paraId="083F6B7D"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 xml:space="preserve">The shop attendant pushed the teenage boys away against the wall, so they didn’t get hurt by the shutters or go back into the shop, in the process one of the teenage boys pushed away </w:t>
      </w:r>
      <w:r w:rsidRPr="00C7447F">
        <w:rPr>
          <w:rFonts w:asciiTheme="majorHAnsi" w:eastAsiaTheme="minorHAnsi" w:hAnsiTheme="majorHAnsi" w:cstheme="majorHAnsi"/>
          <w:color w:val="auto"/>
          <w:sz w:val="24"/>
          <w:szCs w:val="24"/>
          <w:lang w:eastAsia="en-US"/>
        </w:rPr>
        <w:lastRenderedPageBreak/>
        <w:t>and the other punched out at the shop attendant and shouted, ‘Get off me and a racists comment followed’.</w:t>
      </w:r>
    </w:p>
    <w:p w14:paraId="040B5BC0"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I obtained the names of the teenage boys who were involved, the victim was asked what he’d like to have done about the incident moving forward, he stated he’d like nothing to be done but for the boys to be spoken to and that the boys are banned until they apologise. The parents were notified of what happened and I strongly advised them how their behaviour was unacceptable, when speaking with each of them individually I used transactional analysis developed by Eric Berne (Berne (2011) with the philosophy that a person can adapt the characteristics of the parent at a given time by the language, typical behaviours and attitudes shown in front of them.</w:t>
      </w:r>
    </w:p>
    <w:p w14:paraId="42CB9736"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 xml:space="preserve">The teenagers apologised and the next day both teenage boys attended the shop with their parent to apologise for what had happened. I completed the relevant forms as this was documented as a hate crime as this was racially aggravated by words used against the victim. </w:t>
      </w:r>
    </w:p>
    <w:p w14:paraId="1774D0E1"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8"/>
          <w:szCs w:val="28"/>
          <w:u w:val="single"/>
          <w:lang w:eastAsia="en-US"/>
        </w:rPr>
      </w:pPr>
      <w:r w:rsidRPr="00C7447F">
        <w:rPr>
          <w:rFonts w:asciiTheme="majorHAnsi" w:eastAsiaTheme="minorHAnsi" w:hAnsiTheme="majorHAnsi" w:cstheme="majorHAnsi"/>
          <w:color w:val="auto"/>
          <w:sz w:val="28"/>
          <w:szCs w:val="28"/>
          <w:u w:val="single"/>
          <w:lang w:eastAsia="en-US"/>
        </w:rPr>
        <w:t>So What?</w:t>
      </w:r>
    </w:p>
    <w:p w14:paraId="777E0E8B"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Community policing dates to the 1960s during a time when riots and gang activities were on the increase. Whereby brute force resulted in the decrease of policing relationships with those in the community (Bayley 2016). Therefore, causing a review of the role of the police in the community.</w:t>
      </w:r>
    </w:p>
    <w:p w14:paraId="3A00DD49"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 xml:space="preserve">Community engagement is an essential aspect involved in policing. Effective engagement with community allows for the building and maintaining of trust between officers and the public (Hyland-Wood et al 2021). This enhances the partnership and therefore enables effective problem solving. To promote engagement education and knowledge is essential. By enforcing and educating the police and public on policies, practices and incidents allows for clarity and a greater understanding between those involved (Kubiak et al 2019). </w:t>
      </w:r>
    </w:p>
    <w:p w14:paraId="4E361DD9"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 xml:space="preserve">It has been suggested that effective community engagement such as foot patrols and cooperative problem solving can have a considerable impact on the confidence in activities associated with the police (College of Policing 2013). This could relieve tensions associated with hate crimes as identified in the scenario and other crimes. </w:t>
      </w:r>
    </w:p>
    <w:p w14:paraId="0D23EFFE"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lastRenderedPageBreak/>
        <w:t xml:space="preserve">One intervention used within the police to engage communities is visible presence or foot patrols. The use of this can have a considerable impact on antisocial behaviour and reduce crime (Ariel, </w:t>
      </w:r>
      <w:proofErr w:type="spellStart"/>
      <w:r w:rsidRPr="00C7447F">
        <w:rPr>
          <w:rFonts w:asciiTheme="majorHAnsi" w:eastAsiaTheme="minorHAnsi" w:hAnsiTheme="majorHAnsi" w:cstheme="majorHAnsi"/>
          <w:color w:val="auto"/>
          <w:sz w:val="24"/>
          <w:szCs w:val="24"/>
          <w:lang w:eastAsia="en-US"/>
        </w:rPr>
        <w:t>Weinborn</w:t>
      </w:r>
      <w:proofErr w:type="spellEnd"/>
      <w:r w:rsidRPr="00C7447F">
        <w:rPr>
          <w:rFonts w:asciiTheme="majorHAnsi" w:eastAsiaTheme="minorHAnsi" w:hAnsiTheme="majorHAnsi" w:cstheme="majorHAnsi"/>
          <w:color w:val="auto"/>
          <w:sz w:val="24"/>
          <w:szCs w:val="24"/>
          <w:lang w:eastAsia="en-US"/>
        </w:rPr>
        <w:t xml:space="preserve"> and Sherman 2016). Additionally, the increased presence of the police in communities provides the public with reassurance. Furthermore, the presence of the police allows for effective engagement and problem solving when needed. Using information provision and under section 34 of the Police Reform and Social Responsibility Act 2011 it is required the public are aware of how the police aim to respond to crime (Lister 2013). </w:t>
      </w:r>
    </w:p>
    <w:p w14:paraId="36BA94CD"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 xml:space="preserve">However, in some instances officers may be met with communities who are unwilling to engage. This could be because of officer not listening to public views nevertheless it is essential to play an active role in overcoming barrier (Walker and Archbold 2020). </w:t>
      </w:r>
    </w:p>
    <w:p w14:paraId="2EEB58C9"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Problem solving is an effective policing strategy and has been shown to be vital in decreasing antisocial behaviour and crime when fully utilised.  An essential model used when requiring problem solving is SARA. This relates to Scanning, Analysis, Response and Assessment. This model aids in recognizing and understanding the cause of a situation and allows for a solution to be established that will therefore be effective (College of Policing 2020).</w:t>
      </w:r>
    </w:p>
    <w:p w14:paraId="15B9E878"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 xml:space="preserve">Another strategy used is targeting police and places. There is a considerable link between crimes and anti-social behaviour between specific places and people (Crawford 2009). Therefore, you can reduce the demand of these happening by targeting those who are at most risk.  </w:t>
      </w:r>
    </w:p>
    <w:p w14:paraId="18180815"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Additionally, effective communication is essential when engaging with the community. This is due to communication shaping the delivery of services and the way it is perceived by the public. Adapting the forms of communication to their communities allows for more people to understand. Showing a greater understanding of communities through interaction via data, social media and face-to-face interactions improves service delivery College of Policing 2020)</w:t>
      </w:r>
    </w:p>
    <w:p w14:paraId="6CFAC1DA"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Those involved in community engagement whereby it be the police or the public need to be committed to the engagement process at all levels to ensure effectiveness and cooperation (</w:t>
      </w:r>
      <w:proofErr w:type="spellStart"/>
      <w:r w:rsidRPr="00C7447F">
        <w:rPr>
          <w:rFonts w:asciiTheme="majorHAnsi" w:eastAsiaTheme="minorHAnsi" w:hAnsiTheme="majorHAnsi" w:cstheme="majorHAnsi"/>
          <w:color w:val="auto"/>
          <w:sz w:val="24"/>
          <w:szCs w:val="24"/>
          <w:lang w:eastAsia="en-US"/>
        </w:rPr>
        <w:t>Myhill</w:t>
      </w:r>
      <w:proofErr w:type="spellEnd"/>
      <w:r w:rsidRPr="00C7447F">
        <w:rPr>
          <w:rFonts w:asciiTheme="majorHAnsi" w:eastAsiaTheme="minorHAnsi" w:hAnsiTheme="majorHAnsi" w:cstheme="majorHAnsi"/>
          <w:color w:val="auto"/>
          <w:sz w:val="24"/>
          <w:szCs w:val="24"/>
          <w:lang w:eastAsia="en-US"/>
        </w:rPr>
        <w:t xml:space="preserve"> 2012). Therefore, ensuring the success of implementation. </w:t>
      </w:r>
    </w:p>
    <w:p w14:paraId="6AEBB92F"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8"/>
          <w:szCs w:val="28"/>
          <w:u w:val="single"/>
          <w:lang w:eastAsia="en-US"/>
        </w:rPr>
      </w:pPr>
      <w:r w:rsidRPr="00C7447F">
        <w:rPr>
          <w:rFonts w:asciiTheme="majorHAnsi" w:eastAsiaTheme="minorHAnsi" w:hAnsiTheme="majorHAnsi" w:cstheme="majorHAnsi"/>
          <w:color w:val="auto"/>
          <w:sz w:val="28"/>
          <w:szCs w:val="28"/>
          <w:u w:val="single"/>
          <w:lang w:eastAsia="en-US"/>
        </w:rPr>
        <w:t>Now what?</w:t>
      </w:r>
    </w:p>
    <w:p w14:paraId="702C3CFA"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lastRenderedPageBreak/>
        <w:t>In response to the scenario identified I reacted quickly as we had no prior knowledge of the severity of the situation as this had not been reported. Therefore, I feel I would still act the same if the situation was to happen again as gaining control of the situation by having more officers on scene is important to prevent having more victims from people’s emotions being heightened due to having a good relationship with the shop keeper.</w:t>
      </w:r>
    </w:p>
    <w:p w14:paraId="6C2C3B3A"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Regarding my personal values, the nature of the shopkeeper dealing with the way he was treated and spoken to this made me feel the behaviour was unacceptable and that I didn’t condone the behaviour stating this to the bystanders and that the shopkeeper should not be made to feel uncomfortable in his place of work.</w:t>
      </w:r>
    </w:p>
    <w:p w14:paraId="77E91C60"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My past experiences dealing with crowds has only been at a road traffic collision. This sort of experience aided in knowing to distinguish who needs to be kept separate. I have learnt from reflecting on this incident the importance of when arriving somewhere with a high volume of people who all want to be listened to there needs to be a management of expectations and prioritise the situation, the victim and what the victim wants to be done about what happened.</w:t>
      </w:r>
    </w:p>
    <w:p w14:paraId="44F275E7"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 xml:space="preserve">If a similar incident was to happen in the future, I would do things differently by gaining as much information from the members of public who stopped me. By doing this it would have allowed me gain further information such as descriptions of people involved. Then collect details from all involved. When speaking to the whole group of people when arriving at the scene of the incident, I learnt looking back now that I should have detailed the steps that I would be taking and that the police will be taking control of the situation to enforce engagement with the community.  </w:t>
      </w:r>
    </w:p>
    <w:p w14:paraId="24A1EF78"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r w:rsidRPr="00C7447F">
        <w:rPr>
          <w:rFonts w:asciiTheme="majorHAnsi" w:eastAsiaTheme="minorHAnsi" w:hAnsiTheme="majorHAnsi" w:cstheme="majorHAnsi"/>
          <w:color w:val="auto"/>
          <w:sz w:val="24"/>
          <w:szCs w:val="24"/>
          <w:lang w:eastAsia="en-US"/>
        </w:rPr>
        <w:t>To further expand on how I dealt with a complete issue for the community whereby I played a significant role in providing a response, the scenario discussed re-enforced how I gathered all information available on arrival, spoke to victims and witnesses. This allowed me to listen and give support and to gain an understanding of an outcome they expect to receive. The perpetrators were spoken to, their parents were informed and both teenagers gave a formal apology to the shop keeper.</w:t>
      </w:r>
    </w:p>
    <w:p w14:paraId="736C8C2F"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p>
    <w:p w14:paraId="6AB80620" w14:textId="77777777" w:rsidR="00C7447F" w:rsidRDefault="00C7447F" w:rsidP="00C7447F">
      <w:pPr>
        <w:rPr>
          <w:rFonts w:ascii="Calibri Light" w:hAnsi="Calibri Light" w:cs="Calibri Light"/>
        </w:rPr>
      </w:pPr>
    </w:p>
    <w:p w14:paraId="23B11494" w14:textId="3286715F" w:rsidR="00C7447F" w:rsidRDefault="00C7447F" w:rsidP="00C7447F">
      <w:pPr>
        <w:rPr>
          <w:rFonts w:ascii="Calibri Light" w:hAnsi="Calibri Light" w:cs="Calibri Light"/>
        </w:rPr>
      </w:pPr>
      <w:r>
        <w:rPr>
          <w:rFonts w:ascii="Calibri Light" w:hAnsi="Calibri Light" w:cs="Calibri Light"/>
        </w:rPr>
        <w:lastRenderedPageBreak/>
        <w:t>Bibliography</w:t>
      </w:r>
    </w:p>
    <w:p w14:paraId="35626F2E" w14:textId="64FA7B8B" w:rsidR="00C7447F" w:rsidRDefault="003A54D2" w:rsidP="00C7447F">
      <w:pPr>
        <w:rPr>
          <w:rFonts w:ascii="Calibri Light" w:hAnsi="Calibri Light" w:cs="Calibri Light"/>
        </w:rPr>
      </w:pPr>
      <w:r>
        <w:rPr>
          <w:rFonts w:ascii="Calibri Light" w:hAnsi="Calibri Light" w:cs="Calibri Light"/>
        </w:rPr>
        <w:t>Task.1</w:t>
      </w:r>
    </w:p>
    <w:p w14:paraId="461A4744" w14:textId="77777777" w:rsidR="00C7447F" w:rsidRDefault="00C7447F" w:rsidP="00C7447F">
      <w:pPr>
        <w:rPr>
          <w:rFonts w:ascii="Calibri Light" w:hAnsi="Calibri Light" w:cs="Calibri Light"/>
          <w:color w:val="auto"/>
        </w:rPr>
      </w:pPr>
    </w:p>
    <w:p w14:paraId="54393312" w14:textId="77777777" w:rsidR="00C7447F" w:rsidRDefault="00C7447F" w:rsidP="00C7447F">
      <w:pPr>
        <w:spacing w:line="480" w:lineRule="auto"/>
        <w:ind w:left="720" w:hanging="720"/>
        <w:rPr>
          <w:rFonts w:ascii="Calibri Light" w:hAnsi="Calibri Light" w:cs="Calibri Light"/>
          <w:color w:val="auto"/>
          <w:szCs w:val="24"/>
        </w:rPr>
      </w:pPr>
      <w:r>
        <w:rPr>
          <w:rFonts w:ascii="Calibri Light" w:hAnsi="Calibri Light" w:cs="Calibri Light"/>
        </w:rPr>
        <w:t xml:space="preserve">College of </w:t>
      </w:r>
      <w:proofErr w:type="gramStart"/>
      <w:r>
        <w:rPr>
          <w:rFonts w:ascii="Calibri Light" w:hAnsi="Calibri Light" w:cs="Calibri Light"/>
        </w:rPr>
        <w:t>Policing  (</w:t>
      </w:r>
      <w:proofErr w:type="gramEnd"/>
      <w:r>
        <w:rPr>
          <w:rFonts w:ascii="Calibri Light" w:hAnsi="Calibri Light" w:cs="Calibri Light"/>
        </w:rPr>
        <w:t xml:space="preserve">2014) </w:t>
      </w:r>
      <w:r>
        <w:rPr>
          <w:rFonts w:ascii="Calibri Light" w:hAnsi="Calibri Light" w:cs="Calibri Light"/>
          <w:i/>
        </w:rPr>
        <w:t>National decision model</w:t>
      </w:r>
      <w:r>
        <w:rPr>
          <w:rFonts w:ascii="Calibri Light" w:hAnsi="Calibri Light" w:cs="Calibri Light"/>
        </w:rPr>
        <w:t xml:space="preserve">, </w:t>
      </w:r>
      <w:r>
        <w:rPr>
          <w:rFonts w:ascii="Calibri Light" w:hAnsi="Calibri Light" w:cs="Calibri Light"/>
          <w:i/>
        </w:rPr>
        <w:t>College of Policing</w:t>
      </w:r>
      <w:r>
        <w:rPr>
          <w:rFonts w:ascii="Calibri Light" w:hAnsi="Calibri Light" w:cs="Calibri Light"/>
        </w:rPr>
        <w:t xml:space="preserve">. Available at: https://www.college.police.uk/app/national-decision-model/national-decision-model (Accessed: 15 July 2023). </w:t>
      </w:r>
    </w:p>
    <w:p w14:paraId="31691E78" w14:textId="77777777" w:rsidR="00C7447F" w:rsidRDefault="00C7447F" w:rsidP="00C7447F">
      <w:pPr>
        <w:spacing w:line="480" w:lineRule="auto"/>
        <w:ind w:left="720" w:hanging="720"/>
        <w:rPr>
          <w:rFonts w:ascii="Calibri Light" w:hAnsi="Calibri Light" w:cs="Calibri Light"/>
        </w:rPr>
      </w:pPr>
      <w:r>
        <w:rPr>
          <w:rFonts w:ascii="Calibri Light" w:hAnsi="Calibri Light" w:cs="Calibri Light"/>
        </w:rPr>
        <w:t xml:space="preserve">College of Policing (2023) </w:t>
      </w:r>
      <w:r>
        <w:rPr>
          <w:rFonts w:ascii="Calibri Light" w:hAnsi="Calibri Light" w:cs="Calibri Light"/>
          <w:i/>
        </w:rPr>
        <w:t>Arrest and other positive approaches</w:t>
      </w:r>
      <w:r>
        <w:rPr>
          <w:rFonts w:ascii="Calibri Light" w:hAnsi="Calibri Light" w:cs="Calibri Light"/>
        </w:rPr>
        <w:t xml:space="preserve">, </w:t>
      </w:r>
      <w:r>
        <w:rPr>
          <w:rFonts w:ascii="Calibri Light" w:hAnsi="Calibri Light" w:cs="Calibri Light"/>
          <w:i/>
        </w:rPr>
        <w:t>College of Policing</w:t>
      </w:r>
      <w:r>
        <w:rPr>
          <w:rFonts w:ascii="Calibri Light" w:hAnsi="Calibri Light" w:cs="Calibri Light"/>
        </w:rPr>
        <w:t xml:space="preserve">. Available at: https://www.college.police.uk/app/major-investigation-and-public-protection/domestic-abuse/arrest-and-other-positive-approaches (Accessed: 15 July 2023). </w:t>
      </w:r>
    </w:p>
    <w:p w14:paraId="28C2AEC6" w14:textId="77777777" w:rsidR="00C7447F" w:rsidRDefault="00C7447F" w:rsidP="00C7447F">
      <w:pPr>
        <w:spacing w:line="480" w:lineRule="auto"/>
        <w:ind w:left="720" w:hanging="720"/>
        <w:rPr>
          <w:rFonts w:ascii="Calibri Light" w:hAnsi="Calibri Light" w:cs="Calibri Light"/>
        </w:rPr>
      </w:pPr>
      <w:r>
        <w:rPr>
          <w:rFonts w:ascii="Calibri Light" w:hAnsi="Calibri Light" w:cs="Calibri Light"/>
        </w:rPr>
        <w:t xml:space="preserve">Farrell, G. and Pease, K. (2012) ‘Preventing repeat residential burglary victimization’, </w:t>
      </w:r>
      <w:r>
        <w:rPr>
          <w:rFonts w:ascii="Calibri Light" w:hAnsi="Calibri Light" w:cs="Calibri Light"/>
          <w:i/>
        </w:rPr>
        <w:t>Preventing Crime</w:t>
      </w:r>
      <w:r>
        <w:rPr>
          <w:rFonts w:ascii="Calibri Light" w:hAnsi="Calibri Light" w:cs="Calibri Light"/>
        </w:rPr>
        <w:t xml:space="preserve">, pp. 161–176. doi:10.1007/1-4020-4244-2_11. </w:t>
      </w:r>
    </w:p>
    <w:p w14:paraId="4FB798DA" w14:textId="77777777" w:rsidR="00C7447F" w:rsidRDefault="00C7447F" w:rsidP="00C7447F">
      <w:pPr>
        <w:spacing w:line="480" w:lineRule="auto"/>
        <w:ind w:left="720" w:hanging="720"/>
        <w:rPr>
          <w:rFonts w:ascii="Calibri Light" w:hAnsi="Calibri Light" w:cs="Calibri Light"/>
        </w:rPr>
      </w:pPr>
      <w:r>
        <w:rPr>
          <w:rFonts w:ascii="Calibri Light" w:hAnsi="Calibri Light" w:cs="Calibri Light"/>
        </w:rPr>
        <w:t xml:space="preserve">Gov.uk (2013) </w:t>
      </w:r>
      <w:r>
        <w:rPr>
          <w:rFonts w:ascii="Calibri Light" w:hAnsi="Calibri Light" w:cs="Calibri Light"/>
          <w:i/>
        </w:rPr>
        <w:t>Police and criminal evidence act 1984 (PACE) codes of Practice</w:t>
      </w:r>
      <w:r>
        <w:rPr>
          <w:rFonts w:ascii="Calibri Light" w:hAnsi="Calibri Light" w:cs="Calibri Light"/>
        </w:rPr>
        <w:t xml:space="preserve">, </w:t>
      </w:r>
      <w:r>
        <w:rPr>
          <w:rFonts w:ascii="Calibri Light" w:hAnsi="Calibri Light" w:cs="Calibri Light"/>
          <w:i/>
        </w:rPr>
        <w:t>GOV.UK</w:t>
      </w:r>
      <w:r>
        <w:rPr>
          <w:rFonts w:ascii="Calibri Light" w:hAnsi="Calibri Light" w:cs="Calibri Light"/>
        </w:rPr>
        <w:t xml:space="preserve">. Available at: https://www.gov.uk/guidance/police-and-criminal-evidence-act-1984-pace-codes-of-practice (Accessed: 15 July 2023). </w:t>
      </w:r>
    </w:p>
    <w:p w14:paraId="516FC281" w14:textId="77777777" w:rsidR="00C7447F" w:rsidRDefault="00C7447F" w:rsidP="00C7447F">
      <w:pPr>
        <w:spacing w:line="480" w:lineRule="auto"/>
        <w:ind w:left="720" w:hanging="720"/>
        <w:rPr>
          <w:rFonts w:ascii="Calibri Light" w:hAnsi="Calibri Light" w:cs="Calibri Light"/>
        </w:rPr>
      </w:pPr>
      <w:proofErr w:type="gramStart"/>
      <w:r>
        <w:rPr>
          <w:rFonts w:ascii="Calibri Light" w:hAnsi="Calibri Light" w:cs="Calibri Light"/>
        </w:rPr>
        <w:t>Norman ,</w:t>
      </w:r>
      <w:proofErr w:type="gramEnd"/>
      <w:r>
        <w:rPr>
          <w:rFonts w:ascii="Calibri Light" w:hAnsi="Calibri Light" w:cs="Calibri Light"/>
        </w:rPr>
        <w:t xml:space="preserve"> K. and Nixon , V. (2013) </w:t>
      </w:r>
      <w:r>
        <w:rPr>
          <w:rFonts w:ascii="Calibri Light" w:hAnsi="Calibri Light" w:cs="Calibri Light"/>
          <w:i/>
        </w:rPr>
        <w:t xml:space="preserve">Reflection and reflective practice - </w:t>
      </w:r>
      <w:proofErr w:type="spellStart"/>
      <w:r>
        <w:rPr>
          <w:rFonts w:ascii="Calibri Light" w:hAnsi="Calibri Light" w:cs="Calibri Light"/>
          <w:i/>
        </w:rPr>
        <w:t>wiley</w:t>
      </w:r>
      <w:proofErr w:type="spellEnd"/>
      <w:r>
        <w:rPr>
          <w:rFonts w:ascii="Calibri Light" w:hAnsi="Calibri Light" w:cs="Calibri Light"/>
          <w:i/>
        </w:rPr>
        <w:t xml:space="preserve"> online library</w:t>
      </w:r>
      <w:r>
        <w:rPr>
          <w:rFonts w:ascii="Calibri Light" w:hAnsi="Calibri Light" w:cs="Calibri Light"/>
        </w:rPr>
        <w:t xml:space="preserve">. Available at: https://onlinelibrary.wiley.com/doi/10.1002/9781119464389.ch5 (Accessed: 15 July 2023). </w:t>
      </w:r>
    </w:p>
    <w:p w14:paraId="4785AA80" w14:textId="77777777" w:rsidR="00C7447F" w:rsidRDefault="00C7447F" w:rsidP="00C7447F">
      <w:pPr>
        <w:spacing w:line="480" w:lineRule="auto"/>
        <w:ind w:left="720" w:hanging="720"/>
        <w:rPr>
          <w:rFonts w:ascii="Calibri Light" w:hAnsi="Calibri Light" w:cs="Calibri Light"/>
        </w:rPr>
      </w:pPr>
      <w:proofErr w:type="gramStart"/>
      <w:r>
        <w:rPr>
          <w:rFonts w:ascii="Calibri Light" w:hAnsi="Calibri Light" w:cs="Calibri Light"/>
        </w:rPr>
        <w:t>Reid ,</w:t>
      </w:r>
      <w:proofErr w:type="gramEnd"/>
      <w:r>
        <w:rPr>
          <w:rFonts w:ascii="Calibri Light" w:hAnsi="Calibri Light" w:cs="Calibri Light"/>
        </w:rPr>
        <w:t xml:space="preserve">  </w:t>
      </w:r>
      <w:proofErr w:type="spellStart"/>
      <w:r>
        <w:rPr>
          <w:rFonts w:ascii="Calibri Light" w:hAnsi="Calibri Light" w:cs="Calibri Light"/>
        </w:rPr>
        <w:t>sharon</w:t>
      </w:r>
      <w:proofErr w:type="spellEnd"/>
      <w:r>
        <w:rPr>
          <w:rFonts w:ascii="Calibri Light" w:hAnsi="Calibri Light" w:cs="Calibri Light"/>
        </w:rPr>
        <w:t xml:space="preserve"> (2021) </w:t>
      </w:r>
      <w:r>
        <w:rPr>
          <w:rFonts w:ascii="Calibri Light" w:hAnsi="Calibri Light" w:cs="Calibri Light"/>
          <w:i/>
        </w:rPr>
        <w:t>Recognising and responding to vulnerability-related risks</w:t>
      </w:r>
      <w:r>
        <w:rPr>
          <w:rFonts w:ascii="Calibri Light" w:hAnsi="Calibri Light" w:cs="Calibri Light"/>
        </w:rPr>
        <w:t xml:space="preserve">. Available at: https://assets.college.police.uk/s3fs-public/2021-11/Recognising-responding-vulnerability-related-risks-guidelines.pdf (Accessed: 15 July 2023). </w:t>
      </w:r>
    </w:p>
    <w:p w14:paraId="6DEACFF5" w14:textId="77777777" w:rsidR="00C7447F" w:rsidRDefault="00C7447F" w:rsidP="00C7447F">
      <w:pPr>
        <w:spacing w:line="480" w:lineRule="auto"/>
        <w:ind w:left="720" w:hanging="720"/>
        <w:rPr>
          <w:rFonts w:ascii="Calibri Light" w:hAnsi="Calibri Light" w:cs="Calibri Light"/>
        </w:rPr>
      </w:pPr>
      <w:r>
        <w:rPr>
          <w:rFonts w:ascii="Calibri Light" w:hAnsi="Calibri Light" w:cs="Calibri Light"/>
        </w:rPr>
        <w:t xml:space="preserve">Robinson, A.L. (2006) ‘Reducing repeat victimization among high-risk victims of domestic violence’, </w:t>
      </w:r>
      <w:r>
        <w:rPr>
          <w:rFonts w:ascii="Calibri Light" w:hAnsi="Calibri Light" w:cs="Calibri Light"/>
          <w:i/>
        </w:rPr>
        <w:t>Violence Against Women</w:t>
      </w:r>
      <w:r>
        <w:rPr>
          <w:rFonts w:ascii="Calibri Light" w:hAnsi="Calibri Light" w:cs="Calibri Light"/>
        </w:rPr>
        <w:t xml:space="preserve">, 12(8), pp. 761–788. doi:10.1177/1077801206291477. </w:t>
      </w:r>
    </w:p>
    <w:p w14:paraId="1630A419" w14:textId="619B1460" w:rsidR="00C7447F" w:rsidRDefault="003A54D2" w:rsidP="00C7447F">
      <w:pPr>
        <w:spacing w:line="480" w:lineRule="auto"/>
        <w:ind w:left="720" w:hanging="720"/>
        <w:rPr>
          <w:rFonts w:ascii="Calibri Light" w:hAnsi="Calibri Light" w:cs="Calibri Light"/>
        </w:rPr>
      </w:pPr>
      <w:r>
        <w:rPr>
          <w:rFonts w:ascii="Calibri Light" w:hAnsi="Calibri Light" w:cs="Calibri Light"/>
        </w:rPr>
        <w:t>Task.2</w:t>
      </w:r>
    </w:p>
    <w:p w14:paraId="10F37D25" w14:textId="77777777" w:rsidR="00C7447F" w:rsidRDefault="00C7447F" w:rsidP="00C7447F">
      <w:pPr>
        <w:spacing w:line="480" w:lineRule="auto"/>
        <w:ind w:left="720" w:hanging="720"/>
        <w:rPr>
          <w:rFonts w:ascii="Calibri Light" w:hAnsi="Calibri Light" w:cs="Calibri Light"/>
        </w:rPr>
      </w:pPr>
    </w:p>
    <w:p w14:paraId="1B79E494" w14:textId="77777777" w:rsidR="003A54D2" w:rsidRDefault="003A54D2" w:rsidP="003A54D2">
      <w:pPr>
        <w:spacing w:line="480" w:lineRule="auto"/>
        <w:ind w:left="720" w:hanging="720"/>
        <w:rPr>
          <w:rFonts w:ascii="Calibri" w:hAnsi="Calibri" w:cs="Times New Roman"/>
          <w:color w:val="auto"/>
        </w:rPr>
      </w:pPr>
      <w:r>
        <w:rPr>
          <w:rFonts w:ascii="Times New Roman" w:hAnsi="Times New Roman"/>
        </w:rPr>
        <w:t xml:space="preserve">Ariel, B., </w:t>
      </w:r>
      <w:proofErr w:type="spellStart"/>
      <w:r>
        <w:rPr>
          <w:rFonts w:ascii="Times New Roman" w:hAnsi="Times New Roman"/>
        </w:rPr>
        <w:t>Weinborn</w:t>
      </w:r>
      <w:proofErr w:type="spellEnd"/>
      <w:r>
        <w:rPr>
          <w:rFonts w:ascii="Times New Roman" w:hAnsi="Times New Roman"/>
        </w:rPr>
        <w:t xml:space="preserve">, C. and Sherman, L.W. (2016) ‘“soft” policing at hot spots—do Police Community Support Officers Work? A randomized controlled trial’, </w:t>
      </w:r>
      <w:r>
        <w:rPr>
          <w:rFonts w:ascii="Times New Roman" w:hAnsi="Times New Roman"/>
          <w:i/>
        </w:rPr>
        <w:t>Journal of Experimental Criminology</w:t>
      </w:r>
      <w:r>
        <w:rPr>
          <w:rFonts w:ascii="Times New Roman" w:hAnsi="Times New Roman"/>
        </w:rPr>
        <w:t xml:space="preserve">, 12(3), pp. 277–317. doi:10.1007/s11292-016-9260-4. </w:t>
      </w:r>
    </w:p>
    <w:p w14:paraId="2E42C713" w14:textId="77777777" w:rsidR="003A54D2" w:rsidRDefault="003A54D2" w:rsidP="003A54D2">
      <w:pPr>
        <w:spacing w:line="480" w:lineRule="auto"/>
        <w:ind w:left="720" w:hanging="720"/>
      </w:pPr>
      <w:r>
        <w:rPr>
          <w:rFonts w:ascii="Times New Roman" w:hAnsi="Times New Roman"/>
        </w:rPr>
        <w:t xml:space="preserve">Bayley, D.H. (2016) ‘The complexities of 21st Century policing’, </w:t>
      </w:r>
      <w:r>
        <w:rPr>
          <w:rFonts w:ascii="Times New Roman" w:hAnsi="Times New Roman"/>
          <w:i/>
        </w:rPr>
        <w:t>Policing</w:t>
      </w:r>
      <w:r>
        <w:rPr>
          <w:rFonts w:ascii="Times New Roman" w:hAnsi="Times New Roman"/>
        </w:rPr>
        <w:t xml:space="preserve">, 10(3), pp. 163–170. doi:10.1093/police/paw019. </w:t>
      </w:r>
    </w:p>
    <w:p w14:paraId="52DBFE6A" w14:textId="77777777" w:rsidR="003A54D2" w:rsidRDefault="003A54D2" w:rsidP="003A54D2">
      <w:pPr>
        <w:spacing w:line="480" w:lineRule="auto"/>
        <w:ind w:left="720" w:hanging="720"/>
      </w:pPr>
      <w:r>
        <w:rPr>
          <w:rFonts w:ascii="Times New Roman" w:hAnsi="Times New Roman"/>
        </w:rPr>
        <w:t xml:space="preserve">College of </w:t>
      </w:r>
      <w:proofErr w:type="gramStart"/>
      <w:r>
        <w:rPr>
          <w:rFonts w:ascii="Times New Roman" w:hAnsi="Times New Roman"/>
        </w:rPr>
        <w:t>Policing  (</w:t>
      </w:r>
      <w:proofErr w:type="gramEnd"/>
      <w:r>
        <w:rPr>
          <w:rFonts w:ascii="Times New Roman" w:hAnsi="Times New Roman"/>
        </w:rPr>
        <w:t xml:space="preserve">2013) </w:t>
      </w:r>
      <w:r>
        <w:rPr>
          <w:rFonts w:ascii="Times New Roman" w:hAnsi="Times New Roman"/>
          <w:i/>
        </w:rPr>
        <w:t>Engagement</w:t>
      </w:r>
      <w:r>
        <w:rPr>
          <w:rFonts w:ascii="Times New Roman" w:hAnsi="Times New Roman"/>
        </w:rPr>
        <w:t xml:space="preserve">, </w:t>
      </w:r>
      <w:r>
        <w:rPr>
          <w:rFonts w:ascii="Times New Roman" w:hAnsi="Times New Roman"/>
          <w:i/>
        </w:rPr>
        <w:t>College of Policing</w:t>
      </w:r>
      <w:r>
        <w:rPr>
          <w:rFonts w:ascii="Times New Roman" w:hAnsi="Times New Roman"/>
        </w:rPr>
        <w:t xml:space="preserve">. Available at: https://www.college.police.uk/app/engagement-and-communication/engagement (Accessed: 16 July 2023). </w:t>
      </w:r>
    </w:p>
    <w:p w14:paraId="5CBC1288" w14:textId="77777777" w:rsidR="003A54D2" w:rsidRDefault="003A54D2" w:rsidP="003A54D2">
      <w:pPr>
        <w:spacing w:line="480" w:lineRule="auto"/>
        <w:ind w:left="720" w:hanging="720"/>
      </w:pPr>
      <w:r>
        <w:rPr>
          <w:rFonts w:ascii="Times New Roman" w:hAnsi="Times New Roman"/>
        </w:rPr>
        <w:lastRenderedPageBreak/>
        <w:t xml:space="preserve">College of Policing (no date) </w:t>
      </w:r>
      <w:r>
        <w:rPr>
          <w:rFonts w:ascii="Times New Roman" w:hAnsi="Times New Roman"/>
          <w:i/>
        </w:rPr>
        <w:t>Problem-oriented policing</w:t>
      </w:r>
      <w:r>
        <w:rPr>
          <w:rFonts w:ascii="Times New Roman" w:hAnsi="Times New Roman"/>
        </w:rPr>
        <w:t xml:space="preserve">, </w:t>
      </w:r>
      <w:r>
        <w:rPr>
          <w:rFonts w:ascii="Times New Roman" w:hAnsi="Times New Roman"/>
          <w:i/>
        </w:rPr>
        <w:t>College of Policing</w:t>
      </w:r>
      <w:r>
        <w:rPr>
          <w:rFonts w:ascii="Times New Roman" w:hAnsi="Times New Roman"/>
        </w:rPr>
        <w:t xml:space="preserve">. Available at: https://www.college.police.uk/research/crime-reduction-toolkit/problem-oriented-policing (Accessed: 16 July 2023). </w:t>
      </w:r>
    </w:p>
    <w:p w14:paraId="361FC612" w14:textId="77777777" w:rsidR="003A54D2" w:rsidRDefault="003A54D2" w:rsidP="003A54D2">
      <w:pPr>
        <w:spacing w:line="480" w:lineRule="auto"/>
        <w:ind w:left="720" w:hanging="720"/>
      </w:pPr>
      <w:r>
        <w:rPr>
          <w:rFonts w:ascii="Times New Roman" w:hAnsi="Times New Roman"/>
        </w:rPr>
        <w:t xml:space="preserve">Crawford, A. (2009) ‘Governing through anti-social behaviour: Regulatory challenges to criminal justice’, </w:t>
      </w:r>
      <w:r>
        <w:rPr>
          <w:rFonts w:ascii="Times New Roman" w:hAnsi="Times New Roman"/>
          <w:i/>
        </w:rPr>
        <w:t>British Journal of Criminology</w:t>
      </w:r>
      <w:r>
        <w:rPr>
          <w:rFonts w:ascii="Times New Roman" w:hAnsi="Times New Roman"/>
        </w:rPr>
        <w:t>, 49(6), pp. 810–831. doi:10.1093/</w:t>
      </w:r>
      <w:proofErr w:type="spellStart"/>
      <w:r>
        <w:rPr>
          <w:rFonts w:ascii="Times New Roman" w:hAnsi="Times New Roman"/>
        </w:rPr>
        <w:t>bjc</w:t>
      </w:r>
      <w:proofErr w:type="spellEnd"/>
      <w:r>
        <w:rPr>
          <w:rFonts w:ascii="Times New Roman" w:hAnsi="Times New Roman"/>
        </w:rPr>
        <w:t xml:space="preserve">/azp041. </w:t>
      </w:r>
    </w:p>
    <w:p w14:paraId="7BFE7222" w14:textId="77777777" w:rsidR="003A54D2" w:rsidRDefault="003A54D2" w:rsidP="003A54D2">
      <w:pPr>
        <w:spacing w:line="480" w:lineRule="auto"/>
        <w:ind w:left="720" w:hanging="720"/>
      </w:pPr>
      <w:r>
        <w:rPr>
          <w:rFonts w:ascii="Times New Roman" w:hAnsi="Times New Roman"/>
        </w:rPr>
        <w:t xml:space="preserve">Hyland-Wood, B. </w:t>
      </w:r>
      <w:r>
        <w:rPr>
          <w:rFonts w:ascii="Times New Roman" w:hAnsi="Times New Roman"/>
          <w:i/>
        </w:rPr>
        <w:t>et al.</w:t>
      </w:r>
      <w:r>
        <w:rPr>
          <w:rFonts w:ascii="Times New Roman" w:hAnsi="Times New Roman"/>
        </w:rPr>
        <w:t xml:space="preserve"> (2021) ‘Toward effective government communication strategies in the era of covid-19’, </w:t>
      </w:r>
      <w:r>
        <w:rPr>
          <w:rFonts w:ascii="Times New Roman" w:hAnsi="Times New Roman"/>
          <w:i/>
        </w:rPr>
        <w:t>Humanities and Social Sciences Communications</w:t>
      </w:r>
      <w:r>
        <w:rPr>
          <w:rFonts w:ascii="Times New Roman" w:hAnsi="Times New Roman"/>
        </w:rPr>
        <w:t xml:space="preserve">, 8(1). doi:10.1057/s41599-020-00701-w. </w:t>
      </w:r>
    </w:p>
    <w:p w14:paraId="6B6D7B22" w14:textId="77777777" w:rsidR="003A54D2" w:rsidRDefault="003A54D2" w:rsidP="003A54D2">
      <w:pPr>
        <w:spacing w:line="480" w:lineRule="auto"/>
        <w:ind w:left="720" w:hanging="720"/>
      </w:pPr>
      <w:r>
        <w:rPr>
          <w:rFonts w:ascii="Times New Roman" w:hAnsi="Times New Roman"/>
        </w:rPr>
        <w:t xml:space="preserve">Kubiak, S., </w:t>
      </w:r>
      <w:proofErr w:type="spellStart"/>
      <w:r>
        <w:rPr>
          <w:rFonts w:ascii="Times New Roman" w:hAnsi="Times New Roman"/>
        </w:rPr>
        <w:t>Shamrova</w:t>
      </w:r>
      <w:proofErr w:type="spellEnd"/>
      <w:r>
        <w:rPr>
          <w:rFonts w:ascii="Times New Roman" w:hAnsi="Times New Roman"/>
        </w:rPr>
        <w:t xml:space="preserve">, D. and Comartin, E. (2019) ‘Enhancing knowledge of adolescent mental health among law enforcement: Implementing youth-focused crisis intervention team training’, </w:t>
      </w:r>
      <w:r>
        <w:rPr>
          <w:rFonts w:ascii="Times New Roman" w:hAnsi="Times New Roman"/>
          <w:i/>
        </w:rPr>
        <w:t>Evaluation and Program Planning</w:t>
      </w:r>
      <w:r>
        <w:rPr>
          <w:rFonts w:ascii="Times New Roman" w:hAnsi="Times New Roman"/>
        </w:rPr>
        <w:t xml:space="preserve">, 73, pp. 44–52. </w:t>
      </w:r>
      <w:proofErr w:type="gramStart"/>
      <w:r>
        <w:rPr>
          <w:rFonts w:ascii="Times New Roman" w:hAnsi="Times New Roman"/>
        </w:rPr>
        <w:t>doi:10.1016/j.evalprogplan</w:t>
      </w:r>
      <w:proofErr w:type="gramEnd"/>
      <w:r>
        <w:rPr>
          <w:rFonts w:ascii="Times New Roman" w:hAnsi="Times New Roman"/>
        </w:rPr>
        <w:t xml:space="preserve">.2018.11.006. </w:t>
      </w:r>
    </w:p>
    <w:p w14:paraId="6219C00F" w14:textId="77777777" w:rsidR="003A54D2" w:rsidRDefault="003A54D2" w:rsidP="003A54D2">
      <w:pPr>
        <w:spacing w:line="480" w:lineRule="auto"/>
        <w:ind w:left="720" w:hanging="720"/>
      </w:pPr>
      <w:r>
        <w:rPr>
          <w:rFonts w:ascii="Times New Roman" w:hAnsi="Times New Roman"/>
        </w:rPr>
        <w:t xml:space="preserve">Lister, S. (2013) ‘The New Politics of the Police: Police and Crime Commissioners and the “operational independence” of the police’, </w:t>
      </w:r>
      <w:r>
        <w:rPr>
          <w:rFonts w:ascii="Times New Roman" w:hAnsi="Times New Roman"/>
          <w:i/>
        </w:rPr>
        <w:t>Policing</w:t>
      </w:r>
      <w:r>
        <w:rPr>
          <w:rFonts w:ascii="Times New Roman" w:hAnsi="Times New Roman"/>
        </w:rPr>
        <w:t xml:space="preserve">, 7(3), pp. 239–247. doi:10.1093/police/pat011. </w:t>
      </w:r>
    </w:p>
    <w:p w14:paraId="10E9F145" w14:textId="77777777" w:rsidR="003A54D2" w:rsidRDefault="003A54D2" w:rsidP="003A54D2">
      <w:pPr>
        <w:spacing w:line="480" w:lineRule="auto"/>
        <w:ind w:left="720" w:hanging="720"/>
      </w:pPr>
      <w:r>
        <w:rPr>
          <w:rFonts w:ascii="Times New Roman" w:hAnsi="Times New Roman"/>
        </w:rPr>
        <w:t xml:space="preserve">Walker, S. and Archbold, C.A. (2020) </w:t>
      </w:r>
      <w:r>
        <w:rPr>
          <w:rFonts w:ascii="Times New Roman" w:hAnsi="Times New Roman"/>
          <w:i/>
        </w:rPr>
        <w:t>The New World of Police accountability</w:t>
      </w:r>
      <w:r>
        <w:rPr>
          <w:rFonts w:ascii="Times New Roman" w:hAnsi="Times New Roman"/>
        </w:rPr>
        <w:t xml:space="preserve">. Los Angeles: SAGE. </w:t>
      </w:r>
    </w:p>
    <w:p w14:paraId="7AC87C0F" w14:textId="77777777" w:rsidR="00C7447F" w:rsidRDefault="00C7447F" w:rsidP="00C7447F">
      <w:pPr>
        <w:spacing w:line="480" w:lineRule="auto"/>
        <w:ind w:left="720" w:hanging="720"/>
        <w:rPr>
          <w:rFonts w:ascii="Calibri Light" w:hAnsi="Calibri Light" w:cs="Calibri Light"/>
        </w:rPr>
      </w:pPr>
    </w:p>
    <w:p w14:paraId="264ACCC1"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p>
    <w:p w14:paraId="1E9DCE53"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p>
    <w:p w14:paraId="27010133"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p>
    <w:p w14:paraId="6C97BA19"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p>
    <w:p w14:paraId="13CB303E"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p>
    <w:p w14:paraId="78099445"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p>
    <w:p w14:paraId="228A1BDF" w14:textId="77777777" w:rsidR="00C7447F" w:rsidRPr="00C7447F" w:rsidRDefault="00C7447F" w:rsidP="00C7447F">
      <w:pPr>
        <w:overflowPunct/>
        <w:autoSpaceDE/>
        <w:autoSpaceDN/>
        <w:adjustRightInd/>
        <w:spacing w:after="160" w:line="360" w:lineRule="auto"/>
        <w:textAlignment w:val="auto"/>
        <w:rPr>
          <w:rFonts w:asciiTheme="majorHAnsi" w:eastAsiaTheme="minorHAnsi" w:hAnsiTheme="majorHAnsi" w:cstheme="majorHAnsi"/>
          <w:color w:val="auto"/>
          <w:sz w:val="24"/>
          <w:szCs w:val="24"/>
          <w:lang w:eastAsia="en-US"/>
        </w:rPr>
      </w:pPr>
    </w:p>
    <w:p w14:paraId="275BF6C8" w14:textId="77777777" w:rsidR="00C7447F" w:rsidRPr="00C7447F" w:rsidRDefault="00C7447F" w:rsidP="00C7447F">
      <w:pPr>
        <w:overflowPunct/>
        <w:autoSpaceDE/>
        <w:autoSpaceDN/>
        <w:adjustRightInd/>
        <w:spacing w:after="160" w:line="259" w:lineRule="auto"/>
        <w:textAlignment w:val="auto"/>
        <w:rPr>
          <w:rFonts w:asciiTheme="majorHAnsi" w:eastAsiaTheme="minorHAnsi" w:hAnsiTheme="majorHAnsi" w:cstheme="majorHAnsi"/>
          <w:color w:val="auto"/>
          <w:sz w:val="24"/>
          <w:szCs w:val="24"/>
          <w:lang w:eastAsia="en-US"/>
        </w:rPr>
      </w:pPr>
    </w:p>
    <w:p w14:paraId="0E17160D" w14:textId="77777777" w:rsidR="00C7447F" w:rsidRPr="00C7447F" w:rsidRDefault="00C7447F" w:rsidP="00C7447F">
      <w:pPr>
        <w:overflowPunct/>
        <w:autoSpaceDE/>
        <w:autoSpaceDN/>
        <w:adjustRightInd/>
        <w:spacing w:after="160" w:line="259" w:lineRule="auto"/>
        <w:textAlignment w:val="auto"/>
        <w:rPr>
          <w:rFonts w:asciiTheme="majorHAnsi" w:eastAsiaTheme="minorHAnsi" w:hAnsiTheme="majorHAnsi" w:cstheme="majorHAnsi"/>
          <w:color w:val="auto"/>
          <w:sz w:val="24"/>
          <w:szCs w:val="24"/>
          <w:lang w:eastAsia="en-US"/>
        </w:rPr>
      </w:pPr>
    </w:p>
    <w:p w14:paraId="26B59776" w14:textId="77777777" w:rsidR="00C7447F" w:rsidRPr="00C7447F" w:rsidRDefault="00C7447F" w:rsidP="00C7447F">
      <w:pPr>
        <w:overflowPunct/>
        <w:autoSpaceDE/>
        <w:autoSpaceDN/>
        <w:adjustRightInd/>
        <w:spacing w:after="160" w:line="259" w:lineRule="auto"/>
        <w:textAlignment w:val="auto"/>
        <w:rPr>
          <w:rFonts w:asciiTheme="majorHAnsi" w:eastAsiaTheme="minorHAnsi" w:hAnsiTheme="majorHAnsi" w:cstheme="majorHAnsi"/>
          <w:color w:val="auto"/>
          <w:sz w:val="24"/>
          <w:szCs w:val="24"/>
          <w:lang w:eastAsia="en-US"/>
        </w:rPr>
      </w:pPr>
    </w:p>
    <w:p w14:paraId="1F806030" w14:textId="77777777" w:rsidR="00C7447F" w:rsidRPr="00C7447F" w:rsidRDefault="00C7447F" w:rsidP="00C7447F">
      <w:pPr>
        <w:overflowPunct/>
        <w:autoSpaceDE/>
        <w:autoSpaceDN/>
        <w:adjustRightInd/>
        <w:spacing w:after="160" w:line="259" w:lineRule="auto"/>
        <w:textAlignment w:val="auto"/>
        <w:rPr>
          <w:rFonts w:asciiTheme="majorHAnsi" w:eastAsiaTheme="minorHAnsi" w:hAnsiTheme="majorHAnsi" w:cstheme="majorHAnsi"/>
          <w:color w:val="auto"/>
          <w:sz w:val="24"/>
          <w:szCs w:val="24"/>
          <w:lang w:eastAsia="en-US"/>
        </w:rPr>
      </w:pPr>
    </w:p>
    <w:p w14:paraId="0AB807FE" w14:textId="1AF6CE82" w:rsidR="1E8636EB" w:rsidRDefault="1E8636EB" w:rsidP="00C7447F">
      <w:pPr>
        <w:ind w:right="237"/>
      </w:pPr>
    </w:p>
    <w:sectPr w:rsidR="1E8636EB" w:rsidSect="0022001B">
      <w:headerReference w:type="even" r:id="rId12"/>
      <w:headerReference w:type="default" r:id="rId13"/>
      <w:footerReference w:type="even" r:id="rId14"/>
      <w:footerReference w:type="default" r:id="rId15"/>
      <w:headerReference w:type="first" r:id="rId16"/>
      <w:footerReference w:type="first" r:id="rId17"/>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4745D" w14:textId="77777777" w:rsidR="003A3924" w:rsidRDefault="003A3924">
      <w:r>
        <w:separator/>
      </w:r>
    </w:p>
  </w:endnote>
  <w:endnote w:type="continuationSeparator" w:id="0">
    <w:p w14:paraId="55E74867" w14:textId="77777777" w:rsidR="003A3924" w:rsidRDefault="003A3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8DA50" w14:textId="77777777" w:rsidR="002963D0" w:rsidRDefault="002963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70F7E" w14:textId="77777777" w:rsidR="002963D0" w:rsidRDefault="002963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DF729" w14:textId="77777777" w:rsidR="003A3924" w:rsidRDefault="003A3924">
      <w:r>
        <w:separator/>
      </w:r>
    </w:p>
  </w:footnote>
  <w:footnote w:type="continuationSeparator" w:id="0">
    <w:p w14:paraId="741B797D" w14:textId="77777777" w:rsidR="003A3924" w:rsidRDefault="003A39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CFD7B" w14:textId="77777777" w:rsidR="002963D0" w:rsidRDefault="002963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E4ED4" w14:textId="77777777" w:rsidR="002963D0" w:rsidRDefault="002963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85BEF" w14:textId="77777777" w:rsidR="002963D0" w:rsidRDefault="002963D0">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51C2F2D6"/>
    <w:lvl w:ilvl="0" w:tplc="C5B8CD8C">
      <w:start w:val="1"/>
      <w:numFmt w:val="decimal"/>
      <w:lvlText w:val="%1."/>
      <w:lvlJc w:val="left"/>
      <w:pPr>
        <w:ind w:left="720" w:hanging="360"/>
      </w:pPr>
    </w:lvl>
    <w:lvl w:ilvl="1" w:tplc="300EE8E2">
      <w:start w:val="1"/>
      <w:numFmt w:val="lowerLetter"/>
      <w:lvlText w:val="%2."/>
      <w:lvlJc w:val="left"/>
      <w:pPr>
        <w:ind w:left="1440" w:hanging="360"/>
      </w:pPr>
    </w:lvl>
    <w:lvl w:ilvl="2" w:tplc="E788D63E">
      <w:start w:val="1"/>
      <w:numFmt w:val="lowerRoman"/>
      <w:lvlText w:val="%3."/>
      <w:lvlJc w:val="right"/>
      <w:pPr>
        <w:ind w:left="2160" w:hanging="180"/>
      </w:pPr>
    </w:lvl>
    <w:lvl w:ilvl="3" w:tplc="9AF66A96">
      <w:start w:val="1"/>
      <w:numFmt w:val="decimal"/>
      <w:lvlText w:val="%4."/>
      <w:lvlJc w:val="left"/>
      <w:pPr>
        <w:ind w:left="2880" w:hanging="360"/>
      </w:pPr>
    </w:lvl>
    <w:lvl w:ilvl="4" w:tplc="964EA2C2">
      <w:start w:val="1"/>
      <w:numFmt w:val="lowerLetter"/>
      <w:lvlText w:val="%5."/>
      <w:lvlJc w:val="left"/>
      <w:pPr>
        <w:ind w:left="3600" w:hanging="360"/>
      </w:pPr>
    </w:lvl>
    <w:lvl w:ilvl="5" w:tplc="6C0C60A2">
      <w:start w:val="1"/>
      <w:numFmt w:val="lowerRoman"/>
      <w:lvlText w:val="%6."/>
      <w:lvlJc w:val="right"/>
      <w:pPr>
        <w:ind w:left="4320" w:hanging="180"/>
      </w:pPr>
    </w:lvl>
    <w:lvl w:ilvl="6" w:tplc="A6882EB4">
      <w:start w:val="1"/>
      <w:numFmt w:val="decimal"/>
      <w:lvlText w:val="%7."/>
      <w:lvlJc w:val="left"/>
      <w:pPr>
        <w:ind w:left="5040" w:hanging="360"/>
      </w:pPr>
    </w:lvl>
    <w:lvl w:ilvl="7" w:tplc="18B09016">
      <w:start w:val="1"/>
      <w:numFmt w:val="lowerLetter"/>
      <w:lvlText w:val="%8."/>
      <w:lvlJc w:val="left"/>
      <w:pPr>
        <w:ind w:left="5760" w:hanging="360"/>
      </w:pPr>
    </w:lvl>
    <w:lvl w:ilvl="8" w:tplc="495EED4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51941028"/>
    <w:lvl w:ilvl="0" w:tplc="1346DD4C">
      <w:start w:val="1"/>
      <w:numFmt w:val="decimal"/>
      <w:lvlText w:val="%1."/>
      <w:lvlJc w:val="left"/>
      <w:pPr>
        <w:ind w:left="720" w:hanging="360"/>
      </w:pPr>
    </w:lvl>
    <w:lvl w:ilvl="1" w:tplc="5D1ED48C">
      <w:start w:val="1"/>
      <w:numFmt w:val="decimal"/>
      <w:lvlText w:val="%2."/>
      <w:lvlJc w:val="left"/>
      <w:pPr>
        <w:ind w:left="1440" w:hanging="360"/>
      </w:pPr>
    </w:lvl>
    <w:lvl w:ilvl="2" w:tplc="A9AE2DBE">
      <w:start w:val="1"/>
      <w:numFmt w:val="lowerRoman"/>
      <w:lvlText w:val="%3."/>
      <w:lvlJc w:val="right"/>
      <w:pPr>
        <w:ind w:left="2160" w:hanging="180"/>
      </w:pPr>
    </w:lvl>
    <w:lvl w:ilvl="3" w:tplc="1B66722E">
      <w:start w:val="1"/>
      <w:numFmt w:val="decimal"/>
      <w:lvlText w:val="%4."/>
      <w:lvlJc w:val="left"/>
      <w:pPr>
        <w:ind w:left="2880" w:hanging="360"/>
      </w:pPr>
    </w:lvl>
    <w:lvl w:ilvl="4" w:tplc="EFFAEA60">
      <w:start w:val="1"/>
      <w:numFmt w:val="lowerLetter"/>
      <w:lvlText w:val="%5."/>
      <w:lvlJc w:val="left"/>
      <w:pPr>
        <w:ind w:left="3600" w:hanging="360"/>
      </w:pPr>
    </w:lvl>
    <w:lvl w:ilvl="5" w:tplc="F0884FC6">
      <w:start w:val="1"/>
      <w:numFmt w:val="lowerRoman"/>
      <w:lvlText w:val="%6."/>
      <w:lvlJc w:val="right"/>
      <w:pPr>
        <w:ind w:left="4320" w:hanging="180"/>
      </w:pPr>
    </w:lvl>
    <w:lvl w:ilvl="6" w:tplc="EF0404A4">
      <w:start w:val="1"/>
      <w:numFmt w:val="decimal"/>
      <w:lvlText w:val="%7."/>
      <w:lvlJc w:val="left"/>
      <w:pPr>
        <w:ind w:left="5040" w:hanging="360"/>
      </w:pPr>
    </w:lvl>
    <w:lvl w:ilvl="7" w:tplc="5BC625FC">
      <w:start w:val="1"/>
      <w:numFmt w:val="lowerLetter"/>
      <w:lvlText w:val="%8."/>
      <w:lvlJc w:val="left"/>
      <w:pPr>
        <w:ind w:left="5760" w:hanging="360"/>
      </w:pPr>
    </w:lvl>
    <w:lvl w:ilvl="8" w:tplc="8862B63A">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3992024">
    <w:abstractNumId w:val="47"/>
  </w:num>
  <w:num w:numId="2" w16cid:durableId="596443176">
    <w:abstractNumId w:val="10"/>
  </w:num>
  <w:num w:numId="3" w16cid:durableId="1834761502">
    <w:abstractNumId w:val="1"/>
    <w:lvlOverride w:ilvl="0">
      <w:lvl w:ilvl="0">
        <w:start w:val="1"/>
        <w:numFmt w:val="bullet"/>
        <w:lvlText w:val=""/>
        <w:lvlJc w:val="left"/>
        <w:pPr>
          <w:ind w:left="720" w:hanging="360"/>
        </w:pPr>
        <w:rPr>
          <w:rFonts w:ascii="Symbol" w:hAnsi="Symbol" w:hint="default"/>
        </w:rPr>
      </w:lvl>
    </w:lvlOverride>
  </w:num>
  <w:num w:numId="4" w16cid:durableId="1646199224">
    <w:abstractNumId w:val="22"/>
  </w:num>
  <w:num w:numId="5" w16cid:durableId="578254166">
    <w:abstractNumId w:val="44"/>
  </w:num>
  <w:num w:numId="6" w16cid:durableId="147215818">
    <w:abstractNumId w:val="46"/>
  </w:num>
  <w:num w:numId="7" w16cid:durableId="1221398907">
    <w:abstractNumId w:val="34"/>
  </w:num>
  <w:num w:numId="8" w16cid:durableId="562720476">
    <w:abstractNumId w:val="32"/>
  </w:num>
  <w:num w:numId="9" w16cid:durableId="261180836">
    <w:abstractNumId w:val="29"/>
  </w:num>
  <w:num w:numId="10" w16cid:durableId="699013070">
    <w:abstractNumId w:val="30"/>
  </w:num>
  <w:num w:numId="11" w16cid:durableId="28075257">
    <w:abstractNumId w:val="9"/>
  </w:num>
  <w:num w:numId="12" w16cid:durableId="1847164782">
    <w:abstractNumId w:val="33"/>
  </w:num>
  <w:num w:numId="13" w16cid:durableId="2113161866">
    <w:abstractNumId w:val="17"/>
  </w:num>
  <w:num w:numId="14" w16cid:durableId="977415695">
    <w:abstractNumId w:val="16"/>
  </w:num>
  <w:num w:numId="15" w16cid:durableId="699935168">
    <w:abstractNumId w:val="26"/>
  </w:num>
  <w:num w:numId="16" w16cid:durableId="1886138143">
    <w:abstractNumId w:val="7"/>
  </w:num>
  <w:num w:numId="17" w16cid:durableId="1281255169">
    <w:abstractNumId w:val="25"/>
  </w:num>
  <w:num w:numId="18" w16cid:durableId="312491556">
    <w:abstractNumId w:val="15"/>
  </w:num>
  <w:num w:numId="19" w16cid:durableId="1556351834">
    <w:abstractNumId w:val="13"/>
  </w:num>
  <w:num w:numId="20" w16cid:durableId="181020117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19952919">
    <w:abstractNumId w:val="23"/>
  </w:num>
  <w:num w:numId="22" w16cid:durableId="1568690721">
    <w:abstractNumId w:val="18"/>
  </w:num>
  <w:num w:numId="23" w16cid:durableId="1307052376">
    <w:abstractNumId w:val="14"/>
  </w:num>
  <w:num w:numId="24" w16cid:durableId="752313952">
    <w:abstractNumId w:val="11"/>
  </w:num>
  <w:num w:numId="25" w16cid:durableId="523329629">
    <w:abstractNumId w:val="27"/>
  </w:num>
  <w:num w:numId="26" w16cid:durableId="1538932247">
    <w:abstractNumId w:val="19"/>
  </w:num>
  <w:num w:numId="27" w16cid:durableId="1500585261">
    <w:abstractNumId w:val="40"/>
  </w:num>
  <w:num w:numId="28" w16cid:durableId="1600412804">
    <w:abstractNumId w:val="35"/>
  </w:num>
  <w:num w:numId="29" w16cid:durableId="162934546">
    <w:abstractNumId w:val="39"/>
  </w:num>
  <w:num w:numId="30" w16cid:durableId="1017804390">
    <w:abstractNumId w:val="20"/>
  </w:num>
  <w:num w:numId="31" w16cid:durableId="82261510">
    <w:abstractNumId w:val="42"/>
  </w:num>
  <w:num w:numId="32" w16cid:durableId="1338848807">
    <w:abstractNumId w:val="31"/>
  </w:num>
  <w:num w:numId="33" w16cid:durableId="31200292">
    <w:abstractNumId w:val="12"/>
  </w:num>
  <w:num w:numId="34" w16cid:durableId="779224615">
    <w:abstractNumId w:val="43"/>
  </w:num>
  <w:num w:numId="35" w16cid:durableId="1246381117">
    <w:abstractNumId w:val="38"/>
  </w:num>
  <w:num w:numId="36" w16cid:durableId="1801991558">
    <w:abstractNumId w:val="4"/>
  </w:num>
  <w:num w:numId="37" w16cid:durableId="1798836856">
    <w:abstractNumId w:val="45"/>
  </w:num>
  <w:num w:numId="38" w16cid:durableId="1416243958">
    <w:abstractNumId w:val="41"/>
  </w:num>
  <w:num w:numId="39" w16cid:durableId="450170068">
    <w:abstractNumId w:val="36"/>
  </w:num>
  <w:num w:numId="40" w16cid:durableId="527765218">
    <w:abstractNumId w:val="37"/>
  </w:num>
  <w:num w:numId="41" w16cid:durableId="332732588">
    <w:abstractNumId w:val="3"/>
  </w:num>
  <w:num w:numId="42" w16cid:durableId="2027712713">
    <w:abstractNumId w:val="5"/>
  </w:num>
  <w:num w:numId="43" w16cid:durableId="1493447245">
    <w:abstractNumId w:val="24"/>
  </w:num>
  <w:num w:numId="44" w16cid:durableId="1844976979">
    <w:abstractNumId w:val="6"/>
  </w:num>
  <w:num w:numId="45" w16cid:durableId="502086234">
    <w:abstractNumId w:val="2"/>
  </w:num>
  <w:num w:numId="46" w16cid:durableId="228005490">
    <w:abstractNumId w:val="0"/>
  </w:num>
  <w:num w:numId="47" w16cid:durableId="435518545">
    <w:abstractNumId w:val="21"/>
  </w:num>
  <w:num w:numId="48" w16cid:durableId="1556545603">
    <w:abstractNumId w:val="28"/>
  </w:num>
  <w:num w:numId="49" w16cid:durableId="1269921913">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963D0"/>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3924"/>
    <w:rsid w:val="003A46C0"/>
    <w:rsid w:val="003A54D2"/>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447F"/>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91875422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31243449">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3998</Words>
  <Characters>22793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Hirst,Gareth swp8132</cp:lastModifiedBy>
  <cp:revision>2</cp:revision>
  <cp:lastPrinted>2014-08-26T08:55:00Z</cp:lastPrinted>
  <dcterms:created xsi:type="dcterms:W3CDTF">2023-07-17T17:14:00Z</dcterms:created>
  <dcterms:modified xsi:type="dcterms:W3CDTF">2023-07-17T17:14:00Z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2023-01-18T11:13:05Z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44d0c91f-b2ab-44c9-b818-483bb031a2fc</vt:lpwstr>
  </property>
  <property fmtid="{D5CDD505-2E9C-101B-9397-08002B2CF9AE}" pid="9" name="MSIP_Label_66cf8fe5-b7b7-4df7-b38d-1c61ac2f6639_ContentBits">
    <vt:lpwstr>0</vt:lpwstr>
  </property>
</Properties>
</file>