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B3A47" w14:textId="77777777" w:rsidR="0071465A" w:rsidRPr="00D37FDF" w:rsidRDefault="0071465A" w:rsidP="002C7A05">
      <w:pPr>
        <w:jc w:val="center"/>
        <w:rPr>
          <w:rFonts w:cs="Arial"/>
          <w:color w:val="000000" w:themeColor="text1"/>
        </w:rPr>
      </w:pPr>
      <w:r w:rsidRPr="00D37FDF">
        <w:rPr>
          <w:rFonts w:cs="Arial"/>
          <w:noProof/>
          <w:szCs w:val="24"/>
          <w:lang w:eastAsia="en-IN"/>
        </w:rPr>
        <w:drawing>
          <wp:inline distT="0" distB="0" distL="0" distR="0" wp14:anchorId="160EF04D" wp14:editId="56257A2F">
            <wp:extent cx="4122420" cy="1036320"/>
            <wp:effectExtent l="0" t="0" r="0" b="0"/>
            <wp:docPr id="555234785" name="Picture 1"/>
            <wp:cNvGraphicFramePr/>
            <a:graphic xmlns:a="http://schemas.openxmlformats.org/drawingml/2006/main">
              <a:graphicData uri="http://schemas.openxmlformats.org/drawingml/2006/picture">
                <pic:pic xmlns:pic="http://schemas.openxmlformats.org/drawingml/2006/picture">
                  <pic:nvPicPr>
                    <pic:cNvPr id="555234785"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22420" cy="1036320"/>
                    </a:xfrm>
                    <a:prstGeom prst="rect">
                      <a:avLst/>
                    </a:prstGeom>
                    <a:noFill/>
                    <a:ln>
                      <a:noFill/>
                    </a:ln>
                  </pic:spPr>
                </pic:pic>
              </a:graphicData>
            </a:graphic>
          </wp:inline>
        </w:drawing>
      </w:r>
    </w:p>
    <w:p w14:paraId="03F7896B" w14:textId="77777777" w:rsidR="0071465A" w:rsidRDefault="0071465A" w:rsidP="0071465A">
      <w:pPr>
        <w:rPr>
          <w:rFonts w:cs="Arial"/>
        </w:rPr>
      </w:pPr>
    </w:p>
    <w:p w14:paraId="33F0CE0B" w14:textId="77777777" w:rsidR="00A576DA" w:rsidRPr="00D37FDF" w:rsidRDefault="00A576DA" w:rsidP="0071465A">
      <w:pPr>
        <w:rPr>
          <w:rFonts w:cs="Arial"/>
        </w:rPr>
      </w:pPr>
    </w:p>
    <w:p w14:paraId="4A5F7642" w14:textId="77777777" w:rsidR="0071465A" w:rsidRPr="00D37FDF" w:rsidRDefault="0071465A" w:rsidP="0071465A">
      <w:pPr>
        <w:rPr>
          <w:rFonts w:cs="Arial"/>
        </w:rPr>
      </w:pPr>
    </w:p>
    <w:p w14:paraId="4B489825" w14:textId="77777777" w:rsidR="0071465A" w:rsidRPr="00A576DA" w:rsidRDefault="005856C0" w:rsidP="005856C0">
      <w:pPr>
        <w:jc w:val="center"/>
        <w:rPr>
          <w:rFonts w:cs="Arial"/>
          <w:b/>
          <w:sz w:val="28"/>
          <w:szCs w:val="28"/>
        </w:rPr>
      </w:pPr>
      <w:r w:rsidRPr="00A576DA">
        <w:rPr>
          <w:rFonts w:cs="Arial"/>
          <w:b/>
          <w:sz w:val="28"/>
          <w:szCs w:val="28"/>
        </w:rPr>
        <w:t>Programme: Master of Business Administration</w:t>
      </w:r>
    </w:p>
    <w:p w14:paraId="3B0198EF" w14:textId="77777777" w:rsidR="005856C0" w:rsidRPr="00A576DA" w:rsidRDefault="005856C0" w:rsidP="005856C0">
      <w:pPr>
        <w:jc w:val="center"/>
        <w:rPr>
          <w:rFonts w:cs="Arial"/>
          <w:b/>
          <w:sz w:val="28"/>
          <w:szCs w:val="28"/>
        </w:rPr>
      </w:pPr>
    </w:p>
    <w:p w14:paraId="4754EC54" w14:textId="77777777" w:rsidR="0071465A" w:rsidRPr="00A576DA" w:rsidRDefault="0071465A" w:rsidP="0071465A">
      <w:pPr>
        <w:jc w:val="center"/>
        <w:rPr>
          <w:rFonts w:cs="Arial"/>
          <w:b/>
          <w:sz w:val="28"/>
          <w:szCs w:val="28"/>
        </w:rPr>
      </w:pPr>
      <w:r w:rsidRPr="00A576DA">
        <w:rPr>
          <w:rFonts w:cs="Arial"/>
          <w:b/>
          <w:bCs/>
          <w:sz w:val="28"/>
          <w:szCs w:val="28"/>
        </w:rPr>
        <w:t xml:space="preserve">Module name: </w:t>
      </w:r>
      <w:r w:rsidR="005856C0" w:rsidRPr="00A576DA">
        <w:rPr>
          <w:rFonts w:cs="Arial"/>
          <w:b/>
          <w:sz w:val="28"/>
          <w:szCs w:val="28"/>
        </w:rPr>
        <w:t>Strategic Management</w:t>
      </w:r>
    </w:p>
    <w:p w14:paraId="1FFB34C0" w14:textId="77777777" w:rsidR="005856C0" w:rsidRPr="00A576DA" w:rsidRDefault="005856C0" w:rsidP="0071465A">
      <w:pPr>
        <w:jc w:val="center"/>
        <w:rPr>
          <w:rFonts w:cs="Arial"/>
          <w:b/>
          <w:sz w:val="28"/>
          <w:szCs w:val="28"/>
        </w:rPr>
      </w:pPr>
    </w:p>
    <w:p w14:paraId="03236240" w14:textId="77777777" w:rsidR="0071465A" w:rsidRPr="00A576DA" w:rsidRDefault="0071465A" w:rsidP="0071465A">
      <w:pPr>
        <w:jc w:val="center"/>
        <w:rPr>
          <w:rFonts w:cs="Arial"/>
          <w:b/>
          <w:sz w:val="28"/>
          <w:szCs w:val="28"/>
        </w:rPr>
      </w:pPr>
      <w:r w:rsidRPr="00A576DA">
        <w:rPr>
          <w:rFonts w:cs="Arial"/>
          <w:b/>
          <w:bCs/>
          <w:sz w:val="28"/>
          <w:szCs w:val="28"/>
        </w:rPr>
        <w:t>Module code</w:t>
      </w:r>
      <w:r w:rsidR="005856C0" w:rsidRPr="00A576DA">
        <w:rPr>
          <w:rFonts w:cs="Arial"/>
          <w:b/>
          <w:bCs/>
          <w:sz w:val="28"/>
          <w:szCs w:val="28"/>
        </w:rPr>
        <w:t>: LCMB7003</w:t>
      </w:r>
    </w:p>
    <w:p w14:paraId="7F7CE313" w14:textId="77777777" w:rsidR="0071465A" w:rsidRPr="00A576DA" w:rsidRDefault="0071465A" w:rsidP="0071465A">
      <w:pPr>
        <w:jc w:val="center"/>
        <w:rPr>
          <w:rFonts w:cs="Arial"/>
          <w:b/>
          <w:sz w:val="28"/>
          <w:szCs w:val="28"/>
        </w:rPr>
      </w:pPr>
    </w:p>
    <w:p w14:paraId="75204816" w14:textId="77777777" w:rsidR="0071465A" w:rsidRPr="00A576DA" w:rsidRDefault="0071465A" w:rsidP="0071465A">
      <w:pPr>
        <w:jc w:val="center"/>
        <w:rPr>
          <w:rFonts w:cs="Arial"/>
          <w:b/>
          <w:color w:val="242130"/>
          <w:sz w:val="28"/>
          <w:szCs w:val="28"/>
          <w:shd w:val="clear" w:color="auto" w:fill="FFFFFF"/>
        </w:rPr>
      </w:pPr>
      <w:r w:rsidRPr="00A576DA">
        <w:rPr>
          <w:rFonts w:cs="Arial"/>
          <w:b/>
          <w:bCs/>
          <w:sz w:val="28"/>
          <w:szCs w:val="28"/>
        </w:rPr>
        <w:t>Lecturer name</w:t>
      </w:r>
      <w:r w:rsidRPr="00A576DA">
        <w:rPr>
          <w:rFonts w:cs="Arial"/>
          <w:b/>
          <w:sz w:val="28"/>
          <w:szCs w:val="28"/>
        </w:rPr>
        <w:t xml:space="preserve">: </w:t>
      </w:r>
      <w:r w:rsidR="00222082" w:rsidRPr="00A576DA">
        <w:rPr>
          <w:rFonts w:cs="Arial"/>
          <w:b/>
          <w:color w:val="242130"/>
          <w:sz w:val="28"/>
          <w:szCs w:val="28"/>
          <w:shd w:val="clear" w:color="auto" w:fill="FFFFFF"/>
        </w:rPr>
        <w:t>Dr. Hoang Nguyen</w:t>
      </w:r>
    </w:p>
    <w:p w14:paraId="727A7265" w14:textId="77777777" w:rsidR="0071465A" w:rsidRPr="00A576DA" w:rsidRDefault="0071465A" w:rsidP="0071465A">
      <w:pPr>
        <w:jc w:val="center"/>
        <w:rPr>
          <w:rFonts w:cs="Arial"/>
          <w:b/>
          <w:bCs/>
          <w:sz w:val="28"/>
          <w:szCs w:val="28"/>
        </w:rPr>
      </w:pPr>
    </w:p>
    <w:p w14:paraId="5E837703" w14:textId="77777777" w:rsidR="0071465A" w:rsidRPr="00A576DA" w:rsidRDefault="0071465A" w:rsidP="0071465A">
      <w:pPr>
        <w:jc w:val="center"/>
        <w:rPr>
          <w:rFonts w:cs="Arial"/>
          <w:b/>
          <w:sz w:val="28"/>
          <w:szCs w:val="28"/>
        </w:rPr>
      </w:pPr>
      <w:r w:rsidRPr="00A576DA">
        <w:rPr>
          <w:rFonts w:cs="Arial"/>
          <w:b/>
          <w:bCs/>
          <w:sz w:val="28"/>
          <w:szCs w:val="28"/>
        </w:rPr>
        <w:t>Student name</w:t>
      </w:r>
      <w:r w:rsidRPr="00A576DA">
        <w:rPr>
          <w:rFonts w:cs="Arial"/>
          <w:b/>
          <w:sz w:val="28"/>
          <w:szCs w:val="28"/>
        </w:rPr>
        <w:t>: Ayushkumar Sudhirbhai Savaliya</w:t>
      </w:r>
    </w:p>
    <w:p w14:paraId="7479A4B3" w14:textId="77777777" w:rsidR="0071465A" w:rsidRPr="00A576DA" w:rsidRDefault="0071465A" w:rsidP="0071465A">
      <w:pPr>
        <w:jc w:val="center"/>
        <w:rPr>
          <w:rFonts w:cs="Arial"/>
          <w:b/>
          <w:bCs/>
          <w:sz w:val="28"/>
          <w:szCs w:val="28"/>
        </w:rPr>
      </w:pPr>
    </w:p>
    <w:p w14:paraId="79B05578" w14:textId="77777777" w:rsidR="0071465A" w:rsidRPr="00A576DA" w:rsidRDefault="0071465A" w:rsidP="0071465A">
      <w:pPr>
        <w:jc w:val="center"/>
        <w:rPr>
          <w:rFonts w:cs="Arial"/>
          <w:b/>
          <w:sz w:val="28"/>
          <w:szCs w:val="28"/>
        </w:rPr>
      </w:pPr>
      <w:r w:rsidRPr="00A576DA">
        <w:rPr>
          <w:rFonts w:cs="Arial"/>
          <w:b/>
          <w:bCs/>
          <w:sz w:val="28"/>
          <w:szCs w:val="28"/>
        </w:rPr>
        <w:t>Student ID</w:t>
      </w:r>
      <w:r w:rsidRPr="00A576DA">
        <w:rPr>
          <w:rFonts w:cs="Arial"/>
          <w:b/>
          <w:sz w:val="28"/>
          <w:szCs w:val="28"/>
        </w:rPr>
        <w:t>: 2509580</w:t>
      </w:r>
    </w:p>
    <w:p w14:paraId="7CCBD2E7" w14:textId="77777777" w:rsidR="0071465A" w:rsidRPr="00A576DA" w:rsidRDefault="0071465A" w:rsidP="0071465A">
      <w:pPr>
        <w:jc w:val="center"/>
        <w:rPr>
          <w:rFonts w:cs="Arial"/>
          <w:b/>
          <w:sz w:val="28"/>
          <w:szCs w:val="28"/>
        </w:rPr>
      </w:pPr>
    </w:p>
    <w:p w14:paraId="3266E0EE" w14:textId="3516F936" w:rsidR="0071465A" w:rsidRPr="00A576DA" w:rsidRDefault="0071465A" w:rsidP="0071465A">
      <w:pPr>
        <w:jc w:val="center"/>
        <w:rPr>
          <w:rFonts w:cs="Arial"/>
          <w:b/>
          <w:sz w:val="28"/>
          <w:szCs w:val="28"/>
        </w:rPr>
      </w:pPr>
      <w:r w:rsidRPr="00A576DA">
        <w:rPr>
          <w:rFonts w:cs="Arial"/>
          <w:b/>
          <w:bCs/>
          <w:sz w:val="28"/>
          <w:szCs w:val="28"/>
        </w:rPr>
        <w:t>Word count</w:t>
      </w:r>
      <w:r w:rsidRPr="00A576DA">
        <w:rPr>
          <w:rFonts w:cs="Arial"/>
          <w:b/>
          <w:sz w:val="28"/>
          <w:szCs w:val="28"/>
        </w:rPr>
        <w:t>:</w:t>
      </w:r>
      <w:r w:rsidR="005856C0" w:rsidRPr="00A576DA">
        <w:rPr>
          <w:rFonts w:cs="Arial"/>
          <w:b/>
          <w:sz w:val="28"/>
          <w:szCs w:val="28"/>
        </w:rPr>
        <w:t xml:space="preserve"> </w:t>
      </w:r>
      <w:r w:rsidR="005856C0" w:rsidRPr="00A576DA">
        <w:rPr>
          <w:rFonts w:cs="Arial"/>
          <w:bCs/>
          <w:sz w:val="28"/>
          <w:szCs w:val="28"/>
        </w:rPr>
        <w:t>5</w:t>
      </w:r>
      <w:r w:rsidR="001C7360" w:rsidRPr="00A576DA">
        <w:rPr>
          <w:rFonts w:cs="Arial"/>
          <w:bCs/>
          <w:sz w:val="28"/>
          <w:szCs w:val="28"/>
        </w:rPr>
        <w:t>1</w:t>
      </w:r>
      <w:r w:rsidR="00C51D80">
        <w:rPr>
          <w:rFonts w:cs="Arial"/>
          <w:bCs/>
          <w:sz w:val="28"/>
          <w:szCs w:val="28"/>
        </w:rPr>
        <w:t>29</w:t>
      </w:r>
      <w:r w:rsidR="001C7360" w:rsidRPr="00A576DA">
        <w:rPr>
          <w:rFonts w:cs="Arial"/>
          <w:bCs/>
          <w:sz w:val="28"/>
          <w:szCs w:val="28"/>
        </w:rPr>
        <w:t xml:space="preserve"> words</w:t>
      </w:r>
    </w:p>
    <w:p w14:paraId="2FCFCB6D" w14:textId="77777777" w:rsidR="0071465A" w:rsidRPr="00D37FDF" w:rsidRDefault="0071465A" w:rsidP="0071465A">
      <w:pPr>
        <w:jc w:val="center"/>
        <w:rPr>
          <w:rFonts w:cs="Arial"/>
          <w:b/>
          <w:sz w:val="32"/>
          <w:szCs w:val="32"/>
        </w:rPr>
      </w:pPr>
    </w:p>
    <w:p w14:paraId="51BBDA94" w14:textId="77777777" w:rsidR="00AC399A" w:rsidRPr="00D37FDF" w:rsidRDefault="00AC399A" w:rsidP="0071465A">
      <w:pPr>
        <w:jc w:val="center"/>
        <w:rPr>
          <w:rFonts w:cs="Arial"/>
          <w:b/>
          <w:sz w:val="32"/>
          <w:szCs w:val="32"/>
        </w:rPr>
      </w:pPr>
    </w:p>
    <w:sdt>
      <w:sdtPr>
        <w:rPr>
          <w:rFonts w:eastAsiaTheme="minorHAnsi" w:cstheme="minorBidi"/>
          <w:b w:val="0"/>
          <w:sz w:val="22"/>
          <w:szCs w:val="22"/>
          <w:lang w:val="en-GB"/>
        </w:rPr>
        <w:id w:val="1257864059"/>
        <w:docPartObj>
          <w:docPartGallery w:val="Table of Contents"/>
          <w:docPartUnique/>
        </w:docPartObj>
      </w:sdtPr>
      <w:sdtEndPr>
        <w:rPr>
          <w:bCs/>
          <w:sz w:val="24"/>
        </w:rPr>
      </w:sdtEndPr>
      <w:sdtContent>
        <w:p w14:paraId="19B6B07D" w14:textId="77777777" w:rsidR="002C7A05" w:rsidRPr="00D37FDF" w:rsidRDefault="002C7A05" w:rsidP="00F27388">
          <w:pPr>
            <w:pStyle w:val="TOCHeading"/>
            <w:jc w:val="center"/>
            <w:rPr>
              <w:color w:val="000000" w:themeColor="text1"/>
              <w:sz w:val="28"/>
              <w:szCs w:val="28"/>
              <w:lang w:val="en-GB"/>
            </w:rPr>
          </w:pPr>
          <w:r w:rsidRPr="00D37FDF">
            <w:rPr>
              <w:color w:val="000000" w:themeColor="text1"/>
              <w:sz w:val="28"/>
              <w:szCs w:val="28"/>
              <w:lang w:val="en-GB"/>
            </w:rPr>
            <w:t>Contents</w:t>
          </w:r>
        </w:p>
        <w:p w14:paraId="63D559F7" w14:textId="13ECD881" w:rsidR="00785142" w:rsidRPr="00785142" w:rsidRDefault="002C7A05">
          <w:pPr>
            <w:pStyle w:val="TOC1"/>
            <w:rPr>
              <w:rFonts w:asciiTheme="minorHAnsi" w:eastAsiaTheme="minorEastAsia" w:hAnsiTheme="minorHAnsi" w:cstheme="minorBidi"/>
              <w:b/>
              <w:bCs/>
              <w:kern w:val="2"/>
              <w:lang w:val="en-IN" w:eastAsia="zh-CN"/>
              <w14:ligatures w14:val="standardContextual"/>
            </w:rPr>
          </w:pPr>
          <w:r w:rsidRPr="00D37FDF">
            <w:rPr>
              <w:noProof w:val="0"/>
            </w:rPr>
            <w:fldChar w:fldCharType="begin"/>
          </w:r>
          <w:r w:rsidRPr="00D37FDF">
            <w:rPr>
              <w:noProof w:val="0"/>
            </w:rPr>
            <w:instrText xml:space="preserve"> TOC \o "1-3" \h \z \u </w:instrText>
          </w:r>
          <w:r w:rsidRPr="00D37FDF">
            <w:rPr>
              <w:noProof w:val="0"/>
            </w:rPr>
            <w:fldChar w:fldCharType="separate"/>
          </w:r>
          <w:hyperlink w:anchor="_Toc237202245" w:history="1">
            <w:r w:rsidR="00785142" w:rsidRPr="00785142">
              <w:rPr>
                <w:rStyle w:val="Hyperlink"/>
                <w:b/>
                <w:bCs/>
              </w:rPr>
              <w:t>Section 1</w:t>
            </w:r>
            <w:r w:rsidR="00785142" w:rsidRPr="00785142">
              <w:rPr>
                <w:b/>
                <w:bCs/>
                <w:webHidden/>
              </w:rPr>
              <w:tab/>
            </w:r>
            <w:r w:rsidR="00785142" w:rsidRPr="00785142">
              <w:rPr>
                <w:b/>
                <w:bCs/>
                <w:webHidden/>
              </w:rPr>
              <w:fldChar w:fldCharType="begin"/>
            </w:r>
            <w:r w:rsidR="00785142" w:rsidRPr="00785142">
              <w:rPr>
                <w:b/>
                <w:bCs/>
                <w:webHidden/>
              </w:rPr>
              <w:instrText xml:space="preserve"> PAGEREF _Toc237202245 \h </w:instrText>
            </w:r>
            <w:r w:rsidR="00785142" w:rsidRPr="00785142">
              <w:rPr>
                <w:b/>
                <w:bCs/>
                <w:webHidden/>
              </w:rPr>
            </w:r>
            <w:r w:rsidR="00785142" w:rsidRPr="00785142">
              <w:rPr>
                <w:b/>
                <w:bCs/>
                <w:webHidden/>
              </w:rPr>
              <w:fldChar w:fldCharType="separate"/>
            </w:r>
            <w:r w:rsidR="00785142" w:rsidRPr="00785142">
              <w:rPr>
                <w:b/>
                <w:bCs/>
                <w:webHidden/>
              </w:rPr>
              <w:t>5</w:t>
            </w:r>
            <w:r w:rsidR="00785142" w:rsidRPr="00785142">
              <w:rPr>
                <w:b/>
                <w:bCs/>
                <w:webHidden/>
              </w:rPr>
              <w:fldChar w:fldCharType="end"/>
            </w:r>
          </w:hyperlink>
        </w:p>
        <w:p w14:paraId="0AE944B5" w14:textId="617F6293"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46" w:history="1">
            <w:r w:rsidRPr="00E43E9A">
              <w:rPr>
                <w:rStyle w:val="Hyperlink"/>
                <w:rFonts w:cs="Arial"/>
                <w:noProof/>
              </w:rPr>
              <w:t>1. Introduction</w:t>
            </w:r>
            <w:r>
              <w:rPr>
                <w:noProof/>
                <w:webHidden/>
              </w:rPr>
              <w:tab/>
            </w:r>
            <w:r>
              <w:rPr>
                <w:noProof/>
                <w:webHidden/>
              </w:rPr>
              <w:fldChar w:fldCharType="begin"/>
            </w:r>
            <w:r>
              <w:rPr>
                <w:noProof/>
                <w:webHidden/>
              </w:rPr>
              <w:instrText xml:space="preserve"> PAGEREF _Toc237202246 \h </w:instrText>
            </w:r>
            <w:r>
              <w:rPr>
                <w:noProof/>
                <w:webHidden/>
              </w:rPr>
            </w:r>
            <w:r>
              <w:rPr>
                <w:noProof/>
                <w:webHidden/>
              </w:rPr>
              <w:fldChar w:fldCharType="separate"/>
            </w:r>
            <w:r>
              <w:rPr>
                <w:noProof/>
                <w:webHidden/>
              </w:rPr>
              <w:t>5</w:t>
            </w:r>
            <w:r>
              <w:rPr>
                <w:noProof/>
                <w:webHidden/>
              </w:rPr>
              <w:fldChar w:fldCharType="end"/>
            </w:r>
          </w:hyperlink>
        </w:p>
        <w:p w14:paraId="31FD7D6A" w14:textId="5D3A9A6A"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47" w:history="1">
            <w:r w:rsidRPr="00E43E9A">
              <w:rPr>
                <w:rStyle w:val="Hyperlink"/>
                <w:rFonts w:cs="Arial"/>
                <w:noProof/>
              </w:rPr>
              <w:t>2. Organisational Context and Overview</w:t>
            </w:r>
            <w:r>
              <w:rPr>
                <w:noProof/>
                <w:webHidden/>
              </w:rPr>
              <w:tab/>
            </w:r>
            <w:r>
              <w:rPr>
                <w:noProof/>
                <w:webHidden/>
              </w:rPr>
              <w:fldChar w:fldCharType="begin"/>
            </w:r>
            <w:r>
              <w:rPr>
                <w:noProof/>
                <w:webHidden/>
              </w:rPr>
              <w:instrText xml:space="preserve"> PAGEREF _Toc237202247 \h </w:instrText>
            </w:r>
            <w:r>
              <w:rPr>
                <w:noProof/>
                <w:webHidden/>
              </w:rPr>
            </w:r>
            <w:r>
              <w:rPr>
                <w:noProof/>
                <w:webHidden/>
              </w:rPr>
              <w:fldChar w:fldCharType="separate"/>
            </w:r>
            <w:r>
              <w:rPr>
                <w:noProof/>
                <w:webHidden/>
              </w:rPr>
              <w:t>5</w:t>
            </w:r>
            <w:r>
              <w:rPr>
                <w:noProof/>
                <w:webHidden/>
              </w:rPr>
              <w:fldChar w:fldCharType="end"/>
            </w:r>
          </w:hyperlink>
        </w:p>
        <w:p w14:paraId="64C1250C" w14:textId="1504DF8F"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48" w:history="1">
            <w:r w:rsidRPr="00E43E9A">
              <w:rPr>
                <w:rStyle w:val="Hyperlink"/>
                <w:rFonts w:cs="Arial"/>
                <w:noProof/>
                <w:lang w:eastAsia="en-IN"/>
              </w:rPr>
              <w:t>2.1 Organisational Background</w:t>
            </w:r>
            <w:r>
              <w:rPr>
                <w:noProof/>
                <w:webHidden/>
              </w:rPr>
              <w:tab/>
            </w:r>
            <w:r>
              <w:rPr>
                <w:noProof/>
                <w:webHidden/>
              </w:rPr>
              <w:fldChar w:fldCharType="begin"/>
            </w:r>
            <w:r>
              <w:rPr>
                <w:noProof/>
                <w:webHidden/>
              </w:rPr>
              <w:instrText xml:space="preserve"> PAGEREF _Toc237202248 \h </w:instrText>
            </w:r>
            <w:r>
              <w:rPr>
                <w:noProof/>
                <w:webHidden/>
              </w:rPr>
            </w:r>
            <w:r>
              <w:rPr>
                <w:noProof/>
                <w:webHidden/>
              </w:rPr>
              <w:fldChar w:fldCharType="separate"/>
            </w:r>
            <w:r>
              <w:rPr>
                <w:noProof/>
                <w:webHidden/>
              </w:rPr>
              <w:t>5</w:t>
            </w:r>
            <w:r>
              <w:rPr>
                <w:noProof/>
                <w:webHidden/>
              </w:rPr>
              <w:fldChar w:fldCharType="end"/>
            </w:r>
          </w:hyperlink>
        </w:p>
        <w:p w14:paraId="60B71985" w14:textId="037768E9"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49" w:history="1">
            <w:r w:rsidRPr="00E43E9A">
              <w:rPr>
                <w:rStyle w:val="Hyperlink"/>
                <w:rFonts w:cs="Arial"/>
                <w:noProof/>
                <w:lang w:eastAsia="en-IN"/>
              </w:rPr>
              <w:t>2.2 Mission and Vision</w:t>
            </w:r>
            <w:r>
              <w:rPr>
                <w:noProof/>
                <w:webHidden/>
              </w:rPr>
              <w:tab/>
            </w:r>
            <w:r>
              <w:rPr>
                <w:noProof/>
                <w:webHidden/>
              </w:rPr>
              <w:fldChar w:fldCharType="begin"/>
            </w:r>
            <w:r>
              <w:rPr>
                <w:noProof/>
                <w:webHidden/>
              </w:rPr>
              <w:instrText xml:space="preserve"> PAGEREF _Toc237202249 \h </w:instrText>
            </w:r>
            <w:r>
              <w:rPr>
                <w:noProof/>
                <w:webHidden/>
              </w:rPr>
            </w:r>
            <w:r>
              <w:rPr>
                <w:noProof/>
                <w:webHidden/>
              </w:rPr>
              <w:fldChar w:fldCharType="separate"/>
            </w:r>
            <w:r>
              <w:rPr>
                <w:noProof/>
                <w:webHidden/>
              </w:rPr>
              <w:t>6</w:t>
            </w:r>
            <w:r>
              <w:rPr>
                <w:noProof/>
                <w:webHidden/>
              </w:rPr>
              <w:fldChar w:fldCharType="end"/>
            </w:r>
          </w:hyperlink>
        </w:p>
        <w:p w14:paraId="6B5AED30" w14:textId="03D39687"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0" w:history="1">
            <w:r w:rsidRPr="00E43E9A">
              <w:rPr>
                <w:rStyle w:val="Hyperlink"/>
                <w:rFonts w:cs="Arial"/>
                <w:noProof/>
                <w:lang w:eastAsia="en-IN"/>
              </w:rPr>
              <w:t>2.3 Business Model</w:t>
            </w:r>
            <w:r>
              <w:rPr>
                <w:noProof/>
                <w:webHidden/>
              </w:rPr>
              <w:tab/>
            </w:r>
            <w:r>
              <w:rPr>
                <w:noProof/>
                <w:webHidden/>
              </w:rPr>
              <w:fldChar w:fldCharType="begin"/>
            </w:r>
            <w:r>
              <w:rPr>
                <w:noProof/>
                <w:webHidden/>
              </w:rPr>
              <w:instrText xml:space="preserve"> PAGEREF _Toc237202250 \h </w:instrText>
            </w:r>
            <w:r>
              <w:rPr>
                <w:noProof/>
                <w:webHidden/>
              </w:rPr>
            </w:r>
            <w:r>
              <w:rPr>
                <w:noProof/>
                <w:webHidden/>
              </w:rPr>
              <w:fldChar w:fldCharType="separate"/>
            </w:r>
            <w:r>
              <w:rPr>
                <w:noProof/>
                <w:webHidden/>
              </w:rPr>
              <w:t>6</w:t>
            </w:r>
            <w:r>
              <w:rPr>
                <w:noProof/>
                <w:webHidden/>
              </w:rPr>
              <w:fldChar w:fldCharType="end"/>
            </w:r>
          </w:hyperlink>
        </w:p>
        <w:p w14:paraId="1A4A3D88" w14:textId="77F9D6A0"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1" w:history="1">
            <w:r w:rsidRPr="00E43E9A">
              <w:rPr>
                <w:rStyle w:val="Hyperlink"/>
                <w:rFonts w:cs="Arial"/>
                <w:noProof/>
                <w:lang w:eastAsia="en-IN"/>
              </w:rPr>
              <w:t>2.4 Industry and Competitive Context</w:t>
            </w:r>
            <w:r>
              <w:rPr>
                <w:noProof/>
                <w:webHidden/>
              </w:rPr>
              <w:tab/>
            </w:r>
            <w:r>
              <w:rPr>
                <w:noProof/>
                <w:webHidden/>
              </w:rPr>
              <w:fldChar w:fldCharType="begin"/>
            </w:r>
            <w:r>
              <w:rPr>
                <w:noProof/>
                <w:webHidden/>
              </w:rPr>
              <w:instrText xml:space="preserve"> PAGEREF _Toc237202251 \h </w:instrText>
            </w:r>
            <w:r>
              <w:rPr>
                <w:noProof/>
                <w:webHidden/>
              </w:rPr>
            </w:r>
            <w:r>
              <w:rPr>
                <w:noProof/>
                <w:webHidden/>
              </w:rPr>
              <w:fldChar w:fldCharType="separate"/>
            </w:r>
            <w:r>
              <w:rPr>
                <w:noProof/>
                <w:webHidden/>
              </w:rPr>
              <w:t>7</w:t>
            </w:r>
            <w:r>
              <w:rPr>
                <w:noProof/>
                <w:webHidden/>
              </w:rPr>
              <w:fldChar w:fldCharType="end"/>
            </w:r>
          </w:hyperlink>
        </w:p>
        <w:p w14:paraId="2D273DE2" w14:textId="4577B881"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52" w:history="1">
            <w:r w:rsidRPr="00E43E9A">
              <w:rPr>
                <w:rStyle w:val="Hyperlink"/>
                <w:rFonts w:cs="Arial"/>
                <w:noProof/>
              </w:rPr>
              <w:t>3. External and Internal Environment Analysis</w:t>
            </w:r>
            <w:r>
              <w:rPr>
                <w:noProof/>
                <w:webHidden/>
              </w:rPr>
              <w:tab/>
            </w:r>
            <w:r>
              <w:rPr>
                <w:noProof/>
                <w:webHidden/>
              </w:rPr>
              <w:fldChar w:fldCharType="begin"/>
            </w:r>
            <w:r>
              <w:rPr>
                <w:noProof/>
                <w:webHidden/>
              </w:rPr>
              <w:instrText xml:space="preserve"> PAGEREF _Toc237202252 \h </w:instrText>
            </w:r>
            <w:r>
              <w:rPr>
                <w:noProof/>
                <w:webHidden/>
              </w:rPr>
            </w:r>
            <w:r>
              <w:rPr>
                <w:noProof/>
                <w:webHidden/>
              </w:rPr>
              <w:fldChar w:fldCharType="separate"/>
            </w:r>
            <w:r>
              <w:rPr>
                <w:noProof/>
                <w:webHidden/>
              </w:rPr>
              <w:t>7</w:t>
            </w:r>
            <w:r>
              <w:rPr>
                <w:noProof/>
                <w:webHidden/>
              </w:rPr>
              <w:fldChar w:fldCharType="end"/>
            </w:r>
          </w:hyperlink>
        </w:p>
        <w:p w14:paraId="557DD8C6" w14:textId="70EEAB4B"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3" w:history="1">
            <w:r w:rsidRPr="00E43E9A">
              <w:rPr>
                <w:rStyle w:val="Hyperlink"/>
                <w:rFonts w:cs="Arial"/>
                <w:noProof/>
              </w:rPr>
              <w:t>3.1 PESTEL Analysis</w:t>
            </w:r>
            <w:r>
              <w:rPr>
                <w:noProof/>
                <w:webHidden/>
              </w:rPr>
              <w:tab/>
            </w:r>
            <w:r>
              <w:rPr>
                <w:noProof/>
                <w:webHidden/>
              </w:rPr>
              <w:fldChar w:fldCharType="begin"/>
            </w:r>
            <w:r>
              <w:rPr>
                <w:noProof/>
                <w:webHidden/>
              </w:rPr>
              <w:instrText xml:space="preserve"> PAGEREF _Toc237202253 \h </w:instrText>
            </w:r>
            <w:r>
              <w:rPr>
                <w:noProof/>
                <w:webHidden/>
              </w:rPr>
            </w:r>
            <w:r>
              <w:rPr>
                <w:noProof/>
                <w:webHidden/>
              </w:rPr>
              <w:fldChar w:fldCharType="separate"/>
            </w:r>
            <w:r>
              <w:rPr>
                <w:noProof/>
                <w:webHidden/>
              </w:rPr>
              <w:t>7</w:t>
            </w:r>
            <w:r>
              <w:rPr>
                <w:noProof/>
                <w:webHidden/>
              </w:rPr>
              <w:fldChar w:fldCharType="end"/>
            </w:r>
          </w:hyperlink>
        </w:p>
        <w:p w14:paraId="57F1FD51" w14:textId="0163D088"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4" w:history="1">
            <w:r w:rsidRPr="00E43E9A">
              <w:rPr>
                <w:rStyle w:val="Hyperlink"/>
                <w:rFonts w:cs="Arial"/>
                <w:noProof/>
              </w:rPr>
              <w:t>3.2 Critical Success Factors and Strategic Challenges</w:t>
            </w:r>
            <w:r>
              <w:rPr>
                <w:noProof/>
                <w:webHidden/>
              </w:rPr>
              <w:tab/>
            </w:r>
            <w:r>
              <w:rPr>
                <w:noProof/>
                <w:webHidden/>
              </w:rPr>
              <w:fldChar w:fldCharType="begin"/>
            </w:r>
            <w:r>
              <w:rPr>
                <w:noProof/>
                <w:webHidden/>
              </w:rPr>
              <w:instrText xml:space="preserve"> PAGEREF _Toc237202254 \h </w:instrText>
            </w:r>
            <w:r>
              <w:rPr>
                <w:noProof/>
                <w:webHidden/>
              </w:rPr>
            </w:r>
            <w:r>
              <w:rPr>
                <w:noProof/>
                <w:webHidden/>
              </w:rPr>
              <w:fldChar w:fldCharType="separate"/>
            </w:r>
            <w:r>
              <w:rPr>
                <w:noProof/>
                <w:webHidden/>
              </w:rPr>
              <w:t>8</w:t>
            </w:r>
            <w:r>
              <w:rPr>
                <w:noProof/>
                <w:webHidden/>
              </w:rPr>
              <w:fldChar w:fldCharType="end"/>
            </w:r>
          </w:hyperlink>
        </w:p>
        <w:p w14:paraId="79900103" w14:textId="54A97FD6"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5" w:history="1">
            <w:r w:rsidRPr="00E43E9A">
              <w:rPr>
                <w:rStyle w:val="Hyperlink"/>
                <w:rFonts w:cs="Arial"/>
                <w:noProof/>
              </w:rPr>
              <w:t>3.3 Internal Environment: Resources, Capabilities and Core Competencies</w:t>
            </w:r>
            <w:r>
              <w:rPr>
                <w:noProof/>
                <w:webHidden/>
              </w:rPr>
              <w:tab/>
            </w:r>
            <w:r>
              <w:rPr>
                <w:noProof/>
                <w:webHidden/>
              </w:rPr>
              <w:fldChar w:fldCharType="begin"/>
            </w:r>
            <w:r>
              <w:rPr>
                <w:noProof/>
                <w:webHidden/>
              </w:rPr>
              <w:instrText xml:space="preserve"> PAGEREF _Toc237202255 \h </w:instrText>
            </w:r>
            <w:r>
              <w:rPr>
                <w:noProof/>
                <w:webHidden/>
              </w:rPr>
            </w:r>
            <w:r>
              <w:rPr>
                <w:noProof/>
                <w:webHidden/>
              </w:rPr>
              <w:fldChar w:fldCharType="separate"/>
            </w:r>
            <w:r>
              <w:rPr>
                <w:noProof/>
                <w:webHidden/>
              </w:rPr>
              <w:t>9</w:t>
            </w:r>
            <w:r>
              <w:rPr>
                <w:noProof/>
                <w:webHidden/>
              </w:rPr>
              <w:fldChar w:fldCharType="end"/>
            </w:r>
          </w:hyperlink>
        </w:p>
        <w:p w14:paraId="2483C235" w14:textId="05A393F9"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6" w:history="1">
            <w:r w:rsidRPr="00E43E9A">
              <w:rPr>
                <w:rStyle w:val="Hyperlink"/>
                <w:noProof/>
              </w:rPr>
              <w:t>3.4 VRIO Analysis</w:t>
            </w:r>
            <w:r>
              <w:rPr>
                <w:noProof/>
                <w:webHidden/>
              </w:rPr>
              <w:tab/>
            </w:r>
            <w:r>
              <w:rPr>
                <w:noProof/>
                <w:webHidden/>
              </w:rPr>
              <w:fldChar w:fldCharType="begin"/>
            </w:r>
            <w:r>
              <w:rPr>
                <w:noProof/>
                <w:webHidden/>
              </w:rPr>
              <w:instrText xml:space="preserve"> PAGEREF _Toc237202256 \h </w:instrText>
            </w:r>
            <w:r>
              <w:rPr>
                <w:noProof/>
                <w:webHidden/>
              </w:rPr>
            </w:r>
            <w:r>
              <w:rPr>
                <w:noProof/>
                <w:webHidden/>
              </w:rPr>
              <w:fldChar w:fldCharType="separate"/>
            </w:r>
            <w:r>
              <w:rPr>
                <w:noProof/>
                <w:webHidden/>
              </w:rPr>
              <w:t>10</w:t>
            </w:r>
            <w:r>
              <w:rPr>
                <w:noProof/>
                <w:webHidden/>
              </w:rPr>
              <w:fldChar w:fldCharType="end"/>
            </w:r>
          </w:hyperlink>
        </w:p>
        <w:p w14:paraId="6DBE374E" w14:textId="46336AF6"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7" w:history="1">
            <w:r w:rsidRPr="00E43E9A">
              <w:rPr>
                <w:rStyle w:val="Hyperlink"/>
                <w:rFonts w:cs="Arial"/>
                <w:noProof/>
              </w:rPr>
              <w:t>3.5 Internal Strengths and Competitive Advantage</w:t>
            </w:r>
            <w:r>
              <w:rPr>
                <w:noProof/>
                <w:webHidden/>
              </w:rPr>
              <w:tab/>
            </w:r>
            <w:r>
              <w:rPr>
                <w:noProof/>
                <w:webHidden/>
              </w:rPr>
              <w:fldChar w:fldCharType="begin"/>
            </w:r>
            <w:r>
              <w:rPr>
                <w:noProof/>
                <w:webHidden/>
              </w:rPr>
              <w:instrText xml:space="preserve"> PAGEREF _Toc237202257 \h </w:instrText>
            </w:r>
            <w:r>
              <w:rPr>
                <w:noProof/>
                <w:webHidden/>
              </w:rPr>
            </w:r>
            <w:r>
              <w:rPr>
                <w:noProof/>
                <w:webHidden/>
              </w:rPr>
              <w:fldChar w:fldCharType="separate"/>
            </w:r>
            <w:r>
              <w:rPr>
                <w:noProof/>
                <w:webHidden/>
              </w:rPr>
              <w:t>11</w:t>
            </w:r>
            <w:r>
              <w:rPr>
                <w:noProof/>
                <w:webHidden/>
              </w:rPr>
              <w:fldChar w:fldCharType="end"/>
            </w:r>
          </w:hyperlink>
        </w:p>
        <w:p w14:paraId="355C9330" w14:textId="08FF6022"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58" w:history="1">
            <w:r w:rsidRPr="00E43E9A">
              <w:rPr>
                <w:rStyle w:val="Hyperlink"/>
                <w:rFonts w:cs="Arial"/>
                <w:noProof/>
              </w:rPr>
              <w:t>4. CSR Strategy and Sustainability Objectives</w:t>
            </w:r>
            <w:r>
              <w:rPr>
                <w:noProof/>
                <w:webHidden/>
              </w:rPr>
              <w:tab/>
            </w:r>
            <w:r>
              <w:rPr>
                <w:noProof/>
                <w:webHidden/>
              </w:rPr>
              <w:fldChar w:fldCharType="begin"/>
            </w:r>
            <w:r>
              <w:rPr>
                <w:noProof/>
                <w:webHidden/>
              </w:rPr>
              <w:instrText xml:space="preserve"> PAGEREF _Toc237202258 \h </w:instrText>
            </w:r>
            <w:r>
              <w:rPr>
                <w:noProof/>
                <w:webHidden/>
              </w:rPr>
            </w:r>
            <w:r>
              <w:rPr>
                <w:noProof/>
                <w:webHidden/>
              </w:rPr>
              <w:fldChar w:fldCharType="separate"/>
            </w:r>
            <w:r>
              <w:rPr>
                <w:noProof/>
                <w:webHidden/>
              </w:rPr>
              <w:t>12</w:t>
            </w:r>
            <w:r>
              <w:rPr>
                <w:noProof/>
                <w:webHidden/>
              </w:rPr>
              <w:fldChar w:fldCharType="end"/>
            </w:r>
          </w:hyperlink>
        </w:p>
        <w:p w14:paraId="3B8768FC" w14:textId="506F66F2"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59" w:history="1">
            <w:r w:rsidRPr="00E43E9A">
              <w:rPr>
                <w:rStyle w:val="Hyperlink"/>
                <w:rFonts w:cs="Arial"/>
                <w:noProof/>
              </w:rPr>
              <w:t>4.1 Nestlé’s CSR/Creating Shared Value (CSV) Strategy</w:t>
            </w:r>
            <w:r>
              <w:rPr>
                <w:noProof/>
                <w:webHidden/>
              </w:rPr>
              <w:tab/>
            </w:r>
            <w:r>
              <w:rPr>
                <w:noProof/>
                <w:webHidden/>
              </w:rPr>
              <w:fldChar w:fldCharType="begin"/>
            </w:r>
            <w:r>
              <w:rPr>
                <w:noProof/>
                <w:webHidden/>
              </w:rPr>
              <w:instrText xml:space="preserve"> PAGEREF _Toc237202259 \h </w:instrText>
            </w:r>
            <w:r>
              <w:rPr>
                <w:noProof/>
                <w:webHidden/>
              </w:rPr>
            </w:r>
            <w:r>
              <w:rPr>
                <w:noProof/>
                <w:webHidden/>
              </w:rPr>
              <w:fldChar w:fldCharType="separate"/>
            </w:r>
            <w:r>
              <w:rPr>
                <w:noProof/>
                <w:webHidden/>
              </w:rPr>
              <w:t>12</w:t>
            </w:r>
            <w:r>
              <w:rPr>
                <w:noProof/>
                <w:webHidden/>
              </w:rPr>
              <w:fldChar w:fldCharType="end"/>
            </w:r>
          </w:hyperlink>
        </w:p>
        <w:p w14:paraId="54D36F80" w14:textId="4498EDDB"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0" w:history="1">
            <w:r w:rsidRPr="00E43E9A">
              <w:rPr>
                <w:rStyle w:val="Hyperlink"/>
                <w:rFonts w:cs="Arial"/>
                <w:noProof/>
              </w:rPr>
              <w:t>4.2 Nutrition, Health and Wellness</w:t>
            </w:r>
            <w:r>
              <w:rPr>
                <w:noProof/>
                <w:webHidden/>
              </w:rPr>
              <w:tab/>
            </w:r>
            <w:r>
              <w:rPr>
                <w:noProof/>
                <w:webHidden/>
              </w:rPr>
              <w:fldChar w:fldCharType="begin"/>
            </w:r>
            <w:r>
              <w:rPr>
                <w:noProof/>
                <w:webHidden/>
              </w:rPr>
              <w:instrText xml:space="preserve"> PAGEREF _Toc237202260 \h </w:instrText>
            </w:r>
            <w:r>
              <w:rPr>
                <w:noProof/>
                <w:webHidden/>
              </w:rPr>
            </w:r>
            <w:r>
              <w:rPr>
                <w:noProof/>
                <w:webHidden/>
              </w:rPr>
              <w:fldChar w:fldCharType="separate"/>
            </w:r>
            <w:r>
              <w:rPr>
                <w:noProof/>
                <w:webHidden/>
              </w:rPr>
              <w:t>12</w:t>
            </w:r>
            <w:r>
              <w:rPr>
                <w:noProof/>
                <w:webHidden/>
              </w:rPr>
              <w:fldChar w:fldCharType="end"/>
            </w:r>
          </w:hyperlink>
        </w:p>
        <w:p w14:paraId="4E69672D" w14:textId="5917839A"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1" w:history="1">
            <w:r w:rsidRPr="00E43E9A">
              <w:rPr>
                <w:rStyle w:val="Hyperlink"/>
                <w:rFonts w:cs="Arial"/>
                <w:noProof/>
              </w:rPr>
              <w:t>4.3 Responsible Sourcing, Rural Development and Human Rights</w:t>
            </w:r>
            <w:r>
              <w:rPr>
                <w:noProof/>
                <w:webHidden/>
              </w:rPr>
              <w:tab/>
            </w:r>
            <w:r>
              <w:rPr>
                <w:noProof/>
                <w:webHidden/>
              </w:rPr>
              <w:fldChar w:fldCharType="begin"/>
            </w:r>
            <w:r>
              <w:rPr>
                <w:noProof/>
                <w:webHidden/>
              </w:rPr>
              <w:instrText xml:space="preserve"> PAGEREF _Toc237202261 \h </w:instrText>
            </w:r>
            <w:r>
              <w:rPr>
                <w:noProof/>
                <w:webHidden/>
              </w:rPr>
            </w:r>
            <w:r>
              <w:rPr>
                <w:noProof/>
                <w:webHidden/>
              </w:rPr>
              <w:fldChar w:fldCharType="separate"/>
            </w:r>
            <w:r>
              <w:rPr>
                <w:noProof/>
                <w:webHidden/>
              </w:rPr>
              <w:t>12</w:t>
            </w:r>
            <w:r>
              <w:rPr>
                <w:noProof/>
                <w:webHidden/>
              </w:rPr>
              <w:fldChar w:fldCharType="end"/>
            </w:r>
          </w:hyperlink>
        </w:p>
        <w:p w14:paraId="3CA815D8" w14:textId="5CE2B307"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2" w:history="1">
            <w:r w:rsidRPr="00E43E9A">
              <w:rPr>
                <w:rStyle w:val="Hyperlink"/>
                <w:rFonts w:cs="Arial"/>
                <w:noProof/>
              </w:rPr>
              <w:t>4.4 Environmental Sustainability</w:t>
            </w:r>
            <w:r>
              <w:rPr>
                <w:noProof/>
                <w:webHidden/>
              </w:rPr>
              <w:tab/>
            </w:r>
            <w:r>
              <w:rPr>
                <w:noProof/>
                <w:webHidden/>
              </w:rPr>
              <w:fldChar w:fldCharType="begin"/>
            </w:r>
            <w:r>
              <w:rPr>
                <w:noProof/>
                <w:webHidden/>
              </w:rPr>
              <w:instrText xml:space="preserve"> PAGEREF _Toc237202262 \h </w:instrText>
            </w:r>
            <w:r>
              <w:rPr>
                <w:noProof/>
                <w:webHidden/>
              </w:rPr>
            </w:r>
            <w:r>
              <w:rPr>
                <w:noProof/>
                <w:webHidden/>
              </w:rPr>
              <w:fldChar w:fldCharType="separate"/>
            </w:r>
            <w:r>
              <w:rPr>
                <w:noProof/>
                <w:webHidden/>
              </w:rPr>
              <w:t>13</w:t>
            </w:r>
            <w:r>
              <w:rPr>
                <w:noProof/>
                <w:webHidden/>
              </w:rPr>
              <w:fldChar w:fldCharType="end"/>
            </w:r>
          </w:hyperlink>
        </w:p>
        <w:p w14:paraId="175AD9E9" w14:textId="5CB5E921"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3" w:history="1">
            <w:r w:rsidRPr="00E43E9A">
              <w:rPr>
                <w:rStyle w:val="Hyperlink"/>
                <w:rFonts w:cs="Arial"/>
                <w:noProof/>
              </w:rPr>
              <w:t>4.5 Overall Sustainability Objective</w:t>
            </w:r>
            <w:r>
              <w:rPr>
                <w:noProof/>
                <w:webHidden/>
              </w:rPr>
              <w:tab/>
            </w:r>
            <w:r>
              <w:rPr>
                <w:noProof/>
                <w:webHidden/>
              </w:rPr>
              <w:fldChar w:fldCharType="begin"/>
            </w:r>
            <w:r>
              <w:rPr>
                <w:noProof/>
                <w:webHidden/>
              </w:rPr>
              <w:instrText xml:space="preserve"> PAGEREF _Toc237202263 \h </w:instrText>
            </w:r>
            <w:r>
              <w:rPr>
                <w:noProof/>
                <w:webHidden/>
              </w:rPr>
            </w:r>
            <w:r>
              <w:rPr>
                <w:noProof/>
                <w:webHidden/>
              </w:rPr>
              <w:fldChar w:fldCharType="separate"/>
            </w:r>
            <w:r>
              <w:rPr>
                <w:noProof/>
                <w:webHidden/>
              </w:rPr>
              <w:t>13</w:t>
            </w:r>
            <w:r>
              <w:rPr>
                <w:noProof/>
                <w:webHidden/>
              </w:rPr>
              <w:fldChar w:fldCharType="end"/>
            </w:r>
          </w:hyperlink>
        </w:p>
        <w:p w14:paraId="13667C57" w14:textId="049B3B50"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4" w:history="1">
            <w:r w:rsidRPr="00E43E9A">
              <w:rPr>
                <w:rStyle w:val="Hyperlink"/>
                <w:rFonts w:cs="Arial"/>
                <w:noProof/>
              </w:rPr>
              <w:t>5. Comprehensive and Holistic View of the Organisation</w:t>
            </w:r>
            <w:r>
              <w:rPr>
                <w:noProof/>
                <w:webHidden/>
              </w:rPr>
              <w:tab/>
            </w:r>
            <w:r>
              <w:rPr>
                <w:noProof/>
                <w:webHidden/>
              </w:rPr>
              <w:fldChar w:fldCharType="begin"/>
            </w:r>
            <w:r>
              <w:rPr>
                <w:noProof/>
                <w:webHidden/>
              </w:rPr>
              <w:instrText xml:space="preserve"> PAGEREF _Toc237202264 \h </w:instrText>
            </w:r>
            <w:r>
              <w:rPr>
                <w:noProof/>
                <w:webHidden/>
              </w:rPr>
            </w:r>
            <w:r>
              <w:rPr>
                <w:noProof/>
                <w:webHidden/>
              </w:rPr>
              <w:fldChar w:fldCharType="separate"/>
            </w:r>
            <w:r>
              <w:rPr>
                <w:noProof/>
                <w:webHidden/>
              </w:rPr>
              <w:t>13</w:t>
            </w:r>
            <w:r>
              <w:rPr>
                <w:noProof/>
                <w:webHidden/>
              </w:rPr>
              <w:fldChar w:fldCharType="end"/>
            </w:r>
          </w:hyperlink>
        </w:p>
        <w:p w14:paraId="5DBCCE06" w14:textId="57FDA195"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5" w:history="1">
            <w:r w:rsidRPr="00E43E9A">
              <w:rPr>
                <w:rStyle w:val="Hyperlink"/>
                <w:rFonts w:cs="Arial"/>
                <w:noProof/>
              </w:rPr>
              <w:t>5.1 Financial Perspective</w:t>
            </w:r>
            <w:r>
              <w:rPr>
                <w:noProof/>
                <w:webHidden/>
              </w:rPr>
              <w:tab/>
            </w:r>
            <w:r>
              <w:rPr>
                <w:noProof/>
                <w:webHidden/>
              </w:rPr>
              <w:fldChar w:fldCharType="begin"/>
            </w:r>
            <w:r>
              <w:rPr>
                <w:noProof/>
                <w:webHidden/>
              </w:rPr>
              <w:instrText xml:space="preserve"> PAGEREF _Toc237202265 \h </w:instrText>
            </w:r>
            <w:r>
              <w:rPr>
                <w:noProof/>
                <w:webHidden/>
              </w:rPr>
            </w:r>
            <w:r>
              <w:rPr>
                <w:noProof/>
                <w:webHidden/>
              </w:rPr>
              <w:fldChar w:fldCharType="separate"/>
            </w:r>
            <w:r>
              <w:rPr>
                <w:noProof/>
                <w:webHidden/>
              </w:rPr>
              <w:t>13</w:t>
            </w:r>
            <w:r>
              <w:rPr>
                <w:noProof/>
                <w:webHidden/>
              </w:rPr>
              <w:fldChar w:fldCharType="end"/>
            </w:r>
          </w:hyperlink>
        </w:p>
        <w:p w14:paraId="2F38B3C4" w14:textId="27D8190A"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6" w:history="1">
            <w:r w:rsidRPr="00E43E9A">
              <w:rPr>
                <w:rStyle w:val="Hyperlink"/>
                <w:rFonts w:cs="Arial"/>
                <w:noProof/>
              </w:rPr>
              <w:t>5.2 Customer Perspective</w:t>
            </w:r>
            <w:r>
              <w:rPr>
                <w:noProof/>
                <w:webHidden/>
              </w:rPr>
              <w:tab/>
            </w:r>
            <w:r>
              <w:rPr>
                <w:noProof/>
                <w:webHidden/>
              </w:rPr>
              <w:fldChar w:fldCharType="begin"/>
            </w:r>
            <w:r>
              <w:rPr>
                <w:noProof/>
                <w:webHidden/>
              </w:rPr>
              <w:instrText xml:space="preserve"> PAGEREF _Toc237202266 \h </w:instrText>
            </w:r>
            <w:r>
              <w:rPr>
                <w:noProof/>
                <w:webHidden/>
              </w:rPr>
            </w:r>
            <w:r>
              <w:rPr>
                <w:noProof/>
                <w:webHidden/>
              </w:rPr>
              <w:fldChar w:fldCharType="separate"/>
            </w:r>
            <w:r>
              <w:rPr>
                <w:noProof/>
                <w:webHidden/>
              </w:rPr>
              <w:t>14</w:t>
            </w:r>
            <w:r>
              <w:rPr>
                <w:noProof/>
                <w:webHidden/>
              </w:rPr>
              <w:fldChar w:fldCharType="end"/>
            </w:r>
          </w:hyperlink>
        </w:p>
        <w:p w14:paraId="2D553C26" w14:textId="07AF4C09"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7" w:history="1">
            <w:r w:rsidRPr="00E43E9A">
              <w:rPr>
                <w:rStyle w:val="Hyperlink"/>
                <w:rFonts w:cs="Arial"/>
                <w:noProof/>
              </w:rPr>
              <w:t>5.3 Internal Business Processes Perspective</w:t>
            </w:r>
            <w:r>
              <w:rPr>
                <w:noProof/>
                <w:webHidden/>
              </w:rPr>
              <w:tab/>
            </w:r>
            <w:r>
              <w:rPr>
                <w:noProof/>
                <w:webHidden/>
              </w:rPr>
              <w:fldChar w:fldCharType="begin"/>
            </w:r>
            <w:r>
              <w:rPr>
                <w:noProof/>
                <w:webHidden/>
              </w:rPr>
              <w:instrText xml:space="preserve"> PAGEREF _Toc237202267 \h </w:instrText>
            </w:r>
            <w:r>
              <w:rPr>
                <w:noProof/>
                <w:webHidden/>
              </w:rPr>
            </w:r>
            <w:r>
              <w:rPr>
                <w:noProof/>
                <w:webHidden/>
              </w:rPr>
              <w:fldChar w:fldCharType="separate"/>
            </w:r>
            <w:r>
              <w:rPr>
                <w:noProof/>
                <w:webHidden/>
              </w:rPr>
              <w:t>14</w:t>
            </w:r>
            <w:r>
              <w:rPr>
                <w:noProof/>
                <w:webHidden/>
              </w:rPr>
              <w:fldChar w:fldCharType="end"/>
            </w:r>
          </w:hyperlink>
        </w:p>
        <w:p w14:paraId="39F13E65" w14:textId="2A469607"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8" w:history="1">
            <w:r w:rsidRPr="00E43E9A">
              <w:rPr>
                <w:rStyle w:val="Hyperlink"/>
                <w:rFonts w:cs="Arial"/>
                <w:noProof/>
              </w:rPr>
              <w:t>5.4 Learning and Growth Perspective</w:t>
            </w:r>
            <w:r>
              <w:rPr>
                <w:noProof/>
                <w:webHidden/>
              </w:rPr>
              <w:tab/>
            </w:r>
            <w:r>
              <w:rPr>
                <w:noProof/>
                <w:webHidden/>
              </w:rPr>
              <w:fldChar w:fldCharType="begin"/>
            </w:r>
            <w:r>
              <w:rPr>
                <w:noProof/>
                <w:webHidden/>
              </w:rPr>
              <w:instrText xml:space="preserve"> PAGEREF _Toc237202268 \h </w:instrText>
            </w:r>
            <w:r>
              <w:rPr>
                <w:noProof/>
                <w:webHidden/>
              </w:rPr>
            </w:r>
            <w:r>
              <w:rPr>
                <w:noProof/>
                <w:webHidden/>
              </w:rPr>
              <w:fldChar w:fldCharType="separate"/>
            </w:r>
            <w:r>
              <w:rPr>
                <w:noProof/>
                <w:webHidden/>
              </w:rPr>
              <w:t>15</w:t>
            </w:r>
            <w:r>
              <w:rPr>
                <w:noProof/>
                <w:webHidden/>
              </w:rPr>
              <w:fldChar w:fldCharType="end"/>
            </w:r>
          </w:hyperlink>
        </w:p>
        <w:p w14:paraId="76F37231" w14:textId="37C651A7"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69" w:history="1">
            <w:r w:rsidRPr="00E43E9A">
              <w:rPr>
                <w:rStyle w:val="Hyperlink"/>
                <w:rFonts w:cs="Arial"/>
                <w:noProof/>
              </w:rPr>
              <w:t>5.5 Overall BSC judgement</w:t>
            </w:r>
            <w:r>
              <w:rPr>
                <w:noProof/>
                <w:webHidden/>
              </w:rPr>
              <w:tab/>
            </w:r>
            <w:r>
              <w:rPr>
                <w:noProof/>
                <w:webHidden/>
              </w:rPr>
              <w:fldChar w:fldCharType="begin"/>
            </w:r>
            <w:r>
              <w:rPr>
                <w:noProof/>
                <w:webHidden/>
              </w:rPr>
              <w:instrText xml:space="preserve"> PAGEREF _Toc237202269 \h </w:instrText>
            </w:r>
            <w:r>
              <w:rPr>
                <w:noProof/>
                <w:webHidden/>
              </w:rPr>
            </w:r>
            <w:r>
              <w:rPr>
                <w:noProof/>
                <w:webHidden/>
              </w:rPr>
              <w:fldChar w:fldCharType="separate"/>
            </w:r>
            <w:r>
              <w:rPr>
                <w:noProof/>
                <w:webHidden/>
              </w:rPr>
              <w:t>15</w:t>
            </w:r>
            <w:r>
              <w:rPr>
                <w:noProof/>
                <w:webHidden/>
              </w:rPr>
              <w:fldChar w:fldCharType="end"/>
            </w:r>
          </w:hyperlink>
        </w:p>
        <w:p w14:paraId="7470C945" w14:textId="3A8E46EF"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70" w:history="1">
            <w:r w:rsidRPr="00E43E9A">
              <w:rPr>
                <w:rStyle w:val="Hyperlink"/>
                <w:rFonts w:cs="Arial"/>
                <w:noProof/>
              </w:rPr>
              <w:t>6. Strategic Choices and Implementation</w:t>
            </w:r>
            <w:r>
              <w:rPr>
                <w:noProof/>
                <w:webHidden/>
              </w:rPr>
              <w:tab/>
            </w:r>
            <w:r>
              <w:rPr>
                <w:noProof/>
                <w:webHidden/>
              </w:rPr>
              <w:fldChar w:fldCharType="begin"/>
            </w:r>
            <w:r>
              <w:rPr>
                <w:noProof/>
                <w:webHidden/>
              </w:rPr>
              <w:instrText xml:space="preserve"> PAGEREF _Toc237202270 \h </w:instrText>
            </w:r>
            <w:r>
              <w:rPr>
                <w:noProof/>
                <w:webHidden/>
              </w:rPr>
            </w:r>
            <w:r>
              <w:rPr>
                <w:noProof/>
                <w:webHidden/>
              </w:rPr>
              <w:fldChar w:fldCharType="separate"/>
            </w:r>
            <w:r>
              <w:rPr>
                <w:noProof/>
                <w:webHidden/>
              </w:rPr>
              <w:t>15</w:t>
            </w:r>
            <w:r>
              <w:rPr>
                <w:noProof/>
                <w:webHidden/>
              </w:rPr>
              <w:fldChar w:fldCharType="end"/>
            </w:r>
          </w:hyperlink>
        </w:p>
        <w:p w14:paraId="25E6457E" w14:textId="7192CD84"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1" w:history="1">
            <w:r w:rsidRPr="00E43E9A">
              <w:rPr>
                <w:rStyle w:val="Hyperlink"/>
                <w:rFonts w:cs="Arial"/>
                <w:noProof/>
              </w:rPr>
              <w:t>6.1 Business-Level Strategic Choices</w:t>
            </w:r>
            <w:r>
              <w:rPr>
                <w:noProof/>
                <w:webHidden/>
              </w:rPr>
              <w:tab/>
            </w:r>
            <w:r>
              <w:rPr>
                <w:noProof/>
                <w:webHidden/>
              </w:rPr>
              <w:fldChar w:fldCharType="begin"/>
            </w:r>
            <w:r>
              <w:rPr>
                <w:noProof/>
                <w:webHidden/>
              </w:rPr>
              <w:instrText xml:space="preserve"> PAGEREF _Toc237202271 \h </w:instrText>
            </w:r>
            <w:r>
              <w:rPr>
                <w:noProof/>
                <w:webHidden/>
              </w:rPr>
            </w:r>
            <w:r>
              <w:rPr>
                <w:noProof/>
                <w:webHidden/>
              </w:rPr>
              <w:fldChar w:fldCharType="separate"/>
            </w:r>
            <w:r>
              <w:rPr>
                <w:noProof/>
                <w:webHidden/>
              </w:rPr>
              <w:t>15</w:t>
            </w:r>
            <w:r>
              <w:rPr>
                <w:noProof/>
                <w:webHidden/>
              </w:rPr>
              <w:fldChar w:fldCharType="end"/>
            </w:r>
          </w:hyperlink>
        </w:p>
        <w:p w14:paraId="0E04BC22" w14:textId="50A4172E"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2" w:history="1">
            <w:r w:rsidRPr="00E43E9A">
              <w:rPr>
                <w:rStyle w:val="Hyperlink"/>
                <w:rFonts w:cs="Arial"/>
                <w:noProof/>
              </w:rPr>
              <w:t>6.2 Corporate-Level Strategic Choices</w:t>
            </w:r>
            <w:r>
              <w:rPr>
                <w:noProof/>
                <w:webHidden/>
              </w:rPr>
              <w:tab/>
            </w:r>
            <w:r>
              <w:rPr>
                <w:noProof/>
                <w:webHidden/>
              </w:rPr>
              <w:fldChar w:fldCharType="begin"/>
            </w:r>
            <w:r>
              <w:rPr>
                <w:noProof/>
                <w:webHidden/>
              </w:rPr>
              <w:instrText xml:space="preserve"> PAGEREF _Toc237202272 \h </w:instrText>
            </w:r>
            <w:r>
              <w:rPr>
                <w:noProof/>
                <w:webHidden/>
              </w:rPr>
            </w:r>
            <w:r>
              <w:rPr>
                <w:noProof/>
                <w:webHidden/>
              </w:rPr>
              <w:fldChar w:fldCharType="separate"/>
            </w:r>
            <w:r>
              <w:rPr>
                <w:noProof/>
                <w:webHidden/>
              </w:rPr>
              <w:t>16</w:t>
            </w:r>
            <w:r>
              <w:rPr>
                <w:noProof/>
                <w:webHidden/>
              </w:rPr>
              <w:fldChar w:fldCharType="end"/>
            </w:r>
          </w:hyperlink>
        </w:p>
        <w:p w14:paraId="66B21128" w14:textId="7E2DA992"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3" w:history="1">
            <w:r w:rsidRPr="00E43E9A">
              <w:rPr>
                <w:rStyle w:val="Hyperlink"/>
                <w:rFonts w:cs="Arial"/>
                <w:noProof/>
              </w:rPr>
              <w:t>6.3 International Expansion</w:t>
            </w:r>
            <w:r>
              <w:rPr>
                <w:noProof/>
                <w:webHidden/>
              </w:rPr>
              <w:tab/>
            </w:r>
            <w:r>
              <w:rPr>
                <w:noProof/>
                <w:webHidden/>
              </w:rPr>
              <w:fldChar w:fldCharType="begin"/>
            </w:r>
            <w:r>
              <w:rPr>
                <w:noProof/>
                <w:webHidden/>
              </w:rPr>
              <w:instrText xml:space="preserve"> PAGEREF _Toc237202273 \h </w:instrText>
            </w:r>
            <w:r>
              <w:rPr>
                <w:noProof/>
                <w:webHidden/>
              </w:rPr>
            </w:r>
            <w:r>
              <w:rPr>
                <w:noProof/>
                <w:webHidden/>
              </w:rPr>
              <w:fldChar w:fldCharType="separate"/>
            </w:r>
            <w:r>
              <w:rPr>
                <w:noProof/>
                <w:webHidden/>
              </w:rPr>
              <w:t>16</w:t>
            </w:r>
            <w:r>
              <w:rPr>
                <w:noProof/>
                <w:webHidden/>
              </w:rPr>
              <w:fldChar w:fldCharType="end"/>
            </w:r>
          </w:hyperlink>
        </w:p>
        <w:p w14:paraId="58491D32" w14:textId="04FCD0B9"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4" w:history="1">
            <w:r w:rsidRPr="00E43E9A">
              <w:rPr>
                <w:rStyle w:val="Hyperlink"/>
                <w:rFonts w:cs="Arial"/>
                <w:noProof/>
              </w:rPr>
              <w:t>6.4 Recommended Strategic Choices</w:t>
            </w:r>
            <w:r>
              <w:rPr>
                <w:noProof/>
                <w:webHidden/>
              </w:rPr>
              <w:tab/>
            </w:r>
            <w:r>
              <w:rPr>
                <w:noProof/>
                <w:webHidden/>
              </w:rPr>
              <w:fldChar w:fldCharType="begin"/>
            </w:r>
            <w:r>
              <w:rPr>
                <w:noProof/>
                <w:webHidden/>
              </w:rPr>
              <w:instrText xml:space="preserve"> PAGEREF _Toc237202274 \h </w:instrText>
            </w:r>
            <w:r>
              <w:rPr>
                <w:noProof/>
                <w:webHidden/>
              </w:rPr>
            </w:r>
            <w:r>
              <w:rPr>
                <w:noProof/>
                <w:webHidden/>
              </w:rPr>
              <w:fldChar w:fldCharType="separate"/>
            </w:r>
            <w:r>
              <w:rPr>
                <w:noProof/>
                <w:webHidden/>
              </w:rPr>
              <w:t>16</w:t>
            </w:r>
            <w:r>
              <w:rPr>
                <w:noProof/>
                <w:webHidden/>
              </w:rPr>
              <w:fldChar w:fldCharType="end"/>
            </w:r>
          </w:hyperlink>
        </w:p>
        <w:p w14:paraId="07F1F610" w14:textId="37EDC2C2"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5" w:history="1">
            <w:r w:rsidRPr="00E43E9A">
              <w:rPr>
                <w:rStyle w:val="Hyperlink"/>
                <w:rFonts w:cs="Arial"/>
                <w:noProof/>
              </w:rPr>
              <w:t>6.5 Change Management and Strategic Implementation</w:t>
            </w:r>
            <w:r>
              <w:rPr>
                <w:noProof/>
                <w:webHidden/>
              </w:rPr>
              <w:tab/>
            </w:r>
            <w:r>
              <w:rPr>
                <w:noProof/>
                <w:webHidden/>
              </w:rPr>
              <w:fldChar w:fldCharType="begin"/>
            </w:r>
            <w:r>
              <w:rPr>
                <w:noProof/>
                <w:webHidden/>
              </w:rPr>
              <w:instrText xml:space="preserve"> PAGEREF _Toc237202275 \h </w:instrText>
            </w:r>
            <w:r>
              <w:rPr>
                <w:noProof/>
                <w:webHidden/>
              </w:rPr>
            </w:r>
            <w:r>
              <w:rPr>
                <w:noProof/>
                <w:webHidden/>
              </w:rPr>
              <w:fldChar w:fldCharType="separate"/>
            </w:r>
            <w:r>
              <w:rPr>
                <w:noProof/>
                <w:webHidden/>
              </w:rPr>
              <w:t>16</w:t>
            </w:r>
            <w:r>
              <w:rPr>
                <w:noProof/>
                <w:webHidden/>
              </w:rPr>
              <w:fldChar w:fldCharType="end"/>
            </w:r>
          </w:hyperlink>
        </w:p>
        <w:p w14:paraId="687970B1" w14:textId="5FADE0D7"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6" w:history="1">
            <w:r w:rsidRPr="00E43E9A">
              <w:rPr>
                <w:rStyle w:val="Hyperlink"/>
                <w:rFonts w:cs="Arial"/>
                <w:noProof/>
              </w:rPr>
              <w:t>6.6 Critical Assessment of Change</w:t>
            </w:r>
            <w:r>
              <w:rPr>
                <w:noProof/>
                <w:webHidden/>
              </w:rPr>
              <w:tab/>
            </w:r>
            <w:r>
              <w:rPr>
                <w:noProof/>
                <w:webHidden/>
              </w:rPr>
              <w:fldChar w:fldCharType="begin"/>
            </w:r>
            <w:r>
              <w:rPr>
                <w:noProof/>
                <w:webHidden/>
              </w:rPr>
              <w:instrText xml:space="preserve"> PAGEREF _Toc237202276 \h </w:instrText>
            </w:r>
            <w:r>
              <w:rPr>
                <w:noProof/>
                <w:webHidden/>
              </w:rPr>
            </w:r>
            <w:r>
              <w:rPr>
                <w:noProof/>
                <w:webHidden/>
              </w:rPr>
              <w:fldChar w:fldCharType="separate"/>
            </w:r>
            <w:r>
              <w:rPr>
                <w:noProof/>
                <w:webHidden/>
              </w:rPr>
              <w:t>17</w:t>
            </w:r>
            <w:r>
              <w:rPr>
                <w:noProof/>
                <w:webHidden/>
              </w:rPr>
              <w:fldChar w:fldCharType="end"/>
            </w:r>
          </w:hyperlink>
        </w:p>
        <w:p w14:paraId="15E52EF0" w14:textId="4CFA748C"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77" w:history="1">
            <w:r w:rsidRPr="00E43E9A">
              <w:rPr>
                <w:rStyle w:val="Hyperlink"/>
                <w:rFonts w:cs="Arial"/>
                <w:noProof/>
              </w:rPr>
              <w:t>7. Strategic Evaluation and Recommendations</w:t>
            </w:r>
            <w:r>
              <w:rPr>
                <w:noProof/>
                <w:webHidden/>
              </w:rPr>
              <w:tab/>
            </w:r>
            <w:r>
              <w:rPr>
                <w:noProof/>
                <w:webHidden/>
              </w:rPr>
              <w:fldChar w:fldCharType="begin"/>
            </w:r>
            <w:r>
              <w:rPr>
                <w:noProof/>
                <w:webHidden/>
              </w:rPr>
              <w:instrText xml:space="preserve"> PAGEREF _Toc237202277 \h </w:instrText>
            </w:r>
            <w:r>
              <w:rPr>
                <w:noProof/>
                <w:webHidden/>
              </w:rPr>
            </w:r>
            <w:r>
              <w:rPr>
                <w:noProof/>
                <w:webHidden/>
              </w:rPr>
              <w:fldChar w:fldCharType="separate"/>
            </w:r>
            <w:r>
              <w:rPr>
                <w:noProof/>
                <w:webHidden/>
              </w:rPr>
              <w:t>17</w:t>
            </w:r>
            <w:r>
              <w:rPr>
                <w:noProof/>
                <w:webHidden/>
              </w:rPr>
              <w:fldChar w:fldCharType="end"/>
            </w:r>
          </w:hyperlink>
        </w:p>
        <w:p w14:paraId="1446719A" w14:textId="5EBD0D83"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8" w:history="1">
            <w:r w:rsidRPr="00E43E9A">
              <w:rPr>
                <w:rStyle w:val="Hyperlink"/>
                <w:rFonts w:cs="Arial"/>
                <w:noProof/>
              </w:rPr>
              <w:t>7.1 SWOT Analysis</w:t>
            </w:r>
            <w:r>
              <w:rPr>
                <w:noProof/>
                <w:webHidden/>
              </w:rPr>
              <w:tab/>
            </w:r>
            <w:r>
              <w:rPr>
                <w:noProof/>
                <w:webHidden/>
              </w:rPr>
              <w:fldChar w:fldCharType="begin"/>
            </w:r>
            <w:r>
              <w:rPr>
                <w:noProof/>
                <w:webHidden/>
              </w:rPr>
              <w:instrText xml:space="preserve"> PAGEREF _Toc237202278 \h </w:instrText>
            </w:r>
            <w:r>
              <w:rPr>
                <w:noProof/>
                <w:webHidden/>
              </w:rPr>
            </w:r>
            <w:r>
              <w:rPr>
                <w:noProof/>
                <w:webHidden/>
              </w:rPr>
              <w:fldChar w:fldCharType="separate"/>
            </w:r>
            <w:r>
              <w:rPr>
                <w:noProof/>
                <w:webHidden/>
              </w:rPr>
              <w:t>17</w:t>
            </w:r>
            <w:r>
              <w:rPr>
                <w:noProof/>
                <w:webHidden/>
              </w:rPr>
              <w:fldChar w:fldCharType="end"/>
            </w:r>
          </w:hyperlink>
        </w:p>
        <w:p w14:paraId="6D80CE33" w14:textId="6FEF34BC"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79" w:history="1">
            <w:r w:rsidRPr="00E43E9A">
              <w:rPr>
                <w:rStyle w:val="Hyperlink"/>
                <w:rFonts w:cs="Arial"/>
                <w:noProof/>
              </w:rPr>
              <w:t>7.2 Ansoff’s Matrix</w:t>
            </w:r>
            <w:r>
              <w:rPr>
                <w:noProof/>
                <w:webHidden/>
              </w:rPr>
              <w:tab/>
            </w:r>
            <w:r>
              <w:rPr>
                <w:noProof/>
                <w:webHidden/>
              </w:rPr>
              <w:fldChar w:fldCharType="begin"/>
            </w:r>
            <w:r>
              <w:rPr>
                <w:noProof/>
                <w:webHidden/>
              </w:rPr>
              <w:instrText xml:space="preserve"> PAGEREF _Toc237202279 \h </w:instrText>
            </w:r>
            <w:r>
              <w:rPr>
                <w:noProof/>
                <w:webHidden/>
              </w:rPr>
            </w:r>
            <w:r>
              <w:rPr>
                <w:noProof/>
                <w:webHidden/>
              </w:rPr>
              <w:fldChar w:fldCharType="separate"/>
            </w:r>
            <w:r>
              <w:rPr>
                <w:noProof/>
                <w:webHidden/>
              </w:rPr>
              <w:t>18</w:t>
            </w:r>
            <w:r>
              <w:rPr>
                <w:noProof/>
                <w:webHidden/>
              </w:rPr>
              <w:fldChar w:fldCharType="end"/>
            </w:r>
          </w:hyperlink>
        </w:p>
        <w:p w14:paraId="01736FA5" w14:textId="5B52ACF5" w:rsidR="00785142" w:rsidRDefault="00785142">
          <w:pPr>
            <w:pStyle w:val="TOC3"/>
            <w:tabs>
              <w:tab w:val="right" w:leader="dot" w:pos="9016"/>
            </w:tabs>
            <w:rPr>
              <w:rFonts w:asciiTheme="minorHAnsi" w:eastAsiaTheme="minorEastAsia" w:hAnsiTheme="minorHAnsi"/>
              <w:noProof/>
              <w:kern w:val="2"/>
              <w:szCs w:val="24"/>
              <w:lang w:val="en-IN" w:eastAsia="zh-CN"/>
              <w14:ligatures w14:val="standardContextual"/>
            </w:rPr>
          </w:pPr>
          <w:hyperlink w:anchor="_Toc237202280" w:history="1">
            <w:r w:rsidRPr="00E43E9A">
              <w:rPr>
                <w:rStyle w:val="Hyperlink"/>
                <w:rFonts w:cs="Arial"/>
                <w:noProof/>
              </w:rPr>
              <w:t>7.3 Strategic Recommendations</w:t>
            </w:r>
            <w:r>
              <w:rPr>
                <w:noProof/>
                <w:webHidden/>
              </w:rPr>
              <w:tab/>
            </w:r>
            <w:r>
              <w:rPr>
                <w:noProof/>
                <w:webHidden/>
              </w:rPr>
              <w:fldChar w:fldCharType="begin"/>
            </w:r>
            <w:r>
              <w:rPr>
                <w:noProof/>
                <w:webHidden/>
              </w:rPr>
              <w:instrText xml:space="preserve"> PAGEREF _Toc237202280 \h </w:instrText>
            </w:r>
            <w:r>
              <w:rPr>
                <w:noProof/>
                <w:webHidden/>
              </w:rPr>
            </w:r>
            <w:r>
              <w:rPr>
                <w:noProof/>
                <w:webHidden/>
              </w:rPr>
              <w:fldChar w:fldCharType="separate"/>
            </w:r>
            <w:r>
              <w:rPr>
                <w:noProof/>
                <w:webHidden/>
              </w:rPr>
              <w:t>19</w:t>
            </w:r>
            <w:r>
              <w:rPr>
                <w:noProof/>
                <w:webHidden/>
              </w:rPr>
              <w:fldChar w:fldCharType="end"/>
            </w:r>
          </w:hyperlink>
        </w:p>
        <w:p w14:paraId="448EBCD2" w14:textId="688D6AF9"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81" w:history="1">
            <w:r w:rsidRPr="00E43E9A">
              <w:rPr>
                <w:rStyle w:val="Hyperlink"/>
                <w:rFonts w:cs="Arial"/>
                <w:noProof/>
              </w:rPr>
              <w:t>8. Conclusion</w:t>
            </w:r>
            <w:r>
              <w:rPr>
                <w:noProof/>
                <w:webHidden/>
              </w:rPr>
              <w:tab/>
            </w:r>
            <w:r>
              <w:rPr>
                <w:noProof/>
                <w:webHidden/>
              </w:rPr>
              <w:fldChar w:fldCharType="begin"/>
            </w:r>
            <w:r>
              <w:rPr>
                <w:noProof/>
                <w:webHidden/>
              </w:rPr>
              <w:instrText xml:space="preserve"> PAGEREF _Toc237202281 \h </w:instrText>
            </w:r>
            <w:r>
              <w:rPr>
                <w:noProof/>
                <w:webHidden/>
              </w:rPr>
            </w:r>
            <w:r>
              <w:rPr>
                <w:noProof/>
                <w:webHidden/>
              </w:rPr>
              <w:fldChar w:fldCharType="separate"/>
            </w:r>
            <w:r>
              <w:rPr>
                <w:noProof/>
                <w:webHidden/>
              </w:rPr>
              <w:t>20</w:t>
            </w:r>
            <w:r>
              <w:rPr>
                <w:noProof/>
                <w:webHidden/>
              </w:rPr>
              <w:fldChar w:fldCharType="end"/>
            </w:r>
          </w:hyperlink>
        </w:p>
        <w:p w14:paraId="32EEA0C1" w14:textId="08B70DA6" w:rsidR="00785142" w:rsidRPr="00785142" w:rsidRDefault="00785142">
          <w:pPr>
            <w:pStyle w:val="TOC1"/>
            <w:rPr>
              <w:rFonts w:asciiTheme="minorHAnsi" w:eastAsiaTheme="minorEastAsia" w:hAnsiTheme="minorHAnsi" w:cstheme="minorBidi"/>
              <w:b/>
              <w:bCs/>
              <w:kern w:val="2"/>
              <w:lang w:val="en-IN" w:eastAsia="zh-CN"/>
              <w14:ligatures w14:val="standardContextual"/>
            </w:rPr>
          </w:pPr>
          <w:hyperlink w:anchor="_Toc237202282" w:history="1">
            <w:r w:rsidRPr="00785142">
              <w:rPr>
                <w:rStyle w:val="Hyperlink"/>
                <w:b/>
                <w:bCs/>
              </w:rPr>
              <w:t>Section 2: Reflective Account Using Gibbs Reflective Cycle</w:t>
            </w:r>
            <w:r w:rsidRPr="00785142">
              <w:rPr>
                <w:b/>
                <w:bCs/>
                <w:webHidden/>
              </w:rPr>
              <w:tab/>
            </w:r>
            <w:r w:rsidRPr="00785142">
              <w:rPr>
                <w:b/>
                <w:bCs/>
                <w:webHidden/>
              </w:rPr>
              <w:fldChar w:fldCharType="begin"/>
            </w:r>
            <w:r w:rsidRPr="00785142">
              <w:rPr>
                <w:b/>
                <w:bCs/>
                <w:webHidden/>
              </w:rPr>
              <w:instrText xml:space="preserve"> PAGEREF _Toc237202282 \h </w:instrText>
            </w:r>
            <w:r w:rsidRPr="00785142">
              <w:rPr>
                <w:b/>
                <w:bCs/>
                <w:webHidden/>
              </w:rPr>
            </w:r>
            <w:r w:rsidRPr="00785142">
              <w:rPr>
                <w:b/>
                <w:bCs/>
                <w:webHidden/>
              </w:rPr>
              <w:fldChar w:fldCharType="separate"/>
            </w:r>
            <w:r w:rsidRPr="00785142">
              <w:rPr>
                <w:b/>
                <w:bCs/>
                <w:webHidden/>
              </w:rPr>
              <w:t>21</w:t>
            </w:r>
            <w:r w:rsidRPr="00785142">
              <w:rPr>
                <w:b/>
                <w:bCs/>
                <w:webHidden/>
              </w:rPr>
              <w:fldChar w:fldCharType="end"/>
            </w:r>
          </w:hyperlink>
        </w:p>
        <w:p w14:paraId="0799D09A" w14:textId="39D8D322"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83" w:history="1">
            <w:r w:rsidRPr="00E43E9A">
              <w:rPr>
                <w:rStyle w:val="Hyperlink"/>
                <w:rFonts w:cs="Arial"/>
                <w:noProof/>
              </w:rPr>
              <w:t>A. Description</w:t>
            </w:r>
            <w:r>
              <w:rPr>
                <w:noProof/>
                <w:webHidden/>
              </w:rPr>
              <w:tab/>
            </w:r>
            <w:r>
              <w:rPr>
                <w:noProof/>
                <w:webHidden/>
              </w:rPr>
              <w:fldChar w:fldCharType="begin"/>
            </w:r>
            <w:r>
              <w:rPr>
                <w:noProof/>
                <w:webHidden/>
              </w:rPr>
              <w:instrText xml:space="preserve"> PAGEREF _Toc237202283 \h </w:instrText>
            </w:r>
            <w:r>
              <w:rPr>
                <w:noProof/>
                <w:webHidden/>
              </w:rPr>
            </w:r>
            <w:r>
              <w:rPr>
                <w:noProof/>
                <w:webHidden/>
              </w:rPr>
              <w:fldChar w:fldCharType="separate"/>
            </w:r>
            <w:r>
              <w:rPr>
                <w:noProof/>
                <w:webHidden/>
              </w:rPr>
              <w:t>21</w:t>
            </w:r>
            <w:r>
              <w:rPr>
                <w:noProof/>
                <w:webHidden/>
              </w:rPr>
              <w:fldChar w:fldCharType="end"/>
            </w:r>
          </w:hyperlink>
        </w:p>
        <w:p w14:paraId="32E4582C" w14:textId="0461D74F"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84" w:history="1">
            <w:r w:rsidRPr="00E43E9A">
              <w:rPr>
                <w:rStyle w:val="Hyperlink"/>
                <w:rFonts w:cs="Arial"/>
                <w:noProof/>
              </w:rPr>
              <w:t>B. Feelings</w:t>
            </w:r>
            <w:r>
              <w:rPr>
                <w:noProof/>
                <w:webHidden/>
              </w:rPr>
              <w:tab/>
            </w:r>
            <w:r>
              <w:rPr>
                <w:noProof/>
                <w:webHidden/>
              </w:rPr>
              <w:fldChar w:fldCharType="begin"/>
            </w:r>
            <w:r>
              <w:rPr>
                <w:noProof/>
                <w:webHidden/>
              </w:rPr>
              <w:instrText xml:space="preserve"> PAGEREF _Toc237202284 \h </w:instrText>
            </w:r>
            <w:r>
              <w:rPr>
                <w:noProof/>
                <w:webHidden/>
              </w:rPr>
            </w:r>
            <w:r>
              <w:rPr>
                <w:noProof/>
                <w:webHidden/>
              </w:rPr>
              <w:fldChar w:fldCharType="separate"/>
            </w:r>
            <w:r>
              <w:rPr>
                <w:noProof/>
                <w:webHidden/>
              </w:rPr>
              <w:t>22</w:t>
            </w:r>
            <w:r>
              <w:rPr>
                <w:noProof/>
                <w:webHidden/>
              </w:rPr>
              <w:fldChar w:fldCharType="end"/>
            </w:r>
          </w:hyperlink>
        </w:p>
        <w:p w14:paraId="7D175A9C" w14:textId="2ACD5AA1"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85" w:history="1">
            <w:r w:rsidRPr="00E43E9A">
              <w:rPr>
                <w:rStyle w:val="Hyperlink"/>
                <w:rFonts w:cs="Arial"/>
                <w:noProof/>
              </w:rPr>
              <w:t>C. Evaluation</w:t>
            </w:r>
            <w:r>
              <w:rPr>
                <w:noProof/>
                <w:webHidden/>
              </w:rPr>
              <w:tab/>
            </w:r>
            <w:r>
              <w:rPr>
                <w:noProof/>
                <w:webHidden/>
              </w:rPr>
              <w:fldChar w:fldCharType="begin"/>
            </w:r>
            <w:r>
              <w:rPr>
                <w:noProof/>
                <w:webHidden/>
              </w:rPr>
              <w:instrText xml:space="preserve"> PAGEREF _Toc237202285 \h </w:instrText>
            </w:r>
            <w:r>
              <w:rPr>
                <w:noProof/>
                <w:webHidden/>
              </w:rPr>
            </w:r>
            <w:r>
              <w:rPr>
                <w:noProof/>
                <w:webHidden/>
              </w:rPr>
              <w:fldChar w:fldCharType="separate"/>
            </w:r>
            <w:r>
              <w:rPr>
                <w:noProof/>
                <w:webHidden/>
              </w:rPr>
              <w:t>22</w:t>
            </w:r>
            <w:r>
              <w:rPr>
                <w:noProof/>
                <w:webHidden/>
              </w:rPr>
              <w:fldChar w:fldCharType="end"/>
            </w:r>
          </w:hyperlink>
        </w:p>
        <w:p w14:paraId="03FC0F95" w14:textId="4D0D9555"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86" w:history="1">
            <w:r w:rsidRPr="00E43E9A">
              <w:rPr>
                <w:rStyle w:val="Hyperlink"/>
                <w:rFonts w:cs="Arial"/>
                <w:noProof/>
              </w:rPr>
              <w:t>D. Analysis</w:t>
            </w:r>
            <w:r>
              <w:rPr>
                <w:noProof/>
                <w:webHidden/>
              </w:rPr>
              <w:tab/>
            </w:r>
            <w:r>
              <w:rPr>
                <w:noProof/>
                <w:webHidden/>
              </w:rPr>
              <w:fldChar w:fldCharType="begin"/>
            </w:r>
            <w:r>
              <w:rPr>
                <w:noProof/>
                <w:webHidden/>
              </w:rPr>
              <w:instrText xml:space="preserve"> PAGEREF _Toc237202286 \h </w:instrText>
            </w:r>
            <w:r>
              <w:rPr>
                <w:noProof/>
                <w:webHidden/>
              </w:rPr>
            </w:r>
            <w:r>
              <w:rPr>
                <w:noProof/>
                <w:webHidden/>
              </w:rPr>
              <w:fldChar w:fldCharType="separate"/>
            </w:r>
            <w:r>
              <w:rPr>
                <w:noProof/>
                <w:webHidden/>
              </w:rPr>
              <w:t>23</w:t>
            </w:r>
            <w:r>
              <w:rPr>
                <w:noProof/>
                <w:webHidden/>
              </w:rPr>
              <w:fldChar w:fldCharType="end"/>
            </w:r>
          </w:hyperlink>
        </w:p>
        <w:p w14:paraId="77EE72CF" w14:textId="70492C30"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87" w:history="1">
            <w:r w:rsidRPr="00E43E9A">
              <w:rPr>
                <w:rStyle w:val="Hyperlink"/>
                <w:rFonts w:cs="Arial"/>
                <w:noProof/>
              </w:rPr>
              <w:t>E. Conclusion</w:t>
            </w:r>
            <w:r>
              <w:rPr>
                <w:noProof/>
                <w:webHidden/>
              </w:rPr>
              <w:tab/>
            </w:r>
            <w:r>
              <w:rPr>
                <w:noProof/>
                <w:webHidden/>
              </w:rPr>
              <w:fldChar w:fldCharType="begin"/>
            </w:r>
            <w:r>
              <w:rPr>
                <w:noProof/>
                <w:webHidden/>
              </w:rPr>
              <w:instrText xml:space="preserve"> PAGEREF _Toc237202287 \h </w:instrText>
            </w:r>
            <w:r>
              <w:rPr>
                <w:noProof/>
                <w:webHidden/>
              </w:rPr>
            </w:r>
            <w:r>
              <w:rPr>
                <w:noProof/>
                <w:webHidden/>
              </w:rPr>
              <w:fldChar w:fldCharType="separate"/>
            </w:r>
            <w:r>
              <w:rPr>
                <w:noProof/>
                <w:webHidden/>
              </w:rPr>
              <w:t>23</w:t>
            </w:r>
            <w:r>
              <w:rPr>
                <w:noProof/>
                <w:webHidden/>
              </w:rPr>
              <w:fldChar w:fldCharType="end"/>
            </w:r>
          </w:hyperlink>
        </w:p>
        <w:p w14:paraId="11B76B6F" w14:textId="70E7DE65" w:rsidR="00785142" w:rsidRDefault="00785142">
          <w:pPr>
            <w:pStyle w:val="TOC2"/>
            <w:tabs>
              <w:tab w:val="right" w:leader="dot" w:pos="9016"/>
            </w:tabs>
            <w:rPr>
              <w:rFonts w:asciiTheme="minorHAnsi" w:eastAsiaTheme="minorEastAsia" w:hAnsiTheme="minorHAnsi"/>
              <w:noProof/>
              <w:kern w:val="2"/>
              <w:szCs w:val="24"/>
              <w:lang w:val="en-IN" w:eastAsia="zh-CN"/>
              <w14:ligatures w14:val="standardContextual"/>
            </w:rPr>
          </w:pPr>
          <w:hyperlink w:anchor="_Toc237202288" w:history="1">
            <w:r w:rsidRPr="00E43E9A">
              <w:rPr>
                <w:rStyle w:val="Hyperlink"/>
                <w:rFonts w:cs="Arial"/>
                <w:noProof/>
              </w:rPr>
              <w:t>F. Action Plan</w:t>
            </w:r>
            <w:r>
              <w:rPr>
                <w:noProof/>
                <w:webHidden/>
              </w:rPr>
              <w:tab/>
            </w:r>
            <w:r>
              <w:rPr>
                <w:noProof/>
                <w:webHidden/>
              </w:rPr>
              <w:fldChar w:fldCharType="begin"/>
            </w:r>
            <w:r>
              <w:rPr>
                <w:noProof/>
                <w:webHidden/>
              </w:rPr>
              <w:instrText xml:space="preserve"> PAGEREF _Toc237202288 \h </w:instrText>
            </w:r>
            <w:r>
              <w:rPr>
                <w:noProof/>
                <w:webHidden/>
              </w:rPr>
            </w:r>
            <w:r>
              <w:rPr>
                <w:noProof/>
                <w:webHidden/>
              </w:rPr>
              <w:fldChar w:fldCharType="separate"/>
            </w:r>
            <w:r>
              <w:rPr>
                <w:noProof/>
                <w:webHidden/>
              </w:rPr>
              <w:t>23</w:t>
            </w:r>
            <w:r>
              <w:rPr>
                <w:noProof/>
                <w:webHidden/>
              </w:rPr>
              <w:fldChar w:fldCharType="end"/>
            </w:r>
          </w:hyperlink>
        </w:p>
        <w:p w14:paraId="44A13B18" w14:textId="174FF78F" w:rsidR="00785142" w:rsidRPr="00785142" w:rsidRDefault="00785142">
          <w:pPr>
            <w:pStyle w:val="TOC1"/>
            <w:rPr>
              <w:rFonts w:asciiTheme="minorHAnsi" w:eastAsiaTheme="minorEastAsia" w:hAnsiTheme="minorHAnsi" w:cstheme="minorBidi"/>
              <w:b/>
              <w:bCs/>
              <w:kern w:val="2"/>
              <w:lang w:val="en-IN" w:eastAsia="zh-CN"/>
              <w14:ligatures w14:val="standardContextual"/>
            </w:rPr>
          </w:pPr>
          <w:hyperlink w:anchor="_Toc237202289" w:history="1">
            <w:r w:rsidRPr="00785142">
              <w:rPr>
                <w:rStyle w:val="Hyperlink"/>
                <w:b/>
                <w:bCs/>
              </w:rPr>
              <w:t>REFERENCES</w:t>
            </w:r>
            <w:r w:rsidRPr="00785142">
              <w:rPr>
                <w:b/>
                <w:bCs/>
                <w:webHidden/>
              </w:rPr>
              <w:tab/>
            </w:r>
            <w:r w:rsidRPr="00785142">
              <w:rPr>
                <w:b/>
                <w:bCs/>
                <w:webHidden/>
              </w:rPr>
              <w:fldChar w:fldCharType="begin"/>
            </w:r>
            <w:r w:rsidRPr="00785142">
              <w:rPr>
                <w:b/>
                <w:bCs/>
                <w:webHidden/>
              </w:rPr>
              <w:instrText xml:space="preserve"> PAGEREF _Toc237202289 \h </w:instrText>
            </w:r>
            <w:r w:rsidRPr="00785142">
              <w:rPr>
                <w:b/>
                <w:bCs/>
                <w:webHidden/>
              </w:rPr>
            </w:r>
            <w:r w:rsidRPr="00785142">
              <w:rPr>
                <w:b/>
                <w:bCs/>
                <w:webHidden/>
              </w:rPr>
              <w:fldChar w:fldCharType="separate"/>
            </w:r>
            <w:r w:rsidRPr="00785142">
              <w:rPr>
                <w:b/>
                <w:bCs/>
                <w:webHidden/>
              </w:rPr>
              <w:t>25</w:t>
            </w:r>
            <w:r w:rsidRPr="00785142">
              <w:rPr>
                <w:b/>
                <w:bCs/>
                <w:webHidden/>
              </w:rPr>
              <w:fldChar w:fldCharType="end"/>
            </w:r>
          </w:hyperlink>
        </w:p>
        <w:p w14:paraId="60DA3E56" w14:textId="7864E347" w:rsidR="002C7A05" w:rsidRPr="00D37FDF" w:rsidRDefault="002C7A05">
          <w:pPr>
            <w:rPr>
              <w:rFonts w:cs="Arial"/>
            </w:rPr>
          </w:pPr>
          <w:r w:rsidRPr="00D37FDF">
            <w:rPr>
              <w:rFonts w:cs="Arial"/>
              <w:bCs/>
            </w:rPr>
            <w:fldChar w:fldCharType="end"/>
          </w:r>
        </w:p>
      </w:sdtContent>
    </w:sdt>
    <w:p w14:paraId="2F965C09" w14:textId="77777777" w:rsidR="00FE2691" w:rsidRPr="00D37FDF" w:rsidRDefault="00FE2691">
      <w:pPr>
        <w:pStyle w:val="TableofFigures"/>
        <w:tabs>
          <w:tab w:val="right" w:leader="dot" w:pos="9016"/>
        </w:tabs>
        <w:rPr>
          <w:rFonts w:cs="Arial"/>
          <w:color w:val="000000" w:themeColor="text1"/>
        </w:rPr>
      </w:pPr>
    </w:p>
    <w:p w14:paraId="59A47B74" w14:textId="77777777" w:rsidR="00F27388" w:rsidRPr="00D37FDF" w:rsidRDefault="00F27388">
      <w:pPr>
        <w:rPr>
          <w:rFonts w:cs="Arial"/>
          <w:color w:val="000000" w:themeColor="text1"/>
          <w:szCs w:val="24"/>
        </w:rPr>
      </w:pPr>
      <w:r w:rsidRPr="00D37FDF">
        <w:rPr>
          <w:rFonts w:cs="Arial"/>
          <w:color w:val="000000" w:themeColor="text1"/>
          <w:szCs w:val="24"/>
        </w:rPr>
        <w:br w:type="page"/>
      </w:r>
    </w:p>
    <w:p w14:paraId="3655833C" w14:textId="384C13E8" w:rsidR="00E84BFD" w:rsidRPr="00D37FDF" w:rsidRDefault="00E84BFD" w:rsidP="00F27388">
      <w:pPr>
        <w:pStyle w:val="TableofFigures"/>
        <w:tabs>
          <w:tab w:val="right" w:leader="dot" w:pos="9016"/>
        </w:tabs>
        <w:jc w:val="center"/>
        <w:rPr>
          <w:rFonts w:cs="Arial"/>
          <w:b/>
          <w:bCs/>
          <w:color w:val="000000" w:themeColor="text1"/>
          <w:szCs w:val="24"/>
        </w:rPr>
      </w:pPr>
      <w:r w:rsidRPr="00D37FDF">
        <w:rPr>
          <w:rFonts w:cs="Arial"/>
          <w:b/>
          <w:bCs/>
          <w:color w:val="000000" w:themeColor="text1"/>
          <w:szCs w:val="24"/>
        </w:rPr>
        <w:t>List of Figures</w:t>
      </w:r>
    </w:p>
    <w:p w14:paraId="712A791C" w14:textId="5A4A99C0" w:rsidR="00670CCF" w:rsidRDefault="00FE2691" w:rsidP="004B68DE">
      <w:pPr>
        <w:pStyle w:val="TableofFigures"/>
        <w:tabs>
          <w:tab w:val="right" w:leader="dot" w:pos="9016"/>
        </w:tabs>
        <w:spacing w:line="480" w:lineRule="auto"/>
        <w:rPr>
          <w:rFonts w:asciiTheme="minorHAnsi" w:eastAsiaTheme="minorEastAsia" w:hAnsiTheme="minorHAnsi"/>
          <w:noProof/>
          <w:kern w:val="2"/>
          <w:szCs w:val="24"/>
          <w:lang w:val="en-IN" w:eastAsia="zh-CN"/>
          <w14:ligatures w14:val="standardContextual"/>
        </w:rPr>
      </w:pPr>
      <w:r w:rsidRPr="00D37FDF">
        <w:rPr>
          <w:rFonts w:cs="Arial"/>
          <w:color w:val="000000" w:themeColor="text1"/>
          <w:szCs w:val="24"/>
        </w:rPr>
        <w:fldChar w:fldCharType="begin"/>
      </w:r>
      <w:r w:rsidRPr="00D37FDF">
        <w:rPr>
          <w:rFonts w:cs="Arial"/>
          <w:color w:val="000000" w:themeColor="text1"/>
          <w:szCs w:val="24"/>
        </w:rPr>
        <w:instrText xml:space="preserve"> TOC \h \z \c "Figure" </w:instrText>
      </w:r>
      <w:r w:rsidRPr="00D37FDF">
        <w:rPr>
          <w:rFonts w:cs="Arial"/>
          <w:color w:val="000000" w:themeColor="text1"/>
          <w:szCs w:val="24"/>
        </w:rPr>
        <w:fldChar w:fldCharType="separate"/>
      </w:r>
      <w:hyperlink w:anchor="_Toc237200613" w:history="1">
        <w:r w:rsidR="00670CCF" w:rsidRPr="00017A0F">
          <w:rPr>
            <w:rStyle w:val="Hyperlink"/>
            <w:rFonts w:cs="Arial"/>
            <w:noProof/>
          </w:rPr>
          <w:t>Figure 1</w:t>
        </w:r>
        <w:r w:rsidR="00670CCF" w:rsidRPr="00017A0F">
          <w:rPr>
            <w:rStyle w:val="Hyperlink"/>
            <w:rFonts w:cs="Arial"/>
            <w:i/>
            <w:noProof/>
          </w:rPr>
          <w:t>:</w:t>
        </w:r>
        <w:r w:rsidR="00670CCF" w:rsidRPr="00017A0F">
          <w:rPr>
            <w:rStyle w:val="Hyperlink"/>
            <w:rFonts w:cs="Arial"/>
            <w:noProof/>
          </w:rPr>
          <w:t xml:space="preserve"> Nestle Brand Logo</w:t>
        </w:r>
        <w:r w:rsidR="00670CCF">
          <w:rPr>
            <w:noProof/>
            <w:webHidden/>
          </w:rPr>
          <w:tab/>
        </w:r>
        <w:r w:rsidR="00670CCF">
          <w:rPr>
            <w:noProof/>
            <w:webHidden/>
          </w:rPr>
          <w:fldChar w:fldCharType="begin"/>
        </w:r>
        <w:r w:rsidR="00670CCF">
          <w:rPr>
            <w:noProof/>
            <w:webHidden/>
          </w:rPr>
          <w:instrText xml:space="preserve"> PAGEREF _Toc237200613 \h </w:instrText>
        </w:r>
        <w:r w:rsidR="00670CCF">
          <w:rPr>
            <w:noProof/>
            <w:webHidden/>
          </w:rPr>
        </w:r>
        <w:r w:rsidR="00670CCF">
          <w:rPr>
            <w:noProof/>
            <w:webHidden/>
          </w:rPr>
          <w:fldChar w:fldCharType="separate"/>
        </w:r>
        <w:r w:rsidR="00670CCF">
          <w:rPr>
            <w:noProof/>
            <w:webHidden/>
          </w:rPr>
          <w:t>5</w:t>
        </w:r>
        <w:r w:rsidR="00670CCF">
          <w:rPr>
            <w:noProof/>
            <w:webHidden/>
          </w:rPr>
          <w:fldChar w:fldCharType="end"/>
        </w:r>
      </w:hyperlink>
    </w:p>
    <w:p w14:paraId="05750D74" w14:textId="458E7496" w:rsidR="00670CCF" w:rsidRDefault="00670CCF" w:rsidP="004B68DE">
      <w:pPr>
        <w:pStyle w:val="TableofFigures"/>
        <w:tabs>
          <w:tab w:val="right" w:leader="dot" w:pos="9016"/>
        </w:tabs>
        <w:spacing w:line="480" w:lineRule="auto"/>
        <w:rPr>
          <w:rFonts w:asciiTheme="minorHAnsi" w:eastAsiaTheme="minorEastAsia" w:hAnsiTheme="minorHAnsi"/>
          <w:noProof/>
          <w:kern w:val="2"/>
          <w:szCs w:val="24"/>
          <w:lang w:val="en-IN" w:eastAsia="zh-CN"/>
          <w14:ligatures w14:val="standardContextual"/>
        </w:rPr>
      </w:pPr>
      <w:hyperlink w:anchor="_Toc237200614" w:history="1">
        <w:r w:rsidRPr="00017A0F">
          <w:rPr>
            <w:rStyle w:val="Hyperlink"/>
            <w:rFonts w:cs="Arial"/>
            <w:noProof/>
          </w:rPr>
          <w:t>Figure 2 Gibbs' Reflective Cycle</w:t>
        </w:r>
        <w:r>
          <w:rPr>
            <w:noProof/>
            <w:webHidden/>
          </w:rPr>
          <w:tab/>
        </w:r>
        <w:r>
          <w:rPr>
            <w:noProof/>
            <w:webHidden/>
          </w:rPr>
          <w:fldChar w:fldCharType="begin"/>
        </w:r>
        <w:r>
          <w:rPr>
            <w:noProof/>
            <w:webHidden/>
          </w:rPr>
          <w:instrText xml:space="preserve"> PAGEREF _Toc237200614 \h </w:instrText>
        </w:r>
        <w:r>
          <w:rPr>
            <w:noProof/>
            <w:webHidden/>
          </w:rPr>
        </w:r>
        <w:r>
          <w:rPr>
            <w:noProof/>
            <w:webHidden/>
          </w:rPr>
          <w:fldChar w:fldCharType="separate"/>
        </w:r>
        <w:r>
          <w:rPr>
            <w:noProof/>
            <w:webHidden/>
          </w:rPr>
          <w:t>21</w:t>
        </w:r>
        <w:r>
          <w:rPr>
            <w:noProof/>
            <w:webHidden/>
          </w:rPr>
          <w:fldChar w:fldCharType="end"/>
        </w:r>
      </w:hyperlink>
    </w:p>
    <w:p w14:paraId="7356ABB7" w14:textId="7691CC5E" w:rsidR="002C7A05" w:rsidRPr="00D37FDF" w:rsidRDefault="00FE2691" w:rsidP="004B68DE">
      <w:r w:rsidRPr="00D37FDF">
        <w:fldChar w:fldCharType="end"/>
      </w:r>
    </w:p>
    <w:p w14:paraId="5F06834A" w14:textId="77777777" w:rsidR="005856C0" w:rsidRPr="00D37FDF" w:rsidRDefault="005856C0" w:rsidP="005856C0">
      <w:pPr>
        <w:rPr>
          <w:rFonts w:cs="Arial"/>
        </w:rPr>
      </w:pPr>
    </w:p>
    <w:p w14:paraId="17E798CF" w14:textId="77777777" w:rsidR="005856C0" w:rsidRPr="00D37FDF" w:rsidRDefault="005856C0" w:rsidP="005856C0">
      <w:pPr>
        <w:rPr>
          <w:rFonts w:cs="Arial"/>
        </w:rPr>
      </w:pPr>
    </w:p>
    <w:p w14:paraId="2ADDF865" w14:textId="77777777" w:rsidR="005856C0" w:rsidRPr="00D37FDF" w:rsidRDefault="005856C0" w:rsidP="005856C0">
      <w:pPr>
        <w:rPr>
          <w:rFonts w:cs="Arial"/>
        </w:rPr>
      </w:pPr>
    </w:p>
    <w:p w14:paraId="208F0134" w14:textId="77777777" w:rsidR="005856C0" w:rsidRPr="00D37FDF" w:rsidRDefault="005856C0" w:rsidP="005856C0">
      <w:pPr>
        <w:rPr>
          <w:rFonts w:cs="Arial"/>
        </w:rPr>
      </w:pPr>
    </w:p>
    <w:p w14:paraId="292DD872" w14:textId="77777777" w:rsidR="005856C0" w:rsidRPr="00D37FDF" w:rsidRDefault="005856C0" w:rsidP="005856C0">
      <w:pPr>
        <w:rPr>
          <w:rFonts w:cs="Arial"/>
        </w:rPr>
      </w:pPr>
    </w:p>
    <w:p w14:paraId="5ED55BDD" w14:textId="77777777" w:rsidR="005856C0" w:rsidRPr="00D37FDF" w:rsidRDefault="005856C0" w:rsidP="005856C0">
      <w:pPr>
        <w:rPr>
          <w:rFonts w:cs="Arial"/>
        </w:rPr>
      </w:pPr>
    </w:p>
    <w:p w14:paraId="3A320DF1" w14:textId="77777777" w:rsidR="005856C0" w:rsidRPr="00D37FDF" w:rsidRDefault="005856C0" w:rsidP="005856C0">
      <w:pPr>
        <w:rPr>
          <w:rFonts w:cs="Arial"/>
        </w:rPr>
      </w:pPr>
    </w:p>
    <w:p w14:paraId="2D4DBC88" w14:textId="77777777" w:rsidR="005856C0" w:rsidRPr="00D37FDF" w:rsidRDefault="005856C0" w:rsidP="005856C0">
      <w:pPr>
        <w:rPr>
          <w:rFonts w:cs="Arial"/>
        </w:rPr>
      </w:pPr>
    </w:p>
    <w:p w14:paraId="1A46690D" w14:textId="77777777" w:rsidR="005856C0" w:rsidRPr="00D37FDF" w:rsidRDefault="005856C0" w:rsidP="005856C0">
      <w:pPr>
        <w:rPr>
          <w:rFonts w:cs="Arial"/>
        </w:rPr>
      </w:pPr>
    </w:p>
    <w:p w14:paraId="32E61146" w14:textId="77777777" w:rsidR="00F27388" w:rsidRPr="00D37FDF" w:rsidRDefault="00F27388">
      <w:pPr>
        <w:rPr>
          <w:rFonts w:eastAsiaTheme="majorEastAsia" w:cs="Arial"/>
          <w:b/>
          <w:color w:val="000000" w:themeColor="text1"/>
          <w:sz w:val="32"/>
          <w:szCs w:val="32"/>
        </w:rPr>
      </w:pPr>
      <w:r w:rsidRPr="00D37FDF">
        <w:rPr>
          <w:rFonts w:cs="Arial"/>
          <w:b/>
          <w:color w:val="000000" w:themeColor="text1"/>
        </w:rPr>
        <w:br w:type="page"/>
      </w:r>
    </w:p>
    <w:p w14:paraId="1A38E1AE" w14:textId="0BC22A86" w:rsidR="00EA4BFF" w:rsidRPr="00D37FDF" w:rsidRDefault="00792478" w:rsidP="00505FF3">
      <w:pPr>
        <w:pStyle w:val="Heading1"/>
      </w:pPr>
      <w:bookmarkStart w:id="0" w:name="_Toc237202245"/>
      <w:r w:rsidRPr="00D37FDF">
        <w:t>Section 1</w:t>
      </w:r>
      <w:bookmarkEnd w:id="0"/>
    </w:p>
    <w:p w14:paraId="13368E68" w14:textId="77777777" w:rsidR="00AC399A" w:rsidRPr="00D37FDF" w:rsidRDefault="004A59B9" w:rsidP="00505FF3">
      <w:pPr>
        <w:pStyle w:val="Heading2"/>
        <w:rPr>
          <w:rFonts w:cs="Arial"/>
        </w:rPr>
      </w:pPr>
      <w:bookmarkStart w:id="1" w:name="_Toc237202246"/>
      <w:r w:rsidRPr="00D37FDF">
        <w:rPr>
          <w:rFonts w:cs="Arial"/>
        </w:rPr>
        <w:t xml:space="preserve">1. </w:t>
      </w:r>
      <w:r w:rsidR="00AC399A" w:rsidRPr="00D37FDF">
        <w:rPr>
          <w:rFonts w:cs="Arial"/>
        </w:rPr>
        <w:t>Introduction</w:t>
      </w:r>
      <w:bookmarkEnd w:id="1"/>
    </w:p>
    <w:p w14:paraId="7B3EF9CA" w14:textId="64563DB8" w:rsidR="00505FF3" w:rsidRPr="00D37FDF" w:rsidRDefault="00F45019" w:rsidP="00B87031">
      <w:pPr>
        <w:rPr>
          <w:rFonts w:cs="Arial"/>
        </w:rPr>
      </w:pPr>
      <w:r w:rsidRPr="00D37FDF">
        <w:rPr>
          <w:rFonts w:cs="Arial"/>
        </w:rPr>
        <w:t>Nestlé is a Swiss-based multinational food and beverage corporation founded in 1866, and with operations in more than 180 countries. Its product innovation and international expansion in its diverse product offering in the nutrition, coffee, confectionery and pet care segments have helped it to grow over the years (Nestlé, 2024a). The global nature of its market, however, also means strategic complexity in the face of a high level of competition, evolving consumer needs, technological progress, regulatory demands and increased environmental and social obligations (Statista, 2024b; Johnson et al., 2020). The Nutrition, Health and Wellness, innovation and long-term value creation are integral to Nestlé's strategic direction (Nestlé, 2024b; Nestlé, 2024c). It analyses its strategic position through PESTEL analysis and VRIO analysis and then analyses CSR, sustainability, SWOT/TOWS, Balanced Scorecard and Ansoff Matrix to identify priorities for sustainable competitive advantage and growth.</w:t>
      </w:r>
    </w:p>
    <w:p w14:paraId="2FFB800A" w14:textId="77777777" w:rsidR="00B87031" w:rsidRPr="00D37FDF" w:rsidRDefault="00B87031" w:rsidP="00F45019">
      <w:pPr>
        <w:jc w:val="center"/>
        <w:rPr>
          <w:rFonts w:cs="Arial"/>
        </w:rPr>
      </w:pPr>
      <w:r w:rsidRPr="00D37FDF">
        <w:rPr>
          <w:rFonts w:cs="Arial"/>
          <w:noProof/>
        </w:rPr>
        <w:drawing>
          <wp:inline distT="0" distB="0" distL="0" distR="0" wp14:anchorId="350C4F59" wp14:editId="3ABC94C4">
            <wp:extent cx="3505200" cy="2340805"/>
            <wp:effectExtent l="0" t="0" r="0" b="2540"/>
            <wp:docPr id="6" name="Picture 6" descr="Nestlé Unveils New Climate Resilient, Lower Carbon Footprint Coffee Variety  - ESG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stlé Unveils New Climate Resilient, Lower Carbon Footprint Coffee Variety  - ESG To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17669" cy="2349132"/>
                    </a:xfrm>
                    <a:prstGeom prst="rect">
                      <a:avLst/>
                    </a:prstGeom>
                    <a:noFill/>
                    <a:ln>
                      <a:noFill/>
                    </a:ln>
                  </pic:spPr>
                </pic:pic>
              </a:graphicData>
            </a:graphic>
          </wp:inline>
        </w:drawing>
      </w:r>
    </w:p>
    <w:p w14:paraId="5E6BBE6C" w14:textId="2E0C114E" w:rsidR="00B87031" w:rsidRPr="00D37FDF" w:rsidRDefault="00B87031" w:rsidP="00F45019">
      <w:pPr>
        <w:jc w:val="center"/>
        <w:rPr>
          <w:rFonts w:eastAsia="Times New Roman" w:cs="Arial"/>
          <w:i/>
          <w:lang w:eastAsia="en-IN"/>
        </w:rPr>
      </w:pPr>
      <w:bookmarkStart w:id="2" w:name="_Toc237200613"/>
      <w:r w:rsidRPr="00D37FDF">
        <w:rPr>
          <w:rFonts w:cs="Arial"/>
        </w:rPr>
        <w:t xml:space="preserve">Figure </w:t>
      </w:r>
      <w:r w:rsidRPr="00D37FDF">
        <w:rPr>
          <w:rFonts w:cs="Arial"/>
          <w:i/>
        </w:rPr>
        <w:fldChar w:fldCharType="begin"/>
      </w:r>
      <w:r w:rsidRPr="00D37FDF">
        <w:rPr>
          <w:rFonts w:cs="Arial"/>
        </w:rPr>
        <w:instrText xml:space="preserve"> SEQ Figure \* ARABIC </w:instrText>
      </w:r>
      <w:r w:rsidRPr="00D37FDF">
        <w:rPr>
          <w:rFonts w:cs="Arial"/>
          <w:i/>
        </w:rPr>
        <w:fldChar w:fldCharType="separate"/>
      </w:r>
      <w:r w:rsidRPr="00D37FDF">
        <w:rPr>
          <w:rFonts w:cs="Arial"/>
        </w:rPr>
        <w:t>1</w:t>
      </w:r>
      <w:r w:rsidRPr="00D37FDF">
        <w:rPr>
          <w:rFonts w:cs="Arial"/>
          <w:i/>
        </w:rPr>
        <w:fldChar w:fldCharType="end"/>
      </w:r>
      <w:r w:rsidRPr="00D37FDF">
        <w:rPr>
          <w:rFonts w:cs="Arial"/>
          <w:i/>
        </w:rPr>
        <w:t>:</w:t>
      </w:r>
      <w:r w:rsidRPr="00D37FDF">
        <w:rPr>
          <w:rFonts w:cs="Arial"/>
        </w:rPr>
        <w:t xml:space="preserve"> Nestle Brand Logo</w:t>
      </w:r>
      <w:bookmarkEnd w:id="2"/>
    </w:p>
    <w:p w14:paraId="73469769" w14:textId="2000BA19" w:rsidR="00B87031" w:rsidRPr="00D37FDF" w:rsidRDefault="00B87031" w:rsidP="00F45019">
      <w:pPr>
        <w:jc w:val="center"/>
        <w:rPr>
          <w:rFonts w:eastAsia="Times New Roman" w:cs="Arial"/>
          <w:lang w:eastAsia="en-IN"/>
        </w:rPr>
      </w:pPr>
      <w:r w:rsidRPr="00D37FDF">
        <w:rPr>
          <w:rFonts w:eastAsia="Times New Roman" w:cs="Arial"/>
          <w:lang w:eastAsia="en-IN"/>
        </w:rPr>
        <w:t>(Source: ESG Today)</w:t>
      </w:r>
    </w:p>
    <w:p w14:paraId="7480086C" w14:textId="77777777" w:rsidR="00792478" w:rsidRPr="00D37FDF" w:rsidRDefault="004A59B9" w:rsidP="00B87031">
      <w:pPr>
        <w:pStyle w:val="Heading2"/>
        <w:rPr>
          <w:rFonts w:cs="Arial"/>
        </w:rPr>
      </w:pPr>
      <w:bookmarkStart w:id="3" w:name="_Toc237202247"/>
      <w:r w:rsidRPr="00D37FDF">
        <w:rPr>
          <w:rFonts w:cs="Arial"/>
        </w:rPr>
        <w:t xml:space="preserve">2. </w:t>
      </w:r>
      <w:r w:rsidR="00792478" w:rsidRPr="00D37FDF">
        <w:rPr>
          <w:rFonts w:cs="Arial"/>
        </w:rPr>
        <w:t>Organisational Context and Overview</w:t>
      </w:r>
      <w:bookmarkEnd w:id="3"/>
      <w:r w:rsidR="00792478" w:rsidRPr="00D37FDF">
        <w:rPr>
          <w:rFonts w:cs="Arial"/>
        </w:rPr>
        <w:tab/>
      </w:r>
    </w:p>
    <w:p w14:paraId="41AC6DAD" w14:textId="77777777" w:rsidR="00B87031" w:rsidRPr="00D37FDF" w:rsidRDefault="00B87031" w:rsidP="00AD11F8">
      <w:pPr>
        <w:pStyle w:val="Heading3"/>
        <w:rPr>
          <w:rFonts w:cs="Arial"/>
          <w:lang w:val="en-GB" w:eastAsia="en-IN"/>
        </w:rPr>
      </w:pPr>
      <w:bookmarkStart w:id="4" w:name="_Toc237202248"/>
      <w:r w:rsidRPr="00D37FDF">
        <w:rPr>
          <w:rFonts w:cs="Arial"/>
          <w:lang w:val="en-GB" w:eastAsia="en-IN"/>
        </w:rPr>
        <w:t>2.1 Organisational Background</w:t>
      </w:r>
      <w:bookmarkEnd w:id="4"/>
    </w:p>
    <w:p w14:paraId="0EF86562" w14:textId="5E65BF8F" w:rsidR="00B87031" w:rsidRPr="00D37FDF" w:rsidRDefault="00B87031" w:rsidP="00B87031">
      <w:pPr>
        <w:spacing w:before="100" w:beforeAutospacing="1" w:after="100" w:afterAutospacing="1"/>
        <w:rPr>
          <w:rFonts w:eastAsia="Times New Roman" w:cs="Arial"/>
          <w:szCs w:val="24"/>
          <w:lang w:eastAsia="en-IN"/>
        </w:rPr>
      </w:pPr>
      <w:r w:rsidRPr="00D37FDF">
        <w:rPr>
          <w:rFonts w:eastAsia="Times New Roman" w:cs="Arial"/>
          <w:szCs w:val="24"/>
          <w:lang w:eastAsia="en-IN"/>
        </w:rPr>
        <w:t>Founded by Henri Nestlé in 1866, Nestlé is a Swiss multinational food and beverage company with headquarters in Vevey and a long history of pioneering innovations, particularly in infant nutrition, where its product success as a baby cereal launched the Nutritional pillar of its business (Nestlé, 2024a; Hartley, 2018). It has grown into a company in its own right with the expansion of its operations internationally and the merger with the Anglo-Swiss Condensed Milk Company in 1905 (Nestlé, 2024a). Nestlé broadened its portfolio over time from nutrition to coffee, as well as bottled water and pet care, all the while expanding its reach into the international market (Hartley, 2018; Nestlé, 2024b).</w:t>
      </w:r>
    </w:p>
    <w:p w14:paraId="6A562AC7" w14:textId="77777777" w:rsidR="00B87031" w:rsidRPr="00D37FDF" w:rsidRDefault="00B87031" w:rsidP="00AD11F8">
      <w:pPr>
        <w:pStyle w:val="Heading3"/>
        <w:rPr>
          <w:rFonts w:cs="Arial"/>
          <w:lang w:val="en-GB" w:eastAsia="en-IN"/>
        </w:rPr>
      </w:pPr>
      <w:bookmarkStart w:id="5" w:name="_Toc237202249"/>
      <w:r w:rsidRPr="00D37FDF">
        <w:rPr>
          <w:rFonts w:cs="Arial"/>
          <w:lang w:val="en-GB" w:eastAsia="en-IN"/>
        </w:rPr>
        <w:t>2.2 Mission and Vision</w:t>
      </w:r>
      <w:bookmarkEnd w:id="5"/>
    </w:p>
    <w:p w14:paraId="06B40DC1" w14:textId="0AE0E7E4" w:rsidR="00B87031" w:rsidRPr="00D37FDF" w:rsidRDefault="00B87031" w:rsidP="00B87031">
      <w:pPr>
        <w:spacing w:before="100" w:beforeAutospacing="1" w:after="100" w:afterAutospacing="1"/>
        <w:rPr>
          <w:rFonts w:eastAsia="Times New Roman" w:cs="Arial"/>
          <w:szCs w:val="24"/>
          <w:lang w:eastAsia="en-IN"/>
        </w:rPr>
      </w:pPr>
      <w:r w:rsidRPr="00D37FDF">
        <w:rPr>
          <w:rFonts w:eastAsia="Times New Roman" w:cs="Arial"/>
          <w:szCs w:val="24"/>
          <w:lang w:eastAsia="en-IN"/>
        </w:rPr>
        <w:t xml:space="preserve">Nestlé's </w:t>
      </w:r>
      <w:r w:rsidR="00021DD5" w:rsidRPr="00D37FDF">
        <w:rPr>
          <w:rFonts w:eastAsia="Times New Roman" w:cs="Arial"/>
          <w:szCs w:val="24"/>
          <w:lang w:eastAsia="en-IN"/>
        </w:rPr>
        <w:t xml:space="preserve">mission </w:t>
      </w:r>
      <w:r w:rsidRPr="00D37FDF">
        <w:rPr>
          <w:rFonts w:eastAsia="Times New Roman" w:cs="Arial"/>
          <w:szCs w:val="24"/>
          <w:lang w:eastAsia="en-IN"/>
        </w:rPr>
        <w:t xml:space="preserve">purpose is </w:t>
      </w:r>
      <w:r w:rsidR="00000C17" w:rsidRPr="00D37FDF">
        <w:rPr>
          <w:rFonts w:eastAsia="Times New Roman" w:cs="Arial"/>
          <w:b/>
          <w:bCs/>
          <w:i/>
          <w:iCs/>
          <w:szCs w:val="24"/>
          <w:lang w:eastAsia="en-IN"/>
        </w:rPr>
        <w:t>“</w:t>
      </w:r>
      <w:r w:rsidRPr="00D37FDF">
        <w:rPr>
          <w:rFonts w:eastAsia="Times New Roman" w:cs="Arial"/>
          <w:b/>
          <w:bCs/>
          <w:i/>
          <w:iCs/>
          <w:szCs w:val="24"/>
          <w:lang w:eastAsia="en-IN"/>
        </w:rPr>
        <w:t>Good Food, Good Life</w:t>
      </w:r>
      <w:r w:rsidR="00000C17" w:rsidRPr="00D37FDF">
        <w:rPr>
          <w:rFonts w:eastAsia="Times New Roman" w:cs="Arial"/>
          <w:b/>
          <w:bCs/>
          <w:i/>
          <w:iCs/>
          <w:szCs w:val="24"/>
          <w:lang w:eastAsia="en-IN"/>
        </w:rPr>
        <w:t>”</w:t>
      </w:r>
      <w:r w:rsidRPr="00D37FDF">
        <w:rPr>
          <w:rFonts w:eastAsia="Times New Roman" w:cs="Arial"/>
          <w:szCs w:val="24"/>
          <w:lang w:eastAsia="en-IN"/>
        </w:rPr>
        <w:t xml:space="preserve"> which has a strong focus on safe quality, high quality and nutritious products that add consumer value </w:t>
      </w:r>
      <w:r w:rsidRPr="007516FB">
        <w:rPr>
          <w:lang w:eastAsia="en-IN"/>
        </w:rPr>
        <w:t>(</w:t>
      </w:r>
      <w:r w:rsidR="007516FB" w:rsidRPr="007516FB">
        <w:rPr>
          <w:lang w:eastAsia="en-IN"/>
        </w:rPr>
        <w:t>Boardmix</w:t>
      </w:r>
      <w:r w:rsidR="007516FB">
        <w:rPr>
          <w:lang w:eastAsia="en-IN"/>
        </w:rPr>
        <w:t>,</w:t>
      </w:r>
      <w:r w:rsidR="007516FB" w:rsidRPr="007516FB">
        <w:rPr>
          <w:lang w:eastAsia="en-IN"/>
        </w:rPr>
        <w:t xml:space="preserve"> 2026</w:t>
      </w:r>
      <w:r w:rsidRPr="007516FB">
        <w:rPr>
          <w:lang w:eastAsia="en-IN"/>
        </w:rPr>
        <w:t xml:space="preserve">). </w:t>
      </w:r>
      <w:r w:rsidRPr="00D37FDF">
        <w:rPr>
          <w:rFonts w:eastAsia="Times New Roman" w:cs="Arial"/>
          <w:szCs w:val="24"/>
          <w:lang w:eastAsia="en-IN"/>
        </w:rPr>
        <w:t>This is a strategic link between product quality and nutrition and consumer wellbeing in the longer term. It</w:t>
      </w:r>
      <w:r w:rsidR="007A0885" w:rsidRPr="00D37FDF">
        <w:rPr>
          <w:rFonts w:eastAsia="Times New Roman" w:cs="Arial"/>
          <w:szCs w:val="24"/>
          <w:lang w:eastAsia="en-IN"/>
        </w:rPr>
        <w:t xml:space="preserve"> is also stated that its value creation is directed towards Nutrition, Health and Wellness, innovation, and long-term value creation </w:t>
      </w:r>
      <w:r w:rsidRPr="00D37FDF">
        <w:rPr>
          <w:rFonts w:eastAsia="Times New Roman" w:cs="Arial"/>
          <w:szCs w:val="24"/>
          <w:lang w:eastAsia="en-IN"/>
        </w:rPr>
        <w:t>(</w:t>
      </w:r>
      <w:r w:rsidR="007516FB" w:rsidRPr="007516FB">
        <w:rPr>
          <w:lang w:eastAsia="en-IN"/>
        </w:rPr>
        <w:t>Boardmix</w:t>
      </w:r>
      <w:r w:rsidR="007516FB">
        <w:rPr>
          <w:lang w:eastAsia="en-IN"/>
        </w:rPr>
        <w:t>,</w:t>
      </w:r>
      <w:r w:rsidR="007516FB" w:rsidRPr="007516FB">
        <w:rPr>
          <w:lang w:eastAsia="en-IN"/>
        </w:rPr>
        <w:t xml:space="preserve"> 2026</w:t>
      </w:r>
      <w:r w:rsidRPr="00D37FDF">
        <w:rPr>
          <w:rFonts w:eastAsia="Times New Roman" w:cs="Arial"/>
          <w:szCs w:val="24"/>
          <w:lang w:eastAsia="en-IN"/>
        </w:rPr>
        <w:t>). This is aligned to sustainable growth and value of Stakeholders, but it is difficult to ensure credibility in a diversified portfolio given the expectations of the consumers about their health and wellbeing is changing.</w:t>
      </w:r>
    </w:p>
    <w:p w14:paraId="44806973" w14:textId="77777777" w:rsidR="00B87031" w:rsidRPr="00D37FDF" w:rsidRDefault="00B87031" w:rsidP="00AD11F8">
      <w:pPr>
        <w:pStyle w:val="Heading3"/>
        <w:rPr>
          <w:rFonts w:cs="Arial"/>
          <w:lang w:val="en-GB" w:eastAsia="en-IN"/>
        </w:rPr>
      </w:pPr>
      <w:bookmarkStart w:id="6" w:name="_Toc237202250"/>
      <w:r w:rsidRPr="00D37FDF">
        <w:rPr>
          <w:rFonts w:cs="Arial"/>
          <w:lang w:val="en-GB" w:eastAsia="en-IN"/>
        </w:rPr>
        <w:t>2.3 Business Model</w:t>
      </w:r>
      <w:bookmarkEnd w:id="6"/>
    </w:p>
    <w:p w14:paraId="106ED008" w14:textId="1A10A363" w:rsidR="00FB695B" w:rsidRPr="00D37FDF" w:rsidRDefault="00B87031" w:rsidP="00B87031">
      <w:pPr>
        <w:spacing w:before="100" w:beforeAutospacing="1" w:after="100" w:afterAutospacing="1"/>
        <w:rPr>
          <w:rFonts w:eastAsia="Times New Roman" w:cs="Arial"/>
          <w:szCs w:val="24"/>
          <w:lang w:eastAsia="en-IN"/>
        </w:rPr>
      </w:pPr>
      <w:r w:rsidRPr="00D37FDF">
        <w:rPr>
          <w:rFonts w:eastAsia="Times New Roman" w:cs="Arial"/>
          <w:szCs w:val="24"/>
          <w:lang w:eastAsia="en-IN"/>
        </w:rPr>
        <w:t>Osterwalder and Pigneur (2010) describe a business model in terms of how an organisation creates, delivers and captures value. Nestlé's global business model is multi-categorized, with a focus on branded consumer goods and value creation over time (Nestlé, 2024c). Value creation lies in the strength of strong brands, product innovation, wide category coverage and Nutrition, Health and Wellness capabilities, which help to differentiate and adapt to consumer trends (Nestlé, 2024c; Euromonitor, 2023).</w:t>
      </w:r>
    </w:p>
    <w:p w14:paraId="0D5A2D6F" w14:textId="2C780017" w:rsidR="00B87031" w:rsidRPr="00D37FDF" w:rsidRDefault="00FB695B" w:rsidP="00B87031">
      <w:pPr>
        <w:spacing w:before="100" w:beforeAutospacing="1" w:after="100" w:afterAutospacing="1"/>
        <w:rPr>
          <w:rFonts w:eastAsia="Times New Roman" w:cs="Arial"/>
          <w:szCs w:val="24"/>
          <w:lang w:eastAsia="en-IN"/>
        </w:rPr>
      </w:pPr>
      <w:r w:rsidRPr="00D37FDF">
        <w:rPr>
          <w:rFonts w:eastAsia="Times New Roman" w:cs="Arial"/>
          <w:szCs w:val="24"/>
          <w:lang w:eastAsia="en-IN"/>
        </w:rPr>
        <w:t>However, c</w:t>
      </w:r>
      <w:r w:rsidR="00B87031" w:rsidRPr="00D37FDF">
        <w:rPr>
          <w:rFonts w:eastAsia="Times New Roman" w:cs="Arial"/>
          <w:szCs w:val="24"/>
          <w:lang w:eastAsia="en-IN"/>
        </w:rPr>
        <w:t>onsumer trust thrives on brand equity and innovation is nurtured by research and development (Grant, 2022). Value delivery relies on international operations and distribution capacities, and value capture is enabled by diversified revenue streams by category and market (Statista, 2024b; Johnson et al., 2020). Diversification boosts resilience, but can also complicate coordination and focus.</w:t>
      </w:r>
    </w:p>
    <w:p w14:paraId="578DA7D5" w14:textId="77777777" w:rsidR="00B87031" w:rsidRPr="00D37FDF" w:rsidRDefault="00B87031" w:rsidP="00AD11F8">
      <w:pPr>
        <w:pStyle w:val="Heading3"/>
        <w:rPr>
          <w:rFonts w:cs="Arial"/>
          <w:lang w:val="en-GB" w:eastAsia="en-IN"/>
        </w:rPr>
      </w:pPr>
      <w:bookmarkStart w:id="7" w:name="_Toc237202251"/>
      <w:r w:rsidRPr="00D37FDF">
        <w:rPr>
          <w:rFonts w:cs="Arial"/>
          <w:lang w:val="en-GB" w:eastAsia="en-IN"/>
        </w:rPr>
        <w:t>2.4 Industry and Competitive Context</w:t>
      </w:r>
      <w:bookmarkEnd w:id="7"/>
    </w:p>
    <w:p w14:paraId="2B8E512E" w14:textId="77777777" w:rsidR="00FB695B" w:rsidRPr="00D37FDF" w:rsidRDefault="00B87031" w:rsidP="00B87031">
      <w:pPr>
        <w:spacing w:before="100" w:beforeAutospacing="1" w:after="100" w:afterAutospacing="1"/>
        <w:rPr>
          <w:rFonts w:eastAsia="Times New Roman" w:cs="Arial"/>
          <w:szCs w:val="24"/>
          <w:lang w:eastAsia="en-IN"/>
        </w:rPr>
      </w:pPr>
      <w:r w:rsidRPr="00D37FDF">
        <w:rPr>
          <w:rFonts w:eastAsia="Times New Roman" w:cs="Arial"/>
          <w:szCs w:val="24"/>
          <w:lang w:eastAsia="en-IN"/>
        </w:rPr>
        <w:t xml:space="preserve">The food and beverage sector is a competitive industry where the global market is dominated by strong brands, economies of scale, innovation and shifts in consumer preferences (Johnson et al., 2020; Statista, 2024a). Competition is also changing due to health driven consumption and digitalisation of the retail environment (Euromonitor, 2023). </w:t>
      </w:r>
    </w:p>
    <w:p w14:paraId="4E79B472" w14:textId="1419ECB3" w:rsidR="00AD11F8" w:rsidRPr="00D37FDF" w:rsidRDefault="00B87031" w:rsidP="00B30573">
      <w:pPr>
        <w:spacing w:before="100" w:beforeAutospacing="1" w:after="100" w:afterAutospacing="1"/>
        <w:rPr>
          <w:rFonts w:eastAsia="Times New Roman" w:cs="Arial"/>
          <w:szCs w:val="24"/>
          <w:lang w:eastAsia="en-IN"/>
        </w:rPr>
      </w:pPr>
      <w:r w:rsidRPr="00D37FDF">
        <w:rPr>
          <w:rFonts w:eastAsia="Times New Roman" w:cs="Arial"/>
          <w:szCs w:val="24"/>
          <w:lang w:eastAsia="en-IN"/>
        </w:rPr>
        <w:t>The main rivals are Unilever, PepsiCo, The Coca-Cola Company and Danone as they are the major players in the beverages, snacks, dairy and nutrition category (Johnson et al., 2020; Statista, 2024b). The company's global reach, brands and distribution network give it an enviable market position but similarities in these amongst the major companies do not necessarily translate into sustainable competitive advantage.</w:t>
      </w:r>
    </w:p>
    <w:p w14:paraId="35B70AB1" w14:textId="7359936D" w:rsidR="00246E31" w:rsidRPr="00D37FDF" w:rsidRDefault="00F24CA1" w:rsidP="00F81659">
      <w:pPr>
        <w:pStyle w:val="Heading2"/>
        <w:rPr>
          <w:rFonts w:cs="Arial"/>
        </w:rPr>
      </w:pPr>
      <w:bookmarkStart w:id="8" w:name="_Toc237202252"/>
      <w:r w:rsidRPr="00D37FDF">
        <w:rPr>
          <w:rFonts w:cs="Arial"/>
        </w:rPr>
        <w:t xml:space="preserve">3. </w:t>
      </w:r>
      <w:r w:rsidR="00C548F1" w:rsidRPr="00D37FDF">
        <w:rPr>
          <w:rFonts w:cs="Arial"/>
        </w:rPr>
        <w:t>External and Internal Environment Analysis</w:t>
      </w:r>
      <w:bookmarkEnd w:id="8"/>
    </w:p>
    <w:p w14:paraId="72B45030" w14:textId="2820E026" w:rsidR="00EA4BFF" w:rsidRPr="00D37FDF" w:rsidRDefault="00F81659" w:rsidP="00F81659">
      <w:pPr>
        <w:pStyle w:val="Heading3"/>
        <w:rPr>
          <w:rFonts w:cs="Arial"/>
          <w:lang w:val="en-GB"/>
        </w:rPr>
      </w:pPr>
      <w:bookmarkStart w:id="9" w:name="_Toc237202253"/>
      <w:r w:rsidRPr="00D37FDF">
        <w:rPr>
          <w:rFonts w:cs="Arial"/>
          <w:lang w:val="en-GB"/>
        </w:rPr>
        <w:t>3.1 PESTEL Analysis</w:t>
      </w:r>
      <w:bookmarkEnd w:id="9"/>
    </w:p>
    <w:p w14:paraId="426F291A" w14:textId="59ECD2E2" w:rsidR="00F81659" w:rsidRPr="00D37FDF" w:rsidRDefault="00F81659" w:rsidP="00F81659">
      <w:pPr>
        <w:rPr>
          <w:rFonts w:cs="Arial"/>
        </w:rPr>
      </w:pPr>
      <w:r w:rsidRPr="00D37FDF">
        <w:rPr>
          <w:rFonts w:cs="Arial"/>
        </w:rPr>
        <w:t xml:space="preserve">PESTEL analysis is a macro-environmental assessment technique that evaluates the impact of macro-environmental factors on decisions. (Johnson </w:t>
      </w:r>
      <w:r w:rsidRPr="00D37FDF">
        <w:rPr>
          <w:rFonts w:cs="Arial"/>
          <w:i/>
          <w:iCs/>
        </w:rPr>
        <w:t xml:space="preserve">et al., </w:t>
      </w:r>
      <w:r w:rsidRPr="00D37FDF">
        <w:rPr>
          <w:rFonts w:cs="Arial"/>
        </w:rPr>
        <w:t>2020).</w:t>
      </w:r>
    </w:p>
    <w:p w14:paraId="3F5DE752" w14:textId="6812063B" w:rsidR="00F81659" w:rsidRPr="00D37FDF" w:rsidRDefault="00F81659" w:rsidP="00F81659">
      <w:pPr>
        <w:rPr>
          <w:rFonts w:cs="Arial"/>
        </w:rPr>
      </w:pPr>
      <w:r w:rsidRPr="00D37FDF">
        <w:rPr>
          <w:rFonts w:cs="Arial"/>
          <w:b/>
          <w:bCs/>
        </w:rPr>
        <w:t>Political:</w:t>
      </w:r>
      <w:r w:rsidRPr="00D37FDF">
        <w:rPr>
          <w:rFonts w:cs="Arial"/>
        </w:rPr>
        <w:t xml:space="preserve"> Nestlé operates in over 180 countries, which puts it at risk from tariffs, trade barriers, agricultural policies and geopolitical instability (Nestlé, 2024a). The impact on logistics and raw-material prices could escalate with disruption to key trade routes, as is the case in the Strait of Hormuz with continuity risks (Food Ingredients First 2026). Flexible sourcing and resilient supply chains, therefore, is what Nestlé requires. Political risk is substantial because disruptions can make it more expensive and hurt margins (Grant, 2022).</w:t>
      </w:r>
    </w:p>
    <w:p w14:paraId="19A48059" w14:textId="6900B90D" w:rsidR="00F81659" w:rsidRPr="00D37FDF" w:rsidRDefault="00F81659" w:rsidP="00F81659">
      <w:pPr>
        <w:rPr>
          <w:rFonts w:cs="Arial"/>
        </w:rPr>
      </w:pPr>
      <w:r w:rsidRPr="00D37FDF">
        <w:rPr>
          <w:rFonts w:cs="Arial"/>
          <w:b/>
          <w:bCs/>
        </w:rPr>
        <w:t>Economic:</w:t>
      </w:r>
      <w:r w:rsidRPr="00D37FDF">
        <w:rPr>
          <w:rFonts w:cs="Arial"/>
        </w:rPr>
        <w:t xml:space="preserve"> The lack of sufficient purchasing power and high operating pressure due to inflation and exchange rate volatility (Statista, 2024a). Nestlé is facing the pressures of consumer substitution (trade down) against the backdrop of competing with increasing costs to maintain margins (Euromonitor 2023</w:t>
      </w:r>
      <w:r w:rsidR="00100CA4">
        <w:rPr>
          <w:rFonts w:cs="Arial"/>
        </w:rPr>
        <w:t>a</w:t>
      </w:r>
      <w:r w:rsidRPr="00D37FDF">
        <w:rPr>
          <w:rFonts w:cs="Arial"/>
        </w:rPr>
        <w:t>). It focuses on Real Internal Growth (RIG) which minimizes reliance on price-led growth and premium brands can facilitate selective premiumisation (James Sharp &amp; Co., 2026).</w:t>
      </w:r>
    </w:p>
    <w:p w14:paraId="660FB6D3" w14:textId="2BB56447" w:rsidR="00F81659" w:rsidRPr="00D37FDF" w:rsidRDefault="00F81659" w:rsidP="00F81659">
      <w:pPr>
        <w:rPr>
          <w:rFonts w:cs="Arial"/>
        </w:rPr>
      </w:pPr>
      <w:r w:rsidRPr="00D37FDF">
        <w:rPr>
          <w:rFonts w:cs="Arial"/>
          <w:b/>
          <w:bCs/>
        </w:rPr>
        <w:t>Social:</w:t>
      </w:r>
      <w:r w:rsidRPr="00D37FDF">
        <w:rPr>
          <w:rFonts w:cs="Arial"/>
        </w:rPr>
        <w:t xml:space="preserve"> Health and nutrition, as well as organic and plant-based preferences, are now playing a significant role in driving demand (Nestlé, 2024b; Euromonitor, 2023). This will help to align with Nestlé's Nutrition, Health and Wellness strategy, but presents a conflict as some of its portfolio continues to be linked to less healthy products (Porter and Kramer, 2019). Nestlé must thus reformulate and innovate in a healthy way to meet its health positioning.</w:t>
      </w:r>
    </w:p>
    <w:p w14:paraId="1E62DC8E" w14:textId="43AAE101" w:rsidR="00F81659" w:rsidRPr="00D37FDF" w:rsidRDefault="00F81659" w:rsidP="00F81659">
      <w:pPr>
        <w:rPr>
          <w:rFonts w:cs="Arial"/>
        </w:rPr>
      </w:pPr>
      <w:r w:rsidRPr="00D37FDF">
        <w:rPr>
          <w:rFonts w:cs="Arial"/>
          <w:b/>
          <w:bCs/>
        </w:rPr>
        <w:t>Technological:</w:t>
      </w:r>
      <w:r w:rsidRPr="00D37FDF">
        <w:rPr>
          <w:rFonts w:cs="Arial"/>
        </w:rPr>
        <w:t xml:space="preserve"> Technologies such as R&amp;D, e-commerce and digital marketing and supply-chain technologies can enhance innovation, efficiency and customer engagement (Grant, 2022). Nestlé's AI-driven forecasting is said to be able to reduce inventory costs by 15% (Nestlé S.A., 2026c). With digital capability, however, it can be more and more the case of </w:t>
      </w:r>
      <w:r w:rsidR="00B30573" w:rsidRPr="00D37FDF">
        <w:rPr>
          <w:rFonts w:cs="Arial"/>
        </w:rPr>
        <w:t>“</w:t>
      </w:r>
      <w:r w:rsidRPr="00D37FDF">
        <w:rPr>
          <w:rFonts w:cs="Arial"/>
        </w:rPr>
        <w:t>parity</w:t>
      </w:r>
      <w:r w:rsidR="00B30573" w:rsidRPr="00D37FDF">
        <w:rPr>
          <w:rFonts w:cs="Arial"/>
        </w:rPr>
        <w:t>”</w:t>
      </w:r>
      <w:r w:rsidRPr="00D37FDF">
        <w:rPr>
          <w:rFonts w:cs="Arial"/>
        </w:rPr>
        <w:t>, while R&amp;D for integrated nutrition is more likely to be differentiated.</w:t>
      </w:r>
    </w:p>
    <w:p w14:paraId="7E01BEFD" w14:textId="0BCFB982" w:rsidR="00F81659" w:rsidRPr="00D37FDF" w:rsidRDefault="00F81659" w:rsidP="00F81659">
      <w:pPr>
        <w:rPr>
          <w:rFonts w:cs="Arial"/>
        </w:rPr>
      </w:pPr>
      <w:r w:rsidRPr="00D37FDF">
        <w:rPr>
          <w:rFonts w:cs="Arial"/>
          <w:b/>
          <w:bCs/>
        </w:rPr>
        <w:t>Environmental:</w:t>
      </w:r>
      <w:r w:rsidRPr="00D37FDF">
        <w:rPr>
          <w:rFonts w:cs="Arial"/>
        </w:rPr>
        <w:t xml:space="preserve"> Sustainability pressures drive up the need for agricultural inputs, like coffee and cocoa, and drive-up investment needs, as sustainable sourcing and packaging does (Nestlé, 2024c). When performed well, sustainability adds to the reputation, but when it is not done well, it creates reputational and regulatory risks (Euromonitor, 2023; BusinessGreen, 2026). A balance between short-term sustainability costs and longer-term supply, reputation and compliance risks is a priority.</w:t>
      </w:r>
    </w:p>
    <w:p w14:paraId="2F6681E6" w14:textId="644B8E38" w:rsidR="00F81659" w:rsidRPr="00D37FDF" w:rsidRDefault="00F81659" w:rsidP="00F81659">
      <w:pPr>
        <w:rPr>
          <w:rFonts w:cs="Arial"/>
        </w:rPr>
      </w:pPr>
      <w:r w:rsidRPr="00D37FDF">
        <w:rPr>
          <w:rFonts w:cs="Arial"/>
          <w:b/>
          <w:bCs/>
        </w:rPr>
        <w:t>Legal:</w:t>
      </w:r>
      <w:r w:rsidRPr="00D37FDF">
        <w:rPr>
          <w:rFonts w:cs="Arial"/>
        </w:rPr>
        <w:t xml:space="preserve"> Continual adaptation of the product and processes is required to meet food safety, labelling, advertising, packaging and environmental requirements (Johnson et al., 2020). While compliance adds up expenses and inflexibility, not complying can lead to fines and damage to the reputation. Legal pressures therefore change competitive requirements, making regulatory capability strategically important rather than merely a compliance function.</w:t>
      </w:r>
    </w:p>
    <w:p w14:paraId="3581C9F4" w14:textId="77777777" w:rsidR="00F81659" w:rsidRPr="00D37FDF" w:rsidRDefault="00F81659" w:rsidP="00F81659">
      <w:pPr>
        <w:pStyle w:val="Heading3"/>
        <w:rPr>
          <w:rFonts w:cs="Arial"/>
          <w:lang w:val="en-GB"/>
        </w:rPr>
      </w:pPr>
      <w:bookmarkStart w:id="10" w:name="_Toc237202254"/>
      <w:r w:rsidRPr="00D37FDF">
        <w:rPr>
          <w:rFonts w:cs="Arial"/>
          <w:lang w:val="en-GB"/>
        </w:rPr>
        <w:t>3.2 Critical Success Factors and Strategic Challenges</w:t>
      </w:r>
      <w:bookmarkEnd w:id="10"/>
    </w:p>
    <w:p w14:paraId="4F2D764C" w14:textId="77777777" w:rsidR="00F81659" w:rsidRPr="00D37FDF" w:rsidRDefault="00F81659" w:rsidP="00F81659">
      <w:pPr>
        <w:rPr>
          <w:rFonts w:cs="Arial"/>
        </w:rPr>
      </w:pPr>
      <w:r w:rsidRPr="00D37FDF">
        <w:rPr>
          <w:rFonts w:cs="Arial"/>
        </w:rPr>
        <w:t>The external environment of the Nestlé shows a number of critical success factors (CSFs) which define the capability of the company to maintain competitive performance. First, brand equity and portfolio strength are important, as Nestlé has over 2,000 brands, and consumers are familiar with and trust the brand on a global level (Nestlé, 2024a). Second, the importance of global scale and distribution capability is still notable, as the operations in a number of more than 180 countries offer access to markets and potential economies of scale (Statista, 2024a). Third, innovations and R&amp;D capabilities are essential to meet health and nutritional consumption trends as well as plant-based consumption trends, but there is no guarantee that innovation and R&amp;D investment will lead to commercial success (Nestlé, 2024b; Grant, 2022).</w:t>
      </w:r>
    </w:p>
    <w:p w14:paraId="1E202797" w14:textId="06293927" w:rsidR="00F81659" w:rsidRPr="00D37FDF" w:rsidRDefault="00F81659" w:rsidP="00F81659">
      <w:pPr>
        <w:rPr>
          <w:rFonts w:cs="Arial"/>
        </w:rPr>
      </w:pPr>
      <w:r w:rsidRPr="00D37FDF">
        <w:rPr>
          <w:rFonts w:cs="Arial"/>
        </w:rPr>
        <w:t>Yet, there are major strategic hurdles for Nestlé. Geopolitical unrest can cause supply chain disruptions, higher commodity and logistics costs, and inflationary pressures can cause a conflict between price hikes and keeping sales volume. The consumer health expectations also represent a strategic challenge as Nestlé's Nutrition, Health and Wellness positioning needs to be credible, even as it is criticized by consumers for less healthy products in its portfolio (Porter and Kramer, 2019). The challenge of sustainability is another consideration: while pledges to the environment need to be backed up with investments, not keeping up with the targets can lead to reputational and regulatory exposure.</w:t>
      </w:r>
    </w:p>
    <w:p w14:paraId="529B877F" w14:textId="77777777" w:rsidR="00F81659" w:rsidRPr="00D37FDF" w:rsidRDefault="00F81659" w:rsidP="00F81659">
      <w:pPr>
        <w:pStyle w:val="Heading3"/>
        <w:rPr>
          <w:rFonts w:cs="Arial"/>
          <w:lang w:val="en-GB"/>
        </w:rPr>
      </w:pPr>
      <w:bookmarkStart w:id="11" w:name="_Toc237202255"/>
      <w:r w:rsidRPr="00D37FDF">
        <w:rPr>
          <w:rFonts w:cs="Arial"/>
          <w:lang w:val="en-GB"/>
        </w:rPr>
        <w:t>3.3 Internal Environment: Resources, Capabilities and Core Competencies</w:t>
      </w:r>
      <w:bookmarkEnd w:id="11"/>
    </w:p>
    <w:p w14:paraId="33AA0375" w14:textId="2F4083FA" w:rsidR="00F81659" w:rsidRPr="00D37FDF" w:rsidRDefault="00F81659" w:rsidP="00F81659">
      <w:pPr>
        <w:rPr>
          <w:rFonts w:cs="Arial"/>
        </w:rPr>
      </w:pPr>
      <w:r w:rsidRPr="00D37FDF">
        <w:rPr>
          <w:rFonts w:cs="Arial"/>
        </w:rPr>
        <w:t xml:space="preserve">The internal environment of Nestlé is a mix of tangible and intangible resources which enable it to be competitive in the international market. Its key tangible assets are its broad global supply-chain and distribution network and its intangible assets are the vast portfolio of internationally recognised brands, knowledge built up, and R&amp;D capabilities (Grant, 2022; Johnson </w:t>
      </w:r>
      <w:r w:rsidRPr="00D37FDF">
        <w:rPr>
          <w:rFonts w:cs="Arial"/>
          <w:i/>
          <w:iCs/>
        </w:rPr>
        <w:t>et al.,</w:t>
      </w:r>
      <w:r w:rsidRPr="00D37FDF">
        <w:rPr>
          <w:rFonts w:cs="Arial"/>
        </w:rPr>
        <w:t xml:space="preserve"> 2020). Its global reach in 180+ countries allow for procurement, manufacturing and distribution efficiencies and eliminates reliance on specific markets (Statista, 2024a).</w:t>
      </w:r>
    </w:p>
    <w:p w14:paraId="53A5AF80" w14:textId="705353B2" w:rsidR="000F0453" w:rsidRDefault="005A0779" w:rsidP="000F0453">
      <w:r w:rsidRPr="005A0779">
        <w:t>The organisational strengths of Nestlé are its research and development, worldwide distribution, digitalisation and efficiency in supply chain. Its strength is the ability to combine all these capabilities, along with its brand equity and nutrition-science background. This allows Nestlé to create healthy and innovative products, adapt to evolving consumer tastes and standards, and stay competitive. The combination of nutrition science, R&amp;D and global operations then leads to something competitors can't easily copy</w:t>
      </w:r>
      <w:r>
        <w:t xml:space="preserve"> </w:t>
      </w:r>
      <w:r w:rsidR="000F0453">
        <w:t>(</w:t>
      </w:r>
      <w:r w:rsidR="000F0453" w:rsidRPr="00D37FDF">
        <w:rPr>
          <w:rFonts w:cs="Arial"/>
        </w:rPr>
        <w:t>Statista, 2024</w:t>
      </w:r>
      <w:r w:rsidR="000F0453">
        <w:rPr>
          <w:rFonts w:cs="Arial"/>
        </w:rPr>
        <w:t>b</w:t>
      </w:r>
      <w:r w:rsidR="000F0453" w:rsidRPr="00D37FDF">
        <w:rPr>
          <w:rFonts w:cs="Arial"/>
        </w:rPr>
        <w:t>)</w:t>
      </w:r>
      <w:r w:rsidR="000F0453" w:rsidRPr="000F0453">
        <w:t>.</w:t>
      </w:r>
    </w:p>
    <w:p w14:paraId="011E2951" w14:textId="29483F00" w:rsidR="00F81659" w:rsidRPr="00D37FDF" w:rsidRDefault="00F81659" w:rsidP="00F81659">
      <w:pPr>
        <w:rPr>
          <w:rFonts w:cs="Arial"/>
        </w:rPr>
      </w:pPr>
      <w:r w:rsidRPr="00D37FDF">
        <w:rPr>
          <w:rFonts w:cs="Arial"/>
        </w:rPr>
        <w:t>Internal strengths, however, also present limitations. Nestlé's broad product range and scale add to coordination demands and makes quick action to meet local market shifts more challenging. The role of its resources in the strategy becomes important not only if they are held but also if they can be co-ordinated and deployed effectively within the organisation.</w:t>
      </w:r>
    </w:p>
    <w:p w14:paraId="7D23BF7F" w14:textId="77777777" w:rsidR="00F81659" w:rsidRPr="00670CCF" w:rsidRDefault="00F81659" w:rsidP="00670CCF">
      <w:pPr>
        <w:pStyle w:val="Heading3"/>
      </w:pPr>
      <w:bookmarkStart w:id="12" w:name="_Toc237202256"/>
      <w:r w:rsidRPr="00D37FDF">
        <w:t>3.4 VRIO Analysis</w:t>
      </w:r>
      <w:bookmarkEnd w:id="12"/>
    </w:p>
    <w:p w14:paraId="5F765862" w14:textId="7C19A114" w:rsidR="00F81659" w:rsidRPr="00D37FDF" w:rsidRDefault="00F81659" w:rsidP="00F81659">
      <w:pPr>
        <w:rPr>
          <w:rFonts w:cs="Arial"/>
        </w:rPr>
      </w:pPr>
      <w:r w:rsidRPr="00D37FDF">
        <w:rPr>
          <w:rFonts w:cs="Arial"/>
        </w:rPr>
        <w:t>The VRIO model assesses the value, rarity, imitability and effectiveness of a resource or capability, to determine contribution to competitive advantage (Barney and Hesterly, 2015).</w:t>
      </w:r>
    </w:p>
    <w:tbl>
      <w:tblPr>
        <w:tblStyle w:val="TableGridLight"/>
        <w:tblW w:w="0" w:type="auto"/>
        <w:tblLook w:val="04A0" w:firstRow="1" w:lastRow="0" w:firstColumn="1" w:lastColumn="0" w:noHBand="0" w:noVBand="1"/>
      </w:tblPr>
      <w:tblGrid>
        <w:gridCol w:w="1961"/>
        <w:gridCol w:w="1204"/>
        <w:gridCol w:w="830"/>
        <w:gridCol w:w="1344"/>
        <w:gridCol w:w="1403"/>
        <w:gridCol w:w="2274"/>
      </w:tblGrid>
      <w:tr w:rsidR="00F81659" w:rsidRPr="00D37FDF" w14:paraId="004D9955" w14:textId="77777777" w:rsidTr="00F81659">
        <w:tc>
          <w:tcPr>
            <w:tcW w:w="0" w:type="auto"/>
            <w:shd w:val="clear" w:color="auto" w:fill="E2EFD9" w:themeFill="accent6" w:themeFillTint="33"/>
            <w:hideMark/>
          </w:tcPr>
          <w:p w14:paraId="51994154" w14:textId="77777777" w:rsidR="00F81659" w:rsidRPr="00D37FDF" w:rsidRDefault="00F81659" w:rsidP="00F81659">
            <w:pPr>
              <w:spacing w:after="160"/>
              <w:jc w:val="center"/>
              <w:rPr>
                <w:rFonts w:cs="Arial"/>
                <w:b/>
                <w:bCs/>
              </w:rPr>
            </w:pPr>
            <w:r w:rsidRPr="00D37FDF">
              <w:rPr>
                <w:rFonts w:cs="Arial"/>
                <w:b/>
                <w:bCs/>
              </w:rPr>
              <w:t>Resource / Capability</w:t>
            </w:r>
          </w:p>
        </w:tc>
        <w:tc>
          <w:tcPr>
            <w:tcW w:w="0" w:type="auto"/>
            <w:shd w:val="clear" w:color="auto" w:fill="E2EFD9" w:themeFill="accent6" w:themeFillTint="33"/>
            <w:hideMark/>
          </w:tcPr>
          <w:p w14:paraId="7F6C100C" w14:textId="77777777" w:rsidR="00F81659" w:rsidRPr="00D37FDF" w:rsidRDefault="00F81659" w:rsidP="00F81659">
            <w:pPr>
              <w:spacing w:after="160"/>
              <w:jc w:val="center"/>
              <w:rPr>
                <w:rFonts w:cs="Arial"/>
                <w:b/>
                <w:bCs/>
              </w:rPr>
            </w:pPr>
            <w:r w:rsidRPr="00D37FDF">
              <w:rPr>
                <w:rFonts w:cs="Arial"/>
                <w:b/>
                <w:bCs/>
              </w:rPr>
              <w:t>Valuable</w:t>
            </w:r>
          </w:p>
        </w:tc>
        <w:tc>
          <w:tcPr>
            <w:tcW w:w="0" w:type="auto"/>
            <w:shd w:val="clear" w:color="auto" w:fill="E2EFD9" w:themeFill="accent6" w:themeFillTint="33"/>
            <w:hideMark/>
          </w:tcPr>
          <w:p w14:paraId="6FB0A912" w14:textId="77777777" w:rsidR="00F81659" w:rsidRPr="00D37FDF" w:rsidRDefault="00F81659" w:rsidP="00F81659">
            <w:pPr>
              <w:spacing w:after="160"/>
              <w:jc w:val="center"/>
              <w:rPr>
                <w:rFonts w:cs="Arial"/>
                <w:b/>
                <w:bCs/>
              </w:rPr>
            </w:pPr>
            <w:r w:rsidRPr="00D37FDF">
              <w:rPr>
                <w:rFonts w:cs="Arial"/>
                <w:b/>
                <w:bCs/>
              </w:rPr>
              <w:t>Rare</w:t>
            </w:r>
          </w:p>
        </w:tc>
        <w:tc>
          <w:tcPr>
            <w:tcW w:w="0" w:type="auto"/>
            <w:shd w:val="clear" w:color="auto" w:fill="E2EFD9" w:themeFill="accent6" w:themeFillTint="33"/>
            <w:hideMark/>
          </w:tcPr>
          <w:p w14:paraId="67531C89" w14:textId="77777777" w:rsidR="00F81659" w:rsidRPr="00D37FDF" w:rsidRDefault="00F81659" w:rsidP="00F81659">
            <w:pPr>
              <w:spacing w:after="160"/>
              <w:jc w:val="center"/>
              <w:rPr>
                <w:rFonts w:cs="Arial"/>
                <w:b/>
                <w:bCs/>
              </w:rPr>
            </w:pPr>
            <w:r w:rsidRPr="00D37FDF">
              <w:rPr>
                <w:rFonts w:cs="Arial"/>
                <w:b/>
                <w:bCs/>
              </w:rPr>
              <w:t>Difficult to Imitate</w:t>
            </w:r>
          </w:p>
        </w:tc>
        <w:tc>
          <w:tcPr>
            <w:tcW w:w="0" w:type="auto"/>
            <w:shd w:val="clear" w:color="auto" w:fill="E2EFD9" w:themeFill="accent6" w:themeFillTint="33"/>
            <w:hideMark/>
          </w:tcPr>
          <w:p w14:paraId="7A7A9D7D" w14:textId="77777777" w:rsidR="00F81659" w:rsidRPr="00D37FDF" w:rsidRDefault="00F81659" w:rsidP="00F81659">
            <w:pPr>
              <w:spacing w:after="160"/>
              <w:jc w:val="center"/>
              <w:rPr>
                <w:rFonts w:cs="Arial"/>
                <w:b/>
                <w:bCs/>
              </w:rPr>
            </w:pPr>
            <w:r w:rsidRPr="00D37FDF">
              <w:rPr>
                <w:rFonts w:cs="Arial"/>
                <w:b/>
                <w:bCs/>
              </w:rPr>
              <w:t>Organised</w:t>
            </w:r>
          </w:p>
        </w:tc>
        <w:tc>
          <w:tcPr>
            <w:tcW w:w="0" w:type="auto"/>
            <w:shd w:val="clear" w:color="auto" w:fill="E2EFD9" w:themeFill="accent6" w:themeFillTint="33"/>
            <w:hideMark/>
          </w:tcPr>
          <w:p w14:paraId="4CF8CFED" w14:textId="77777777" w:rsidR="00F81659" w:rsidRPr="00D37FDF" w:rsidRDefault="00F81659" w:rsidP="00F81659">
            <w:pPr>
              <w:spacing w:after="160"/>
              <w:jc w:val="center"/>
              <w:rPr>
                <w:rFonts w:cs="Arial"/>
                <w:b/>
                <w:bCs/>
              </w:rPr>
            </w:pPr>
            <w:r w:rsidRPr="00D37FDF">
              <w:rPr>
                <w:rFonts w:cs="Arial"/>
                <w:b/>
                <w:bCs/>
              </w:rPr>
              <w:t>Competitive implication</w:t>
            </w:r>
          </w:p>
        </w:tc>
      </w:tr>
      <w:tr w:rsidR="00F81659" w:rsidRPr="00D37FDF" w14:paraId="07844F68" w14:textId="77777777" w:rsidTr="00F81659">
        <w:tc>
          <w:tcPr>
            <w:tcW w:w="0" w:type="auto"/>
            <w:shd w:val="clear" w:color="auto" w:fill="DEEAF6" w:themeFill="accent1" w:themeFillTint="33"/>
            <w:hideMark/>
          </w:tcPr>
          <w:p w14:paraId="3C000A60" w14:textId="77777777" w:rsidR="00F81659" w:rsidRPr="00D37FDF" w:rsidRDefault="00F81659" w:rsidP="00F81659">
            <w:pPr>
              <w:spacing w:after="160"/>
              <w:jc w:val="center"/>
              <w:rPr>
                <w:rFonts w:cs="Arial"/>
              </w:rPr>
            </w:pPr>
            <w:r w:rsidRPr="00D37FDF">
              <w:rPr>
                <w:rFonts w:cs="Arial"/>
              </w:rPr>
              <w:t>Global R&amp;D network</w:t>
            </w:r>
          </w:p>
        </w:tc>
        <w:tc>
          <w:tcPr>
            <w:tcW w:w="0" w:type="auto"/>
            <w:hideMark/>
          </w:tcPr>
          <w:p w14:paraId="689ADD11"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181FB563"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137E5323"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704813B8"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182967EB" w14:textId="77777777" w:rsidR="00F81659" w:rsidRPr="00D37FDF" w:rsidRDefault="00F81659" w:rsidP="00F81659">
            <w:pPr>
              <w:spacing w:after="160"/>
              <w:jc w:val="center"/>
              <w:rPr>
                <w:rFonts w:cs="Arial"/>
              </w:rPr>
            </w:pPr>
            <w:r w:rsidRPr="00D37FDF">
              <w:rPr>
                <w:rFonts w:cs="Arial"/>
              </w:rPr>
              <w:t>Sustainable competitive advantage</w:t>
            </w:r>
          </w:p>
        </w:tc>
      </w:tr>
      <w:tr w:rsidR="00F81659" w:rsidRPr="00D37FDF" w14:paraId="4B25EF30" w14:textId="77777777" w:rsidTr="00F81659">
        <w:tc>
          <w:tcPr>
            <w:tcW w:w="0" w:type="auto"/>
            <w:shd w:val="clear" w:color="auto" w:fill="DEEAF6" w:themeFill="accent1" w:themeFillTint="33"/>
            <w:hideMark/>
          </w:tcPr>
          <w:p w14:paraId="79E7029F" w14:textId="77777777" w:rsidR="00F81659" w:rsidRPr="00D37FDF" w:rsidRDefault="00F81659" w:rsidP="00F81659">
            <w:pPr>
              <w:spacing w:after="160"/>
              <w:jc w:val="center"/>
              <w:rPr>
                <w:rFonts w:cs="Arial"/>
              </w:rPr>
            </w:pPr>
            <w:r w:rsidRPr="00D37FDF">
              <w:rPr>
                <w:rFonts w:cs="Arial"/>
              </w:rPr>
              <w:t>Billionaire brand portfolio</w:t>
            </w:r>
          </w:p>
        </w:tc>
        <w:tc>
          <w:tcPr>
            <w:tcW w:w="0" w:type="auto"/>
            <w:hideMark/>
          </w:tcPr>
          <w:p w14:paraId="2E5C96A8"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310C7F7A"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478339FF"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1054BAD7"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1D907D5C" w14:textId="77777777" w:rsidR="00F81659" w:rsidRPr="00D37FDF" w:rsidRDefault="00F81659" w:rsidP="00F81659">
            <w:pPr>
              <w:spacing w:after="160"/>
              <w:jc w:val="center"/>
              <w:rPr>
                <w:rFonts w:cs="Arial"/>
              </w:rPr>
            </w:pPr>
            <w:r w:rsidRPr="00D37FDF">
              <w:rPr>
                <w:rFonts w:cs="Arial"/>
              </w:rPr>
              <w:t>Sustainable competitive advantage</w:t>
            </w:r>
          </w:p>
        </w:tc>
      </w:tr>
      <w:tr w:rsidR="00F81659" w:rsidRPr="00D37FDF" w14:paraId="5A95C5D0" w14:textId="77777777" w:rsidTr="00F81659">
        <w:tc>
          <w:tcPr>
            <w:tcW w:w="0" w:type="auto"/>
            <w:shd w:val="clear" w:color="auto" w:fill="DEEAF6" w:themeFill="accent1" w:themeFillTint="33"/>
            <w:hideMark/>
          </w:tcPr>
          <w:p w14:paraId="0955EA32" w14:textId="77777777" w:rsidR="00F81659" w:rsidRPr="00D37FDF" w:rsidRDefault="00F81659" w:rsidP="00F81659">
            <w:pPr>
              <w:spacing w:after="160"/>
              <w:jc w:val="center"/>
              <w:rPr>
                <w:rFonts w:cs="Arial"/>
              </w:rPr>
            </w:pPr>
            <w:r w:rsidRPr="00D37FDF">
              <w:rPr>
                <w:rFonts w:cs="Arial"/>
              </w:rPr>
              <w:t>Global distribution network</w:t>
            </w:r>
          </w:p>
        </w:tc>
        <w:tc>
          <w:tcPr>
            <w:tcW w:w="0" w:type="auto"/>
            <w:hideMark/>
          </w:tcPr>
          <w:p w14:paraId="400626E7"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470F423C" w14:textId="77777777" w:rsidR="00F81659" w:rsidRPr="00D37FDF" w:rsidRDefault="00F81659" w:rsidP="00F81659">
            <w:pPr>
              <w:spacing w:after="160"/>
              <w:jc w:val="center"/>
              <w:rPr>
                <w:rFonts w:cs="Arial"/>
              </w:rPr>
            </w:pPr>
            <w:r w:rsidRPr="00D37FDF">
              <w:rPr>
                <w:rFonts w:cs="Arial"/>
              </w:rPr>
              <w:t>Partly</w:t>
            </w:r>
          </w:p>
        </w:tc>
        <w:tc>
          <w:tcPr>
            <w:tcW w:w="0" w:type="auto"/>
            <w:hideMark/>
          </w:tcPr>
          <w:p w14:paraId="2F6CDB3A" w14:textId="77777777" w:rsidR="00F81659" w:rsidRPr="00D37FDF" w:rsidRDefault="00F81659" w:rsidP="00F81659">
            <w:pPr>
              <w:spacing w:after="160"/>
              <w:jc w:val="center"/>
              <w:rPr>
                <w:rFonts w:cs="Arial"/>
              </w:rPr>
            </w:pPr>
            <w:r w:rsidRPr="00D37FDF">
              <w:rPr>
                <w:rFonts w:cs="Arial"/>
              </w:rPr>
              <w:t>Partly</w:t>
            </w:r>
          </w:p>
        </w:tc>
        <w:tc>
          <w:tcPr>
            <w:tcW w:w="0" w:type="auto"/>
            <w:hideMark/>
          </w:tcPr>
          <w:p w14:paraId="7E231B54"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23DC6EDC" w14:textId="77777777" w:rsidR="00F81659" w:rsidRPr="00D37FDF" w:rsidRDefault="00F81659" w:rsidP="00F81659">
            <w:pPr>
              <w:spacing w:after="160"/>
              <w:jc w:val="center"/>
              <w:rPr>
                <w:rFonts w:cs="Arial"/>
              </w:rPr>
            </w:pPr>
            <w:r w:rsidRPr="00D37FDF">
              <w:rPr>
                <w:rFonts w:cs="Arial"/>
              </w:rPr>
              <w:t>Temporary advantage / competitive parity</w:t>
            </w:r>
          </w:p>
        </w:tc>
      </w:tr>
      <w:tr w:rsidR="00F81659" w:rsidRPr="00D37FDF" w14:paraId="7DC72D66" w14:textId="77777777" w:rsidTr="00F81659">
        <w:tc>
          <w:tcPr>
            <w:tcW w:w="0" w:type="auto"/>
            <w:shd w:val="clear" w:color="auto" w:fill="DEEAF6" w:themeFill="accent1" w:themeFillTint="33"/>
            <w:hideMark/>
          </w:tcPr>
          <w:p w14:paraId="3ED298E0" w14:textId="77777777" w:rsidR="00F81659" w:rsidRPr="00D37FDF" w:rsidRDefault="00F81659" w:rsidP="00F81659">
            <w:pPr>
              <w:spacing w:after="160"/>
              <w:jc w:val="center"/>
              <w:rPr>
                <w:rFonts w:cs="Arial"/>
              </w:rPr>
            </w:pPr>
            <w:r w:rsidRPr="00D37FDF">
              <w:rPr>
                <w:rFonts w:cs="Arial"/>
              </w:rPr>
              <w:t>Digital supply-chain capability</w:t>
            </w:r>
          </w:p>
        </w:tc>
        <w:tc>
          <w:tcPr>
            <w:tcW w:w="0" w:type="auto"/>
            <w:hideMark/>
          </w:tcPr>
          <w:p w14:paraId="303F9AD3"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13235524"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4D85FA4D"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27E04CF7"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62F57645" w14:textId="77777777" w:rsidR="00F81659" w:rsidRPr="00D37FDF" w:rsidRDefault="00F81659" w:rsidP="00F81659">
            <w:pPr>
              <w:spacing w:after="160"/>
              <w:jc w:val="center"/>
              <w:rPr>
                <w:rFonts w:cs="Arial"/>
              </w:rPr>
            </w:pPr>
            <w:r w:rsidRPr="00D37FDF">
              <w:rPr>
                <w:rFonts w:cs="Arial"/>
              </w:rPr>
              <w:t>Competitive parity</w:t>
            </w:r>
          </w:p>
        </w:tc>
      </w:tr>
      <w:tr w:rsidR="00F81659" w:rsidRPr="00D37FDF" w14:paraId="5335ECC9" w14:textId="77777777" w:rsidTr="00F81659">
        <w:tc>
          <w:tcPr>
            <w:tcW w:w="0" w:type="auto"/>
            <w:shd w:val="clear" w:color="auto" w:fill="DEEAF6" w:themeFill="accent1" w:themeFillTint="33"/>
            <w:hideMark/>
          </w:tcPr>
          <w:p w14:paraId="5D259751" w14:textId="77777777" w:rsidR="00F81659" w:rsidRPr="00D37FDF" w:rsidRDefault="00F81659" w:rsidP="00F81659">
            <w:pPr>
              <w:spacing w:after="160"/>
              <w:jc w:val="center"/>
              <w:rPr>
                <w:rFonts w:cs="Arial"/>
              </w:rPr>
            </w:pPr>
            <w:r w:rsidRPr="00D37FDF">
              <w:rPr>
                <w:rFonts w:cs="Arial"/>
              </w:rPr>
              <w:t>Nutrition &amp; Health Science integration</w:t>
            </w:r>
          </w:p>
        </w:tc>
        <w:tc>
          <w:tcPr>
            <w:tcW w:w="0" w:type="auto"/>
            <w:hideMark/>
          </w:tcPr>
          <w:p w14:paraId="062AE29C"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36442887"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6FD3A32C"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2527D0E9" w14:textId="77777777" w:rsidR="00F81659" w:rsidRPr="00D37FDF" w:rsidRDefault="00F81659" w:rsidP="00F81659">
            <w:pPr>
              <w:spacing w:after="160"/>
              <w:jc w:val="center"/>
              <w:rPr>
                <w:rFonts w:cs="Arial"/>
              </w:rPr>
            </w:pPr>
            <w:r w:rsidRPr="00D37FDF">
              <w:rPr>
                <w:rFonts w:ascii="Segoe UI Symbol" w:hAnsi="Segoe UI Symbol" w:cs="Segoe UI Symbol"/>
              </w:rPr>
              <w:t>✓</w:t>
            </w:r>
          </w:p>
        </w:tc>
        <w:tc>
          <w:tcPr>
            <w:tcW w:w="0" w:type="auto"/>
            <w:hideMark/>
          </w:tcPr>
          <w:p w14:paraId="0386534A" w14:textId="77777777" w:rsidR="00F81659" w:rsidRPr="00D37FDF" w:rsidRDefault="00F81659" w:rsidP="00F81659">
            <w:pPr>
              <w:spacing w:after="160"/>
              <w:jc w:val="center"/>
              <w:rPr>
                <w:rFonts w:cs="Arial"/>
              </w:rPr>
            </w:pPr>
            <w:r w:rsidRPr="00D37FDF">
              <w:rPr>
                <w:rFonts w:cs="Arial"/>
              </w:rPr>
              <w:t>Potential sustainable competitive advantage</w:t>
            </w:r>
          </w:p>
        </w:tc>
      </w:tr>
    </w:tbl>
    <w:p w14:paraId="12A65B0F" w14:textId="77777777" w:rsidR="00F81659" w:rsidRPr="00D37FDF" w:rsidRDefault="00F81659" w:rsidP="00885C2C">
      <w:pPr>
        <w:rPr>
          <w:rFonts w:cs="Arial"/>
        </w:rPr>
      </w:pPr>
    </w:p>
    <w:p w14:paraId="59F19072" w14:textId="569519C4" w:rsidR="00885C2C" w:rsidRPr="00D37FDF" w:rsidRDefault="00885C2C" w:rsidP="00885C2C">
      <w:pPr>
        <w:rPr>
          <w:rFonts w:cs="Arial"/>
        </w:rPr>
      </w:pPr>
      <w:r w:rsidRPr="00D37FDF">
        <w:rPr>
          <w:rFonts w:cs="Arial"/>
        </w:rPr>
        <w:t>The global R&amp;D capability is useful to Nestlé as it enables innovation in nutrition, healthier products and emerging health-related categories. The study provides an assessment that this capability is valuable, rare, difficult to imitate and organisationally supported, which suggests sustainable competitive advantage.</w:t>
      </w:r>
    </w:p>
    <w:p w14:paraId="51107CBE" w14:textId="2197C609" w:rsidR="00885C2C" w:rsidRPr="00D37FDF" w:rsidRDefault="00885C2C" w:rsidP="00885C2C">
      <w:pPr>
        <w:rPr>
          <w:rFonts w:cs="Arial"/>
        </w:rPr>
      </w:pPr>
      <w:r w:rsidRPr="00D37FDF">
        <w:rPr>
          <w:rFonts w:cs="Arial"/>
        </w:rPr>
        <w:t>Likewise, Nestlé's brand portfolio offers a great strategic value. Competitors also have good brands, but Nestlé's portfolio, with 31 brands with sales of over CHF1 billion per year, represents significant scale of recognition and economies of scale (Nestlé S.A., 2026b).</w:t>
      </w:r>
    </w:p>
    <w:p w14:paraId="73D0F3D0" w14:textId="019A9020" w:rsidR="00885C2C" w:rsidRPr="00D37FDF" w:rsidRDefault="00885C2C" w:rsidP="00885C2C">
      <w:pPr>
        <w:rPr>
          <w:rFonts w:cs="Arial"/>
        </w:rPr>
      </w:pPr>
      <w:r w:rsidRPr="00D37FDF">
        <w:rPr>
          <w:rFonts w:cs="Arial"/>
        </w:rPr>
        <w:t>In contrast, digital supply-chain capability is less likely to create sustainable competitive advantage as other companies increasingly can access similar technologies. The current study therefore indicates that the level of digital supply-chain capability is more closely competitive, whereas the nutrition-science capability is more potential differentiator for Nestlé.</w:t>
      </w:r>
    </w:p>
    <w:p w14:paraId="13F0E26E" w14:textId="7D119CB8" w:rsidR="00885C2C" w:rsidRPr="00D37FDF" w:rsidRDefault="00885C2C" w:rsidP="00885C2C">
      <w:pPr>
        <w:pStyle w:val="Heading3"/>
        <w:rPr>
          <w:rFonts w:cs="Arial"/>
          <w:lang w:val="en-GB"/>
        </w:rPr>
      </w:pPr>
      <w:bookmarkStart w:id="13" w:name="_Toc237202257"/>
      <w:r w:rsidRPr="00D37FDF">
        <w:rPr>
          <w:rFonts w:cs="Arial"/>
          <w:lang w:val="en-GB"/>
        </w:rPr>
        <w:t>3.5 Internal Strengths and Competitive Advantage</w:t>
      </w:r>
      <w:bookmarkEnd w:id="13"/>
    </w:p>
    <w:p w14:paraId="6A701408" w14:textId="3E4F237F" w:rsidR="00885C2C" w:rsidRPr="00D37FDF" w:rsidRDefault="00885C2C" w:rsidP="00885C2C">
      <w:pPr>
        <w:rPr>
          <w:rFonts w:cs="Arial"/>
        </w:rPr>
      </w:pPr>
      <w:r w:rsidRPr="00D37FDF">
        <w:rPr>
          <w:rFonts w:cs="Arial"/>
        </w:rPr>
        <w:t>The interaction of brand, innovation, and scale and distribution capabilities is the main source of competitive advantage for Nestlé, owing to the internal strengths. It has a brand portfolio that helps to distinguish it and build consumer confidence, which helps it stay more competitive in terms of customer loyalty and premium positioning in inflationary times (James Sharp &amp; Co., 2026).</w:t>
      </w:r>
    </w:p>
    <w:p w14:paraId="47921EB7" w14:textId="03BB2A37" w:rsidR="00885C2C" w:rsidRPr="00D37FDF" w:rsidRDefault="00885C2C" w:rsidP="00885C2C">
      <w:pPr>
        <w:rPr>
          <w:rFonts w:cs="Arial"/>
        </w:rPr>
      </w:pPr>
      <w:r w:rsidRPr="00D37FDF">
        <w:rPr>
          <w:rFonts w:cs="Arial"/>
        </w:rPr>
        <w:t>It has the R&amp;D advantage, which can be a second and perhaps more long-lasting source of advantage. Investing in nutrition science enables Nestlé to produce nutrition- and health-oriented products, which are part of a trend in functional foods, offering products that are different from those of traditional FMCG marketing. This is especially important when considering Nutrition and Health Science, as competitors might have problems creating the associated scientific knowledge and skills (Business Chief, 2026).</w:t>
      </w:r>
    </w:p>
    <w:p w14:paraId="664EBF59" w14:textId="51AA0CD5" w:rsidR="00885C2C" w:rsidRPr="00D37FDF" w:rsidRDefault="00885C2C" w:rsidP="00885C2C">
      <w:pPr>
        <w:rPr>
          <w:rFonts w:cs="Arial"/>
        </w:rPr>
      </w:pPr>
      <w:r w:rsidRPr="00D37FDF">
        <w:rPr>
          <w:rFonts w:cs="Arial"/>
        </w:rPr>
        <w:t>These benefits are enhanced at the global scale due to efficiencies in procurement and the greater reach and access to markets. Nestlé's global footprint enables its successful products and innovations to be shared internationally, and varied sources of income decreases reliance on any one area or category.</w:t>
      </w:r>
    </w:p>
    <w:p w14:paraId="5764CEE0" w14:textId="6FB4B254" w:rsidR="00F81659" w:rsidRPr="00D37FDF" w:rsidRDefault="00885C2C" w:rsidP="00F81659">
      <w:pPr>
        <w:rPr>
          <w:rFonts w:cs="Arial"/>
        </w:rPr>
      </w:pPr>
      <w:r w:rsidRPr="00D37FDF">
        <w:rPr>
          <w:rFonts w:cs="Arial"/>
        </w:rPr>
        <w:t>However, these assets are not to be taken for granted. Large scale can bring organisational complexity and a big portfolio can bring inconsistencies with the NHW strategy. Moreover, new technologies like digital supply chains could become ubiquitous industry capabilities and no longer be sources of meaningful differentiation. The ability to link the hard-to-copy brand-building expertise, R&amp;D and nutrition-science expertise with the organizational size necessary to launch them globally, therefore, is the best asset in the hands of Nestlé for sustainable competitive advantage, rather than just size.</w:t>
      </w:r>
    </w:p>
    <w:p w14:paraId="4D4D0911" w14:textId="630994D9" w:rsidR="00885C2C" w:rsidRPr="00D37FDF" w:rsidRDefault="00C51CB2" w:rsidP="00885C2C">
      <w:pPr>
        <w:pStyle w:val="Heading2"/>
        <w:rPr>
          <w:rFonts w:cs="Arial"/>
        </w:rPr>
      </w:pPr>
      <w:bookmarkStart w:id="14" w:name="_Toc237202258"/>
      <w:r w:rsidRPr="00D37FDF">
        <w:rPr>
          <w:rFonts w:cs="Arial"/>
        </w:rPr>
        <w:t>4</w:t>
      </w:r>
      <w:r w:rsidR="00BD6B80" w:rsidRPr="00D37FDF">
        <w:rPr>
          <w:rFonts w:cs="Arial"/>
        </w:rPr>
        <w:t>. CSR Strategy</w:t>
      </w:r>
      <w:r w:rsidR="00141BE3" w:rsidRPr="00D37FDF">
        <w:rPr>
          <w:rFonts w:cs="Arial"/>
        </w:rPr>
        <w:t xml:space="preserve"> and Sustainability Objectives</w:t>
      </w:r>
      <w:bookmarkEnd w:id="14"/>
    </w:p>
    <w:p w14:paraId="1B0A8B8F" w14:textId="64E54962" w:rsidR="00885C2C" w:rsidRPr="00D37FDF" w:rsidRDefault="00885C2C" w:rsidP="00885C2C">
      <w:pPr>
        <w:pStyle w:val="Heading3"/>
        <w:rPr>
          <w:rFonts w:cs="Arial"/>
          <w:lang w:val="en-GB"/>
        </w:rPr>
      </w:pPr>
      <w:bookmarkStart w:id="15" w:name="_Toc237202259"/>
      <w:r w:rsidRPr="00D37FDF">
        <w:rPr>
          <w:rFonts w:cs="Arial"/>
          <w:lang w:val="en-GB"/>
        </w:rPr>
        <w:t>4.1 Nestlé’s CSR/Creating Shared Value</w:t>
      </w:r>
      <w:r w:rsidR="00B30573" w:rsidRPr="00D37FDF">
        <w:rPr>
          <w:rFonts w:cs="Arial"/>
          <w:lang w:val="en-GB"/>
        </w:rPr>
        <w:t xml:space="preserve"> (CSV)</w:t>
      </w:r>
      <w:r w:rsidRPr="00D37FDF">
        <w:rPr>
          <w:rFonts w:cs="Arial"/>
          <w:lang w:val="en-GB"/>
        </w:rPr>
        <w:t xml:space="preserve"> Strategy</w:t>
      </w:r>
      <w:bookmarkEnd w:id="15"/>
      <w:r w:rsidRPr="00D37FDF">
        <w:rPr>
          <w:rFonts w:cs="Arial"/>
          <w:lang w:val="en-GB"/>
        </w:rPr>
        <w:t xml:space="preserve"> </w:t>
      </w:r>
    </w:p>
    <w:p w14:paraId="7A1692DB" w14:textId="07CD3BB6" w:rsidR="00885C2C" w:rsidRPr="00D37FDF" w:rsidRDefault="00885C2C" w:rsidP="00885C2C">
      <w:pPr>
        <w:rPr>
          <w:rFonts w:cs="Arial"/>
        </w:rPr>
      </w:pPr>
      <w:r w:rsidRPr="00D37FDF">
        <w:rPr>
          <w:rFonts w:cs="Arial"/>
        </w:rPr>
        <w:t xml:space="preserve">Nestlé is dedicated to CSR, but it sees it as an integrated approach to both social and economic value over philanthropy (Porter and Kramer, 2019; Nestlé, 2024c). This is relevant strategically because Nestlé's food business activities rely on the consumer, farmers, suppliers, communities and natural resources. </w:t>
      </w:r>
      <w:r w:rsidR="00B72CD0" w:rsidRPr="00D37FDF">
        <w:rPr>
          <w:rFonts w:cs="Arial"/>
        </w:rPr>
        <w:t>Due</w:t>
      </w:r>
      <w:r w:rsidRPr="00D37FDF">
        <w:rPr>
          <w:rFonts w:cs="Arial"/>
        </w:rPr>
        <w:t xml:space="preserve"> to its CSV model, however, it relates environmental sustainability, social responsibility and economic performance in the context of busin</w:t>
      </w:r>
      <w:r w:rsidRPr="002B27A0">
        <w:t>ess activities</w:t>
      </w:r>
      <w:r w:rsidR="00F951A5" w:rsidRPr="002B27A0">
        <w:t xml:space="preserve"> (</w:t>
      </w:r>
      <w:r w:rsidR="00F951A5" w:rsidRPr="002B27A0">
        <w:rPr>
          <w:lang w:eastAsia="en-IN"/>
        </w:rPr>
        <w:t>Nestlé Professional 2026</w:t>
      </w:r>
      <w:r w:rsidR="002B27A0" w:rsidRPr="002B27A0">
        <w:rPr>
          <w:lang w:eastAsia="en-IN"/>
        </w:rPr>
        <w:t>; Sustainability Magazine</w:t>
      </w:r>
      <w:r w:rsidR="002B27A0">
        <w:rPr>
          <w:lang w:eastAsia="en-IN"/>
        </w:rPr>
        <w:t xml:space="preserve">, </w:t>
      </w:r>
      <w:r w:rsidR="002B27A0" w:rsidRPr="002B27A0">
        <w:rPr>
          <w:lang w:eastAsia="en-IN"/>
        </w:rPr>
        <w:t>2026</w:t>
      </w:r>
      <w:r w:rsidR="00F951A5" w:rsidRPr="002B27A0">
        <w:rPr>
          <w:lang w:eastAsia="en-IN"/>
        </w:rPr>
        <w:t>)</w:t>
      </w:r>
      <w:r w:rsidRPr="002B27A0">
        <w:t>.</w:t>
      </w:r>
      <w:r w:rsidRPr="00D37FDF">
        <w:rPr>
          <w:rFonts w:cs="Arial"/>
        </w:rPr>
        <w:t xml:space="preserve"> </w:t>
      </w:r>
    </w:p>
    <w:p w14:paraId="3B4C25A5" w14:textId="77777777" w:rsidR="00885C2C" w:rsidRPr="00D37FDF" w:rsidRDefault="00885C2C" w:rsidP="00885C2C">
      <w:pPr>
        <w:pStyle w:val="Heading3"/>
        <w:rPr>
          <w:rFonts w:cs="Arial"/>
          <w:lang w:val="en-GB"/>
        </w:rPr>
      </w:pPr>
      <w:bookmarkStart w:id="16" w:name="_Toc237202260"/>
      <w:r w:rsidRPr="00D37FDF">
        <w:rPr>
          <w:rFonts w:cs="Arial"/>
          <w:lang w:val="en-GB"/>
        </w:rPr>
        <w:t>4.2 Nutrition, Health and Wellness</w:t>
      </w:r>
      <w:bookmarkEnd w:id="16"/>
      <w:r w:rsidRPr="00D37FDF">
        <w:rPr>
          <w:rFonts w:cs="Arial"/>
          <w:lang w:val="en-GB"/>
        </w:rPr>
        <w:t xml:space="preserve"> </w:t>
      </w:r>
    </w:p>
    <w:p w14:paraId="226DA6D8" w14:textId="2F8B289A" w:rsidR="00885C2C" w:rsidRPr="00D37FDF" w:rsidRDefault="00885C2C" w:rsidP="00885C2C">
      <w:pPr>
        <w:rPr>
          <w:rFonts w:cs="Arial"/>
        </w:rPr>
      </w:pPr>
      <w:r w:rsidRPr="00D37FDF">
        <w:rPr>
          <w:rFonts w:cs="Arial"/>
        </w:rPr>
        <w:t>Nutrition and health are a key CSR and strategic priority for the business of Nestlé. The company is dedicated to healthier product innovation, nutrition and consumer expectations transformation (Nestlé, 2024b; Nestlé, 2024c; Euromonitor, 2023). From a strategic perspective, healthier consumers can drive product reformulation and innovation, which will further enhance consumer relevance and can help to foster long-term growth</w:t>
      </w:r>
      <w:r w:rsidR="002B27A0">
        <w:rPr>
          <w:rFonts w:cs="Arial"/>
        </w:rPr>
        <w:t xml:space="preserve"> (</w:t>
      </w:r>
      <w:r w:rsidR="002B27A0" w:rsidRPr="00F951A5">
        <w:rPr>
          <w:rFonts w:cs="Arial"/>
        </w:rPr>
        <w:t>SWI swissinfo.ch</w:t>
      </w:r>
      <w:r w:rsidR="002B27A0">
        <w:rPr>
          <w:rFonts w:cs="Arial"/>
        </w:rPr>
        <w:t xml:space="preserve"> </w:t>
      </w:r>
      <w:r w:rsidR="002B27A0" w:rsidRPr="00F951A5">
        <w:rPr>
          <w:rFonts w:cs="Arial"/>
        </w:rPr>
        <w:t>2026)</w:t>
      </w:r>
      <w:r w:rsidRPr="00D37FDF">
        <w:rPr>
          <w:rFonts w:cs="Arial"/>
        </w:rPr>
        <w:t xml:space="preserve">. Nonetheless, the attack on less healthy products in Nestlé's broader portfolio poses a credibility problem for their Nutrition, Health, and Wellness positioning (Porter and Kramer, 2019). </w:t>
      </w:r>
    </w:p>
    <w:p w14:paraId="03259CC9" w14:textId="16DE41B3" w:rsidR="00885C2C" w:rsidRPr="00D37FDF" w:rsidRDefault="00885C2C" w:rsidP="00885C2C">
      <w:pPr>
        <w:pStyle w:val="Heading3"/>
        <w:rPr>
          <w:rFonts w:cs="Arial"/>
          <w:lang w:val="en-GB"/>
        </w:rPr>
      </w:pPr>
      <w:bookmarkStart w:id="17" w:name="_Toc237202261"/>
      <w:r w:rsidRPr="00D37FDF">
        <w:rPr>
          <w:rFonts w:cs="Arial"/>
          <w:lang w:val="en-GB"/>
        </w:rPr>
        <w:t>4.3 Responsible Sourcing, Rural Development and Human Rights</w:t>
      </w:r>
      <w:bookmarkEnd w:id="17"/>
    </w:p>
    <w:p w14:paraId="4E7F6B11" w14:textId="701085DC" w:rsidR="00885C2C" w:rsidRPr="00D37FDF" w:rsidRDefault="00885C2C" w:rsidP="00885C2C">
      <w:pPr>
        <w:rPr>
          <w:rFonts w:cs="Arial"/>
        </w:rPr>
      </w:pPr>
      <w:r w:rsidRPr="00D37FDF">
        <w:rPr>
          <w:rFonts w:cs="Arial"/>
        </w:rPr>
        <w:t>Overall, Nestlé's responsible-sourcing programs illustrate the blending of social with business interests. The Nestlé Cocoa Plan, for example, seeks to tackle problems of farmer productivity and child labour, and promote responsible cocoa sourcing (Nestlé, 2024c; ResearchGate, 2025). This generates shared value as social and environmental intervention can enhance supplier relationships; supply-chain resilience and minimise reputational and regulatory risk.</w:t>
      </w:r>
    </w:p>
    <w:p w14:paraId="13567740" w14:textId="77777777" w:rsidR="00885C2C" w:rsidRPr="00D37FDF" w:rsidRDefault="00885C2C" w:rsidP="00885C2C">
      <w:pPr>
        <w:pStyle w:val="Heading3"/>
        <w:rPr>
          <w:rFonts w:cs="Arial"/>
          <w:lang w:val="en-GB"/>
        </w:rPr>
      </w:pPr>
      <w:r w:rsidRPr="00D37FDF">
        <w:rPr>
          <w:rFonts w:cs="Arial"/>
          <w:lang w:val="en-GB"/>
        </w:rPr>
        <w:t xml:space="preserve"> </w:t>
      </w:r>
      <w:bookmarkStart w:id="18" w:name="_Toc237202262"/>
      <w:r w:rsidRPr="00D37FDF">
        <w:rPr>
          <w:rFonts w:cs="Arial"/>
          <w:lang w:val="en-GB"/>
        </w:rPr>
        <w:t>4.4 Environmental Sustainability</w:t>
      </w:r>
      <w:bookmarkEnd w:id="18"/>
      <w:r w:rsidRPr="00D37FDF">
        <w:rPr>
          <w:rFonts w:cs="Arial"/>
          <w:lang w:val="en-GB"/>
        </w:rPr>
        <w:t xml:space="preserve"> </w:t>
      </w:r>
    </w:p>
    <w:p w14:paraId="448B1CD4" w14:textId="262EBB02" w:rsidR="00885C2C" w:rsidRPr="00D37FDF" w:rsidRDefault="00885C2C" w:rsidP="00885C2C">
      <w:pPr>
        <w:rPr>
          <w:rFonts w:cs="Arial"/>
        </w:rPr>
      </w:pPr>
      <w:r w:rsidRPr="00D37FDF">
        <w:rPr>
          <w:rFonts w:cs="Arial"/>
        </w:rPr>
        <w:t xml:space="preserve">It is all about emissions reduction, responsible sourcing and packaging. Nestlé has adopted net zero and sustainable-sourcing commitments, but sustainability efforts can be costly in the short-term (Nestlé, 2024c). The strategic trade-off is thus between the costs of implementing CSR and the return of a positive contribution to value over the long term or as risk reduction. Failing to achieve environmental goals can also lead to reputational and regulatory risks for Nestlé (BusinessGreen 2026). </w:t>
      </w:r>
    </w:p>
    <w:p w14:paraId="02B085C0" w14:textId="77777777" w:rsidR="00885C2C" w:rsidRPr="00D37FDF" w:rsidRDefault="00885C2C" w:rsidP="00885C2C">
      <w:pPr>
        <w:pStyle w:val="Heading3"/>
        <w:rPr>
          <w:rFonts w:cs="Arial"/>
          <w:lang w:val="en-GB"/>
        </w:rPr>
      </w:pPr>
      <w:bookmarkStart w:id="19" w:name="_Toc237202263"/>
      <w:r w:rsidRPr="00D37FDF">
        <w:rPr>
          <w:rFonts w:cs="Arial"/>
          <w:lang w:val="en-GB"/>
        </w:rPr>
        <w:t>4.5 Overall Sustainability Objective</w:t>
      </w:r>
      <w:bookmarkEnd w:id="19"/>
      <w:r w:rsidRPr="00D37FDF">
        <w:rPr>
          <w:rFonts w:cs="Arial"/>
          <w:lang w:val="en-GB"/>
        </w:rPr>
        <w:t xml:space="preserve"> </w:t>
      </w:r>
    </w:p>
    <w:p w14:paraId="0AE09CB2" w14:textId="27DDCA8F" w:rsidR="006602F6" w:rsidRPr="00D37FDF" w:rsidRDefault="00885C2C" w:rsidP="00885C2C">
      <w:pPr>
        <w:rPr>
          <w:rFonts w:cs="Arial"/>
        </w:rPr>
      </w:pPr>
      <w:r w:rsidRPr="00D37FDF">
        <w:rPr>
          <w:rFonts w:cs="Arial"/>
        </w:rPr>
        <w:t>In summary, Nestlé's CSV is about aligning nutrition, responsible sourcing and environmental sustainability with stakeholder and business value. It is, therefore, strategically relevant in terms of its CSR objectives, as they serve to respond to social expectations, operational risks and stakeholder needs that can directly impact long-term competitiveness.</w:t>
      </w:r>
    </w:p>
    <w:p w14:paraId="064B3B44" w14:textId="7F30DD6B" w:rsidR="00B72CD0" w:rsidRPr="00D37FDF" w:rsidRDefault="00BD2163" w:rsidP="00B72CD0">
      <w:pPr>
        <w:pStyle w:val="Heading3"/>
        <w:rPr>
          <w:rFonts w:cs="Arial"/>
          <w:lang w:val="en-GB"/>
        </w:rPr>
      </w:pPr>
      <w:bookmarkStart w:id="20" w:name="_Toc237202264"/>
      <w:r w:rsidRPr="00D37FDF">
        <w:rPr>
          <w:rFonts w:cs="Arial"/>
          <w:lang w:val="en-GB"/>
        </w:rPr>
        <w:t>5</w:t>
      </w:r>
      <w:r w:rsidR="00B72CD0" w:rsidRPr="00D37FDF">
        <w:rPr>
          <w:rFonts w:cs="Arial"/>
          <w:lang w:val="en-GB"/>
        </w:rPr>
        <w:t>. Comprehensive and Holistic View of the Organisation</w:t>
      </w:r>
      <w:bookmarkEnd w:id="20"/>
    </w:p>
    <w:p w14:paraId="56E5D404" w14:textId="44EC3771" w:rsidR="00B72CD0" w:rsidRPr="00D37FDF" w:rsidRDefault="00B72CD0" w:rsidP="00B72CD0">
      <w:pPr>
        <w:rPr>
          <w:rFonts w:cs="Arial"/>
        </w:rPr>
      </w:pPr>
      <w:r w:rsidRPr="00D37FDF">
        <w:rPr>
          <w:rFonts w:cs="Arial"/>
        </w:rPr>
        <w:t xml:space="preserve">There is a multidimensional perspective of performance management, which is known as the Balanced Score Card (BSC) developed by Kaplan and Norton (1992). The guidelines are significant for Nestlé as it has a strategy of profitable growth and strengthening consumer value, operational efficiency, innovation, and sustainability. The four perspectives – financial, customer, internal business processes, and learning and growth – can therefore be linked with Nestlé's mission “Good Food, Good Life” and its wider Nutrition, Health and Wellness orientation (Nestlé, 2024b; Nestlé, 2024c). </w:t>
      </w:r>
    </w:p>
    <w:p w14:paraId="00CAF805" w14:textId="1ABA728E" w:rsidR="00B72CD0" w:rsidRPr="00D37FDF" w:rsidRDefault="00BD2163" w:rsidP="00BD2163">
      <w:pPr>
        <w:pStyle w:val="Heading3"/>
        <w:rPr>
          <w:rFonts w:cs="Arial"/>
          <w:lang w:val="en-GB"/>
        </w:rPr>
      </w:pPr>
      <w:bookmarkStart w:id="21" w:name="_Toc237202265"/>
      <w:r w:rsidRPr="00D37FDF">
        <w:rPr>
          <w:rFonts w:cs="Arial"/>
          <w:lang w:val="en-GB"/>
        </w:rPr>
        <w:t>5</w:t>
      </w:r>
      <w:r w:rsidR="00B72CD0" w:rsidRPr="00D37FDF">
        <w:rPr>
          <w:rFonts w:cs="Arial"/>
          <w:lang w:val="en-GB"/>
        </w:rPr>
        <w:t>.1 Financial Perspective</w:t>
      </w:r>
      <w:bookmarkEnd w:id="21"/>
    </w:p>
    <w:p w14:paraId="6CC401F6" w14:textId="6D0770EA" w:rsidR="00B72CD0" w:rsidRPr="00D37FDF" w:rsidRDefault="00B72CD0" w:rsidP="00B72CD0">
      <w:pPr>
        <w:rPr>
          <w:rFonts w:cs="Arial"/>
        </w:rPr>
      </w:pPr>
      <w:r w:rsidRPr="00D37FDF">
        <w:rPr>
          <w:rFonts w:cs="Arial"/>
        </w:rPr>
        <w:t>Objective: Sustainable and profitable growth with enhancement of the quality of revenue.</w:t>
      </w:r>
    </w:p>
    <w:p w14:paraId="3C550AD1" w14:textId="4453607D" w:rsidR="00B72CD0" w:rsidRPr="00D37FDF" w:rsidRDefault="00B72CD0" w:rsidP="00B72CD0">
      <w:pPr>
        <w:rPr>
          <w:rFonts w:cs="Arial"/>
        </w:rPr>
      </w:pPr>
      <w:r w:rsidRPr="00D37FDF">
        <w:rPr>
          <w:rFonts w:cs="Arial"/>
        </w:rPr>
        <w:t>KPIs: Organic sales growth and Underlying Trading Operating Profit (UTOP) margin.</w:t>
      </w:r>
    </w:p>
    <w:p w14:paraId="255FCE25" w14:textId="4DA9703A" w:rsidR="00B72CD0" w:rsidRPr="00D37FDF" w:rsidRDefault="00B72CD0" w:rsidP="00B72CD0">
      <w:pPr>
        <w:rPr>
          <w:rFonts w:cs="Arial"/>
        </w:rPr>
      </w:pPr>
      <w:r w:rsidRPr="00D37FDF">
        <w:rPr>
          <w:rFonts w:cs="Arial"/>
        </w:rPr>
        <w:t>Target: Sustain organic growth and profitability goals, and expand on growth driven by volume and product mix in addition to price increases, not to the exclusion of price increases.</w:t>
      </w:r>
    </w:p>
    <w:p w14:paraId="6E6409BC" w14:textId="463CA886" w:rsidR="00B72CD0" w:rsidRPr="00D37FDF" w:rsidRDefault="00B72CD0" w:rsidP="00B72CD0">
      <w:pPr>
        <w:rPr>
          <w:rFonts w:cs="Arial"/>
        </w:rPr>
      </w:pPr>
      <w:r w:rsidRPr="00D37FDF">
        <w:rPr>
          <w:rFonts w:cs="Arial"/>
        </w:rPr>
        <w:t>Initiative: Nestlé S.A. (2026a) should shift its resources to higher growth areas like coffee, pet care and nutrition.</w:t>
      </w:r>
    </w:p>
    <w:p w14:paraId="51DBC3B2" w14:textId="47965353" w:rsidR="00B72CD0" w:rsidRPr="00D37FDF" w:rsidRDefault="00B72CD0" w:rsidP="00B72CD0">
      <w:pPr>
        <w:rPr>
          <w:rFonts w:cs="Arial"/>
        </w:rPr>
      </w:pPr>
      <w:r w:rsidRPr="00D37FDF">
        <w:rPr>
          <w:rFonts w:cs="Arial"/>
        </w:rPr>
        <w:t>This view carries significance as it is key to the company's ability to invest in innovation and sustainability.</w:t>
      </w:r>
    </w:p>
    <w:p w14:paraId="578413CD" w14:textId="3547A52E" w:rsidR="00B72CD0" w:rsidRPr="00D37FDF" w:rsidRDefault="00BD2163" w:rsidP="00B72CD0">
      <w:pPr>
        <w:pStyle w:val="Heading3"/>
        <w:rPr>
          <w:rFonts w:cs="Arial"/>
          <w:lang w:val="en-GB"/>
        </w:rPr>
      </w:pPr>
      <w:bookmarkStart w:id="22" w:name="_Toc237202266"/>
      <w:r w:rsidRPr="00D37FDF">
        <w:rPr>
          <w:rFonts w:cs="Arial"/>
          <w:lang w:val="en-GB"/>
        </w:rPr>
        <w:t>5</w:t>
      </w:r>
      <w:r w:rsidR="00B72CD0" w:rsidRPr="00D37FDF">
        <w:rPr>
          <w:rFonts w:cs="Arial"/>
          <w:lang w:val="en-GB"/>
        </w:rPr>
        <w:t>.2 Customer Perspective</w:t>
      </w:r>
      <w:bookmarkEnd w:id="22"/>
    </w:p>
    <w:p w14:paraId="5A66604C" w14:textId="033D9A04" w:rsidR="00B72CD0" w:rsidRPr="00D37FDF" w:rsidRDefault="00B72CD0" w:rsidP="00B72CD0">
      <w:pPr>
        <w:rPr>
          <w:rFonts w:cs="Arial"/>
        </w:rPr>
      </w:pPr>
      <w:r w:rsidRPr="00D37FDF">
        <w:rPr>
          <w:rFonts w:cs="Arial"/>
        </w:rPr>
        <w:t>Objective: Reinforce the consumers' preference via nutritious, high quality and relevant products.</w:t>
      </w:r>
    </w:p>
    <w:p w14:paraId="3E6BFD2F" w14:textId="62416E9E" w:rsidR="00B72CD0" w:rsidRPr="00D37FDF" w:rsidRDefault="00B72CD0" w:rsidP="00B72CD0">
      <w:pPr>
        <w:rPr>
          <w:rFonts w:cs="Arial"/>
        </w:rPr>
      </w:pPr>
      <w:r w:rsidRPr="00D37FDF">
        <w:rPr>
          <w:rFonts w:cs="Arial"/>
        </w:rPr>
        <w:t>KPIs: Net Promoter Score (NPS), share of business in strategic categories and share of products that comply with Nestlé's nutritional goals.</w:t>
      </w:r>
    </w:p>
    <w:p w14:paraId="6663E9B4" w14:textId="096E29AC" w:rsidR="00B72CD0" w:rsidRPr="00D37FDF" w:rsidRDefault="00B72CD0" w:rsidP="00B72CD0">
      <w:pPr>
        <w:rPr>
          <w:rFonts w:cs="Arial"/>
        </w:rPr>
      </w:pPr>
      <w:r w:rsidRPr="00D37FDF">
        <w:rPr>
          <w:rFonts w:cs="Arial"/>
        </w:rPr>
        <w:t>Goal: Improve the nutritional value and market acceptance of the portfolio, with a focus on strengthening the portfolio in priority categories.</w:t>
      </w:r>
    </w:p>
    <w:p w14:paraId="60A99D5A" w14:textId="3878B2BF" w:rsidR="00B72CD0" w:rsidRPr="00D37FDF" w:rsidRDefault="00B72CD0" w:rsidP="00B72CD0">
      <w:pPr>
        <w:rPr>
          <w:rFonts w:cs="Arial"/>
        </w:rPr>
      </w:pPr>
      <w:r w:rsidRPr="00D37FDF">
        <w:rPr>
          <w:rFonts w:cs="Arial"/>
        </w:rPr>
        <w:t>Initiative: Product reformulation, healthier product development and nutrition-focused innovation (Nestlé, 2024b).</w:t>
      </w:r>
    </w:p>
    <w:p w14:paraId="2290C2A3" w14:textId="67516410" w:rsidR="00B72CD0" w:rsidRPr="00D37FDF" w:rsidRDefault="00B72CD0" w:rsidP="00B72CD0">
      <w:pPr>
        <w:rPr>
          <w:rFonts w:cs="Arial"/>
        </w:rPr>
      </w:pPr>
      <w:r w:rsidRPr="00D37FDF">
        <w:rPr>
          <w:rFonts w:cs="Arial"/>
        </w:rPr>
        <w:t>The customer perspective is directly related to Nestlé's mission, as the relevance and the brand equity of the company depends directly on the performance in the market, with the ability to meet the changing health expectations. However, there are difficulties in positioning the different parts of the portfolio.</w:t>
      </w:r>
    </w:p>
    <w:p w14:paraId="3B1B2BEA" w14:textId="32A51C24" w:rsidR="00B72CD0" w:rsidRPr="00D37FDF" w:rsidRDefault="00BD2163" w:rsidP="00B72CD0">
      <w:pPr>
        <w:pStyle w:val="Heading3"/>
        <w:rPr>
          <w:rFonts w:cs="Arial"/>
          <w:lang w:val="en-GB"/>
        </w:rPr>
      </w:pPr>
      <w:bookmarkStart w:id="23" w:name="_Toc237202267"/>
      <w:r w:rsidRPr="00D37FDF">
        <w:rPr>
          <w:rFonts w:cs="Arial"/>
          <w:lang w:val="en-GB"/>
        </w:rPr>
        <w:t>5</w:t>
      </w:r>
      <w:r w:rsidR="00B72CD0" w:rsidRPr="00D37FDF">
        <w:rPr>
          <w:rFonts w:cs="Arial"/>
          <w:lang w:val="en-GB"/>
        </w:rPr>
        <w:t>.3 Internal Business Processes Perspective</w:t>
      </w:r>
      <w:bookmarkEnd w:id="23"/>
    </w:p>
    <w:p w14:paraId="2217D605" w14:textId="6986151A" w:rsidR="00B72CD0" w:rsidRPr="00D37FDF" w:rsidRDefault="00B72CD0" w:rsidP="00B72CD0">
      <w:pPr>
        <w:rPr>
          <w:rFonts w:cs="Arial"/>
        </w:rPr>
      </w:pPr>
      <w:r w:rsidRPr="00D37FDF">
        <w:rPr>
          <w:rFonts w:cs="Arial"/>
        </w:rPr>
        <w:t>Objective: Improve operational efficiency, supply-chain resilience and sustainable sourcing.</w:t>
      </w:r>
    </w:p>
    <w:p w14:paraId="75D03B45" w14:textId="5789FA43" w:rsidR="00B72CD0" w:rsidRPr="00D37FDF" w:rsidRDefault="00B72CD0" w:rsidP="00B72CD0">
      <w:pPr>
        <w:rPr>
          <w:rFonts w:cs="Arial"/>
        </w:rPr>
      </w:pPr>
      <w:r w:rsidRPr="00D37FDF">
        <w:rPr>
          <w:rFonts w:cs="Arial"/>
        </w:rPr>
        <w:t>KPIs: Manufacturing cycle time, supply-chain efficiency and proportion of responsibly/regeneratively sourced materials.</w:t>
      </w:r>
    </w:p>
    <w:p w14:paraId="27615B3B" w14:textId="56535FAB" w:rsidR="00B72CD0" w:rsidRPr="00D37FDF" w:rsidRDefault="00B72CD0" w:rsidP="00B72CD0">
      <w:pPr>
        <w:rPr>
          <w:rFonts w:cs="Arial"/>
        </w:rPr>
      </w:pPr>
      <w:r w:rsidRPr="00D37FDF">
        <w:rPr>
          <w:rFonts w:cs="Arial"/>
        </w:rPr>
        <w:t>Target: Improve operational efficiency while increasing sustainable sourcing.</w:t>
      </w:r>
    </w:p>
    <w:p w14:paraId="5834CDC0" w14:textId="7E4FCC09" w:rsidR="00B72CD0" w:rsidRPr="00D37FDF" w:rsidRDefault="00B72CD0" w:rsidP="00B72CD0">
      <w:pPr>
        <w:rPr>
          <w:rFonts w:cs="Arial"/>
        </w:rPr>
      </w:pPr>
      <w:r w:rsidRPr="00D37FDF">
        <w:rPr>
          <w:rFonts w:cs="Arial"/>
        </w:rPr>
        <w:t>Initiative: Digital transformation and supply-chain optimisation to enhance forecasting, inventory management and responsiveness (Nestlé S.A., 2026c).</w:t>
      </w:r>
    </w:p>
    <w:p w14:paraId="593C6CE9" w14:textId="322987E9" w:rsidR="00B72CD0" w:rsidRPr="00D37FDF" w:rsidRDefault="00B72CD0" w:rsidP="00B72CD0">
      <w:pPr>
        <w:rPr>
          <w:rFonts w:cs="Arial"/>
        </w:rPr>
      </w:pPr>
      <w:r w:rsidRPr="00D37FDF">
        <w:rPr>
          <w:rFonts w:cs="Arial"/>
        </w:rPr>
        <w:t>This view transforms Nestlé's assets into what it produces and delivers; it is used to increase efficiency and sustainability.</w:t>
      </w:r>
    </w:p>
    <w:p w14:paraId="54FD4CDA" w14:textId="303FEE7B" w:rsidR="00B72CD0" w:rsidRPr="00D37FDF" w:rsidRDefault="00BD2163" w:rsidP="00B72CD0">
      <w:pPr>
        <w:pStyle w:val="Heading3"/>
        <w:rPr>
          <w:rFonts w:cs="Arial"/>
          <w:lang w:val="en-GB"/>
        </w:rPr>
      </w:pPr>
      <w:bookmarkStart w:id="24" w:name="_Toc237202268"/>
      <w:r w:rsidRPr="00D37FDF">
        <w:rPr>
          <w:rFonts w:cs="Arial"/>
          <w:lang w:val="en-GB"/>
        </w:rPr>
        <w:t>5</w:t>
      </w:r>
      <w:r w:rsidR="00B72CD0" w:rsidRPr="00D37FDF">
        <w:rPr>
          <w:rFonts w:cs="Arial"/>
          <w:lang w:val="en-GB"/>
        </w:rPr>
        <w:t>.4 Learning and Growth Perspective</w:t>
      </w:r>
      <w:bookmarkEnd w:id="24"/>
    </w:p>
    <w:p w14:paraId="2F3D8651" w14:textId="43BB1BAA" w:rsidR="00B72CD0" w:rsidRPr="00D37FDF" w:rsidRDefault="00B72CD0" w:rsidP="00B72CD0">
      <w:pPr>
        <w:rPr>
          <w:rFonts w:cs="Arial"/>
        </w:rPr>
      </w:pPr>
      <w:r w:rsidRPr="00D37FDF">
        <w:rPr>
          <w:rFonts w:cs="Arial"/>
        </w:rPr>
        <w:t>Objective: To build an agile workforce for the support of innovation and digital transformation.</w:t>
      </w:r>
    </w:p>
    <w:p w14:paraId="264B5D7F" w14:textId="6352BFB1" w:rsidR="00B72CD0" w:rsidRPr="00D37FDF" w:rsidRDefault="00B72CD0" w:rsidP="00B72CD0">
      <w:pPr>
        <w:rPr>
          <w:rFonts w:cs="Arial"/>
        </w:rPr>
      </w:pPr>
      <w:r w:rsidRPr="00D37FDF">
        <w:rPr>
          <w:rFonts w:cs="Arial"/>
        </w:rPr>
        <w:t>KPIs: Employee engagement, digital skills training and training hours per employee.</w:t>
      </w:r>
    </w:p>
    <w:p w14:paraId="47A91A03" w14:textId="7890E3F5" w:rsidR="00B72CD0" w:rsidRPr="00D37FDF" w:rsidRDefault="00B72CD0" w:rsidP="00B72CD0">
      <w:pPr>
        <w:rPr>
          <w:rFonts w:cs="Arial"/>
        </w:rPr>
      </w:pPr>
      <w:r w:rsidRPr="00D37FDF">
        <w:rPr>
          <w:rFonts w:cs="Arial"/>
        </w:rPr>
        <w:t>Target: Increase employee capability in digital technologies, data and sustainability.</w:t>
      </w:r>
    </w:p>
    <w:p w14:paraId="69924A26" w14:textId="3D2807AC" w:rsidR="00B72CD0" w:rsidRPr="00D37FDF" w:rsidRDefault="00B72CD0" w:rsidP="00B72CD0">
      <w:pPr>
        <w:rPr>
          <w:rFonts w:cs="Arial"/>
        </w:rPr>
      </w:pPr>
      <w:r w:rsidRPr="00D37FDF">
        <w:rPr>
          <w:rFonts w:cs="Arial"/>
        </w:rPr>
        <w:t>Initiative: Increase employee upskilling and digital-learning initiatives.</w:t>
      </w:r>
    </w:p>
    <w:p w14:paraId="4FBC79AD" w14:textId="3566A07F" w:rsidR="00B72CD0" w:rsidRPr="00D37FDF" w:rsidRDefault="00B72CD0" w:rsidP="00B72CD0">
      <w:pPr>
        <w:rPr>
          <w:rFonts w:cs="Arial"/>
        </w:rPr>
      </w:pPr>
      <w:r w:rsidRPr="00D37FDF">
        <w:rPr>
          <w:rFonts w:cs="Arial"/>
        </w:rPr>
        <w:t>This view is the basis for the other three: improved processes lead to improved customer outcomes which leads to improved financial performance, and improved employee capability leads to improved processes which leads to improved customer outcomes which leads to improved financial performance.</w:t>
      </w:r>
    </w:p>
    <w:p w14:paraId="42CE4B24" w14:textId="68330A2F" w:rsidR="00B72CD0" w:rsidRPr="00D37FDF" w:rsidRDefault="00BD2163" w:rsidP="00B72CD0">
      <w:pPr>
        <w:pStyle w:val="Heading3"/>
        <w:rPr>
          <w:rFonts w:cs="Arial"/>
          <w:lang w:val="en-GB"/>
        </w:rPr>
      </w:pPr>
      <w:bookmarkStart w:id="25" w:name="_Toc237202269"/>
      <w:r w:rsidRPr="00D37FDF">
        <w:rPr>
          <w:rFonts w:cs="Arial"/>
          <w:lang w:val="en-GB"/>
        </w:rPr>
        <w:t xml:space="preserve">5.5 </w:t>
      </w:r>
      <w:r w:rsidR="00B72CD0" w:rsidRPr="00D37FDF">
        <w:rPr>
          <w:rFonts w:cs="Arial"/>
          <w:lang w:val="en-GB"/>
        </w:rPr>
        <w:t>Overall BSC judgement</w:t>
      </w:r>
      <w:bookmarkEnd w:id="25"/>
    </w:p>
    <w:p w14:paraId="389745A5" w14:textId="7F2583E8" w:rsidR="00B72CD0" w:rsidRPr="00D37FDF" w:rsidRDefault="00B72CD0" w:rsidP="00B72CD0">
      <w:pPr>
        <w:rPr>
          <w:rFonts w:cs="Arial"/>
        </w:rPr>
      </w:pPr>
      <w:r w:rsidRPr="00D37FDF">
        <w:rPr>
          <w:rFonts w:cs="Arial"/>
        </w:rPr>
        <w:t>The BSC shows that one cannot judge the effectiveness of a strategy based on financial performance of a company alone. A consistent chain of strategy to performance is achieved with learning and growth, internal processes, customer value and financial performance. The ability to do so is especially crucial for Nestlé as it is essential for the long-term competitiveness of the company to transform its scale, brands and innovation into measurable value for customers and the bottom line (Kaplan and Norton, 1992; Grant, 2022).</w:t>
      </w:r>
    </w:p>
    <w:p w14:paraId="12071233" w14:textId="61846C5B" w:rsidR="00BD2163" w:rsidRPr="00D37FDF" w:rsidRDefault="00BD2163" w:rsidP="00BD2163">
      <w:pPr>
        <w:pStyle w:val="Heading2"/>
        <w:rPr>
          <w:rFonts w:cs="Arial"/>
        </w:rPr>
      </w:pPr>
      <w:bookmarkStart w:id="26" w:name="_Toc237202270"/>
      <w:r w:rsidRPr="00D37FDF">
        <w:rPr>
          <w:rFonts w:cs="Arial"/>
        </w:rPr>
        <w:t>6. Strategic Choices and Implementation</w:t>
      </w:r>
      <w:bookmarkEnd w:id="26"/>
    </w:p>
    <w:p w14:paraId="3451FAE1" w14:textId="7B0E089F" w:rsidR="00BD2163" w:rsidRPr="00D37FDF" w:rsidRDefault="00BD2163" w:rsidP="00BD2163">
      <w:pPr>
        <w:pStyle w:val="Heading3"/>
        <w:rPr>
          <w:rFonts w:cs="Arial"/>
          <w:lang w:val="en-GB"/>
        </w:rPr>
      </w:pPr>
      <w:bookmarkStart w:id="27" w:name="_Toc237202271"/>
      <w:r w:rsidRPr="00D37FDF">
        <w:rPr>
          <w:rFonts w:cs="Arial"/>
          <w:lang w:val="en-GB"/>
        </w:rPr>
        <w:t>6.1 Business-Level Strategic Choices</w:t>
      </w:r>
      <w:bookmarkEnd w:id="27"/>
    </w:p>
    <w:p w14:paraId="365869F2" w14:textId="77777777" w:rsidR="00BD2163" w:rsidRPr="00D37FDF" w:rsidRDefault="00BD2163" w:rsidP="00BD2163">
      <w:pPr>
        <w:rPr>
          <w:rFonts w:cs="Arial"/>
        </w:rPr>
      </w:pPr>
      <w:r w:rsidRPr="00D37FDF">
        <w:rPr>
          <w:rFonts w:cs="Arial"/>
        </w:rPr>
        <w:t xml:space="preserve">Nestlé differentiates its products and services at the business level with assistance from operational efficiency. It is also a strong brand and has good product quality, R&amp;D, Nutrition, Health &amp; Wellness qualifications that help it to innovate and differentiate, especially when it comes to its coffee business that is built on proprietary technology (Grant, 2022; Nestlé S.A., 2026b). This forms the strategy: R&amp;D and brands, differentiated products, consumer preference, potential premiumisation. </w:t>
      </w:r>
    </w:p>
    <w:p w14:paraId="48126719" w14:textId="6B4FD8AC" w:rsidR="00BD2163" w:rsidRPr="00D37FDF" w:rsidRDefault="00BD2163" w:rsidP="00BD2163">
      <w:pPr>
        <w:rPr>
          <w:rFonts w:cs="Arial"/>
        </w:rPr>
      </w:pPr>
      <w:r w:rsidRPr="00D37FDF">
        <w:rPr>
          <w:rFonts w:cs="Arial"/>
        </w:rPr>
        <w:t xml:space="preserve">Nevertheless, differentiation must be ongoing and sustained, as well, and does not assure ongoing success: competitors can do likewise in building brands and novel products. Nestlé therefore adds supply-chain efficiency, along with its </w:t>
      </w:r>
      <w:r w:rsidRPr="00D37FDF">
        <w:rPr>
          <w:rFonts w:cs="Arial"/>
          <w:b/>
          <w:bCs/>
          <w:i/>
          <w:iCs/>
        </w:rPr>
        <w:t>“One Nestlé”</w:t>
      </w:r>
      <w:r w:rsidRPr="00D37FDF">
        <w:rPr>
          <w:rFonts w:cs="Arial"/>
        </w:rPr>
        <w:t xml:space="preserve"> program, which aims to save CHF3 billion by 2027 (Supply Chain Digital, 2026).</w:t>
      </w:r>
    </w:p>
    <w:p w14:paraId="050A105D" w14:textId="00A3DB50" w:rsidR="00BD2163" w:rsidRPr="00D37FDF" w:rsidRDefault="00BD2163" w:rsidP="00BD2163">
      <w:pPr>
        <w:pStyle w:val="Heading3"/>
        <w:rPr>
          <w:rFonts w:cs="Arial"/>
          <w:lang w:val="en-GB"/>
        </w:rPr>
      </w:pPr>
      <w:bookmarkStart w:id="28" w:name="_Toc237202272"/>
      <w:r w:rsidRPr="00D37FDF">
        <w:rPr>
          <w:rFonts w:cs="Arial"/>
          <w:lang w:val="en-GB"/>
        </w:rPr>
        <w:t>6.2 Corporate-Level Strategic Choices</w:t>
      </w:r>
      <w:bookmarkEnd w:id="28"/>
    </w:p>
    <w:p w14:paraId="6E2270F0" w14:textId="11ADA705" w:rsidR="00BD2163" w:rsidRPr="00D37FDF" w:rsidRDefault="00BD2163" w:rsidP="00BD2163">
      <w:pPr>
        <w:rPr>
          <w:rFonts w:cs="Arial"/>
        </w:rPr>
      </w:pPr>
      <w:r w:rsidRPr="00D37FDF">
        <w:rPr>
          <w:rFonts w:cs="Arial"/>
        </w:rPr>
        <w:t>On the corporate level, Nestlé has a long history of diversification in both its categories and markets, thereby allocating revenues and decreasing reliance on any one business. But, when over diversified, it can lead to organizational complexity and lead to a loss of strategic focus. The company is therefore aligning its portfolio towards focus, focusing its efforts on the products and services in the Coffee, Pet Care, Nutrition, and Food and Snacks portfolio, with the exception of some non-core activities (Skema Knowledge, 2026). The strategy can help to enhance the allocation of resources and to focus the attention of management. However, additional focus will decrease some diversification benefits.</w:t>
      </w:r>
    </w:p>
    <w:p w14:paraId="3A538705" w14:textId="0845C51F" w:rsidR="00BD2163" w:rsidRPr="00D37FDF" w:rsidRDefault="00BD2163" w:rsidP="00BD2163">
      <w:pPr>
        <w:pStyle w:val="Heading3"/>
        <w:rPr>
          <w:rFonts w:cs="Arial"/>
          <w:lang w:val="en-GB"/>
        </w:rPr>
      </w:pPr>
      <w:bookmarkStart w:id="29" w:name="_Toc237202273"/>
      <w:r w:rsidRPr="00D37FDF">
        <w:rPr>
          <w:rFonts w:cs="Arial"/>
          <w:lang w:val="en-GB"/>
        </w:rPr>
        <w:t>6.3 International Expansion</w:t>
      </w:r>
      <w:bookmarkEnd w:id="29"/>
    </w:p>
    <w:p w14:paraId="316FB0F2" w14:textId="54D8608F" w:rsidR="00BD2163" w:rsidRPr="00D37FDF" w:rsidRDefault="00BD2163" w:rsidP="00BD2163">
      <w:pPr>
        <w:rPr>
          <w:rFonts w:cs="Arial"/>
        </w:rPr>
      </w:pPr>
      <w:r w:rsidRPr="00D37FDF">
        <w:rPr>
          <w:rFonts w:cs="Arial"/>
        </w:rPr>
        <w:t>International expansion continues to be significant due to volume growth opportunities in emerging markets. The study indicates that, with the exception of China, organic growth in emerging markets will amount to 6.8% for Q1 2026, thus promoting selective expansion (</w:t>
      </w:r>
      <w:r w:rsidR="00F951A5" w:rsidRPr="00D37FDF">
        <w:rPr>
          <w:rFonts w:eastAsia="Times New Roman" w:cs="Arial"/>
          <w:i/>
          <w:szCs w:val="24"/>
          <w:lang w:eastAsia="en-IN"/>
        </w:rPr>
        <w:t>Singh et al. 2021</w:t>
      </w:r>
      <w:r w:rsidR="00F951A5">
        <w:rPr>
          <w:rFonts w:eastAsia="Times New Roman" w:cs="Arial"/>
          <w:i/>
          <w:szCs w:val="24"/>
          <w:lang w:eastAsia="en-IN"/>
        </w:rPr>
        <w:t xml:space="preserve">; </w:t>
      </w:r>
      <w:r w:rsidRPr="00D37FDF">
        <w:rPr>
          <w:rFonts w:cs="Arial"/>
        </w:rPr>
        <w:t>James Sharp &amp; Co., 2026). Nonetheless, there are risks due to political uncertainty, exchange rate vulnerability and supply chain complexity. Nestlé should therefore grow in strategic manner, rather than in a random manner, with regard to geographical expansion in markets where an existing brand and distribution system gives strategic fit, and existing knowledge of the market.</w:t>
      </w:r>
    </w:p>
    <w:p w14:paraId="24E3FD7F" w14:textId="020BF8A7" w:rsidR="00BD2163" w:rsidRPr="00D37FDF" w:rsidRDefault="00BD2163" w:rsidP="00BD2163">
      <w:pPr>
        <w:pStyle w:val="Heading3"/>
        <w:rPr>
          <w:rFonts w:cs="Arial"/>
          <w:lang w:val="en-GB"/>
        </w:rPr>
      </w:pPr>
      <w:bookmarkStart w:id="30" w:name="_Toc237202274"/>
      <w:r w:rsidRPr="00D37FDF">
        <w:rPr>
          <w:rFonts w:cs="Arial"/>
          <w:lang w:val="en-GB"/>
        </w:rPr>
        <w:t>6.4 Recommended Strategic Choices</w:t>
      </w:r>
      <w:bookmarkEnd w:id="30"/>
    </w:p>
    <w:p w14:paraId="5980B2D9" w14:textId="77777777" w:rsidR="00BD2163" w:rsidRPr="00D37FDF" w:rsidRDefault="00BD2163" w:rsidP="00BD2163">
      <w:pPr>
        <w:rPr>
          <w:rFonts w:cs="Arial"/>
        </w:rPr>
      </w:pPr>
      <w:r w:rsidRPr="00D37FDF">
        <w:rPr>
          <w:rFonts w:cs="Arial"/>
        </w:rPr>
        <w:t>Thus, differentiation with efficiency, niche diversification and selective internationalisation are preferred strategic options. They are not about a complete new strategic architecture, but rather reflect Nestlé's current brands, R&amp;D, distribution and nutrition expertise.</w:t>
      </w:r>
    </w:p>
    <w:p w14:paraId="395A1423" w14:textId="03B6EC07" w:rsidR="00BD2163" w:rsidRPr="00D37FDF" w:rsidRDefault="00BD2163" w:rsidP="00BD2163">
      <w:pPr>
        <w:pStyle w:val="Heading3"/>
        <w:rPr>
          <w:rFonts w:cs="Arial"/>
          <w:lang w:val="en-GB"/>
        </w:rPr>
      </w:pPr>
      <w:bookmarkStart w:id="31" w:name="_Toc237202275"/>
      <w:r w:rsidRPr="00D37FDF">
        <w:rPr>
          <w:rFonts w:cs="Arial"/>
          <w:lang w:val="en-GB"/>
        </w:rPr>
        <w:t>6.5 Change Management and Strategic Implementation</w:t>
      </w:r>
      <w:bookmarkEnd w:id="31"/>
    </w:p>
    <w:p w14:paraId="4FC34C5E" w14:textId="24DB89A5" w:rsidR="00BD2163" w:rsidRPr="00D37FDF" w:rsidRDefault="00BD2163" w:rsidP="00BD2163">
      <w:pPr>
        <w:rPr>
          <w:rFonts w:cs="Arial"/>
        </w:rPr>
      </w:pPr>
      <w:r w:rsidRPr="00D37FDF">
        <w:rPr>
          <w:rFonts w:cs="Arial"/>
        </w:rPr>
        <w:t xml:space="preserve">The restructuring </w:t>
      </w:r>
      <w:r w:rsidRPr="00F951A5">
        <w:t>of the Nestlé Group for 2025–2026 is a major organisational shift</w:t>
      </w:r>
      <w:r w:rsidR="00F951A5" w:rsidRPr="00F951A5">
        <w:t xml:space="preserve"> (</w:t>
      </w:r>
      <w:r w:rsidR="00F951A5" w:rsidRPr="00F951A5">
        <w:rPr>
          <w:lang w:eastAsia="en-IN"/>
        </w:rPr>
        <w:t>Nestlé MENA. 2026)</w:t>
      </w:r>
      <w:r w:rsidRPr="00F951A5">
        <w:t>.</w:t>
      </w:r>
      <w:r w:rsidRPr="00D37FDF">
        <w:rPr>
          <w:rFonts w:cs="Arial"/>
        </w:rPr>
        <w:t xml:space="preserve"> The company has shifted from having geographical silos to having business units that are coordinated throughout the world, and has invested in upskilling its roughly 50,000 staff around the globe, in such areas as digitalisation and marketing excellence (James Sharp &amp; Co., 2026; RetailDetail, 2026). The purpose is to improve decision making and optimisation of resources and organisational agility.</w:t>
      </w:r>
    </w:p>
    <w:p w14:paraId="1255A132" w14:textId="562E9C8F" w:rsidR="00BD2163" w:rsidRPr="00D37FDF" w:rsidRDefault="00BD2163" w:rsidP="00BD2163">
      <w:pPr>
        <w:pStyle w:val="Heading3"/>
        <w:rPr>
          <w:rFonts w:cs="Arial"/>
          <w:lang w:val="en-GB"/>
        </w:rPr>
      </w:pPr>
      <w:bookmarkStart w:id="32" w:name="_Toc237202276"/>
      <w:r w:rsidRPr="00D37FDF">
        <w:rPr>
          <w:rFonts w:cs="Arial"/>
          <w:lang w:val="en-GB"/>
        </w:rPr>
        <w:t>6.6 Critical Assessment of Change</w:t>
      </w:r>
      <w:bookmarkEnd w:id="32"/>
    </w:p>
    <w:p w14:paraId="7A15B5FB" w14:textId="77777777" w:rsidR="00BD2163" w:rsidRPr="00D37FDF" w:rsidRDefault="00BD2163" w:rsidP="00BD2163">
      <w:pPr>
        <w:rPr>
          <w:rFonts w:cs="Arial"/>
        </w:rPr>
      </w:pPr>
      <w:r w:rsidRPr="00D37FDF">
        <w:rPr>
          <w:rFonts w:cs="Arial"/>
        </w:rPr>
        <w:t>There is some promising evidence, but not conclusive, of implementation effectiveness. Simplification is helping performance in challenging external conditions (Nestlé S.A., 2026a). However, even with better RIG alone, it is not conclusively shown that restructuring is the cause of the improvement as there could also be a contribution from pricing, market conditions and the performance of the categories. Hence, the change programme should be measured in terms of long term financial, operational, employee and customer outcomes and not only by growth.</w:t>
      </w:r>
    </w:p>
    <w:p w14:paraId="4E828742" w14:textId="1A00D008" w:rsidR="00194521" w:rsidRPr="00D37FDF" w:rsidRDefault="00194521" w:rsidP="00194521">
      <w:pPr>
        <w:pStyle w:val="Heading2"/>
        <w:rPr>
          <w:rFonts w:cs="Arial"/>
        </w:rPr>
      </w:pPr>
      <w:bookmarkStart w:id="33" w:name="_Toc237202277"/>
      <w:r w:rsidRPr="00D37FDF">
        <w:rPr>
          <w:rFonts w:cs="Arial"/>
        </w:rPr>
        <w:t>7. Strategic Evaluation and Recommendations</w:t>
      </w:r>
      <w:bookmarkEnd w:id="33"/>
    </w:p>
    <w:p w14:paraId="008BDF00" w14:textId="382E0958" w:rsidR="00194521" w:rsidRPr="00D37FDF" w:rsidRDefault="00194521" w:rsidP="00194521">
      <w:pPr>
        <w:pStyle w:val="Heading3"/>
        <w:rPr>
          <w:rFonts w:cs="Arial"/>
          <w:lang w:val="en-GB"/>
        </w:rPr>
      </w:pPr>
      <w:bookmarkStart w:id="34" w:name="_Toc237202278"/>
      <w:r w:rsidRPr="00D37FDF">
        <w:rPr>
          <w:rFonts w:cs="Arial"/>
          <w:lang w:val="en-GB"/>
        </w:rPr>
        <w:t>7.1 SWOT Analysis</w:t>
      </w:r>
      <w:bookmarkEnd w:id="34"/>
    </w:p>
    <w:tbl>
      <w:tblPr>
        <w:tblStyle w:val="PlainTable1"/>
        <w:tblW w:w="0" w:type="auto"/>
        <w:tblLook w:val="04A0" w:firstRow="1" w:lastRow="0" w:firstColumn="1" w:lastColumn="0" w:noHBand="0" w:noVBand="1"/>
      </w:tblPr>
      <w:tblGrid>
        <w:gridCol w:w="1790"/>
        <w:gridCol w:w="4199"/>
        <w:gridCol w:w="3027"/>
      </w:tblGrid>
      <w:tr w:rsidR="003644CE" w:rsidRPr="00D37FDF" w14:paraId="4924B3C3" w14:textId="77777777" w:rsidTr="003644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6C0ED2" w14:textId="77777777" w:rsidR="003644CE" w:rsidRPr="00D37FDF" w:rsidRDefault="003644CE" w:rsidP="003644CE">
            <w:pPr>
              <w:spacing w:after="160"/>
              <w:rPr>
                <w:rFonts w:cs="Arial"/>
              </w:rPr>
            </w:pPr>
            <w:r w:rsidRPr="00D37FDF">
              <w:rPr>
                <w:rFonts w:cs="Arial"/>
              </w:rPr>
              <w:t>SWOT factor</w:t>
            </w:r>
          </w:p>
        </w:tc>
        <w:tc>
          <w:tcPr>
            <w:tcW w:w="0" w:type="auto"/>
            <w:hideMark/>
          </w:tcPr>
          <w:p w14:paraId="1E819ADB" w14:textId="77777777" w:rsidR="003644CE" w:rsidRPr="00D37FDF" w:rsidRDefault="003644CE" w:rsidP="003644CE">
            <w:pPr>
              <w:spacing w:after="160"/>
              <w:cnfStyle w:val="100000000000" w:firstRow="1" w:lastRow="0" w:firstColumn="0" w:lastColumn="0" w:oddVBand="0" w:evenVBand="0" w:oddHBand="0" w:evenHBand="0" w:firstRowFirstColumn="0" w:firstRowLastColumn="0" w:lastRowFirstColumn="0" w:lastRowLastColumn="0"/>
              <w:rPr>
                <w:rFonts w:cs="Arial"/>
              </w:rPr>
            </w:pPr>
            <w:r w:rsidRPr="00D37FDF">
              <w:rPr>
                <w:rFonts w:cs="Arial"/>
              </w:rPr>
              <w:t>Critical analysis</w:t>
            </w:r>
          </w:p>
        </w:tc>
        <w:tc>
          <w:tcPr>
            <w:tcW w:w="0" w:type="auto"/>
            <w:hideMark/>
          </w:tcPr>
          <w:p w14:paraId="6D1E941B" w14:textId="77777777" w:rsidR="003644CE" w:rsidRPr="00D37FDF" w:rsidRDefault="003644CE" w:rsidP="003644CE">
            <w:pPr>
              <w:spacing w:after="160"/>
              <w:cnfStyle w:val="100000000000" w:firstRow="1" w:lastRow="0" w:firstColumn="0" w:lastColumn="0" w:oddVBand="0" w:evenVBand="0" w:oddHBand="0" w:evenHBand="0" w:firstRowFirstColumn="0" w:firstRowLastColumn="0" w:lastRowFirstColumn="0" w:lastRowLastColumn="0"/>
              <w:rPr>
                <w:rFonts w:cs="Arial"/>
              </w:rPr>
            </w:pPr>
            <w:r w:rsidRPr="00D37FDF">
              <w:rPr>
                <w:rFonts w:cs="Arial"/>
              </w:rPr>
              <w:t>Strategic implication</w:t>
            </w:r>
          </w:p>
        </w:tc>
      </w:tr>
      <w:tr w:rsidR="003644CE" w:rsidRPr="00D37FDF" w14:paraId="34AECC71" w14:textId="77777777" w:rsidTr="0036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1125AB" w14:textId="77777777" w:rsidR="003644CE" w:rsidRPr="00D37FDF" w:rsidRDefault="003644CE" w:rsidP="003644CE">
            <w:pPr>
              <w:spacing w:after="160"/>
              <w:rPr>
                <w:rFonts w:cs="Arial"/>
              </w:rPr>
            </w:pPr>
            <w:r w:rsidRPr="00D37FDF">
              <w:rPr>
                <w:rFonts w:cs="Arial"/>
              </w:rPr>
              <w:t>Strengths</w:t>
            </w:r>
          </w:p>
        </w:tc>
        <w:tc>
          <w:tcPr>
            <w:tcW w:w="0" w:type="auto"/>
            <w:hideMark/>
          </w:tcPr>
          <w:p w14:paraId="4CDEE531" w14:textId="77777777" w:rsidR="003644CE" w:rsidRPr="00D37FDF" w:rsidRDefault="003644CE" w:rsidP="003644CE">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Nestlé possesses significant brand equity, global scale and a strong Nutrition and Health Science capability. Its 31 brands generating more than CHF1 billion demonstrate the scale of its brand portfolio (Nestlé S.A., 2026b). The integration of Nutrition and Health Science can also create a scientific barrier that competitors may struggle to replicate (Business Chief, 2026).</w:t>
            </w:r>
          </w:p>
        </w:tc>
        <w:tc>
          <w:tcPr>
            <w:tcW w:w="0" w:type="auto"/>
            <w:hideMark/>
          </w:tcPr>
          <w:p w14:paraId="1E0B5B00" w14:textId="77777777" w:rsidR="003644CE" w:rsidRPr="00D37FDF" w:rsidRDefault="003644CE" w:rsidP="003644CE">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 xml:space="preserve">Nestlé should use these capabilities to strengthen </w:t>
            </w:r>
            <w:r w:rsidRPr="00D37FDF">
              <w:rPr>
                <w:rFonts w:cs="Arial"/>
                <w:b/>
                <w:bCs/>
              </w:rPr>
              <w:t>differentiation</w:t>
            </w:r>
            <w:r w:rsidRPr="00D37FDF">
              <w:rPr>
                <w:rFonts w:cs="Arial"/>
              </w:rPr>
              <w:t>, particularly through nutrition-led innovation and premium products.</w:t>
            </w:r>
          </w:p>
        </w:tc>
      </w:tr>
      <w:tr w:rsidR="003644CE" w:rsidRPr="00D37FDF" w14:paraId="61100E73" w14:textId="77777777" w:rsidTr="003644CE">
        <w:tc>
          <w:tcPr>
            <w:cnfStyle w:val="001000000000" w:firstRow="0" w:lastRow="0" w:firstColumn="1" w:lastColumn="0" w:oddVBand="0" w:evenVBand="0" w:oddHBand="0" w:evenHBand="0" w:firstRowFirstColumn="0" w:firstRowLastColumn="0" w:lastRowFirstColumn="0" w:lastRowLastColumn="0"/>
            <w:tcW w:w="0" w:type="auto"/>
            <w:hideMark/>
          </w:tcPr>
          <w:p w14:paraId="30E5E2CB" w14:textId="77777777" w:rsidR="003644CE" w:rsidRPr="00D37FDF" w:rsidRDefault="003644CE" w:rsidP="003644CE">
            <w:pPr>
              <w:spacing w:after="160"/>
              <w:rPr>
                <w:rFonts w:cs="Arial"/>
              </w:rPr>
            </w:pPr>
            <w:r w:rsidRPr="00D37FDF">
              <w:rPr>
                <w:rFonts w:cs="Arial"/>
              </w:rPr>
              <w:t>Weaknesses</w:t>
            </w:r>
          </w:p>
        </w:tc>
        <w:tc>
          <w:tcPr>
            <w:tcW w:w="0" w:type="auto"/>
            <w:hideMark/>
          </w:tcPr>
          <w:p w14:paraId="7E3A541E" w14:textId="77777777" w:rsidR="003644CE" w:rsidRPr="00D37FDF" w:rsidRDefault="003644CE" w:rsidP="003644CE">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Organisational complexity remains a constraint despite restructuring. The study also identifies a portfolio inconsistency between Nestlé’s Nutrition, Health and Wellness positioning and its continued exposure to indulgent products (Business Review, 2026; Porter and Kramer, 2019).</w:t>
            </w:r>
          </w:p>
        </w:tc>
        <w:tc>
          <w:tcPr>
            <w:tcW w:w="0" w:type="auto"/>
            <w:hideMark/>
          </w:tcPr>
          <w:p w14:paraId="1EBA02F4" w14:textId="77777777" w:rsidR="003644CE" w:rsidRPr="00D37FDF" w:rsidRDefault="003644CE" w:rsidP="003644CE">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 xml:space="preserve">Continued </w:t>
            </w:r>
            <w:r w:rsidRPr="00D37FDF">
              <w:rPr>
                <w:rFonts w:cs="Arial"/>
                <w:b/>
                <w:bCs/>
              </w:rPr>
              <w:t>portfolio rationalisation</w:t>
            </w:r>
            <w:r w:rsidRPr="00D37FDF">
              <w:rPr>
                <w:rFonts w:cs="Arial"/>
              </w:rPr>
              <w:t xml:space="preserve"> is necessary to improve strategic coherence and concentrate resources on businesses with stronger strategic fit.</w:t>
            </w:r>
          </w:p>
        </w:tc>
      </w:tr>
      <w:tr w:rsidR="003644CE" w:rsidRPr="00D37FDF" w14:paraId="15583DC9" w14:textId="77777777" w:rsidTr="003644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073A61" w14:textId="77777777" w:rsidR="003644CE" w:rsidRPr="00D37FDF" w:rsidRDefault="003644CE" w:rsidP="003644CE">
            <w:pPr>
              <w:spacing w:after="160"/>
              <w:rPr>
                <w:rFonts w:cs="Arial"/>
              </w:rPr>
            </w:pPr>
            <w:r w:rsidRPr="00D37FDF">
              <w:rPr>
                <w:rFonts w:cs="Arial"/>
              </w:rPr>
              <w:t>Opportunities</w:t>
            </w:r>
          </w:p>
        </w:tc>
        <w:tc>
          <w:tcPr>
            <w:tcW w:w="0" w:type="auto"/>
            <w:hideMark/>
          </w:tcPr>
          <w:p w14:paraId="70576497" w14:textId="77777777" w:rsidR="003644CE" w:rsidRPr="00D37FDF" w:rsidRDefault="003644CE" w:rsidP="003644CE">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Growth opportunities exist in food-as-medicine, healthier products, emerging markets and AI-enabled supply-chain management. AI-based forecasting could reduce inventory costs by up to 15%, while emerging markets excluding China recorded 6.8% organic growth in Q1 2026 (Nestlé S.A., 2026c; James Sharp &amp; Co., 2026).</w:t>
            </w:r>
          </w:p>
        </w:tc>
        <w:tc>
          <w:tcPr>
            <w:tcW w:w="0" w:type="auto"/>
            <w:hideMark/>
          </w:tcPr>
          <w:p w14:paraId="63BAEE63" w14:textId="77777777" w:rsidR="003644CE" w:rsidRPr="00D37FDF" w:rsidRDefault="003644CE" w:rsidP="003644CE">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 xml:space="preserve">Nestlé should prioritise </w:t>
            </w:r>
            <w:r w:rsidRPr="00D37FDF">
              <w:rPr>
                <w:rFonts w:cs="Arial"/>
                <w:b/>
                <w:bCs/>
              </w:rPr>
              <w:t>product development and selective market development</w:t>
            </w:r>
            <w:r w:rsidRPr="00D37FDF">
              <w:rPr>
                <w:rFonts w:cs="Arial"/>
              </w:rPr>
              <w:t>, using existing capabilities rather than pursuing unrelated diversification.</w:t>
            </w:r>
          </w:p>
        </w:tc>
      </w:tr>
      <w:tr w:rsidR="003644CE" w:rsidRPr="00D37FDF" w14:paraId="3E5123D4" w14:textId="77777777" w:rsidTr="003644CE">
        <w:tc>
          <w:tcPr>
            <w:cnfStyle w:val="001000000000" w:firstRow="0" w:lastRow="0" w:firstColumn="1" w:lastColumn="0" w:oddVBand="0" w:evenVBand="0" w:oddHBand="0" w:evenHBand="0" w:firstRowFirstColumn="0" w:firstRowLastColumn="0" w:lastRowFirstColumn="0" w:lastRowLastColumn="0"/>
            <w:tcW w:w="0" w:type="auto"/>
            <w:hideMark/>
          </w:tcPr>
          <w:p w14:paraId="7546F81F" w14:textId="77777777" w:rsidR="003644CE" w:rsidRPr="00D37FDF" w:rsidRDefault="003644CE" w:rsidP="003644CE">
            <w:pPr>
              <w:spacing w:after="160"/>
              <w:rPr>
                <w:rFonts w:cs="Arial"/>
              </w:rPr>
            </w:pPr>
            <w:r w:rsidRPr="00D37FDF">
              <w:rPr>
                <w:rFonts w:cs="Arial"/>
              </w:rPr>
              <w:t>Threats</w:t>
            </w:r>
          </w:p>
        </w:tc>
        <w:tc>
          <w:tcPr>
            <w:tcW w:w="0" w:type="auto"/>
            <w:hideMark/>
          </w:tcPr>
          <w:p w14:paraId="3EA9AEA1" w14:textId="77777777" w:rsidR="003644CE" w:rsidRPr="00D37FDF" w:rsidRDefault="003644CE" w:rsidP="003644CE">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Geopolitical disruption threatens supply continuity, while environmental shortcomings may create legal and reputational exposure (Food Ingredients First, 2026; BusinessGreen, 2026).</w:t>
            </w:r>
          </w:p>
        </w:tc>
        <w:tc>
          <w:tcPr>
            <w:tcW w:w="0" w:type="auto"/>
            <w:hideMark/>
          </w:tcPr>
          <w:p w14:paraId="0E9D2996" w14:textId="77777777" w:rsidR="003644CE" w:rsidRPr="00D37FDF" w:rsidRDefault="003644CE" w:rsidP="003644CE">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 xml:space="preserve">Greater </w:t>
            </w:r>
            <w:r w:rsidRPr="00D37FDF">
              <w:rPr>
                <w:rFonts w:cs="Arial"/>
                <w:b/>
                <w:bCs/>
              </w:rPr>
              <w:t>supply-chain resilience, sustainability performance and traceability</w:t>
            </w:r>
            <w:r w:rsidRPr="00D37FDF">
              <w:rPr>
                <w:rFonts w:cs="Arial"/>
              </w:rPr>
              <w:t xml:space="preserve"> should become strategic priorities.</w:t>
            </w:r>
          </w:p>
        </w:tc>
      </w:tr>
    </w:tbl>
    <w:p w14:paraId="0A8BAC93" w14:textId="77777777" w:rsidR="00194521" w:rsidRPr="00D37FDF" w:rsidRDefault="00194521" w:rsidP="00194521">
      <w:pPr>
        <w:rPr>
          <w:rFonts w:cs="Arial"/>
        </w:rPr>
      </w:pPr>
    </w:p>
    <w:p w14:paraId="4FCEB062" w14:textId="336F8ED3" w:rsidR="003644CE" w:rsidRPr="00D37FDF" w:rsidRDefault="004250CD" w:rsidP="003F49B6">
      <w:pPr>
        <w:pStyle w:val="Heading3"/>
        <w:rPr>
          <w:rFonts w:cs="Arial"/>
          <w:lang w:val="en-GB"/>
        </w:rPr>
      </w:pPr>
      <w:bookmarkStart w:id="35" w:name="_Toc237202279"/>
      <w:r w:rsidRPr="00D37FDF">
        <w:rPr>
          <w:rFonts w:cs="Arial"/>
          <w:lang w:val="en-GB"/>
        </w:rPr>
        <w:t>7</w:t>
      </w:r>
      <w:r w:rsidR="003F49B6" w:rsidRPr="00D37FDF">
        <w:rPr>
          <w:rFonts w:cs="Arial"/>
          <w:lang w:val="en-GB"/>
        </w:rPr>
        <w:t>.2 Ansoff’s Matrix</w:t>
      </w:r>
      <w:bookmarkEnd w:id="35"/>
    </w:p>
    <w:tbl>
      <w:tblPr>
        <w:tblStyle w:val="PlainTable1"/>
        <w:tblW w:w="0" w:type="auto"/>
        <w:tblLook w:val="04A0" w:firstRow="1" w:lastRow="0" w:firstColumn="1" w:lastColumn="0" w:noHBand="0" w:noVBand="1"/>
      </w:tblPr>
      <w:tblGrid>
        <w:gridCol w:w="1933"/>
        <w:gridCol w:w="3726"/>
        <w:gridCol w:w="3357"/>
      </w:tblGrid>
      <w:tr w:rsidR="004250CD" w:rsidRPr="00D37FDF" w14:paraId="48E8154E" w14:textId="77777777" w:rsidTr="004250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CFF252" w14:textId="77777777" w:rsidR="004250CD" w:rsidRPr="00D37FDF" w:rsidRDefault="004250CD" w:rsidP="004250CD">
            <w:pPr>
              <w:spacing w:after="160"/>
              <w:rPr>
                <w:rFonts w:cs="Arial"/>
              </w:rPr>
            </w:pPr>
            <w:r w:rsidRPr="00D37FDF">
              <w:rPr>
                <w:rFonts w:cs="Arial"/>
              </w:rPr>
              <w:t>Growth strategy</w:t>
            </w:r>
          </w:p>
        </w:tc>
        <w:tc>
          <w:tcPr>
            <w:tcW w:w="0" w:type="auto"/>
            <w:hideMark/>
          </w:tcPr>
          <w:p w14:paraId="388FDAE7" w14:textId="77777777" w:rsidR="004250CD" w:rsidRPr="00D37FDF" w:rsidRDefault="004250CD" w:rsidP="004250CD">
            <w:pPr>
              <w:spacing w:after="160"/>
              <w:cnfStyle w:val="100000000000" w:firstRow="1" w:lastRow="0" w:firstColumn="0" w:lastColumn="0" w:oddVBand="0" w:evenVBand="0" w:oddHBand="0" w:evenHBand="0" w:firstRowFirstColumn="0" w:firstRowLastColumn="0" w:lastRowFirstColumn="0" w:lastRowLastColumn="0"/>
              <w:rPr>
                <w:rFonts w:cs="Arial"/>
              </w:rPr>
            </w:pPr>
            <w:r w:rsidRPr="00D37FDF">
              <w:rPr>
                <w:rFonts w:cs="Arial"/>
              </w:rPr>
              <w:t>Evaluation of Nestlé</w:t>
            </w:r>
          </w:p>
        </w:tc>
        <w:tc>
          <w:tcPr>
            <w:tcW w:w="0" w:type="auto"/>
            <w:hideMark/>
          </w:tcPr>
          <w:p w14:paraId="01CDA2B8" w14:textId="77777777" w:rsidR="004250CD" w:rsidRPr="00D37FDF" w:rsidRDefault="004250CD" w:rsidP="004250CD">
            <w:pPr>
              <w:spacing w:after="160"/>
              <w:cnfStyle w:val="100000000000" w:firstRow="1" w:lastRow="0" w:firstColumn="0" w:lastColumn="0" w:oddVBand="0" w:evenVBand="0" w:oddHBand="0" w:evenHBand="0" w:firstRowFirstColumn="0" w:firstRowLastColumn="0" w:lastRowFirstColumn="0" w:lastRowLastColumn="0"/>
              <w:rPr>
                <w:rFonts w:cs="Arial"/>
              </w:rPr>
            </w:pPr>
            <w:r w:rsidRPr="00D37FDF">
              <w:rPr>
                <w:rFonts w:cs="Arial"/>
              </w:rPr>
              <w:t>Recommendation</w:t>
            </w:r>
          </w:p>
        </w:tc>
      </w:tr>
      <w:tr w:rsidR="004250CD" w:rsidRPr="00D37FDF" w14:paraId="5E2D00D5" w14:textId="77777777" w:rsidTr="00425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862E7A" w14:textId="77777777" w:rsidR="004250CD" w:rsidRPr="00D37FDF" w:rsidRDefault="004250CD" w:rsidP="004250CD">
            <w:pPr>
              <w:spacing w:after="160"/>
              <w:rPr>
                <w:rFonts w:cs="Arial"/>
              </w:rPr>
            </w:pPr>
            <w:r w:rsidRPr="00D37FDF">
              <w:rPr>
                <w:rFonts w:cs="Arial"/>
              </w:rPr>
              <w:t>Market Penetration</w:t>
            </w:r>
          </w:p>
        </w:tc>
        <w:tc>
          <w:tcPr>
            <w:tcW w:w="0" w:type="auto"/>
            <w:hideMark/>
          </w:tcPr>
          <w:p w14:paraId="58B1C055" w14:textId="77777777" w:rsidR="004250CD" w:rsidRPr="00D37FDF" w:rsidRDefault="004250CD" w:rsidP="004250CD">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Nestlé uses social-first marketing and AI-enabled B2B e-commerce to increase penetration in existing Coffee and Pet Care markets while emphasising Real Internal Growth rather than relying on price increases (James Sharp &amp; Co., 2026).</w:t>
            </w:r>
          </w:p>
        </w:tc>
        <w:tc>
          <w:tcPr>
            <w:tcW w:w="0" w:type="auto"/>
            <w:hideMark/>
          </w:tcPr>
          <w:p w14:paraId="362C57B1" w14:textId="77777777" w:rsidR="004250CD" w:rsidRPr="00D37FDF" w:rsidRDefault="004250CD" w:rsidP="004250CD">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b/>
                <w:bCs/>
              </w:rPr>
              <w:t>High priority.</w:t>
            </w:r>
            <w:r w:rsidRPr="00D37FDF">
              <w:rPr>
                <w:rFonts w:cs="Arial"/>
              </w:rPr>
              <w:t xml:space="preserve"> This is relatively low risk because Nestlé can exploit established brands, customers and distribution capabilities.</w:t>
            </w:r>
          </w:p>
        </w:tc>
      </w:tr>
      <w:tr w:rsidR="004250CD" w:rsidRPr="00D37FDF" w14:paraId="6A5BA300" w14:textId="77777777" w:rsidTr="004250CD">
        <w:tc>
          <w:tcPr>
            <w:cnfStyle w:val="001000000000" w:firstRow="0" w:lastRow="0" w:firstColumn="1" w:lastColumn="0" w:oddVBand="0" w:evenVBand="0" w:oddHBand="0" w:evenHBand="0" w:firstRowFirstColumn="0" w:firstRowLastColumn="0" w:lastRowFirstColumn="0" w:lastRowLastColumn="0"/>
            <w:tcW w:w="0" w:type="auto"/>
            <w:hideMark/>
          </w:tcPr>
          <w:p w14:paraId="7F85DBEB" w14:textId="77777777" w:rsidR="004250CD" w:rsidRPr="00D37FDF" w:rsidRDefault="004250CD" w:rsidP="004250CD">
            <w:pPr>
              <w:spacing w:after="160"/>
              <w:rPr>
                <w:rFonts w:cs="Arial"/>
              </w:rPr>
            </w:pPr>
            <w:r w:rsidRPr="00D37FDF">
              <w:rPr>
                <w:rFonts w:cs="Arial"/>
              </w:rPr>
              <w:t>Product Development</w:t>
            </w:r>
          </w:p>
        </w:tc>
        <w:tc>
          <w:tcPr>
            <w:tcW w:w="0" w:type="auto"/>
            <w:hideMark/>
          </w:tcPr>
          <w:p w14:paraId="4D52BFD4" w14:textId="77777777" w:rsidR="004250CD" w:rsidRPr="00D37FDF" w:rsidRDefault="004250CD" w:rsidP="004250CD">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Bio-active nutrition and plant-based protein products allow Nestlé to respond to health trends while using its existing distribution network (Nestlé S.A., 2026a).</w:t>
            </w:r>
          </w:p>
        </w:tc>
        <w:tc>
          <w:tcPr>
            <w:tcW w:w="0" w:type="auto"/>
            <w:hideMark/>
          </w:tcPr>
          <w:p w14:paraId="7A9612C9" w14:textId="77777777" w:rsidR="004250CD" w:rsidRPr="00D37FDF" w:rsidRDefault="004250CD" w:rsidP="004250CD">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b/>
                <w:bCs/>
              </w:rPr>
              <w:t>Highest priority.</w:t>
            </w:r>
            <w:r w:rsidRPr="00D37FDF">
              <w:rPr>
                <w:rFonts w:cs="Arial"/>
              </w:rPr>
              <w:t xml:space="preserve"> Product development aligns directly with Nestlé’s R&amp;D and Nutrition/Health Science capabilities and can strengthen differentiation.</w:t>
            </w:r>
          </w:p>
        </w:tc>
      </w:tr>
      <w:tr w:rsidR="004250CD" w:rsidRPr="00D37FDF" w14:paraId="4BB9919B" w14:textId="77777777" w:rsidTr="00425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892C1D" w14:textId="77777777" w:rsidR="004250CD" w:rsidRPr="00D37FDF" w:rsidRDefault="004250CD" w:rsidP="004250CD">
            <w:pPr>
              <w:spacing w:after="160"/>
              <w:rPr>
                <w:rFonts w:cs="Arial"/>
              </w:rPr>
            </w:pPr>
            <w:r w:rsidRPr="00D37FDF">
              <w:rPr>
                <w:rFonts w:cs="Arial"/>
              </w:rPr>
              <w:t>Market Development</w:t>
            </w:r>
          </w:p>
        </w:tc>
        <w:tc>
          <w:tcPr>
            <w:tcW w:w="0" w:type="auto"/>
            <w:hideMark/>
          </w:tcPr>
          <w:p w14:paraId="216E2AB4" w14:textId="77777777" w:rsidR="004250CD" w:rsidRPr="00D37FDF" w:rsidRDefault="004250CD" w:rsidP="004250CD">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Emerging markets provide significant growth potential, with 6.8% organic growth excluding China in Q1 2026 (James Sharp &amp; Co., 2026).</w:t>
            </w:r>
          </w:p>
        </w:tc>
        <w:tc>
          <w:tcPr>
            <w:tcW w:w="0" w:type="auto"/>
            <w:hideMark/>
          </w:tcPr>
          <w:p w14:paraId="1A6910E3" w14:textId="77777777" w:rsidR="004250CD" w:rsidRPr="00D37FDF" w:rsidRDefault="004250CD" w:rsidP="004250CD">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b/>
                <w:bCs/>
              </w:rPr>
              <w:t>Selective priority.</w:t>
            </w:r>
            <w:r w:rsidRPr="00D37FDF">
              <w:rPr>
                <w:rFonts w:cs="Arial"/>
              </w:rPr>
              <w:t xml:space="preserve"> Expand where Nestlé’s brands and distribution provide clear strategic fit while controlling currency and political risks.</w:t>
            </w:r>
          </w:p>
        </w:tc>
      </w:tr>
      <w:tr w:rsidR="004250CD" w:rsidRPr="00D37FDF" w14:paraId="7E2AC820" w14:textId="77777777" w:rsidTr="004250CD">
        <w:tc>
          <w:tcPr>
            <w:cnfStyle w:val="001000000000" w:firstRow="0" w:lastRow="0" w:firstColumn="1" w:lastColumn="0" w:oddVBand="0" w:evenVBand="0" w:oddHBand="0" w:evenHBand="0" w:firstRowFirstColumn="0" w:firstRowLastColumn="0" w:lastRowFirstColumn="0" w:lastRowLastColumn="0"/>
            <w:tcW w:w="0" w:type="auto"/>
            <w:hideMark/>
          </w:tcPr>
          <w:p w14:paraId="2913C98B" w14:textId="77777777" w:rsidR="004250CD" w:rsidRPr="00D37FDF" w:rsidRDefault="004250CD" w:rsidP="004250CD">
            <w:pPr>
              <w:spacing w:after="160"/>
              <w:rPr>
                <w:rFonts w:cs="Arial"/>
              </w:rPr>
            </w:pPr>
            <w:r w:rsidRPr="00D37FDF">
              <w:rPr>
                <w:rFonts w:cs="Arial"/>
              </w:rPr>
              <w:t>Diversification</w:t>
            </w:r>
          </w:p>
        </w:tc>
        <w:tc>
          <w:tcPr>
            <w:tcW w:w="0" w:type="auto"/>
            <w:hideMark/>
          </w:tcPr>
          <w:p w14:paraId="772791FD" w14:textId="77777777" w:rsidR="004250CD" w:rsidRPr="00D37FDF" w:rsidRDefault="004250CD" w:rsidP="004250CD">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Nestlé could combine Health Science with conventional nutrition to develop pharmaceutical-adjacent “medical-grade” food categories, but this represents a higher-risk strategy (Business Chief, 2026).</w:t>
            </w:r>
          </w:p>
        </w:tc>
        <w:tc>
          <w:tcPr>
            <w:tcW w:w="0" w:type="auto"/>
            <w:hideMark/>
          </w:tcPr>
          <w:p w14:paraId="44189577" w14:textId="77777777" w:rsidR="004250CD" w:rsidRPr="00D37FDF" w:rsidRDefault="004250CD" w:rsidP="004250CD">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b/>
                <w:bCs/>
              </w:rPr>
              <w:t>Selective only.</w:t>
            </w:r>
            <w:r w:rsidRPr="00D37FDF">
              <w:rPr>
                <w:rFonts w:cs="Arial"/>
              </w:rPr>
              <w:t xml:space="preserve"> Partnerships with biotechnology firms are preferable to extensive unrelated diversification because they reduce capability and investment risk.</w:t>
            </w:r>
          </w:p>
        </w:tc>
      </w:tr>
    </w:tbl>
    <w:p w14:paraId="48DDB460" w14:textId="77777777" w:rsidR="003F49B6" w:rsidRPr="00D37FDF" w:rsidRDefault="003F49B6" w:rsidP="003F49B6">
      <w:pPr>
        <w:rPr>
          <w:rFonts w:cs="Arial"/>
        </w:rPr>
      </w:pPr>
    </w:p>
    <w:p w14:paraId="2A9E84C9" w14:textId="77777777" w:rsidR="004250CD" w:rsidRPr="00D37FDF" w:rsidRDefault="004250CD" w:rsidP="004250CD">
      <w:pPr>
        <w:pStyle w:val="Heading3"/>
        <w:rPr>
          <w:rFonts w:cs="Arial"/>
          <w:lang w:val="en-GB"/>
        </w:rPr>
      </w:pPr>
      <w:bookmarkStart w:id="36" w:name="_Toc237202280"/>
      <w:r w:rsidRPr="00D37FDF">
        <w:rPr>
          <w:rFonts w:cs="Arial"/>
          <w:lang w:val="en-GB"/>
        </w:rPr>
        <w:t>7.3 Strategic Recommendations</w:t>
      </w:r>
      <w:bookmarkEnd w:id="36"/>
    </w:p>
    <w:tbl>
      <w:tblPr>
        <w:tblStyle w:val="PlainTable1"/>
        <w:tblW w:w="0" w:type="auto"/>
        <w:tblLook w:val="04A0" w:firstRow="1" w:lastRow="0" w:firstColumn="1" w:lastColumn="0" w:noHBand="0" w:noVBand="1"/>
      </w:tblPr>
      <w:tblGrid>
        <w:gridCol w:w="2999"/>
        <w:gridCol w:w="6017"/>
      </w:tblGrid>
      <w:tr w:rsidR="004B698F" w:rsidRPr="00D37FDF" w14:paraId="412F9257" w14:textId="77777777" w:rsidTr="004B69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09DEF6" w14:textId="77777777" w:rsidR="004B698F" w:rsidRPr="00D37FDF" w:rsidRDefault="004B698F" w:rsidP="004B698F">
            <w:pPr>
              <w:spacing w:after="160"/>
              <w:rPr>
                <w:rFonts w:cs="Arial"/>
              </w:rPr>
            </w:pPr>
            <w:r w:rsidRPr="00D37FDF">
              <w:rPr>
                <w:rFonts w:cs="Arial"/>
              </w:rPr>
              <w:t>Recommendation</w:t>
            </w:r>
          </w:p>
        </w:tc>
        <w:tc>
          <w:tcPr>
            <w:tcW w:w="0" w:type="auto"/>
            <w:hideMark/>
          </w:tcPr>
          <w:p w14:paraId="50BB6C1E" w14:textId="77777777" w:rsidR="004B698F" w:rsidRPr="00D37FDF" w:rsidRDefault="004B698F" w:rsidP="004B698F">
            <w:pPr>
              <w:spacing w:after="160"/>
              <w:cnfStyle w:val="100000000000" w:firstRow="1" w:lastRow="0" w:firstColumn="0" w:lastColumn="0" w:oddVBand="0" w:evenVBand="0" w:oddHBand="0" w:evenHBand="0" w:firstRowFirstColumn="0" w:firstRowLastColumn="0" w:lastRowFirstColumn="0" w:lastRowLastColumn="0"/>
              <w:rPr>
                <w:rFonts w:cs="Arial"/>
              </w:rPr>
            </w:pPr>
            <w:r w:rsidRPr="00D37FDF">
              <w:rPr>
                <w:rFonts w:cs="Arial"/>
              </w:rPr>
              <w:t>Justification and expected strategic benefit</w:t>
            </w:r>
          </w:p>
        </w:tc>
      </w:tr>
      <w:tr w:rsidR="004B698F" w:rsidRPr="00D37FDF" w14:paraId="528BC4CD" w14:textId="77777777" w:rsidTr="004B6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0DEC78" w14:textId="77777777" w:rsidR="004B698F" w:rsidRPr="00D37FDF" w:rsidRDefault="004B698F" w:rsidP="004B698F">
            <w:pPr>
              <w:spacing w:after="160"/>
              <w:rPr>
                <w:rFonts w:cs="Arial"/>
              </w:rPr>
            </w:pPr>
            <w:r w:rsidRPr="00D37FDF">
              <w:rPr>
                <w:rFonts w:cs="Arial"/>
              </w:rPr>
              <w:t>1. Accelerate nutrition-led product development</w:t>
            </w:r>
          </w:p>
        </w:tc>
        <w:tc>
          <w:tcPr>
            <w:tcW w:w="0" w:type="auto"/>
            <w:hideMark/>
          </w:tcPr>
          <w:p w14:paraId="0635A1C5" w14:textId="77777777" w:rsidR="004B698F" w:rsidRPr="00D37FDF" w:rsidRDefault="004B698F" w:rsidP="004B698F">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Nestlé should expand healthier, functional and personalised nutrition products. This exploits its difficult-to-imitate Nutrition and Health Science capability and addresses the social trends identified through PESTEL.</w:t>
            </w:r>
          </w:p>
        </w:tc>
      </w:tr>
      <w:tr w:rsidR="004B698F" w:rsidRPr="00D37FDF" w14:paraId="31EB19C3" w14:textId="77777777" w:rsidTr="004B698F">
        <w:tc>
          <w:tcPr>
            <w:cnfStyle w:val="001000000000" w:firstRow="0" w:lastRow="0" w:firstColumn="1" w:lastColumn="0" w:oddVBand="0" w:evenVBand="0" w:oddHBand="0" w:evenHBand="0" w:firstRowFirstColumn="0" w:firstRowLastColumn="0" w:lastRowFirstColumn="0" w:lastRowLastColumn="0"/>
            <w:tcW w:w="0" w:type="auto"/>
            <w:hideMark/>
          </w:tcPr>
          <w:p w14:paraId="5709DC31" w14:textId="77777777" w:rsidR="004B698F" w:rsidRPr="00D37FDF" w:rsidRDefault="004B698F" w:rsidP="004B698F">
            <w:pPr>
              <w:spacing w:after="160"/>
              <w:rPr>
                <w:rFonts w:cs="Arial"/>
              </w:rPr>
            </w:pPr>
            <w:r w:rsidRPr="00D37FDF">
              <w:rPr>
                <w:rFonts w:cs="Arial"/>
              </w:rPr>
              <w:t>2. Continue focused portfolio rationalisation</w:t>
            </w:r>
          </w:p>
        </w:tc>
        <w:tc>
          <w:tcPr>
            <w:tcW w:w="0" w:type="auto"/>
            <w:hideMark/>
          </w:tcPr>
          <w:p w14:paraId="305116F9" w14:textId="77777777" w:rsidR="004B698F" w:rsidRPr="00D37FDF" w:rsidRDefault="004B698F" w:rsidP="004B698F">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Divesting non-core activities should allow capital and managerial attention to concentrate on Coffee, Pet Care, Nutrition and Food &amp; Snacks, reducing complexity and improving strategic coherence.</w:t>
            </w:r>
          </w:p>
        </w:tc>
      </w:tr>
      <w:tr w:rsidR="004B698F" w:rsidRPr="00D37FDF" w14:paraId="4E0F9DBF" w14:textId="77777777" w:rsidTr="004B6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48165F" w14:textId="77777777" w:rsidR="004B698F" w:rsidRPr="00D37FDF" w:rsidRDefault="004B698F" w:rsidP="004B698F">
            <w:pPr>
              <w:spacing w:after="160"/>
              <w:rPr>
                <w:rFonts w:cs="Arial"/>
              </w:rPr>
            </w:pPr>
            <w:r w:rsidRPr="00D37FDF">
              <w:rPr>
                <w:rFonts w:cs="Arial"/>
              </w:rPr>
              <w:t>3. Deploy AI and traceability across supply chains</w:t>
            </w:r>
          </w:p>
        </w:tc>
        <w:tc>
          <w:tcPr>
            <w:tcW w:w="0" w:type="auto"/>
            <w:hideMark/>
          </w:tcPr>
          <w:p w14:paraId="1F8F0DC2" w14:textId="77777777" w:rsidR="004B698F" w:rsidRPr="00D37FDF" w:rsidRDefault="004B698F" w:rsidP="004B698F">
            <w:pPr>
              <w:spacing w:after="160"/>
              <w:cnfStyle w:val="000000100000" w:firstRow="0" w:lastRow="0" w:firstColumn="0" w:lastColumn="0" w:oddVBand="0" w:evenVBand="0" w:oddHBand="1" w:evenHBand="0" w:firstRowFirstColumn="0" w:firstRowLastColumn="0" w:lastRowFirstColumn="0" w:lastRowLastColumn="0"/>
              <w:rPr>
                <w:rFonts w:cs="Arial"/>
              </w:rPr>
            </w:pPr>
            <w:r w:rsidRPr="00D37FDF">
              <w:rPr>
                <w:rFonts w:cs="Arial"/>
              </w:rPr>
              <w:t>AI forecasting can improve inventory efficiency, while blockchain traceability can strengthen transparency in high-risk categories such as infant nutrition, coffee and cocoa.</w:t>
            </w:r>
          </w:p>
        </w:tc>
      </w:tr>
      <w:tr w:rsidR="004B698F" w:rsidRPr="00D37FDF" w14:paraId="564A19B4" w14:textId="77777777" w:rsidTr="004B698F">
        <w:tc>
          <w:tcPr>
            <w:cnfStyle w:val="001000000000" w:firstRow="0" w:lastRow="0" w:firstColumn="1" w:lastColumn="0" w:oddVBand="0" w:evenVBand="0" w:oddHBand="0" w:evenHBand="0" w:firstRowFirstColumn="0" w:firstRowLastColumn="0" w:lastRowFirstColumn="0" w:lastRowLastColumn="0"/>
            <w:tcW w:w="0" w:type="auto"/>
            <w:hideMark/>
          </w:tcPr>
          <w:p w14:paraId="48239329" w14:textId="77777777" w:rsidR="004B698F" w:rsidRPr="00D37FDF" w:rsidRDefault="004B698F" w:rsidP="004B698F">
            <w:pPr>
              <w:spacing w:after="160"/>
              <w:rPr>
                <w:rFonts w:cs="Arial"/>
              </w:rPr>
            </w:pPr>
            <w:r w:rsidRPr="00D37FDF">
              <w:rPr>
                <w:rFonts w:cs="Arial"/>
              </w:rPr>
              <w:t>4. Pursue selective emerging-market expansion</w:t>
            </w:r>
          </w:p>
        </w:tc>
        <w:tc>
          <w:tcPr>
            <w:tcW w:w="0" w:type="auto"/>
            <w:hideMark/>
          </w:tcPr>
          <w:p w14:paraId="17D15F84" w14:textId="77777777" w:rsidR="004B698F" w:rsidRPr="00D37FDF" w:rsidRDefault="004B698F" w:rsidP="004B698F">
            <w:pPr>
              <w:spacing w:after="160"/>
              <w:cnfStyle w:val="000000000000" w:firstRow="0" w:lastRow="0" w:firstColumn="0" w:lastColumn="0" w:oddVBand="0" w:evenVBand="0" w:oddHBand="0" w:evenHBand="0" w:firstRowFirstColumn="0" w:firstRowLastColumn="0" w:lastRowFirstColumn="0" w:lastRowLastColumn="0"/>
              <w:rPr>
                <w:rFonts w:cs="Arial"/>
              </w:rPr>
            </w:pPr>
            <w:r w:rsidRPr="00D37FDF">
              <w:rPr>
                <w:rFonts w:cs="Arial"/>
              </w:rPr>
              <w:t>Strong growth in emerging markets supports expansion, but it should be concentrated in markets where Nestlé’s existing distribution, brands and capabilities provide competitive fit.</w:t>
            </w:r>
          </w:p>
        </w:tc>
      </w:tr>
    </w:tbl>
    <w:p w14:paraId="2286256B" w14:textId="77777777" w:rsidR="006F0105" w:rsidRPr="00D37FDF" w:rsidRDefault="006F0105" w:rsidP="00D2737B">
      <w:pPr>
        <w:rPr>
          <w:rFonts w:cs="Arial"/>
        </w:rPr>
      </w:pPr>
    </w:p>
    <w:p w14:paraId="4AB72324" w14:textId="4DD2940A" w:rsidR="00D2737B" w:rsidRPr="00D37FDF" w:rsidRDefault="00DD3719" w:rsidP="00D2737B">
      <w:pPr>
        <w:rPr>
          <w:rFonts w:cs="Arial"/>
        </w:rPr>
      </w:pPr>
      <w:r w:rsidRPr="00D37FDF">
        <w:rPr>
          <w:rFonts w:cs="Arial"/>
        </w:rPr>
        <w:t>In general, the strategy that Nestlé should follow in this case is focused differentiation and selective growth instead of diversification. The brands, scale and Nutrition/Health Science are the best resources for SWOT, and product development and market penetration are the best strategic fit according to Ansoff. Recommendations consequently add to current capabilities and counterbalance portfolio inconsistencies, supply-chain risk and consumer wants and desires. This is a better way to maintain competitive edge because it is based on the valuable resources that are hard to imitate, as identified by the VRIO analysis (in addition to Nestlé being large).</w:t>
      </w:r>
    </w:p>
    <w:p w14:paraId="69AC4F2E" w14:textId="15BDD821" w:rsidR="00904168" w:rsidRPr="00D37FDF" w:rsidRDefault="00904168" w:rsidP="00904168">
      <w:pPr>
        <w:pStyle w:val="Heading2"/>
        <w:rPr>
          <w:rFonts w:cs="Arial"/>
        </w:rPr>
      </w:pPr>
      <w:bookmarkStart w:id="37" w:name="_Toc237202281"/>
      <w:r w:rsidRPr="00D37FDF">
        <w:rPr>
          <w:rFonts w:cs="Arial"/>
        </w:rPr>
        <w:t>8. Conclusion</w:t>
      </w:r>
      <w:bookmarkEnd w:id="37"/>
    </w:p>
    <w:p w14:paraId="509E591E" w14:textId="12668256" w:rsidR="001B6384" w:rsidRPr="00D37FDF" w:rsidRDefault="00904168" w:rsidP="00904168">
      <w:pPr>
        <w:rPr>
          <w:rFonts w:cs="Arial"/>
        </w:rPr>
      </w:pPr>
      <w:r w:rsidRPr="00D37FDF">
        <w:rPr>
          <w:rFonts w:cs="Arial"/>
        </w:rPr>
        <w:t>In general, Nestlé has a good competitive edge due to its world-class dimension, its vast range of brands, its R&amp;D capabilities and its approach of Nutrition, Health and Wellness. The strengths are however matched by strategic issues such as organisational complexity, portfolio inconsistencies, geopolitical supply-chain risks, rising consumer expectations and sustainability pressures as illustrated in the analysis. PESTEL and VRIO analysis suggest that success in sustainable advantage relies on the ability to successfully integrate challenging to imitate with organisational agility. Hence, Nutrition-led innovation, Focused portfolio management, Selective emerging-market growth, Supply-chain resilience and Digital technologies are the top priorities for Nestlé. Such decisions can help build differentiation, enhance strategic coherence and contribute to sustainable competitive advantage, and adapt to changing external conditions.</w:t>
      </w:r>
    </w:p>
    <w:p w14:paraId="5DEC802E" w14:textId="396DF75B" w:rsidR="00BD2163" w:rsidRPr="00D37FDF" w:rsidRDefault="00BD2163" w:rsidP="00D2737B">
      <w:pPr>
        <w:rPr>
          <w:rFonts w:cs="Arial"/>
        </w:rPr>
      </w:pPr>
      <w:r w:rsidRPr="00D37FDF">
        <w:rPr>
          <w:rFonts w:cs="Arial"/>
        </w:rPr>
        <w:br w:type="page"/>
      </w:r>
    </w:p>
    <w:p w14:paraId="514B7641" w14:textId="091AA304" w:rsidR="00A314BC" w:rsidRPr="00D37FDF" w:rsidRDefault="00A314BC" w:rsidP="00041698">
      <w:pPr>
        <w:pStyle w:val="Heading1"/>
      </w:pPr>
      <w:bookmarkStart w:id="38" w:name="_Toc237202282"/>
      <w:r w:rsidRPr="00D37FDF">
        <w:t>Section 2: Reflective Account Using Gibbs Reflective Cycle</w:t>
      </w:r>
      <w:bookmarkEnd w:id="38"/>
    </w:p>
    <w:p w14:paraId="57048722" w14:textId="71D91DC0" w:rsidR="009F5E22" w:rsidRPr="00D37FDF" w:rsidRDefault="00324BA8" w:rsidP="00041698">
      <w:pPr>
        <w:rPr>
          <w:rFonts w:cs="Arial"/>
        </w:rPr>
      </w:pPr>
      <w:r w:rsidRPr="00D37FDF">
        <w:rPr>
          <w:rFonts w:cs="Arial"/>
        </w:rPr>
        <w:t xml:space="preserve">In this reflective study, the process involved in investigating and </w:t>
      </w:r>
      <w:r w:rsidR="00333C4C" w:rsidRPr="00D37FDF">
        <w:rPr>
          <w:rFonts w:cs="Arial"/>
        </w:rPr>
        <w:t>analysing</w:t>
      </w:r>
      <w:r w:rsidRPr="00D37FDF">
        <w:rPr>
          <w:rFonts w:cs="Arial"/>
        </w:rPr>
        <w:t xml:space="preserve"> the strategic position of Nestlé S.A. is examined systematically. Reflection is an important part of professional development as it ensures that theoretical knowledge can be applied in practice. In order to reflect systematically, I have used Gibbs' Reflective Cycle (1988), which contains six steps: Description, Feelings, Evaluation, Analysis, Conclusion, and Action Plan</w:t>
      </w:r>
      <w:r w:rsidR="00041698" w:rsidRPr="00D37FDF">
        <w:rPr>
          <w:rFonts w:cs="Arial"/>
        </w:rPr>
        <w:t>.</w:t>
      </w:r>
    </w:p>
    <w:p w14:paraId="63C1164A" w14:textId="77777777" w:rsidR="00FE2691" w:rsidRPr="00D37FDF" w:rsidRDefault="00FE2691" w:rsidP="00843C18">
      <w:pPr>
        <w:jc w:val="center"/>
        <w:rPr>
          <w:rFonts w:cs="Arial"/>
        </w:rPr>
      </w:pPr>
      <w:r w:rsidRPr="00D37FDF">
        <w:rPr>
          <w:rFonts w:cs="Arial"/>
          <w:noProof/>
          <w:lang w:eastAsia="en-IN"/>
        </w:rPr>
        <w:drawing>
          <wp:inline distT="0" distB="0" distL="0" distR="0" wp14:anchorId="49D13CC4" wp14:editId="3B2D446F">
            <wp:extent cx="3638550" cy="3638550"/>
            <wp:effectExtent l="0" t="0" r="0" b="0"/>
            <wp:docPr id="15" name="Picture 15" descr="C:\Users\admin\Downloads\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admin\Downloads\12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9708" cy="3639708"/>
                    </a:xfrm>
                    <a:prstGeom prst="rect">
                      <a:avLst/>
                    </a:prstGeom>
                    <a:noFill/>
                    <a:ln>
                      <a:noFill/>
                    </a:ln>
                  </pic:spPr>
                </pic:pic>
              </a:graphicData>
            </a:graphic>
          </wp:inline>
        </w:drawing>
      </w:r>
    </w:p>
    <w:p w14:paraId="01810727" w14:textId="77777777" w:rsidR="00FE2691" w:rsidRPr="00D37FDF" w:rsidRDefault="00FE2691" w:rsidP="00843C18">
      <w:pPr>
        <w:jc w:val="center"/>
        <w:rPr>
          <w:rFonts w:cs="Arial"/>
          <w:i/>
        </w:rPr>
      </w:pPr>
      <w:bookmarkStart w:id="39" w:name="_Toc237200614"/>
      <w:r w:rsidRPr="00D37FDF">
        <w:rPr>
          <w:rFonts w:cs="Arial"/>
        </w:rPr>
        <w:t xml:space="preserve">Figure </w:t>
      </w:r>
      <w:r w:rsidRPr="00D37FDF">
        <w:rPr>
          <w:rFonts w:cs="Arial"/>
          <w:i/>
        </w:rPr>
        <w:fldChar w:fldCharType="begin"/>
      </w:r>
      <w:r w:rsidRPr="00D37FDF">
        <w:rPr>
          <w:rFonts w:cs="Arial"/>
        </w:rPr>
        <w:instrText xml:space="preserve"> SEQ Figure \* ARABIC </w:instrText>
      </w:r>
      <w:r w:rsidRPr="00D37FDF">
        <w:rPr>
          <w:rFonts w:cs="Arial"/>
          <w:i/>
        </w:rPr>
        <w:fldChar w:fldCharType="separate"/>
      </w:r>
      <w:r w:rsidRPr="00D37FDF">
        <w:rPr>
          <w:rFonts w:cs="Arial"/>
        </w:rPr>
        <w:t>2</w:t>
      </w:r>
      <w:r w:rsidRPr="00D37FDF">
        <w:rPr>
          <w:rFonts w:cs="Arial"/>
          <w:i/>
        </w:rPr>
        <w:fldChar w:fldCharType="end"/>
      </w:r>
      <w:r w:rsidRPr="00D37FDF">
        <w:rPr>
          <w:rFonts w:cs="Arial"/>
        </w:rPr>
        <w:t xml:space="preserve"> Gibbs' Reflective Cycle</w:t>
      </w:r>
      <w:bookmarkEnd w:id="39"/>
    </w:p>
    <w:p w14:paraId="1499FFE3" w14:textId="11A2965C" w:rsidR="00333C4C" w:rsidRPr="00D37FDF" w:rsidRDefault="00041698" w:rsidP="00041698">
      <w:pPr>
        <w:pStyle w:val="Heading2"/>
        <w:rPr>
          <w:rFonts w:cs="Arial"/>
        </w:rPr>
      </w:pPr>
      <w:bookmarkStart w:id="40" w:name="_Toc237202283"/>
      <w:r w:rsidRPr="00D37FDF">
        <w:rPr>
          <w:rFonts w:cs="Arial"/>
        </w:rPr>
        <w:t>A</w:t>
      </w:r>
      <w:r w:rsidR="00333C4C" w:rsidRPr="00D37FDF">
        <w:rPr>
          <w:rFonts w:cs="Arial"/>
        </w:rPr>
        <w:t>. Description</w:t>
      </w:r>
      <w:bookmarkEnd w:id="40"/>
    </w:p>
    <w:p w14:paraId="0B628B80" w14:textId="7F8583AC" w:rsidR="00333C4C" w:rsidRPr="00D37FDF" w:rsidRDefault="00333C4C" w:rsidP="00041698">
      <w:pPr>
        <w:rPr>
          <w:rFonts w:cs="Arial"/>
        </w:rPr>
      </w:pPr>
      <w:r w:rsidRPr="00D37FDF">
        <w:rPr>
          <w:rFonts w:cs="Arial"/>
        </w:rPr>
        <w:t>I was asked to explore the context of the organisation, external and internal environments, CSR and sustainability, perspectives on performance, strategic choice and strategic evaluation in the context of Nestlé. Firstly, I conducted a study on the history, mission and business model of Nestle, its global position and then applied PESTEL to analyse external pressures and VRIO to analyse resources and capabilities of Nestle. I later linked strategic performance, strategic positioning and strategic growth options using the Balanced Scorecard, SWOT and Ansoff’s Matrix. The research also involved searching for up-to-date evidence of restructuring, Real Internal Growth (RIG), AI, portfolio changes and sustainability developments. I contrasted information from companies with academic theories and outside information.</w:t>
      </w:r>
    </w:p>
    <w:p w14:paraId="16DAAC1E" w14:textId="01F556E0" w:rsidR="00333C4C" w:rsidRPr="00D37FDF" w:rsidRDefault="00333C4C" w:rsidP="00041698">
      <w:pPr>
        <w:rPr>
          <w:rFonts w:cs="Arial"/>
        </w:rPr>
      </w:pPr>
      <w:r w:rsidRPr="00D37FDF">
        <w:rPr>
          <w:rFonts w:cs="Arial"/>
        </w:rPr>
        <w:t>The study has also influenced my research method as it uses current evidence instead of historical evidence. What I noticed is that information on the restructuring process, portfolio rationalisation and new technologies could impact the interpretation of the strategy significantly. The study indicated investments in the development of over 50,000 people in digitalisation and marketing excellence, whereas potential inventory-cost savings were linked to the implementation of AI-based forecasting (James Sharp &amp; Co., 2026; Nestlé S.A., 2026c). These results opened my eyes to the need for evidence, not just the textbook concepts, when conducting a strategic analysis. I also learned that there is a difference in the quality of evidence: the statements of the companies about their strategy are good to find out what they have decided to do, but when testing to see if the strategy is backed by observable results, it is necessary to use independent sources.</w:t>
      </w:r>
    </w:p>
    <w:p w14:paraId="346DAACE" w14:textId="02F2A338" w:rsidR="00333C4C" w:rsidRPr="00D37FDF" w:rsidRDefault="00D37FDF" w:rsidP="00D37FDF">
      <w:pPr>
        <w:pStyle w:val="Heading2"/>
        <w:rPr>
          <w:rFonts w:cs="Arial"/>
        </w:rPr>
      </w:pPr>
      <w:bookmarkStart w:id="41" w:name="_Toc237202284"/>
      <w:r w:rsidRPr="00D37FDF">
        <w:rPr>
          <w:rFonts w:cs="Arial"/>
        </w:rPr>
        <w:t>B</w:t>
      </w:r>
      <w:r w:rsidR="00333C4C" w:rsidRPr="00D37FDF">
        <w:rPr>
          <w:rFonts w:cs="Arial"/>
        </w:rPr>
        <w:t>. Feelings</w:t>
      </w:r>
      <w:bookmarkEnd w:id="41"/>
    </w:p>
    <w:p w14:paraId="6F200311" w14:textId="471AE5C9" w:rsidR="00333C4C" w:rsidRPr="00D37FDF" w:rsidRDefault="00333C4C" w:rsidP="00D37FDF">
      <w:pPr>
        <w:rPr>
          <w:rFonts w:cs="Arial"/>
        </w:rPr>
      </w:pPr>
      <w:r w:rsidRPr="00D37FDF">
        <w:rPr>
          <w:rFonts w:cs="Arial"/>
        </w:rPr>
        <w:t>At first, I was a little unsure as Nestlé's portfolio comprises more than 2000 brands and they are present in a very wide international network, and it is not always easy to define a clear strategic focus. I started gaining my confidence when I started to see the strategic thread through its brands, R&amp;D, Nutrition, Health and Wellness strategy and Global Distribution capabilities. The conflict between RIG and sustainability goals was certainly of particular interest to me as it highlighted the need to balance commercial performance with broader stakeholder expectations when engaging in strategic management. The conflicting evidence in Nestlé's own sustainability report and the external sources was also challenging.</w:t>
      </w:r>
    </w:p>
    <w:p w14:paraId="5CDA1DE2" w14:textId="2131CB83" w:rsidR="00333C4C" w:rsidRPr="00D37FDF" w:rsidRDefault="00D37FDF" w:rsidP="00D37FDF">
      <w:pPr>
        <w:pStyle w:val="Heading2"/>
        <w:rPr>
          <w:rFonts w:cs="Arial"/>
        </w:rPr>
      </w:pPr>
      <w:bookmarkStart w:id="42" w:name="_Toc237202285"/>
      <w:r w:rsidRPr="00D37FDF">
        <w:rPr>
          <w:rFonts w:cs="Arial"/>
        </w:rPr>
        <w:t>C</w:t>
      </w:r>
      <w:r w:rsidR="00333C4C" w:rsidRPr="00D37FDF">
        <w:rPr>
          <w:rFonts w:cs="Arial"/>
        </w:rPr>
        <w:t>. Evaluation</w:t>
      </w:r>
      <w:bookmarkEnd w:id="42"/>
    </w:p>
    <w:p w14:paraId="7C4ACBBA" w14:textId="4DFD3DD3" w:rsidR="00333C4C" w:rsidRPr="00D37FDF" w:rsidRDefault="00333C4C" w:rsidP="00D37FDF">
      <w:pPr>
        <w:rPr>
          <w:rFonts w:cs="Arial"/>
        </w:rPr>
      </w:pPr>
      <w:r w:rsidRPr="00D37FDF">
        <w:rPr>
          <w:rFonts w:cs="Arial"/>
        </w:rPr>
        <w:t>Research was successful in achieving the objectives as I was able to consider multiple frameworks which provided different angles on the investigation of Nestlé. PESTEL revealed the external factors that impact strategic decisions and VRIO revealed the difference between ordinary organisational strengths and those that could lead to sustainable competitive advantage. The Balanced Score Card (BSC) prompted me to think about aspects that are not just financial but also other components. At the outset, though, I conducted some analyses as a series of checklists of different frameworks, which had the disadvantage of not allowing for a much deeper analysis. The other challenge was how to evaluate company statements in relation to external evidence, such as environmental statements.</w:t>
      </w:r>
    </w:p>
    <w:p w14:paraId="4E373DC8" w14:textId="30E988DC" w:rsidR="00333C4C" w:rsidRPr="00D37FDF" w:rsidRDefault="00D37FDF" w:rsidP="00D37FDF">
      <w:pPr>
        <w:pStyle w:val="Heading2"/>
        <w:rPr>
          <w:rFonts w:cs="Arial"/>
        </w:rPr>
      </w:pPr>
      <w:bookmarkStart w:id="43" w:name="_Toc237202286"/>
      <w:r w:rsidRPr="00D37FDF">
        <w:rPr>
          <w:rFonts w:cs="Arial"/>
        </w:rPr>
        <w:t>D</w:t>
      </w:r>
      <w:r w:rsidR="00333C4C" w:rsidRPr="00D37FDF">
        <w:rPr>
          <w:rFonts w:cs="Arial"/>
        </w:rPr>
        <w:t>. Analysis</w:t>
      </w:r>
      <w:bookmarkEnd w:id="43"/>
    </w:p>
    <w:p w14:paraId="0A251E98" w14:textId="71D23E5E" w:rsidR="00333C4C" w:rsidRPr="00D37FDF" w:rsidRDefault="00333C4C" w:rsidP="00D37FDF">
      <w:pPr>
        <w:rPr>
          <w:rFonts w:cs="Arial"/>
        </w:rPr>
      </w:pPr>
      <w:r w:rsidRPr="00D37FDF">
        <w:rPr>
          <w:rFonts w:cs="Arial"/>
        </w:rPr>
        <w:t>The most salient learning was that strategic frameworks are not independent tools of analysis, but rather interdependent. The Resource Based View really enabled me to see that Nestlé's edge is not with one product, but with R&amp;D, brands, distribution and organisational capabilities. PESTEL demonstrated how external change can impact the value of those resources. For instance, the development of technology has increasingly made AI a necessity for keeping pace with others, or shifting regulations have an impact on the formulation of products, sourcing and packaging. Likewise, Ansoff's product-development decisions are based on whether Nestlé has the resources and capabilities as determined by VRIO. This gave me an understanding that effective strategic analysis is about organising the synthesis of the individual models rather than simply filling them out.</w:t>
      </w:r>
    </w:p>
    <w:p w14:paraId="7E541D18" w14:textId="76726303" w:rsidR="00333C4C" w:rsidRPr="00D37FDF" w:rsidRDefault="00D37FDF" w:rsidP="00D37FDF">
      <w:pPr>
        <w:pStyle w:val="Heading2"/>
        <w:rPr>
          <w:rFonts w:cs="Arial"/>
        </w:rPr>
      </w:pPr>
      <w:bookmarkStart w:id="44" w:name="_Toc237202287"/>
      <w:r w:rsidRPr="00D37FDF">
        <w:rPr>
          <w:rFonts w:cs="Arial"/>
        </w:rPr>
        <w:t>E</w:t>
      </w:r>
      <w:r w:rsidR="00333C4C" w:rsidRPr="00D37FDF">
        <w:rPr>
          <w:rFonts w:cs="Arial"/>
        </w:rPr>
        <w:t>. Conclusion</w:t>
      </w:r>
      <w:bookmarkEnd w:id="44"/>
    </w:p>
    <w:p w14:paraId="556BB356" w14:textId="7962D397" w:rsidR="00333C4C" w:rsidRPr="00D37FDF" w:rsidRDefault="00333C4C" w:rsidP="00D37FDF">
      <w:pPr>
        <w:rPr>
          <w:rFonts w:cs="Arial"/>
        </w:rPr>
      </w:pPr>
      <w:r w:rsidRPr="00D37FDF">
        <w:rPr>
          <w:rFonts w:cs="Arial"/>
        </w:rPr>
        <w:t>I gained a deeper appreciation of the interaction between external pressures and internal capabilities and organisation goals in the development of strategic management decisions. The assessment also helped me develop being critical and discerning of evidence instead of taking company statements at face value. Most importantly I learnt that Nestlé's scale can generate both organisational complexity and competitive strength. Therefore, the strategic analysis of future needs should not be based on only resources held by a company, but also on how well their resources react to environmental changes.</w:t>
      </w:r>
    </w:p>
    <w:p w14:paraId="69841066" w14:textId="558FBA7C" w:rsidR="00333C4C" w:rsidRPr="00D37FDF" w:rsidRDefault="00D37FDF" w:rsidP="00D37FDF">
      <w:pPr>
        <w:pStyle w:val="Heading2"/>
        <w:rPr>
          <w:rFonts w:cs="Arial"/>
        </w:rPr>
      </w:pPr>
      <w:bookmarkStart w:id="45" w:name="_Toc237202288"/>
      <w:r w:rsidRPr="00D37FDF">
        <w:rPr>
          <w:rFonts w:cs="Arial"/>
        </w:rPr>
        <w:t>F</w:t>
      </w:r>
      <w:r w:rsidR="00333C4C" w:rsidRPr="00D37FDF">
        <w:rPr>
          <w:rFonts w:cs="Arial"/>
        </w:rPr>
        <w:t>. Action Plan</w:t>
      </w:r>
      <w:bookmarkEnd w:id="45"/>
    </w:p>
    <w:p w14:paraId="1469155A" w14:textId="0A760BA0" w:rsidR="00792478" w:rsidRPr="00D37FDF" w:rsidRDefault="00333C4C" w:rsidP="00D37FDF">
      <w:pPr>
        <w:rPr>
          <w:rFonts w:cs="Arial"/>
        </w:rPr>
      </w:pPr>
      <w:r w:rsidRPr="00D37FDF">
        <w:rPr>
          <w:rFonts w:cs="Arial"/>
        </w:rPr>
        <w:t>For future assignments, I will start by creating an important question and then applying frameworks that directly address the question, and not a model that is taught by rote. I will apply a broader spectrum of independent and stakeholder sources to enhance objectivity, especially for sustainability claims. I already linked frameworks before to make the PESTEL findings relevant to VRIO, strategic decisions and recommendations. Finally, I will devote more focus to the impact of technological change, AI and the human implications of organisational restructuring which may have a significant impact on the implementation of strategy.</w:t>
      </w:r>
    </w:p>
    <w:p w14:paraId="1E64DFAC" w14:textId="77777777" w:rsidR="005856C0" w:rsidRPr="00D37FDF" w:rsidRDefault="005856C0" w:rsidP="0071465A">
      <w:pPr>
        <w:rPr>
          <w:rFonts w:cs="Arial"/>
          <w:szCs w:val="24"/>
        </w:rPr>
      </w:pPr>
    </w:p>
    <w:p w14:paraId="1EE58DA2" w14:textId="77777777" w:rsidR="005856C0" w:rsidRPr="00D37FDF" w:rsidRDefault="005856C0" w:rsidP="0071465A">
      <w:pPr>
        <w:rPr>
          <w:rFonts w:cs="Arial"/>
          <w:szCs w:val="24"/>
        </w:rPr>
      </w:pPr>
    </w:p>
    <w:p w14:paraId="67774E43" w14:textId="77777777" w:rsidR="005856C0" w:rsidRPr="00D37FDF" w:rsidRDefault="005856C0" w:rsidP="0071465A">
      <w:pPr>
        <w:rPr>
          <w:rFonts w:cs="Arial"/>
          <w:szCs w:val="24"/>
        </w:rPr>
      </w:pPr>
    </w:p>
    <w:p w14:paraId="670250B1" w14:textId="77777777" w:rsidR="005856C0" w:rsidRPr="00D37FDF" w:rsidRDefault="005856C0" w:rsidP="0071465A">
      <w:pPr>
        <w:rPr>
          <w:rFonts w:cs="Arial"/>
          <w:szCs w:val="24"/>
        </w:rPr>
      </w:pPr>
    </w:p>
    <w:p w14:paraId="5EDE917B" w14:textId="77777777" w:rsidR="005856C0" w:rsidRPr="00D37FDF" w:rsidRDefault="005856C0" w:rsidP="0071465A">
      <w:pPr>
        <w:rPr>
          <w:rFonts w:cs="Arial"/>
          <w:szCs w:val="24"/>
        </w:rPr>
      </w:pPr>
    </w:p>
    <w:p w14:paraId="1B800D34" w14:textId="77777777" w:rsidR="005856C0" w:rsidRPr="00D37FDF" w:rsidRDefault="005856C0" w:rsidP="0071465A">
      <w:pPr>
        <w:rPr>
          <w:rFonts w:cs="Arial"/>
          <w:szCs w:val="24"/>
        </w:rPr>
      </w:pPr>
    </w:p>
    <w:p w14:paraId="1A873E7D" w14:textId="77777777" w:rsidR="005856C0" w:rsidRPr="00D37FDF" w:rsidRDefault="005856C0" w:rsidP="0071465A">
      <w:pPr>
        <w:rPr>
          <w:rFonts w:cs="Arial"/>
          <w:szCs w:val="24"/>
        </w:rPr>
      </w:pPr>
    </w:p>
    <w:p w14:paraId="5174F689" w14:textId="77777777" w:rsidR="005856C0" w:rsidRPr="00D37FDF" w:rsidRDefault="005856C0" w:rsidP="0071465A">
      <w:pPr>
        <w:rPr>
          <w:rFonts w:cs="Arial"/>
          <w:szCs w:val="24"/>
        </w:rPr>
      </w:pPr>
    </w:p>
    <w:p w14:paraId="0F22B74B" w14:textId="77777777" w:rsidR="005856C0" w:rsidRPr="00D37FDF" w:rsidRDefault="005856C0" w:rsidP="0071465A">
      <w:pPr>
        <w:rPr>
          <w:rFonts w:cs="Arial"/>
          <w:szCs w:val="24"/>
        </w:rPr>
      </w:pPr>
    </w:p>
    <w:p w14:paraId="41DE83B3" w14:textId="77777777" w:rsidR="005856C0" w:rsidRPr="00D37FDF" w:rsidRDefault="005856C0" w:rsidP="0071465A">
      <w:pPr>
        <w:rPr>
          <w:rFonts w:cs="Arial"/>
          <w:szCs w:val="24"/>
        </w:rPr>
      </w:pPr>
    </w:p>
    <w:p w14:paraId="732FCF4D" w14:textId="77777777" w:rsidR="00233DD1" w:rsidRDefault="00233DD1">
      <w:pPr>
        <w:spacing w:line="259" w:lineRule="auto"/>
        <w:jc w:val="left"/>
        <w:rPr>
          <w:rFonts w:eastAsiaTheme="majorEastAsia" w:cs="Arial"/>
          <w:b/>
          <w:szCs w:val="32"/>
        </w:rPr>
      </w:pPr>
      <w:r>
        <w:br w:type="page"/>
      </w:r>
    </w:p>
    <w:p w14:paraId="106F407F" w14:textId="4BC22C71" w:rsidR="00792478" w:rsidRPr="00D37FDF" w:rsidRDefault="00C548F1" w:rsidP="002C7A05">
      <w:pPr>
        <w:pStyle w:val="Heading1"/>
        <w:rPr>
          <w:b w:val="0"/>
        </w:rPr>
      </w:pPr>
      <w:bookmarkStart w:id="46" w:name="_Toc237202289"/>
      <w:r w:rsidRPr="00D37FDF">
        <w:t>REFERENCES</w:t>
      </w:r>
      <w:bookmarkEnd w:id="46"/>
    </w:p>
    <w:p w14:paraId="015CB747" w14:textId="77777777" w:rsidR="00233DD1" w:rsidRPr="00D37FDF" w:rsidRDefault="00233DD1" w:rsidP="0071465A">
      <w:pPr>
        <w:pStyle w:val="NormalWeb"/>
        <w:spacing w:line="360" w:lineRule="auto"/>
        <w:rPr>
          <w:rFonts w:ascii="Arial" w:hAnsi="Arial" w:cs="Arial"/>
          <w:i/>
        </w:rPr>
      </w:pPr>
      <w:r w:rsidRPr="00D37FDF">
        <w:rPr>
          <w:rFonts w:ascii="Arial" w:hAnsi="Arial" w:cs="Arial"/>
          <w:i/>
        </w:rPr>
        <w:t xml:space="preserve">Barney, J.B. and Hesterly, W.S. (2015). </w:t>
      </w:r>
      <w:r w:rsidRPr="00D37FDF">
        <w:rPr>
          <w:rFonts w:ascii="Arial" w:hAnsi="Arial" w:cs="Arial"/>
          <w:i/>
          <w:iCs/>
        </w:rPr>
        <w:t>Strategic Management and Competitive Advantage: Concepts and Cases</w:t>
      </w:r>
      <w:r w:rsidRPr="00D37FDF">
        <w:rPr>
          <w:rFonts w:ascii="Arial" w:hAnsi="Arial" w:cs="Arial"/>
          <w:i/>
        </w:rPr>
        <w:t>. 5th edn. London: Pearson Education [Accessed 15 Apr. 2026].</w:t>
      </w:r>
    </w:p>
    <w:p w14:paraId="7992F985"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Boardmix. (2026). </w:t>
      </w:r>
      <w:r w:rsidRPr="00D37FDF">
        <w:rPr>
          <w:rFonts w:eastAsia="Times New Roman" w:cs="Arial"/>
          <w:i/>
          <w:iCs/>
          <w:szCs w:val="24"/>
          <w:lang w:eastAsia="en-IN"/>
        </w:rPr>
        <w:t>Nestlé's Mission and Vision Statement Analysis: A Comprehensive Insight</w:t>
      </w:r>
      <w:r w:rsidRPr="00D37FDF">
        <w:rPr>
          <w:rFonts w:eastAsia="Times New Roman" w:cs="Arial"/>
          <w:i/>
          <w:szCs w:val="24"/>
          <w:lang w:eastAsia="en-IN"/>
        </w:rPr>
        <w:t xml:space="preserve">.  Available at: </w:t>
      </w:r>
      <w:hyperlink r:id="rId11" w:tgtFrame="_blank" w:history="1">
        <w:r w:rsidRPr="00D37FDF">
          <w:rPr>
            <w:rFonts w:eastAsia="Times New Roman" w:cs="Arial"/>
            <w:i/>
            <w:color w:val="0000FF"/>
            <w:szCs w:val="24"/>
            <w:u w:val="single"/>
            <w:lang w:eastAsia="en-IN"/>
          </w:rPr>
          <w:t>https://boardmix.com/analysis/nestle-mission-and-vision-statement-analysis/</w:t>
        </w:r>
      </w:hyperlink>
      <w:r w:rsidRPr="00D37FDF">
        <w:rPr>
          <w:rFonts w:eastAsia="Times New Roman" w:cs="Arial"/>
          <w:i/>
          <w:szCs w:val="24"/>
          <w:lang w:eastAsia="en-IN"/>
        </w:rPr>
        <w:t xml:space="preserve"> [Accessed 15 Apr. 2026].</w:t>
      </w:r>
    </w:p>
    <w:p w14:paraId="12DA22C7"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Business Chief. (2026). </w:t>
      </w:r>
      <w:r w:rsidRPr="00D37FDF">
        <w:rPr>
          <w:rFonts w:eastAsia="Times New Roman" w:cs="Arial"/>
          <w:i/>
          <w:iCs/>
          <w:szCs w:val="24"/>
          <w:lang w:eastAsia="en-IN"/>
        </w:rPr>
        <w:t>How Is Nestlé's CEO Strengthening Strategy with Core Units?</w:t>
      </w:r>
      <w:r w:rsidRPr="00D37FDF">
        <w:rPr>
          <w:rFonts w:eastAsia="Times New Roman" w:cs="Arial"/>
          <w:i/>
          <w:szCs w:val="24"/>
          <w:lang w:eastAsia="en-IN"/>
        </w:rPr>
        <w:t xml:space="preserve"> Available at: </w:t>
      </w:r>
      <w:hyperlink r:id="rId12" w:tgtFrame="_blank" w:history="1">
        <w:r w:rsidRPr="00D37FDF">
          <w:rPr>
            <w:rFonts w:eastAsia="Times New Roman" w:cs="Arial"/>
            <w:i/>
            <w:color w:val="0000FF"/>
            <w:szCs w:val="24"/>
            <w:u w:val="single"/>
            <w:lang w:eastAsia="en-IN"/>
          </w:rPr>
          <w:t>https://businesschief.com/news/how-is-nestles-ceo-strengthening-strategy-with-core-units</w:t>
        </w:r>
      </w:hyperlink>
      <w:r w:rsidRPr="00D37FDF">
        <w:rPr>
          <w:rFonts w:eastAsia="Times New Roman" w:cs="Arial"/>
          <w:i/>
          <w:szCs w:val="24"/>
          <w:lang w:eastAsia="en-IN"/>
        </w:rPr>
        <w:t xml:space="preserve"> [Accessed 18 Apr. 2026].</w:t>
      </w:r>
    </w:p>
    <w:p w14:paraId="23AF4421"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Business Review. (2026). </w:t>
      </w:r>
      <w:r w:rsidRPr="00D37FDF">
        <w:rPr>
          <w:rFonts w:eastAsia="Times New Roman" w:cs="Arial"/>
          <w:i/>
          <w:iCs/>
          <w:szCs w:val="24"/>
          <w:lang w:eastAsia="en-IN"/>
        </w:rPr>
        <w:t>Nestlé Group announces organic growth of 3.5% in Q1 2026</w:t>
      </w:r>
      <w:r w:rsidRPr="00D37FDF">
        <w:rPr>
          <w:rFonts w:eastAsia="Times New Roman" w:cs="Arial"/>
          <w:i/>
          <w:szCs w:val="24"/>
          <w:lang w:eastAsia="en-IN"/>
        </w:rPr>
        <w:t xml:space="preserve">.  Available at: </w:t>
      </w:r>
      <w:hyperlink r:id="rId13" w:tgtFrame="_blank" w:history="1">
        <w:r w:rsidRPr="00D37FDF">
          <w:rPr>
            <w:rFonts w:eastAsia="Times New Roman" w:cs="Arial"/>
            <w:i/>
            <w:color w:val="0000FF"/>
            <w:szCs w:val="24"/>
            <w:u w:val="single"/>
            <w:lang w:eastAsia="en-IN"/>
          </w:rPr>
          <w:t>https://business-review.eu/business/nestle-group-announces-organic-growth-of-3-5-in-q1-2026-295787</w:t>
        </w:r>
      </w:hyperlink>
      <w:r w:rsidRPr="00D37FDF">
        <w:rPr>
          <w:rFonts w:eastAsia="Times New Roman" w:cs="Arial"/>
          <w:i/>
          <w:szCs w:val="24"/>
          <w:lang w:eastAsia="en-IN"/>
        </w:rPr>
        <w:t xml:space="preserve"> [Accessed 18 Apr. 2026]. </w:t>
      </w:r>
    </w:p>
    <w:p w14:paraId="391A4AC2"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BusinessGreen. (2026). </w:t>
      </w:r>
      <w:r w:rsidRPr="00D37FDF">
        <w:rPr>
          <w:rFonts w:eastAsia="Times New Roman" w:cs="Arial"/>
          <w:i/>
          <w:iCs/>
          <w:szCs w:val="24"/>
          <w:lang w:eastAsia="en-IN"/>
        </w:rPr>
        <w:t>Nestlé exceeds interim emissions target for 2025</w:t>
      </w:r>
      <w:r w:rsidRPr="00D37FDF">
        <w:rPr>
          <w:rFonts w:eastAsia="Times New Roman" w:cs="Arial"/>
          <w:i/>
          <w:szCs w:val="24"/>
          <w:lang w:eastAsia="en-IN"/>
        </w:rPr>
        <w:t xml:space="preserve">.  Available at: </w:t>
      </w:r>
      <w:hyperlink r:id="rId14" w:tgtFrame="_blank" w:history="1">
        <w:r w:rsidRPr="00D37FDF">
          <w:rPr>
            <w:rFonts w:eastAsia="Times New Roman" w:cs="Arial"/>
            <w:i/>
            <w:color w:val="0000FF"/>
            <w:szCs w:val="24"/>
            <w:u w:val="single"/>
            <w:lang w:eastAsia="en-IN"/>
          </w:rPr>
          <w:t>https://www.businessgreen.com/news/4525946/nestle-exceeds-interim-emissions-target-2025</w:t>
        </w:r>
      </w:hyperlink>
      <w:r w:rsidRPr="00D37FDF">
        <w:rPr>
          <w:rFonts w:eastAsia="Times New Roman" w:cs="Arial"/>
          <w:i/>
          <w:szCs w:val="24"/>
          <w:lang w:eastAsia="en-IN"/>
        </w:rPr>
        <w:t xml:space="preserve"> [Accessed 18 Apr. 2026].</w:t>
      </w:r>
    </w:p>
    <w:p w14:paraId="40B2D4C2" w14:textId="77777777" w:rsidR="00233DD1" w:rsidRPr="00D37FDF" w:rsidRDefault="00233DD1" w:rsidP="0071465A">
      <w:pPr>
        <w:rPr>
          <w:rFonts w:cs="Arial"/>
          <w:i/>
          <w:szCs w:val="24"/>
          <w:lang w:eastAsia="en-IN"/>
        </w:rPr>
      </w:pPr>
      <w:r w:rsidRPr="00D37FDF">
        <w:rPr>
          <w:rFonts w:cs="Arial"/>
          <w:i/>
          <w:szCs w:val="24"/>
          <w:lang w:eastAsia="en-IN"/>
        </w:rPr>
        <w:t xml:space="preserve">Euromonitor (2023) Global Food Industry Trends </w:t>
      </w:r>
      <w:r w:rsidRPr="00D37FDF">
        <w:rPr>
          <w:rFonts w:eastAsia="Times New Roman" w:cs="Arial"/>
          <w:i/>
          <w:szCs w:val="24"/>
          <w:lang w:eastAsia="en-IN"/>
        </w:rPr>
        <w:t>[Accessed 18 Apr. 2026].</w:t>
      </w:r>
    </w:p>
    <w:p w14:paraId="2798FFFA" w14:textId="1585C625" w:rsidR="00233DD1" w:rsidRPr="00D37FDF" w:rsidRDefault="00233DD1" w:rsidP="0071465A">
      <w:pPr>
        <w:rPr>
          <w:rFonts w:cs="Arial"/>
          <w:i/>
          <w:szCs w:val="24"/>
          <w:lang w:eastAsia="en-IN"/>
        </w:rPr>
      </w:pPr>
      <w:r w:rsidRPr="00D37FDF">
        <w:rPr>
          <w:rFonts w:cs="Arial"/>
          <w:i/>
          <w:szCs w:val="24"/>
          <w:lang w:eastAsia="en-IN"/>
        </w:rPr>
        <w:t>Euromonitor (2023</w:t>
      </w:r>
      <w:r w:rsidR="00100CA4">
        <w:rPr>
          <w:rFonts w:cs="Arial"/>
          <w:i/>
          <w:szCs w:val="24"/>
          <w:lang w:eastAsia="en-IN"/>
        </w:rPr>
        <w:t>a</w:t>
      </w:r>
      <w:r w:rsidRPr="00D37FDF">
        <w:rPr>
          <w:rFonts w:cs="Arial"/>
          <w:i/>
          <w:szCs w:val="24"/>
          <w:lang w:eastAsia="en-IN"/>
        </w:rPr>
        <w:t xml:space="preserve">) Global Packaged Food Industry Analysis </w:t>
      </w:r>
      <w:r w:rsidRPr="00D37FDF">
        <w:rPr>
          <w:rFonts w:eastAsia="Times New Roman" w:cs="Arial"/>
          <w:i/>
          <w:szCs w:val="24"/>
          <w:lang w:eastAsia="en-IN"/>
        </w:rPr>
        <w:t>[Accessed 13 Apr. 2026].</w:t>
      </w:r>
    </w:p>
    <w:p w14:paraId="33A0EA12"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Food Ingredients First. (2026). </w:t>
      </w:r>
      <w:r w:rsidRPr="00D37FDF">
        <w:rPr>
          <w:rFonts w:eastAsia="Times New Roman" w:cs="Arial"/>
          <w:i/>
          <w:iCs/>
          <w:szCs w:val="24"/>
          <w:lang w:eastAsia="en-IN"/>
        </w:rPr>
        <w:t>Nestlé achieves solid Q1 2026 growth as coffee and snacks drive performance</w:t>
      </w:r>
      <w:r w:rsidRPr="00D37FDF">
        <w:rPr>
          <w:rFonts w:eastAsia="Times New Roman" w:cs="Arial"/>
          <w:i/>
          <w:szCs w:val="24"/>
          <w:lang w:eastAsia="en-IN"/>
        </w:rPr>
        <w:t xml:space="preserve">.  Available at: </w:t>
      </w:r>
      <w:hyperlink r:id="rId15" w:tgtFrame="_blank" w:history="1">
        <w:r w:rsidRPr="00D37FDF">
          <w:rPr>
            <w:rFonts w:eastAsia="Times New Roman" w:cs="Arial"/>
            <w:i/>
            <w:color w:val="0000FF"/>
            <w:szCs w:val="24"/>
            <w:u w:val="single"/>
            <w:lang w:eastAsia="en-IN"/>
          </w:rPr>
          <w:t>https://www.foodingredientsfirst.com/news/nestle-coffee-confectionery-growth-momentum.html</w:t>
        </w:r>
      </w:hyperlink>
      <w:r w:rsidRPr="00D37FDF">
        <w:rPr>
          <w:rFonts w:eastAsia="Times New Roman" w:cs="Arial"/>
          <w:i/>
          <w:szCs w:val="24"/>
          <w:lang w:eastAsia="en-IN"/>
        </w:rPr>
        <w:t xml:space="preserve"> [Accessed 18 Apr. 2026]. </w:t>
      </w:r>
    </w:p>
    <w:p w14:paraId="27F9AF90" w14:textId="77777777" w:rsidR="00233DD1" w:rsidRPr="00D37FDF" w:rsidRDefault="00233DD1" w:rsidP="0071465A">
      <w:pPr>
        <w:rPr>
          <w:rFonts w:cs="Arial"/>
          <w:i/>
          <w:szCs w:val="24"/>
          <w:lang w:eastAsia="en-IN"/>
        </w:rPr>
      </w:pPr>
      <w:r w:rsidRPr="00D37FDF">
        <w:rPr>
          <w:rFonts w:cs="Arial"/>
          <w:i/>
          <w:szCs w:val="24"/>
          <w:lang w:eastAsia="en-IN"/>
        </w:rPr>
        <w:t xml:space="preserve">Grant, R.M. (2022) Contemporary Strategy Analysis. Wiley </w:t>
      </w:r>
      <w:r w:rsidRPr="00D37FDF">
        <w:rPr>
          <w:rFonts w:eastAsia="Times New Roman" w:cs="Arial"/>
          <w:i/>
          <w:szCs w:val="24"/>
          <w:lang w:eastAsia="en-IN"/>
        </w:rPr>
        <w:t>[Accessed 16 Apr. 2026].</w:t>
      </w:r>
    </w:p>
    <w:p w14:paraId="30D0EBF3" w14:textId="77777777" w:rsidR="00233DD1" w:rsidRPr="00D37FDF" w:rsidRDefault="00233DD1" w:rsidP="0071465A">
      <w:pPr>
        <w:rPr>
          <w:rFonts w:cs="Arial"/>
          <w:i/>
          <w:szCs w:val="24"/>
          <w:lang w:eastAsia="en-IN"/>
        </w:rPr>
      </w:pPr>
      <w:r w:rsidRPr="00D37FDF">
        <w:rPr>
          <w:rFonts w:cs="Arial"/>
          <w:i/>
          <w:szCs w:val="24"/>
          <w:lang w:eastAsia="en-IN"/>
        </w:rPr>
        <w:t xml:space="preserve">Hartley, K. (2018) Nestlé: The Story of the World’s Largest Food Company </w:t>
      </w:r>
      <w:r w:rsidRPr="00D37FDF">
        <w:rPr>
          <w:rFonts w:eastAsia="Times New Roman" w:cs="Arial"/>
          <w:i/>
          <w:szCs w:val="24"/>
          <w:lang w:eastAsia="en-IN"/>
        </w:rPr>
        <w:t>[Accessed 3 Apr. 2026].</w:t>
      </w:r>
    </w:p>
    <w:p w14:paraId="59F88B70"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James Sharp &amp; Co. (2026). </w:t>
      </w:r>
      <w:r w:rsidRPr="00D37FDF">
        <w:rPr>
          <w:rFonts w:eastAsia="Times New Roman" w:cs="Arial"/>
          <w:i/>
          <w:iCs/>
          <w:szCs w:val="24"/>
          <w:lang w:eastAsia="en-IN"/>
        </w:rPr>
        <w:t>Nestle Publish 2026 Three-Month Sales</w:t>
      </w:r>
      <w:r w:rsidRPr="00D37FDF">
        <w:rPr>
          <w:rFonts w:eastAsia="Times New Roman" w:cs="Arial"/>
          <w:i/>
          <w:szCs w:val="24"/>
          <w:lang w:eastAsia="en-IN"/>
        </w:rPr>
        <w:t xml:space="preserve">. Available at: </w:t>
      </w:r>
      <w:hyperlink r:id="rId16" w:tgtFrame="_blank" w:history="1">
        <w:r w:rsidRPr="00D37FDF">
          <w:rPr>
            <w:rFonts w:eastAsia="Times New Roman" w:cs="Arial"/>
            <w:i/>
            <w:color w:val="0000FF"/>
            <w:szCs w:val="24"/>
            <w:u w:val="single"/>
            <w:lang w:eastAsia="en-IN"/>
          </w:rPr>
          <w:t>https://www.jamessharp.co.uk/market-news/nestle-publish-2026-three-month-sales/</w:t>
        </w:r>
      </w:hyperlink>
      <w:r w:rsidRPr="00D37FDF">
        <w:rPr>
          <w:rFonts w:eastAsia="Times New Roman" w:cs="Arial"/>
          <w:i/>
          <w:szCs w:val="24"/>
          <w:lang w:eastAsia="en-IN"/>
        </w:rPr>
        <w:t xml:space="preserve"> [Accessed 21 Apr. 2026]. </w:t>
      </w:r>
    </w:p>
    <w:p w14:paraId="3228B397" w14:textId="77777777" w:rsidR="00233DD1" w:rsidRPr="00D37FDF" w:rsidRDefault="00233DD1" w:rsidP="0071465A">
      <w:pPr>
        <w:rPr>
          <w:rFonts w:cs="Arial"/>
          <w:i/>
          <w:szCs w:val="24"/>
          <w:lang w:eastAsia="en-IN"/>
        </w:rPr>
      </w:pPr>
      <w:r w:rsidRPr="00D37FDF">
        <w:rPr>
          <w:rFonts w:cs="Arial"/>
          <w:i/>
          <w:szCs w:val="24"/>
          <w:lang w:eastAsia="en-IN"/>
        </w:rPr>
        <w:t xml:space="preserve">Johnson, G., Scholes, K. and Whittington, R. (2020) Exploring Corporate Strategy. Pearson </w:t>
      </w:r>
      <w:r w:rsidRPr="00D37FDF">
        <w:rPr>
          <w:rFonts w:eastAsia="Times New Roman" w:cs="Arial"/>
          <w:i/>
          <w:szCs w:val="24"/>
          <w:lang w:eastAsia="en-IN"/>
        </w:rPr>
        <w:t>[Accessed 12 Apr 2026].</w:t>
      </w:r>
      <w:r w:rsidRPr="00D37FDF">
        <w:rPr>
          <w:rFonts w:cs="Arial"/>
          <w:i/>
          <w:szCs w:val="24"/>
          <w:lang w:eastAsia="en-IN"/>
        </w:rPr>
        <w:t xml:space="preserve"> </w:t>
      </w:r>
    </w:p>
    <w:p w14:paraId="329C255E"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Kaplan, R.S. and Norton, D.P. (1992). The Balanced Scorecard: Measures that Drive Performance. </w:t>
      </w:r>
      <w:r w:rsidRPr="00D37FDF">
        <w:rPr>
          <w:rFonts w:eastAsia="Times New Roman" w:cs="Arial"/>
          <w:i/>
          <w:iCs/>
          <w:szCs w:val="24"/>
          <w:lang w:eastAsia="en-IN"/>
        </w:rPr>
        <w:t>Harvard Business Review</w:t>
      </w:r>
      <w:r w:rsidRPr="00D37FDF">
        <w:rPr>
          <w:rFonts w:eastAsia="Times New Roman" w:cs="Arial"/>
          <w:i/>
          <w:szCs w:val="24"/>
          <w:lang w:eastAsia="en-IN"/>
        </w:rPr>
        <w:t>, 70(1), pp. 71–79. [Accessed 22 Apr. 2026].</w:t>
      </w:r>
    </w:p>
    <w:p w14:paraId="2B525D2B" w14:textId="77777777" w:rsidR="00233DD1" w:rsidRPr="00D37FDF" w:rsidRDefault="00233DD1" w:rsidP="0071465A">
      <w:pPr>
        <w:rPr>
          <w:rFonts w:cs="Arial"/>
          <w:i/>
          <w:szCs w:val="24"/>
          <w:lang w:eastAsia="en-IN"/>
        </w:rPr>
      </w:pPr>
      <w:r w:rsidRPr="00D37FDF">
        <w:rPr>
          <w:rFonts w:cs="Arial"/>
          <w:i/>
          <w:szCs w:val="24"/>
          <w:lang w:eastAsia="en-IN"/>
        </w:rPr>
        <w:t xml:space="preserve">Nestlé (2024a) History of Nestlé. Available at: </w:t>
      </w:r>
      <w:hyperlink r:id="rId17" w:tgtFrame="_new" w:history="1">
        <w:r w:rsidRPr="00D37FDF">
          <w:rPr>
            <w:rFonts w:cs="Arial"/>
            <w:i/>
            <w:color w:val="0000FF"/>
            <w:szCs w:val="24"/>
            <w:u w:val="single"/>
            <w:lang w:eastAsia="en-IN"/>
          </w:rPr>
          <w:t>https://www.nestle.com/about/history</w:t>
        </w:r>
      </w:hyperlink>
      <w:r w:rsidRPr="00D37FDF">
        <w:rPr>
          <w:rFonts w:cs="Arial"/>
          <w:i/>
          <w:szCs w:val="24"/>
          <w:lang w:eastAsia="en-IN"/>
        </w:rPr>
        <w:t xml:space="preserve"> </w:t>
      </w:r>
      <w:r w:rsidRPr="00D37FDF">
        <w:rPr>
          <w:rFonts w:eastAsia="Times New Roman" w:cs="Arial"/>
          <w:i/>
          <w:szCs w:val="24"/>
          <w:lang w:eastAsia="en-IN"/>
        </w:rPr>
        <w:t>[Accessed 12 Apr. 2026].</w:t>
      </w:r>
    </w:p>
    <w:p w14:paraId="11CD022E" w14:textId="77777777" w:rsidR="00233DD1" w:rsidRPr="00D37FDF" w:rsidRDefault="00233DD1" w:rsidP="0071465A">
      <w:pPr>
        <w:rPr>
          <w:rFonts w:eastAsia="Times New Roman" w:cs="Arial"/>
          <w:i/>
          <w:szCs w:val="24"/>
          <w:lang w:eastAsia="en-IN"/>
        </w:rPr>
      </w:pPr>
      <w:r w:rsidRPr="00D37FDF">
        <w:rPr>
          <w:rFonts w:cs="Arial"/>
          <w:i/>
          <w:szCs w:val="24"/>
          <w:lang w:eastAsia="en-IN"/>
        </w:rPr>
        <w:t xml:space="preserve">Nestlé (2024b) About us. Available at: </w:t>
      </w:r>
      <w:hyperlink r:id="rId18" w:tgtFrame="_new" w:history="1">
        <w:r w:rsidRPr="00D37FDF">
          <w:rPr>
            <w:rFonts w:cs="Arial"/>
            <w:i/>
            <w:color w:val="0000FF"/>
            <w:szCs w:val="24"/>
            <w:u w:val="single"/>
            <w:lang w:eastAsia="en-IN"/>
          </w:rPr>
          <w:t>https://www.nestle.com/aboutus</w:t>
        </w:r>
      </w:hyperlink>
      <w:r w:rsidRPr="00D37FDF">
        <w:rPr>
          <w:rFonts w:cs="Arial"/>
          <w:i/>
          <w:szCs w:val="24"/>
          <w:lang w:eastAsia="en-IN"/>
        </w:rPr>
        <w:t xml:space="preserve"> </w:t>
      </w:r>
      <w:r w:rsidRPr="00D37FDF">
        <w:rPr>
          <w:rFonts w:eastAsia="Times New Roman" w:cs="Arial"/>
          <w:i/>
          <w:szCs w:val="24"/>
          <w:lang w:eastAsia="en-IN"/>
        </w:rPr>
        <w:t>[Accessed 15 Apr. 2026].</w:t>
      </w:r>
    </w:p>
    <w:p w14:paraId="00D96419" w14:textId="77777777" w:rsidR="00233DD1" w:rsidRPr="00D37FDF" w:rsidRDefault="00233DD1" w:rsidP="0071465A">
      <w:pPr>
        <w:rPr>
          <w:rFonts w:cs="Arial"/>
          <w:i/>
          <w:szCs w:val="24"/>
          <w:lang w:eastAsia="en-IN"/>
        </w:rPr>
      </w:pPr>
      <w:r w:rsidRPr="00D37FDF">
        <w:rPr>
          <w:rFonts w:cs="Arial"/>
          <w:i/>
          <w:szCs w:val="24"/>
          <w:lang w:eastAsia="en-IN"/>
        </w:rPr>
        <w:t xml:space="preserve">Nestlé (2024c) Our strategy and business model. Available at: </w:t>
      </w:r>
      <w:hyperlink r:id="rId19" w:tgtFrame="_new" w:history="1">
        <w:r w:rsidRPr="00D37FDF">
          <w:rPr>
            <w:rFonts w:cs="Arial"/>
            <w:i/>
            <w:color w:val="0000FF"/>
            <w:szCs w:val="24"/>
            <w:u w:val="single"/>
            <w:lang w:eastAsia="en-IN"/>
          </w:rPr>
          <w:t>https://www.nestle.com/about/strategy</w:t>
        </w:r>
      </w:hyperlink>
      <w:r w:rsidRPr="00D37FDF">
        <w:rPr>
          <w:rFonts w:cs="Arial"/>
          <w:i/>
          <w:szCs w:val="24"/>
          <w:lang w:eastAsia="en-IN"/>
        </w:rPr>
        <w:t xml:space="preserve"> </w:t>
      </w:r>
      <w:r w:rsidRPr="00D37FDF">
        <w:rPr>
          <w:rFonts w:eastAsia="Times New Roman" w:cs="Arial"/>
          <w:i/>
          <w:szCs w:val="24"/>
          <w:lang w:eastAsia="en-IN"/>
        </w:rPr>
        <w:t>[Accessed 15 Apr. 2026].</w:t>
      </w:r>
    </w:p>
    <w:p w14:paraId="2EE1CE34"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Nestlé MENA. (2026). </w:t>
      </w:r>
      <w:r w:rsidRPr="00D37FDF">
        <w:rPr>
          <w:rFonts w:eastAsia="Times New Roman" w:cs="Arial"/>
          <w:i/>
          <w:iCs/>
          <w:szCs w:val="24"/>
          <w:lang w:eastAsia="en-IN"/>
        </w:rPr>
        <w:t>Full-year Results 2025 and Strategic Update</w:t>
      </w:r>
      <w:r w:rsidRPr="00D37FDF">
        <w:rPr>
          <w:rFonts w:eastAsia="Times New Roman" w:cs="Arial"/>
          <w:i/>
          <w:szCs w:val="24"/>
          <w:lang w:eastAsia="en-IN"/>
        </w:rPr>
        <w:t xml:space="preserve">. Available at: </w:t>
      </w:r>
      <w:hyperlink r:id="rId20" w:tgtFrame="_blank" w:history="1">
        <w:r w:rsidRPr="00D37FDF">
          <w:rPr>
            <w:rFonts w:eastAsia="Times New Roman" w:cs="Arial"/>
            <w:i/>
            <w:color w:val="0000FF"/>
            <w:szCs w:val="24"/>
            <w:u w:val="single"/>
            <w:lang w:eastAsia="en-IN"/>
          </w:rPr>
          <w:t>https://www.nestle-mena.com/en/media/pressreleases/allpressreleases/full-year-results-2025-strategic-update</w:t>
        </w:r>
      </w:hyperlink>
      <w:r w:rsidRPr="00D37FDF">
        <w:rPr>
          <w:rFonts w:eastAsia="Times New Roman" w:cs="Arial"/>
          <w:i/>
          <w:szCs w:val="24"/>
          <w:lang w:eastAsia="en-IN"/>
        </w:rPr>
        <w:t xml:space="preserve"> [Accessed 21 Apr. 2026].</w:t>
      </w:r>
    </w:p>
    <w:p w14:paraId="34704280"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Nestlé Professional. (2026). </w:t>
      </w:r>
      <w:r w:rsidRPr="00D37FDF">
        <w:rPr>
          <w:rFonts w:eastAsia="Times New Roman" w:cs="Arial"/>
          <w:i/>
          <w:iCs/>
          <w:szCs w:val="24"/>
          <w:lang w:eastAsia="en-IN"/>
        </w:rPr>
        <w:t>Sustainability at Nestlé: Regenerative food systems</w:t>
      </w:r>
      <w:r w:rsidRPr="00D37FDF">
        <w:rPr>
          <w:rFonts w:eastAsia="Times New Roman" w:cs="Arial"/>
          <w:i/>
          <w:szCs w:val="24"/>
          <w:lang w:eastAsia="en-IN"/>
        </w:rPr>
        <w:t xml:space="preserve">. Available at: </w:t>
      </w:r>
      <w:hyperlink r:id="rId21" w:tgtFrame="_blank" w:history="1">
        <w:r w:rsidRPr="00D37FDF">
          <w:rPr>
            <w:rFonts w:eastAsia="Times New Roman" w:cs="Arial"/>
            <w:i/>
            <w:color w:val="0000FF"/>
            <w:szCs w:val="24"/>
            <w:u w:val="single"/>
            <w:lang w:eastAsia="en-IN"/>
          </w:rPr>
          <w:t>https://www.nestleprofessional.co.uk/sustainability</w:t>
        </w:r>
      </w:hyperlink>
      <w:r w:rsidRPr="00D37FDF">
        <w:rPr>
          <w:rFonts w:eastAsia="Times New Roman" w:cs="Arial"/>
          <w:i/>
          <w:szCs w:val="24"/>
          <w:lang w:eastAsia="en-IN"/>
        </w:rPr>
        <w:t xml:space="preserve"> [Accessed 22 Apr. 2026].</w:t>
      </w:r>
    </w:p>
    <w:p w14:paraId="51B40539" w14:textId="73F1D6ED"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Nestlé S.A. (2026</w:t>
      </w:r>
      <w:r w:rsidR="00F951A5">
        <w:rPr>
          <w:rFonts w:eastAsia="Times New Roman" w:cs="Arial"/>
          <w:i/>
          <w:szCs w:val="24"/>
          <w:lang w:eastAsia="en-IN"/>
        </w:rPr>
        <w:t>d</w:t>
      </w:r>
      <w:r w:rsidRPr="00D37FDF">
        <w:rPr>
          <w:rFonts w:eastAsia="Times New Roman" w:cs="Arial"/>
          <w:i/>
          <w:szCs w:val="24"/>
          <w:lang w:eastAsia="en-IN"/>
        </w:rPr>
        <w:t xml:space="preserve">). </w:t>
      </w:r>
      <w:r w:rsidRPr="00D37FDF">
        <w:rPr>
          <w:rFonts w:eastAsia="Times New Roman" w:cs="Arial"/>
          <w:i/>
          <w:iCs/>
          <w:szCs w:val="24"/>
          <w:lang w:eastAsia="en-IN"/>
        </w:rPr>
        <w:t>159th Annual General Meeting of Nestlé S.A. Speeches</w:t>
      </w:r>
      <w:r w:rsidRPr="00D37FDF">
        <w:rPr>
          <w:rFonts w:eastAsia="Times New Roman" w:cs="Arial"/>
          <w:i/>
          <w:szCs w:val="24"/>
          <w:lang w:eastAsia="en-IN"/>
        </w:rPr>
        <w:t xml:space="preserve">.  Available at: </w:t>
      </w:r>
      <w:hyperlink r:id="rId22" w:tgtFrame="_blank" w:history="1">
        <w:r w:rsidRPr="00D37FDF">
          <w:rPr>
            <w:rFonts w:eastAsia="Times New Roman" w:cs="Arial"/>
            <w:i/>
            <w:color w:val="0000FF"/>
            <w:szCs w:val="24"/>
            <w:u w:val="single"/>
            <w:lang w:eastAsia="en-IN"/>
          </w:rPr>
          <w:t>https://www.nestle.com/sites/default/files/2026-04/speeches-annual-general-meeting-2026-en.pdf</w:t>
        </w:r>
      </w:hyperlink>
      <w:r w:rsidRPr="00D37FDF">
        <w:rPr>
          <w:rFonts w:eastAsia="Times New Roman" w:cs="Arial"/>
          <w:i/>
          <w:szCs w:val="24"/>
          <w:lang w:eastAsia="en-IN"/>
        </w:rPr>
        <w:t xml:space="preserve"> [Accessed 18 Apr. 2026].</w:t>
      </w:r>
    </w:p>
    <w:p w14:paraId="5135BF0B" w14:textId="5C072441"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Nestlé S.A. (2026</w:t>
      </w:r>
      <w:r w:rsidR="00F951A5">
        <w:rPr>
          <w:rFonts w:eastAsia="Times New Roman" w:cs="Arial"/>
          <w:i/>
          <w:szCs w:val="24"/>
          <w:lang w:eastAsia="en-IN"/>
        </w:rPr>
        <w:t>c</w:t>
      </w:r>
      <w:r w:rsidRPr="00D37FDF">
        <w:rPr>
          <w:rFonts w:eastAsia="Times New Roman" w:cs="Arial"/>
          <w:i/>
          <w:szCs w:val="24"/>
          <w:lang w:eastAsia="en-IN"/>
        </w:rPr>
        <w:t xml:space="preserve">). </w:t>
      </w:r>
      <w:r w:rsidRPr="00D37FDF">
        <w:rPr>
          <w:rFonts w:eastAsia="Times New Roman" w:cs="Arial"/>
          <w:i/>
          <w:iCs/>
          <w:szCs w:val="24"/>
          <w:lang w:eastAsia="en-IN"/>
        </w:rPr>
        <w:t>Creating Shared Value at Nestlé - 2025 Report</w:t>
      </w:r>
      <w:r w:rsidRPr="00D37FDF">
        <w:rPr>
          <w:rFonts w:eastAsia="Times New Roman" w:cs="Arial"/>
          <w:i/>
          <w:szCs w:val="24"/>
          <w:lang w:eastAsia="en-IN"/>
        </w:rPr>
        <w:t xml:space="preserve">. Available at: </w:t>
      </w:r>
      <w:hyperlink r:id="rId23" w:tgtFrame="_blank" w:history="1">
        <w:r w:rsidRPr="00D37FDF">
          <w:rPr>
            <w:rFonts w:eastAsia="Times New Roman" w:cs="Arial"/>
            <w:i/>
            <w:color w:val="0000FF"/>
            <w:szCs w:val="24"/>
            <w:u w:val="single"/>
            <w:lang w:eastAsia="en-IN"/>
          </w:rPr>
          <w:t>https://www.nestle.com/sites/default/files/2026-02/creating-shared-value-nestle-2025.pdf</w:t>
        </w:r>
      </w:hyperlink>
      <w:r w:rsidRPr="00D37FDF">
        <w:rPr>
          <w:rFonts w:eastAsia="Times New Roman" w:cs="Arial"/>
          <w:i/>
          <w:szCs w:val="24"/>
          <w:lang w:eastAsia="en-IN"/>
        </w:rPr>
        <w:t xml:space="preserve"> [Accessed 28 Apr. 2026].</w:t>
      </w:r>
    </w:p>
    <w:p w14:paraId="15EEE862" w14:textId="31CF3D16" w:rsidR="00233DD1" w:rsidRPr="00D37FDF" w:rsidRDefault="00233DD1" w:rsidP="0071465A">
      <w:pPr>
        <w:pStyle w:val="NormalWeb"/>
        <w:spacing w:line="360" w:lineRule="auto"/>
        <w:rPr>
          <w:rFonts w:ascii="Arial" w:hAnsi="Arial" w:cs="Arial"/>
          <w:i/>
        </w:rPr>
      </w:pPr>
      <w:r w:rsidRPr="00D37FDF">
        <w:rPr>
          <w:rFonts w:ascii="Arial" w:hAnsi="Arial" w:cs="Arial"/>
          <w:i/>
        </w:rPr>
        <w:t>Nestlé S.A. (2026</w:t>
      </w:r>
      <w:r w:rsidR="00F951A5">
        <w:rPr>
          <w:rFonts w:ascii="Arial" w:hAnsi="Arial" w:cs="Arial"/>
          <w:i/>
        </w:rPr>
        <w:t>d</w:t>
      </w:r>
      <w:r w:rsidRPr="00D37FDF">
        <w:rPr>
          <w:rFonts w:ascii="Arial" w:hAnsi="Arial" w:cs="Arial"/>
          <w:i/>
        </w:rPr>
        <w:t xml:space="preserve">). </w:t>
      </w:r>
      <w:r w:rsidRPr="00D37FDF">
        <w:rPr>
          <w:rFonts w:ascii="Arial" w:hAnsi="Arial" w:cs="Arial"/>
          <w:i/>
          <w:iCs/>
        </w:rPr>
        <w:t>Full-Year Results 2025 Press Release: Accelerating our Strategy</w:t>
      </w:r>
      <w:r w:rsidRPr="00D37FDF">
        <w:rPr>
          <w:rFonts w:ascii="Arial" w:hAnsi="Arial" w:cs="Arial"/>
          <w:i/>
        </w:rPr>
        <w:t xml:space="preserve">. Available at: </w:t>
      </w:r>
      <w:hyperlink r:id="rId24" w:tgtFrame="_blank" w:history="1">
        <w:r w:rsidRPr="00D37FDF">
          <w:rPr>
            <w:rStyle w:val="Hyperlink"/>
            <w:rFonts w:ascii="Arial" w:hAnsi="Arial" w:cs="Arial"/>
            <w:i/>
          </w:rPr>
          <w:t>https://www.nestle.com/sites/default/files/2026-02/full-year-results-press-release-2025-en.pdf</w:t>
        </w:r>
      </w:hyperlink>
      <w:r w:rsidRPr="00D37FDF">
        <w:rPr>
          <w:rFonts w:ascii="Arial" w:hAnsi="Arial" w:cs="Arial"/>
          <w:i/>
        </w:rPr>
        <w:t xml:space="preserve"> [Accessed 28 Apr. 2026].</w:t>
      </w:r>
    </w:p>
    <w:p w14:paraId="0955B3D9"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Nestlé S.A. (2026a). </w:t>
      </w:r>
      <w:r w:rsidRPr="00D37FDF">
        <w:rPr>
          <w:rFonts w:eastAsia="Times New Roman" w:cs="Arial"/>
          <w:i/>
          <w:iCs/>
          <w:szCs w:val="24"/>
          <w:lang w:eastAsia="en-IN"/>
        </w:rPr>
        <w:t>Our strategy: Focused growth platforms</w:t>
      </w:r>
      <w:r w:rsidRPr="00D37FDF">
        <w:rPr>
          <w:rFonts w:eastAsia="Times New Roman" w:cs="Arial"/>
          <w:i/>
          <w:szCs w:val="24"/>
          <w:lang w:eastAsia="en-IN"/>
        </w:rPr>
        <w:t xml:space="preserve">. Available at: </w:t>
      </w:r>
      <w:hyperlink r:id="rId25" w:tgtFrame="_blank" w:history="1">
        <w:r w:rsidRPr="00D37FDF">
          <w:rPr>
            <w:rFonts w:eastAsia="Times New Roman" w:cs="Arial"/>
            <w:i/>
            <w:color w:val="0000FF"/>
            <w:szCs w:val="24"/>
            <w:u w:val="single"/>
            <w:lang w:eastAsia="en-IN"/>
          </w:rPr>
          <w:t>https://www.nestle.com/investors/overview/strategy</w:t>
        </w:r>
      </w:hyperlink>
      <w:r w:rsidRPr="00D37FDF">
        <w:rPr>
          <w:rFonts w:eastAsia="Times New Roman" w:cs="Arial"/>
          <w:i/>
          <w:szCs w:val="24"/>
          <w:lang w:eastAsia="en-IN"/>
        </w:rPr>
        <w:t xml:space="preserve"> [Accessed 21 Apr. 2026]. </w:t>
      </w:r>
    </w:p>
    <w:p w14:paraId="37E140CF" w14:textId="77777777" w:rsidR="00233DD1" w:rsidRPr="00D37FDF" w:rsidRDefault="00233DD1" w:rsidP="0071465A">
      <w:pPr>
        <w:pStyle w:val="NormalWeb"/>
        <w:spacing w:line="360" w:lineRule="auto"/>
        <w:rPr>
          <w:rFonts w:ascii="Arial" w:hAnsi="Arial" w:cs="Arial"/>
          <w:i/>
        </w:rPr>
      </w:pPr>
      <w:r w:rsidRPr="00D37FDF">
        <w:rPr>
          <w:rFonts w:ascii="Arial" w:hAnsi="Arial" w:cs="Arial"/>
          <w:i/>
        </w:rPr>
        <w:t xml:space="preserve">Nestlé S.A. (2026b). </w:t>
      </w:r>
      <w:r w:rsidRPr="00D37FDF">
        <w:rPr>
          <w:rFonts w:ascii="Arial" w:hAnsi="Arial" w:cs="Arial"/>
          <w:i/>
          <w:iCs/>
        </w:rPr>
        <w:t>Annual Review 2025: Driving Organic Sales Growth</w:t>
      </w:r>
      <w:r w:rsidRPr="00D37FDF">
        <w:rPr>
          <w:rFonts w:ascii="Arial" w:hAnsi="Arial" w:cs="Arial"/>
          <w:i/>
        </w:rPr>
        <w:t xml:space="preserve">. Available at: </w:t>
      </w:r>
      <w:hyperlink r:id="rId26" w:tgtFrame="_blank" w:history="1">
        <w:r w:rsidRPr="00D37FDF">
          <w:rPr>
            <w:rStyle w:val="Hyperlink"/>
            <w:rFonts w:ascii="Arial" w:hAnsi="Arial" w:cs="Arial"/>
            <w:i/>
          </w:rPr>
          <w:t>https://www.nestle.com/sites/default/files/2026-02/annual-review-2025-en.pdf</w:t>
        </w:r>
      </w:hyperlink>
      <w:r w:rsidRPr="00D37FDF">
        <w:rPr>
          <w:rFonts w:ascii="Arial" w:hAnsi="Arial" w:cs="Arial"/>
          <w:i/>
        </w:rPr>
        <w:t xml:space="preserve"> [Accessed 28 Apr. 2026].</w:t>
      </w:r>
    </w:p>
    <w:p w14:paraId="65DDDAB6" w14:textId="6E65C7C0"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Nestlé S.A. (2026</w:t>
      </w:r>
      <w:r w:rsidR="00F951A5">
        <w:rPr>
          <w:rFonts w:eastAsia="Times New Roman" w:cs="Arial"/>
          <w:i/>
          <w:szCs w:val="24"/>
          <w:lang w:eastAsia="en-IN"/>
        </w:rPr>
        <w:t>e</w:t>
      </w:r>
      <w:r w:rsidRPr="00D37FDF">
        <w:rPr>
          <w:rFonts w:eastAsia="Times New Roman" w:cs="Arial"/>
          <w:i/>
          <w:szCs w:val="24"/>
          <w:lang w:eastAsia="en-IN"/>
        </w:rPr>
        <w:t xml:space="preserve">). </w:t>
      </w:r>
      <w:r w:rsidRPr="00D37FDF">
        <w:rPr>
          <w:rFonts w:eastAsia="Times New Roman" w:cs="Arial"/>
          <w:i/>
          <w:iCs/>
          <w:szCs w:val="24"/>
          <w:lang w:eastAsia="en-IN"/>
        </w:rPr>
        <w:t>Environmental, social, and governance (ESG) and sustainability performance indicators.</w:t>
      </w:r>
      <w:r w:rsidRPr="00D37FDF">
        <w:rPr>
          <w:rFonts w:eastAsia="Times New Roman" w:cs="Arial"/>
          <w:i/>
          <w:szCs w:val="24"/>
          <w:lang w:eastAsia="en-IN"/>
        </w:rPr>
        <w:t xml:space="preserve"> Available at: </w:t>
      </w:r>
      <w:hyperlink r:id="rId27" w:tgtFrame="_blank" w:history="1">
        <w:r w:rsidRPr="00D37FDF">
          <w:rPr>
            <w:rFonts w:eastAsia="Times New Roman" w:cs="Arial"/>
            <w:i/>
            <w:color w:val="0000FF"/>
            <w:szCs w:val="24"/>
            <w:u w:val="single"/>
            <w:lang w:eastAsia="en-IN"/>
          </w:rPr>
          <w:t>https://www.nestle.com/investors/environmental-social-governance-sustainability</w:t>
        </w:r>
      </w:hyperlink>
      <w:r w:rsidRPr="00D37FDF">
        <w:rPr>
          <w:rFonts w:eastAsia="Times New Roman" w:cs="Arial"/>
          <w:i/>
          <w:szCs w:val="24"/>
          <w:lang w:eastAsia="en-IN"/>
        </w:rPr>
        <w:t xml:space="preserve"> [Accessed 28 Apr. 2026].</w:t>
      </w:r>
    </w:p>
    <w:p w14:paraId="4210CF45" w14:textId="74F4EF0A"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Nestlé S.A. (2026</w:t>
      </w:r>
      <w:r w:rsidR="00F951A5">
        <w:rPr>
          <w:rFonts w:eastAsia="Times New Roman" w:cs="Arial"/>
          <w:i/>
          <w:szCs w:val="24"/>
          <w:lang w:eastAsia="en-IN"/>
        </w:rPr>
        <w:t>f</w:t>
      </w:r>
      <w:r w:rsidRPr="00D37FDF">
        <w:rPr>
          <w:rFonts w:eastAsia="Times New Roman" w:cs="Arial"/>
          <w:i/>
          <w:szCs w:val="24"/>
          <w:lang w:eastAsia="en-IN"/>
        </w:rPr>
        <w:t xml:space="preserve">). </w:t>
      </w:r>
      <w:r w:rsidRPr="00D37FDF">
        <w:rPr>
          <w:rFonts w:eastAsia="Times New Roman" w:cs="Arial"/>
          <w:i/>
          <w:iCs/>
          <w:szCs w:val="24"/>
          <w:lang w:eastAsia="en-IN"/>
        </w:rPr>
        <w:t>Accelerating our business transformation: Digital empowered structures</w:t>
      </w:r>
      <w:r w:rsidRPr="00D37FDF">
        <w:rPr>
          <w:rFonts w:eastAsia="Times New Roman" w:cs="Arial"/>
          <w:i/>
          <w:szCs w:val="24"/>
          <w:lang w:eastAsia="en-IN"/>
        </w:rPr>
        <w:t xml:space="preserve"> Available at: </w:t>
      </w:r>
      <w:hyperlink r:id="rId28" w:tgtFrame="_blank" w:history="1">
        <w:r w:rsidRPr="00D37FDF">
          <w:rPr>
            <w:rFonts w:eastAsia="Times New Roman" w:cs="Arial"/>
            <w:i/>
            <w:color w:val="0000FF"/>
            <w:szCs w:val="24"/>
            <w:u w:val="single"/>
            <w:lang w:eastAsia="en-IN"/>
          </w:rPr>
          <w:t>https://www.nestle.com/investors/annual-report/executing-strategy/accelerating-business-transformation</w:t>
        </w:r>
      </w:hyperlink>
      <w:r w:rsidRPr="00D37FDF">
        <w:rPr>
          <w:rFonts w:eastAsia="Times New Roman" w:cs="Arial"/>
          <w:i/>
          <w:szCs w:val="24"/>
          <w:lang w:eastAsia="en-IN"/>
        </w:rPr>
        <w:t xml:space="preserve"> [Accessed 23 Apr. 2026].</w:t>
      </w:r>
    </w:p>
    <w:p w14:paraId="19EC6A0D" w14:textId="77777777" w:rsidR="00233DD1" w:rsidRPr="00D37FDF" w:rsidRDefault="00233DD1" w:rsidP="0071465A">
      <w:pPr>
        <w:rPr>
          <w:rFonts w:cs="Arial"/>
          <w:i/>
          <w:szCs w:val="24"/>
        </w:rPr>
      </w:pPr>
      <w:r w:rsidRPr="00D37FDF">
        <w:rPr>
          <w:rFonts w:cs="Arial"/>
          <w:i/>
          <w:szCs w:val="24"/>
        </w:rPr>
        <w:t xml:space="preserve">Osterwalder, A. and Pigneur, Y. (2010) </w:t>
      </w:r>
      <w:r w:rsidRPr="00D37FDF">
        <w:rPr>
          <w:rStyle w:val="Emphasis"/>
          <w:rFonts w:cs="Arial"/>
          <w:szCs w:val="24"/>
        </w:rPr>
        <w:t>Business Model Generation</w:t>
      </w:r>
      <w:r w:rsidRPr="00D37FDF">
        <w:rPr>
          <w:rFonts w:cs="Arial"/>
          <w:i/>
          <w:szCs w:val="24"/>
        </w:rPr>
        <w:t xml:space="preserve">. Hoboken, NJ: John Wiley &amp; Sons </w:t>
      </w:r>
      <w:r w:rsidRPr="00D37FDF">
        <w:rPr>
          <w:rFonts w:eastAsia="Times New Roman" w:cs="Arial"/>
          <w:i/>
          <w:szCs w:val="24"/>
          <w:lang w:eastAsia="en-IN"/>
        </w:rPr>
        <w:t>[Accessed 12 Apr. 2026].</w:t>
      </w:r>
    </w:p>
    <w:p w14:paraId="1DAD425A"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PitchGrade. (2026). </w:t>
      </w:r>
      <w:r w:rsidRPr="00D37FDF">
        <w:rPr>
          <w:rFonts w:eastAsia="Times New Roman" w:cs="Arial"/>
          <w:i/>
          <w:iCs/>
          <w:szCs w:val="24"/>
          <w:lang w:eastAsia="en-IN"/>
        </w:rPr>
        <w:t>Nestlé: Business Model, SWOT Analysis, and Competitors 2026</w:t>
      </w:r>
      <w:r w:rsidRPr="00D37FDF">
        <w:rPr>
          <w:rFonts w:eastAsia="Times New Roman" w:cs="Arial"/>
          <w:i/>
          <w:szCs w:val="24"/>
          <w:lang w:eastAsia="en-IN"/>
        </w:rPr>
        <w:t xml:space="preserve">.  Available at: </w:t>
      </w:r>
      <w:hyperlink r:id="rId29" w:tgtFrame="_blank" w:history="1">
        <w:r w:rsidRPr="00D37FDF">
          <w:rPr>
            <w:rFonts w:eastAsia="Times New Roman" w:cs="Arial"/>
            <w:i/>
            <w:color w:val="0000FF"/>
            <w:szCs w:val="24"/>
            <w:u w:val="single"/>
            <w:lang w:eastAsia="en-IN"/>
          </w:rPr>
          <w:t>https://pitchgrade.com/companies/nestle</w:t>
        </w:r>
      </w:hyperlink>
      <w:r w:rsidRPr="00D37FDF">
        <w:rPr>
          <w:rFonts w:eastAsia="Times New Roman" w:cs="Arial"/>
          <w:i/>
          <w:szCs w:val="24"/>
          <w:lang w:eastAsia="en-IN"/>
        </w:rPr>
        <w:t xml:space="preserve"> [Accessed 18 Apr. 2026].</w:t>
      </w:r>
    </w:p>
    <w:p w14:paraId="1AD73111" w14:textId="77777777" w:rsidR="00233DD1" w:rsidRPr="00D37FDF" w:rsidRDefault="00233DD1" w:rsidP="0071465A">
      <w:pPr>
        <w:rPr>
          <w:rFonts w:eastAsia="Times New Roman" w:cs="Arial"/>
          <w:i/>
          <w:szCs w:val="24"/>
          <w:lang w:eastAsia="en-IN"/>
        </w:rPr>
      </w:pPr>
      <w:r w:rsidRPr="00D37FDF">
        <w:rPr>
          <w:rFonts w:cs="Arial"/>
          <w:i/>
          <w:szCs w:val="24"/>
          <w:lang w:eastAsia="en-IN"/>
        </w:rPr>
        <w:t xml:space="preserve">Porter, M.E. and Kramer, M.R. (2019) Creating Shared Value. Harvard Business Review </w:t>
      </w:r>
      <w:r w:rsidRPr="00D37FDF">
        <w:rPr>
          <w:rFonts w:eastAsia="Times New Roman" w:cs="Arial"/>
          <w:i/>
          <w:szCs w:val="24"/>
          <w:lang w:eastAsia="en-IN"/>
        </w:rPr>
        <w:t>[Accessed 2 Apr. 2026].</w:t>
      </w:r>
    </w:p>
    <w:p w14:paraId="3709335D"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ResearchGate. (2025). </w:t>
      </w:r>
      <w:r w:rsidRPr="00D37FDF">
        <w:rPr>
          <w:rFonts w:eastAsia="Times New Roman" w:cs="Arial"/>
          <w:i/>
          <w:iCs/>
          <w:szCs w:val="24"/>
          <w:lang w:eastAsia="en-IN"/>
        </w:rPr>
        <w:t>Nestlé’s Nestlé Cocoa Plan: Creating Shared Value Through Sustainable Cocoa Sourcing: A Case Study</w:t>
      </w:r>
      <w:r w:rsidRPr="00D37FDF">
        <w:rPr>
          <w:rFonts w:eastAsia="Times New Roman" w:cs="Arial"/>
          <w:i/>
          <w:szCs w:val="24"/>
          <w:lang w:eastAsia="en-IN"/>
        </w:rPr>
        <w:t xml:space="preserve">. Available at: </w:t>
      </w:r>
      <w:hyperlink r:id="rId30" w:tgtFrame="_blank" w:history="1">
        <w:r w:rsidRPr="00D37FDF">
          <w:rPr>
            <w:rFonts w:eastAsia="Times New Roman" w:cs="Arial"/>
            <w:i/>
            <w:color w:val="0000FF"/>
            <w:szCs w:val="24"/>
            <w:u w:val="single"/>
            <w:lang w:eastAsia="en-IN"/>
          </w:rPr>
          <w:t>https://www.researchgate.net/publication/398668016_Nestle's_Nestle_Cocoa_Plan_Creating_Shared_Value_Through_Sustainable_Cocoa_Sourcing_A_Case_Study</w:t>
        </w:r>
      </w:hyperlink>
      <w:r w:rsidRPr="00D37FDF">
        <w:rPr>
          <w:rFonts w:eastAsia="Times New Roman" w:cs="Arial"/>
          <w:i/>
          <w:szCs w:val="24"/>
          <w:lang w:eastAsia="en-IN"/>
        </w:rPr>
        <w:t xml:space="preserve"> [Accessed 26 Apr. 2026].</w:t>
      </w:r>
    </w:p>
    <w:p w14:paraId="7704411C" w14:textId="53F2501F" w:rsidR="00233DD1" w:rsidRPr="00D37FDF" w:rsidRDefault="00F951A5"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RetailDetail</w:t>
      </w:r>
      <w:r w:rsidR="00233DD1" w:rsidRPr="00D37FDF">
        <w:rPr>
          <w:rFonts w:eastAsia="Times New Roman" w:cs="Arial"/>
          <w:i/>
          <w:szCs w:val="24"/>
          <w:lang w:eastAsia="en-IN"/>
        </w:rPr>
        <w:t xml:space="preserve">. (2026). </w:t>
      </w:r>
      <w:r w:rsidR="00233DD1" w:rsidRPr="00D37FDF">
        <w:rPr>
          <w:rFonts w:eastAsia="Times New Roman" w:cs="Arial"/>
          <w:i/>
          <w:iCs/>
          <w:szCs w:val="24"/>
          <w:lang w:eastAsia="en-IN"/>
        </w:rPr>
        <w:t>Nestlé's restructuring plan is taking shape in France and Germany</w:t>
      </w:r>
      <w:r w:rsidR="00233DD1" w:rsidRPr="00D37FDF">
        <w:rPr>
          <w:rFonts w:eastAsia="Times New Roman" w:cs="Arial"/>
          <w:i/>
          <w:szCs w:val="24"/>
          <w:lang w:eastAsia="en-IN"/>
        </w:rPr>
        <w:t xml:space="preserve">.] Available at: </w:t>
      </w:r>
      <w:hyperlink r:id="rId31" w:tgtFrame="_blank" w:history="1">
        <w:r w:rsidR="00233DD1" w:rsidRPr="00D37FDF">
          <w:rPr>
            <w:rFonts w:eastAsia="Times New Roman" w:cs="Arial"/>
            <w:i/>
            <w:color w:val="0000FF"/>
            <w:szCs w:val="24"/>
            <w:u w:val="single"/>
            <w:lang w:eastAsia="en-IN"/>
          </w:rPr>
          <w:t>https://www.retaildetail.eu/news/food/nestles-restructuring-plan-is-taking-shape-in-france-and-germany/</w:t>
        </w:r>
      </w:hyperlink>
      <w:r w:rsidR="00233DD1" w:rsidRPr="00D37FDF">
        <w:rPr>
          <w:rFonts w:eastAsia="Times New Roman" w:cs="Arial"/>
          <w:i/>
          <w:szCs w:val="24"/>
          <w:lang w:eastAsia="en-IN"/>
        </w:rPr>
        <w:t xml:space="preserve"> [Accessed 13 Apr. 2026]. </w:t>
      </w:r>
    </w:p>
    <w:p w14:paraId="7942D690"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Singh, P. et al. (2021). A Study on Nestle Promotion Strategy. </w:t>
      </w:r>
      <w:r w:rsidRPr="00D37FDF">
        <w:rPr>
          <w:rFonts w:eastAsia="Times New Roman" w:cs="Arial"/>
          <w:i/>
          <w:iCs/>
          <w:szCs w:val="24"/>
          <w:lang w:eastAsia="en-IN"/>
        </w:rPr>
        <w:t>International Journal of Accounting &amp; Finance in Asia Pacific</w:t>
      </w:r>
      <w:r w:rsidRPr="00D37FDF">
        <w:rPr>
          <w:rFonts w:eastAsia="Times New Roman" w:cs="Arial"/>
          <w:i/>
          <w:szCs w:val="24"/>
          <w:lang w:eastAsia="en-IN"/>
        </w:rPr>
        <w:t>, 4(1), pp. 60–70. doi:10.32535/ijafap.v4i1.1033.</w:t>
      </w:r>
    </w:p>
    <w:p w14:paraId="142E5B36"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Skema Knowledge. (2026). </w:t>
      </w:r>
      <w:r w:rsidRPr="00D37FDF">
        <w:rPr>
          <w:rFonts w:eastAsia="Times New Roman" w:cs="Arial"/>
          <w:i/>
          <w:iCs/>
          <w:szCs w:val="24"/>
          <w:lang w:eastAsia="en-IN"/>
        </w:rPr>
        <w:t>Nestlé’s Strategic Lesson: Why Sometimes the Best Decision Is to Sell a Business</w:t>
      </w:r>
      <w:r w:rsidRPr="00D37FDF">
        <w:rPr>
          <w:rFonts w:eastAsia="Times New Roman" w:cs="Arial"/>
          <w:i/>
          <w:szCs w:val="24"/>
          <w:lang w:eastAsia="en-IN"/>
        </w:rPr>
        <w:t xml:space="preserve"> Available at: </w:t>
      </w:r>
      <w:hyperlink r:id="rId32" w:tgtFrame="_blank" w:history="1">
        <w:r w:rsidRPr="00D37FDF">
          <w:rPr>
            <w:rFonts w:eastAsia="Times New Roman" w:cs="Arial"/>
            <w:i/>
            <w:color w:val="0000FF"/>
            <w:szCs w:val="24"/>
            <w:u w:val="single"/>
            <w:lang w:eastAsia="en-IN"/>
          </w:rPr>
          <w:t>https://knowledge.skema.edu/nestle-portfolio-coherence-corporate-endurance/</w:t>
        </w:r>
      </w:hyperlink>
      <w:r w:rsidRPr="00D37FDF">
        <w:rPr>
          <w:rFonts w:eastAsia="Times New Roman" w:cs="Arial"/>
          <w:i/>
          <w:szCs w:val="24"/>
          <w:lang w:eastAsia="en-IN"/>
        </w:rPr>
        <w:t xml:space="preserve"> [Accessed 26 Apr. 2026].</w:t>
      </w:r>
    </w:p>
    <w:p w14:paraId="7D85A5B3" w14:textId="77777777" w:rsidR="00233DD1" w:rsidRPr="00D37FDF" w:rsidRDefault="00233DD1" w:rsidP="0071465A">
      <w:pPr>
        <w:rPr>
          <w:rFonts w:cs="Arial"/>
          <w:i/>
          <w:szCs w:val="24"/>
          <w:lang w:eastAsia="en-IN"/>
        </w:rPr>
      </w:pPr>
      <w:r w:rsidRPr="00D37FDF">
        <w:rPr>
          <w:rFonts w:cs="Arial"/>
          <w:i/>
          <w:szCs w:val="24"/>
          <w:lang w:eastAsia="en-IN"/>
        </w:rPr>
        <w:t xml:space="preserve">Statista (2024a) Global food and beverage market overview </w:t>
      </w:r>
      <w:r w:rsidRPr="00D37FDF">
        <w:rPr>
          <w:rFonts w:eastAsia="Times New Roman" w:cs="Arial"/>
          <w:i/>
          <w:szCs w:val="24"/>
          <w:lang w:eastAsia="en-IN"/>
        </w:rPr>
        <w:t>[Accessed 15 Apr. 2026].</w:t>
      </w:r>
    </w:p>
    <w:p w14:paraId="0B32B998" w14:textId="77777777" w:rsidR="00233DD1" w:rsidRPr="00D37FDF" w:rsidRDefault="00233DD1" w:rsidP="0071465A">
      <w:pPr>
        <w:rPr>
          <w:rFonts w:cs="Arial"/>
          <w:i/>
          <w:szCs w:val="24"/>
          <w:lang w:eastAsia="en-IN"/>
        </w:rPr>
      </w:pPr>
      <w:r w:rsidRPr="00D37FDF">
        <w:rPr>
          <w:rFonts w:cs="Arial"/>
          <w:i/>
          <w:szCs w:val="24"/>
          <w:lang w:eastAsia="en-IN"/>
        </w:rPr>
        <w:t xml:space="preserve">Statista (2024b) Largest food companies by revenue worldwide </w:t>
      </w:r>
      <w:r w:rsidRPr="00D37FDF">
        <w:rPr>
          <w:rFonts w:eastAsia="Times New Roman" w:cs="Arial"/>
          <w:i/>
          <w:szCs w:val="24"/>
          <w:lang w:eastAsia="en-IN"/>
        </w:rPr>
        <w:t>[Accessed 15 Apr. 2026].</w:t>
      </w:r>
    </w:p>
    <w:p w14:paraId="3406AF8C"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Supply Chain Digital. (2026). </w:t>
      </w:r>
      <w:r w:rsidRPr="00D37FDF">
        <w:rPr>
          <w:rFonts w:eastAsia="Times New Roman" w:cs="Arial"/>
          <w:i/>
          <w:iCs/>
          <w:szCs w:val="24"/>
          <w:lang w:eastAsia="en-IN"/>
        </w:rPr>
        <w:t>Inside Nestlé's Strategy to Simplify its Supply Chains</w:t>
      </w:r>
      <w:r w:rsidRPr="00D37FDF">
        <w:rPr>
          <w:rFonts w:eastAsia="Times New Roman" w:cs="Arial"/>
          <w:i/>
          <w:szCs w:val="24"/>
          <w:lang w:eastAsia="en-IN"/>
        </w:rPr>
        <w:t xml:space="preserve">. Available at: </w:t>
      </w:r>
      <w:hyperlink r:id="rId33" w:tgtFrame="_blank" w:history="1">
        <w:r w:rsidRPr="00D37FDF">
          <w:rPr>
            <w:rFonts w:eastAsia="Times New Roman" w:cs="Arial"/>
            <w:i/>
            <w:color w:val="0000FF"/>
            <w:szCs w:val="24"/>
            <w:u w:val="single"/>
            <w:lang w:eastAsia="en-IN"/>
          </w:rPr>
          <w:t>https://supplychaindigital.com/news/annual-report-inside-nestles-global-supply-chain-overhaul</w:t>
        </w:r>
      </w:hyperlink>
      <w:r w:rsidRPr="00D37FDF">
        <w:rPr>
          <w:rFonts w:eastAsia="Times New Roman" w:cs="Arial"/>
          <w:i/>
          <w:szCs w:val="24"/>
          <w:lang w:eastAsia="en-IN"/>
        </w:rPr>
        <w:t xml:space="preserve"> [Accessed 26 Apr. 2026].</w:t>
      </w:r>
    </w:p>
    <w:p w14:paraId="34AF19BF" w14:textId="77777777" w:rsidR="00233DD1" w:rsidRPr="00D37FDF" w:rsidRDefault="00233DD1" w:rsidP="0071465A">
      <w:pPr>
        <w:spacing w:before="100" w:beforeAutospacing="1" w:after="100" w:afterAutospacing="1"/>
        <w:rPr>
          <w:rFonts w:eastAsia="Times New Roman" w:cs="Arial"/>
          <w:i/>
          <w:szCs w:val="24"/>
          <w:lang w:eastAsia="en-IN"/>
        </w:rPr>
      </w:pPr>
      <w:r w:rsidRPr="00D37FDF">
        <w:rPr>
          <w:rFonts w:eastAsia="Times New Roman" w:cs="Arial"/>
          <w:i/>
          <w:szCs w:val="24"/>
          <w:lang w:eastAsia="en-IN"/>
        </w:rPr>
        <w:t xml:space="preserve">Sustainability Magazine. (2026). </w:t>
      </w:r>
      <w:r w:rsidRPr="00D37FDF">
        <w:rPr>
          <w:rFonts w:eastAsia="Times New Roman" w:cs="Arial"/>
          <w:i/>
          <w:iCs/>
          <w:szCs w:val="24"/>
          <w:lang w:eastAsia="en-IN"/>
        </w:rPr>
        <w:t>Nestlé’s Sustainability Push Drives Business Transformation</w:t>
      </w:r>
      <w:r w:rsidRPr="00D37FDF">
        <w:rPr>
          <w:rFonts w:eastAsia="Times New Roman" w:cs="Arial"/>
          <w:i/>
          <w:szCs w:val="24"/>
          <w:lang w:eastAsia="en-IN"/>
        </w:rPr>
        <w:t xml:space="preserve">.  Available at: </w:t>
      </w:r>
      <w:hyperlink r:id="rId34" w:tgtFrame="_blank" w:history="1">
        <w:r w:rsidRPr="00D37FDF">
          <w:rPr>
            <w:rFonts w:eastAsia="Times New Roman" w:cs="Arial"/>
            <w:i/>
            <w:color w:val="0000FF"/>
            <w:szCs w:val="24"/>
            <w:u w:val="single"/>
            <w:lang w:eastAsia="en-IN"/>
          </w:rPr>
          <w:t>https://sustainabilitymag.com/news/nestles-sustainability-push-drives-business-transformation</w:t>
        </w:r>
      </w:hyperlink>
      <w:r w:rsidRPr="00D37FDF">
        <w:rPr>
          <w:rFonts w:eastAsia="Times New Roman" w:cs="Arial"/>
          <w:i/>
          <w:szCs w:val="24"/>
          <w:lang w:eastAsia="en-IN"/>
        </w:rPr>
        <w:t xml:space="preserve"> [Accessed 28 Apr. 2026]. </w:t>
      </w:r>
    </w:p>
    <w:p w14:paraId="6C722040" w14:textId="246B241F" w:rsidR="00792478" w:rsidRPr="00F951A5" w:rsidRDefault="00233DD1" w:rsidP="00F951A5">
      <w:pPr>
        <w:pStyle w:val="NormalWeb"/>
        <w:spacing w:line="360" w:lineRule="auto"/>
        <w:rPr>
          <w:rFonts w:ascii="Arial" w:hAnsi="Arial" w:cs="Arial"/>
          <w:i/>
        </w:rPr>
      </w:pPr>
      <w:r w:rsidRPr="00F951A5">
        <w:rPr>
          <w:rFonts w:ascii="Arial" w:hAnsi="Arial" w:cs="Arial"/>
        </w:rPr>
        <w:t>SWI swissinfo.ch. (2026).</w:t>
      </w:r>
      <w:r w:rsidRPr="00D37FDF">
        <w:rPr>
          <w:rFonts w:ascii="Arial" w:hAnsi="Arial" w:cs="Arial"/>
          <w:i/>
        </w:rPr>
        <w:t xml:space="preserve"> </w:t>
      </w:r>
      <w:r w:rsidRPr="00D37FDF">
        <w:rPr>
          <w:rFonts w:ascii="Arial" w:hAnsi="Arial" w:cs="Arial"/>
          <w:i/>
          <w:iCs/>
        </w:rPr>
        <w:t>New Nestlé boss plots strategic overhaul to reignite growth</w:t>
      </w:r>
      <w:r w:rsidRPr="00D37FDF">
        <w:rPr>
          <w:rFonts w:ascii="Arial" w:hAnsi="Arial" w:cs="Arial"/>
          <w:i/>
        </w:rPr>
        <w:t xml:space="preserve">.  Available at: </w:t>
      </w:r>
      <w:hyperlink r:id="rId35" w:tgtFrame="_blank" w:history="1">
        <w:r w:rsidRPr="00D37FDF">
          <w:rPr>
            <w:rStyle w:val="Hyperlink"/>
            <w:rFonts w:ascii="Arial" w:hAnsi="Arial" w:cs="Arial"/>
            <w:i/>
          </w:rPr>
          <w:t>https://www.swissinfo.ch/eng/workplace/new-nestl%C3%A9-boss-plots-strategic-overhaul-to-reignite-growth/90885984</w:t>
        </w:r>
      </w:hyperlink>
      <w:r w:rsidRPr="00D37FDF">
        <w:rPr>
          <w:rFonts w:ascii="Arial" w:hAnsi="Arial" w:cs="Arial"/>
          <w:i/>
        </w:rPr>
        <w:t xml:space="preserve"> [Accessed 28 Apr. 2026].</w:t>
      </w:r>
    </w:p>
    <w:p w14:paraId="714C2A90" w14:textId="77777777" w:rsidR="00792478" w:rsidRPr="00D37FDF" w:rsidRDefault="00792478" w:rsidP="00792478">
      <w:pPr>
        <w:rPr>
          <w:rFonts w:cs="Arial"/>
          <w:szCs w:val="24"/>
        </w:rPr>
      </w:pPr>
    </w:p>
    <w:p w14:paraId="1209C522" w14:textId="77777777" w:rsidR="00792478" w:rsidRPr="00D37FDF" w:rsidRDefault="00792478" w:rsidP="00792478">
      <w:pPr>
        <w:rPr>
          <w:rFonts w:cs="Arial"/>
          <w:szCs w:val="24"/>
        </w:rPr>
      </w:pPr>
    </w:p>
    <w:p w14:paraId="1BDC75B5" w14:textId="77777777" w:rsidR="00792478" w:rsidRPr="00D37FDF" w:rsidRDefault="00792478" w:rsidP="00792478">
      <w:pPr>
        <w:rPr>
          <w:rFonts w:cs="Arial"/>
          <w:szCs w:val="24"/>
        </w:rPr>
      </w:pPr>
    </w:p>
    <w:p w14:paraId="739C57C0" w14:textId="77777777" w:rsidR="00792478" w:rsidRPr="00D37FDF" w:rsidRDefault="00792478" w:rsidP="00792478">
      <w:pPr>
        <w:rPr>
          <w:rFonts w:cs="Arial"/>
          <w:szCs w:val="24"/>
        </w:rPr>
      </w:pPr>
    </w:p>
    <w:p w14:paraId="4FDF4707" w14:textId="77777777" w:rsidR="00792478" w:rsidRPr="00D37FDF" w:rsidRDefault="00792478" w:rsidP="00792478">
      <w:pPr>
        <w:rPr>
          <w:rFonts w:cs="Arial"/>
          <w:szCs w:val="24"/>
          <w:lang w:val="en-US"/>
        </w:rPr>
      </w:pPr>
    </w:p>
    <w:sectPr w:rsidR="00792478" w:rsidRPr="00D37FDF">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03513" w14:textId="77777777" w:rsidR="00C70C9C" w:rsidRPr="00333C4C" w:rsidRDefault="00C70C9C" w:rsidP="00FE2691">
      <w:pPr>
        <w:spacing w:after="0" w:line="240" w:lineRule="auto"/>
      </w:pPr>
      <w:r w:rsidRPr="00333C4C">
        <w:separator/>
      </w:r>
    </w:p>
  </w:endnote>
  <w:endnote w:type="continuationSeparator" w:id="0">
    <w:p w14:paraId="16051763" w14:textId="77777777" w:rsidR="00C70C9C" w:rsidRPr="00333C4C" w:rsidRDefault="00C70C9C" w:rsidP="00FE2691">
      <w:pPr>
        <w:spacing w:after="0" w:line="240" w:lineRule="auto"/>
      </w:pPr>
      <w:r w:rsidRPr="00333C4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611172"/>
      <w:docPartObj>
        <w:docPartGallery w:val="Page Numbers (Bottom of Page)"/>
        <w:docPartUnique/>
      </w:docPartObj>
    </w:sdtPr>
    <w:sdtEndPr/>
    <w:sdtContent>
      <w:p w14:paraId="4DA4EB02" w14:textId="77777777" w:rsidR="00FE2691" w:rsidRPr="00333C4C" w:rsidRDefault="00FE2691">
        <w:pPr>
          <w:pStyle w:val="Footer"/>
          <w:jc w:val="center"/>
        </w:pPr>
        <w:r w:rsidRPr="00333C4C">
          <w:fldChar w:fldCharType="begin"/>
        </w:r>
        <w:r w:rsidRPr="00333C4C">
          <w:instrText xml:space="preserve"> PAGE   \* MERGEFORMAT </w:instrText>
        </w:r>
        <w:r w:rsidRPr="00333C4C">
          <w:fldChar w:fldCharType="separate"/>
        </w:r>
        <w:r w:rsidR="00B77882" w:rsidRPr="00333C4C">
          <w:t>20</w:t>
        </w:r>
        <w:r w:rsidRPr="00333C4C">
          <w:fldChar w:fldCharType="end"/>
        </w:r>
      </w:p>
    </w:sdtContent>
  </w:sdt>
  <w:p w14:paraId="4AD877A1" w14:textId="77777777" w:rsidR="00FE2691" w:rsidRPr="00333C4C" w:rsidRDefault="00FE2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2E23B" w14:textId="77777777" w:rsidR="00C70C9C" w:rsidRPr="00333C4C" w:rsidRDefault="00C70C9C" w:rsidP="00FE2691">
      <w:pPr>
        <w:spacing w:after="0" w:line="240" w:lineRule="auto"/>
      </w:pPr>
      <w:r w:rsidRPr="00333C4C">
        <w:separator/>
      </w:r>
    </w:p>
  </w:footnote>
  <w:footnote w:type="continuationSeparator" w:id="0">
    <w:p w14:paraId="07F9DA60" w14:textId="77777777" w:rsidR="00C70C9C" w:rsidRPr="00333C4C" w:rsidRDefault="00C70C9C" w:rsidP="00FE2691">
      <w:pPr>
        <w:spacing w:after="0" w:line="240" w:lineRule="auto"/>
      </w:pPr>
      <w:r w:rsidRPr="00333C4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34196"/>
    <w:multiLevelType w:val="hybridMultilevel"/>
    <w:tmpl w:val="D0D04C70"/>
    <w:lvl w:ilvl="0" w:tplc="71B0F88E">
      <w:numFmt w:val="bullet"/>
      <w:lvlText w:val="•"/>
      <w:lvlJc w:val="left"/>
      <w:pPr>
        <w:ind w:left="1080" w:hanging="360"/>
      </w:pPr>
      <w:rPr>
        <w:rFonts w:ascii="Times New Roman" w:eastAsia="Times New Roman"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76E35BA"/>
    <w:multiLevelType w:val="hybridMultilevel"/>
    <w:tmpl w:val="D4FC5254"/>
    <w:lvl w:ilvl="0" w:tplc="71B0F88E">
      <w:numFmt w:val="bullet"/>
      <w:lvlText w:val="•"/>
      <w:lvlJc w:val="left"/>
      <w:pPr>
        <w:ind w:left="1080" w:hanging="360"/>
      </w:pPr>
      <w:rPr>
        <w:rFonts w:ascii="Times New Roman" w:eastAsia="Times New Roman"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 w15:restartNumberingAfterBreak="0">
    <w:nsid w:val="4F2B7761"/>
    <w:multiLevelType w:val="hybridMultilevel"/>
    <w:tmpl w:val="4DAC2396"/>
    <w:lvl w:ilvl="0" w:tplc="71B0F88E">
      <w:numFmt w:val="bullet"/>
      <w:lvlText w:val="•"/>
      <w:lvlJc w:val="left"/>
      <w:pPr>
        <w:ind w:left="1080" w:hanging="360"/>
      </w:pPr>
      <w:rPr>
        <w:rFonts w:ascii="Times New Roman" w:eastAsia="Times New Roman"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5E2A40B4"/>
    <w:multiLevelType w:val="hybridMultilevel"/>
    <w:tmpl w:val="D256A8C6"/>
    <w:lvl w:ilvl="0" w:tplc="71B0F88E">
      <w:numFmt w:val="bullet"/>
      <w:lvlText w:val="•"/>
      <w:lvlJc w:val="left"/>
      <w:pPr>
        <w:ind w:left="1080" w:hanging="360"/>
      </w:pPr>
      <w:rPr>
        <w:rFonts w:ascii="Times New Roman" w:eastAsia="Times New Roman"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61850531"/>
    <w:multiLevelType w:val="hybridMultilevel"/>
    <w:tmpl w:val="B85E6456"/>
    <w:lvl w:ilvl="0" w:tplc="71B0F88E">
      <w:numFmt w:val="bullet"/>
      <w:lvlText w:val="•"/>
      <w:lvlJc w:val="left"/>
      <w:pPr>
        <w:ind w:left="1080" w:hanging="360"/>
      </w:pPr>
      <w:rPr>
        <w:rFonts w:ascii="Times New Roman" w:eastAsia="Times New Roman" w:hAnsi="Times New Roman" w:cs="Times New Roman"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16cid:durableId="299924931">
    <w:abstractNumId w:val="1"/>
  </w:num>
  <w:num w:numId="2" w16cid:durableId="1048870036">
    <w:abstractNumId w:val="4"/>
  </w:num>
  <w:num w:numId="3" w16cid:durableId="922689675">
    <w:abstractNumId w:val="2"/>
  </w:num>
  <w:num w:numId="4" w16cid:durableId="1077440081">
    <w:abstractNumId w:val="3"/>
  </w:num>
  <w:num w:numId="5" w16cid:durableId="172270643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2478"/>
    <w:rsid w:val="00000C17"/>
    <w:rsid w:val="00021DD5"/>
    <w:rsid w:val="00041698"/>
    <w:rsid w:val="00060C9E"/>
    <w:rsid w:val="0009231E"/>
    <w:rsid w:val="000F0453"/>
    <w:rsid w:val="00100CA4"/>
    <w:rsid w:val="00141BE3"/>
    <w:rsid w:val="0015681E"/>
    <w:rsid w:val="00165B31"/>
    <w:rsid w:val="00194521"/>
    <w:rsid w:val="001B6384"/>
    <w:rsid w:val="001C7360"/>
    <w:rsid w:val="00222082"/>
    <w:rsid w:val="00233DD1"/>
    <w:rsid w:val="00246E31"/>
    <w:rsid w:val="00254584"/>
    <w:rsid w:val="00293929"/>
    <w:rsid w:val="002B27A0"/>
    <w:rsid w:val="002C7A05"/>
    <w:rsid w:val="00321605"/>
    <w:rsid w:val="00324BA8"/>
    <w:rsid w:val="00333C4C"/>
    <w:rsid w:val="00356E14"/>
    <w:rsid w:val="003644CE"/>
    <w:rsid w:val="00383465"/>
    <w:rsid w:val="003D173C"/>
    <w:rsid w:val="003E2266"/>
    <w:rsid w:val="003F49B6"/>
    <w:rsid w:val="004250CD"/>
    <w:rsid w:val="00430932"/>
    <w:rsid w:val="0046180A"/>
    <w:rsid w:val="004A59B9"/>
    <w:rsid w:val="004B68DE"/>
    <w:rsid w:val="004B698F"/>
    <w:rsid w:val="004C0B26"/>
    <w:rsid w:val="004C5963"/>
    <w:rsid w:val="00503E6C"/>
    <w:rsid w:val="00505FF3"/>
    <w:rsid w:val="00573A65"/>
    <w:rsid w:val="005856C0"/>
    <w:rsid w:val="005A0779"/>
    <w:rsid w:val="005E1CC7"/>
    <w:rsid w:val="00614B14"/>
    <w:rsid w:val="006602F6"/>
    <w:rsid w:val="00670CCF"/>
    <w:rsid w:val="0067299B"/>
    <w:rsid w:val="0069299F"/>
    <w:rsid w:val="006C4923"/>
    <w:rsid w:val="006F0105"/>
    <w:rsid w:val="0071465A"/>
    <w:rsid w:val="007516FB"/>
    <w:rsid w:val="00774E5A"/>
    <w:rsid w:val="00785142"/>
    <w:rsid w:val="00792478"/>
    <w:rsid w:val="007A0885"/>
    <w:rsid w:val="007B1769"/>
    <w:rsid w:val="007E48B3"/>
    <w:rsid w:val="007F794C"/>
    <w:rsid w:val="00843C18"/>
    <w:rsid w:val="00885C2C"/>
    <w:rsid w:val="00904168"/>
    <w:rsid w:val="009540AD"/>
    <w:rsid w:val="009F5E22"/>
    <w:rsid w:val="00A314BC"/>
    <w:rsid w:val="00A5461D"/>
    <w:rsid w:val="00A576DA"/>
    <w:rsid w:val="00AA76E5"/>
    <w:rsid w:val="00AB3D59"/>
    <w:rsid w:val="00AC399A"/>
    <w:rsid w:val="00AC5FCA"/>
    <w:rsid w:val="00AD11F8"/>
    <w:rsid w:val="00B1216C"/>
    <w:rsid w:val="00B1280B"/>
    <w:rsid w:val="00B13A55"/>
    <w:rsid w:val="00B30573"/>
    <w:rsid w:val="00B453DF"/>
    <w:rsid w:val="00B72CD0"/>
    <w:rsid w:val="00B77882"/>
    <w:rsid w:val="00B87031"/>
    <w:rsid w:val="00BD04FF"/>
    <w:rsid w:val="00BD2163"/>
    <w:rsid w:val="00BD6B80"/>
    <w:rsid w:val="00C33F7E"/>
    <w:rsid w:val="00C51CB2"/>
    <w:rsid w:val="00C51D80"/>
    <w:rsid w:val="00C548F1"/>
    <w:rsid w:val="00C60E91"/>
    <w:rsid w:val="00C70C9C"/>
    <w:rsid w:val="00D1713B"/>
    <w:rsid w:val="00D2737B"/>
    <w:rsid w:val="00D37FDF"/>
    <w:rsid w:val="00D8510A"/>
    <w:rsid w:val="00DD3719"/>
    <w:rsid w:val="00DF6977"/>
    <w:rsid w:val="00DF7CFE"/>
    <w:rsid w:val="00E5634D"/>
    <w:rsid w:val="00E6031D"/>
    <w:rsid w:val="00E84BFD"/>
    <w:rsid w:val="00EA4BFF"/>
    <w:rsid w:val="00EA679B"/>
    <w:rsid w:val="00F24CA1"/>
    <w:rsid w:val="00F27388"/>
    <w:rsid w:val="00F36C01"/>
    <w:rsid w:val="00F45019"/>
    <w:rsid w:val="00F53D15"/>
    <w:rsid w:val="00F81659"/>
    <w:rsid w:val="00F951A5"/>
    <w:rsid w:val="00FB25F0"/>
    <w:rsid w:val="00FB695B"/>
    <w:rsid w:val="00FE269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1651"/>
  <w15:chartTrackingRefBased/>
  <w15:docId w15:val="{F7497CB8-DA64-47AB-B045-8079A703E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51A5"/>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041698"/>
    <w:pPr>
      <w:keepNext/>
      <w:keepLines/>
      <w:spacing w:before="240" w:after="0"/>
      <w:jc w:val="left"/>
      <w:outlineLvl w:val="0"/>
    </w:pPr>
    <w:rPr>
      <w:rFonts w:eastAsiaTheme="majorEastAsia" w:cs="Arial"/>
      <w:b/>
      <w:szCs w:val="32"/>
    </w:rPr>
  </w:style>
  <w:style w:type="paragraph" w:styleId="Heading2">
    <w:name w:val="heading 2"/>
    <w:basedOn w:val="Normal"/>
    <w:next w:val="Normal"/>
    <w:link w:val="Heading2Char"/>
    <w:autoRedefine/>
    <w:uiPriority w:val="9"/>
    <w:unhideWhenUsed/>
    <w:qFormat/>
    <w:rsid w:val="00B87031"/>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670CCF"/>
    <w:pPr>
      <w:keepNext/>
      <w:keepLines/>
      <w:spacing w:before="40" w:after="0"/>
      <w:outlineLvl w:val="2"/>
    </w:pPr>
    <w:rPr>
      <w:rFonts w:eastAsiaTheme="majorEastAsia" w:cstheme="majorBidi"/>
      <w:b/>
      <w:color w:val="000000" w:themeColor="text1"/>
      <w:szCs w:val="24"/>
      <w:lang w:val="en-US"/>
    </w:rPr>
  </w:style>
  <w:style w:type="paragraph" w:styleId="Heading4">
    <w:name w:val="heading 4"/>
    <w:basedOn w:val="Normal"/>
    <w:next w:val="Normal"/>
    <w:link w:val="Heading4Char"/>
    <w:uiPriority w:val="9"/>
    <w:semiHidden/>
    <w:unhideWhenUsed/>
    <w:qFormat/>
    <w:rsid w:val="005856C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698"/>
    <w:rPr>
      <w:rFonts w:ascii="Arial" w:eastAsiaTheme="majorEastAsia" w:hAnsi="Arial" w:cs="Arial"/>
      <w:b/>
      <w:sz w:val="24"/>
      <w:szCs w:val="32"/>
      <w:lang w:val="en-GB"/>
    </w:rPr>
  </w:style>
  <w:style w:type="paragraph" w:styleId="ListParagraph">
    <w:name w:val="List Paragraph"/>
    <w:basedOn w:val="Normal"/>
    <w:uiPriority w:val="34"/>
    <w:qFormat/>
    <w:rsid w:val="00792478"/>
    <w:pPr>
      <w:ind w:left="720"/>
      <w:contextualSpacing/>
    </w:pPr>
  </w:style>
  <w:style w:type="character" w:styleId="Emphasis">
    <w:name w:val="Emphasis"/>
    <w:basedOn w:val="DefaultParagraphFont"/>
    <w:uiPriority w:val="20"/>
    <w:qFormat/>
    <w:rsid w:val="00C548F1"/>
    <w:rPr>
      <w:i/>
      <w:iCs/>
    </w:rPr>
  </w:style>
  <w:style w:type="character" w:styleId="Strong">
    <w:name w:val="Strong"/>
    <w:basedOn w:val="DefaultParagraphFont"/>
    <w:uiPriority w:val="22"/>
    <w:qFormat/>
    <w:rsid w:val="00AC5FCA"/>
    <w:rPr>
      <w:b/>
      <w:bCs/>
    </w:rPr>
  </w:style>
  <w:style w:type="paragraph" w:styleId="NormalWeb">
    <w:name w:val="Normal (Web)"/>
    <w:basedOn w:val="Normal"/>
    <w:uiPriority w:val="99"/>
    <w:unhideWhenUsed/>
    <w:rsid w:val="00AC5FCA"/>
    <w:pPr>
      <w:spacing w:before="100" w:beforeAutospacing="1" w:after="100" w:afterAutospacing="1" w:line="240" w:lineRule="auto"/>
    </w:pPr>
    <w:rPr>
      <w:rFonts w:ascii="Times New Roman" w:eastAsia="Times New Roman" w:hAnsi="Times New Roman" w:cs="Times New Roman"/>
      <w:szCs w:val="24"/>
      <w:lang w:eastAsia="en-IN"/>
    </w:rPr>
  </w:style>
  <w:style w:type="character" w:styleId="Hyperlink">
    <w:name w:val="Hyperlink"/>
    <w:basedOn w:val="DefaultParagraphFont"/>
    <w:uiPriority w:val="99"/>
    <w:unhideWhenUsed/>
    <w:rsid w:val="00AC5FCA"/>
    <w:rPr>
      <w:color w:val="0000FF"/>
      <w:u w:val="single"/>
    </w:rPr>
  </w:style>
  <w:style w:type="character" w:customStyle="1" w:styleId="Heading2Char">
    <w:name w:val="Heading 2 Char"/>
    <w:basedOn w:val="DefaultParagraphFont"/>
    <w:link w:val="Heading2"/>
    <w:uiPriority w:val="9"/>
    <w:rsid w:val="00B87031"/>
    <w:rPr>
      <w:rFonts w:ascii="Arial" w:eastAsiaTheme="majorEastAsia" w:hAnsi="Arial" w:cstheme="majorBidi"/>
      <w:b/>
      <w:color w:val="000000" w:themeColor="text1"/>
      <w:sz w:val="24"/>
      <w:szCs w:val="26"/>
    </w:rPr>
  </w:style>
  <w:style w:type="paragraph" w:styleId="TOCHeading">
    <w:name w:val="TOC Heading"/>
    <w:basedOn w:val="Heading1"/>
    <w:next w:val="Normal"/>
    <w:uiPriority w:val="39"/>
    <w:unhideWhenUsed/>
    <w:qFormat/>
    <w:rsid w:val="002C7A05"/>
    <w:pPr>
      <w:outlineLvl w:val="9"/>
    </w:pPr>
    <w:rPr>
      <w:lang w:val="en-US"/>
    </w:rPr>
  </w:style>
  <w:style w:type="paragraph" w:styleId="TOC1">
    <w:name w:val="toc 1"/>
    <w:basedOn w:val="Normal"/>
    <w:next w:val="Normal"/>
    <w:autoRedefine/>
    <w:uiPriority w:val="39"/>
    <w:unhideWhenUsed/>
    <w:rsid w:val="00670CCF"/>
    <w:pPr>
      <w:tabs>
        <w:tab w:val="right" w:leader="dot" w:pos="9016"/>
      </w:tabs>
      <w:spacing w:after="100"/>
    </w:pPr>
    <w:rPr>
      <w:rFonts w:cs="Arial"/>
      <w:noProof/>
      <w:szCs w:val="24"/>
    </w:rPr>
  </w:style>
  <w:style w:type="paragraph" w:styleId="TOC2">
    <w:name w:val="toc 2"/>
    <w:basedOn w:val="Normal"/>
    <w:next w:val="Normal"/>
    <w:autoRedefine/>
    <w:uiPriority w:val="39"/>
    <w:unhideWhenUsed/>
    <w:rsid w:val="002C7A05"/>
    <w:pPr>
      <w:spacing w:after="100"/>
      <w:ind w:left="220"/>
    </w:pPr>
  </w:style>
  <w:style w:type="character" w:customStyle="1" w:styleId="Heading4Char">
    <w:name w:val="Heading 4 Char"/>
    <w:basedOn w:val="DefaultParagraphFont"/>
    <w:link w:val="Heading4"/>
    <w:uiPriority w:val="9"/>
    <w:semiHidden/>
    <w:rsid w:val="005856C0"/>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FE2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691"/>
  </w:style>
  <w:style w:type="paragraph" w:styleId="Footer">
    <w:name w:val="footer"/>
    <w:basedOn w:val="Normal"/>
    <w:link w:val="FooterChar"/>
    <w:uiPriority w:val="99"/>
    <w:unhideWhenUsed/>
    <w:rsid w:val="00FE2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691"/>
  </w:style>
  <w:style w:type="paragraph" w:styleId="Caption">
    <w:name w:val="caption"/>
    <w:basedOn w:val="Normal"/>
    <w:next w:val="Normal"/>
    <w:uiPriority w:val="35"/>
    <w:unhideWhenUsed/>
    <w:qFormat/>
    <w:rsid w:val="00FE26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E2691"/>
    <w:pPr>
      <w:spacing w:after="0"/>
    </w:pPr>
  </w:style>
  <w:style w:type="character" w:customStyle="1" w:styleId="Heading3Char">
    <w:name w:val="Heading 3 Char"/>
    <w:basedOn w:val="DefaultParagraphFont"/>
    <w:link w:val="Heading3"/>
    <w:uiPriority w:val="9"/>
    <w:rsid w:val="00670CCF"/>
    <w:rPr>
      <w:rFonts w:ascii="Arial" w:eastAsiaTheme="majorEastAsia" w:hAnsi="Arial" w:cstheme="majorBidi"/>
      <w:b/>
      <w:color w:val="000000" w:themeColor="text1"/>
      <w:sz w:val="24"/>
      <w:szCs w:val="24"/>
      <w:lang w:val="en-US"/>
    </w:rPr>
  </w:style>
  <w:style w:type="table" w:styleId="PlainTable1">
    <w:name w:val="Plain Table 1"/>
    <w:basedOn w:val="TableNormal"/>
    <w:uiPriority w:val="41"/>
    <w:rsid w:val="00F8165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F8165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6C492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152817">
      <w:bodyDiv w:val="1"/>
      <w:marLeft w:val="0"/>
      <w:marRight w:val="0"/>
      <w:marTop w:val="0"/>
      <w:marBottom w:val="0"/>
      <w:divBdr>
        <w:top w:val="none" w:sz="0" w:space="0" w:color="auto"/>
        <w:left w:val="none" w:sz="0" w:space="0" w:color="auto"/>
        <w:bottom w:val="none" w:sz="0" w:space="0" w:color="auto"/>
        <w:right w:val="none" w:sz="0" w:space="0" w:color="auto"/>
      </w:divBdr>
      <w:divsChild>
        <w:div w:id="1587958126">
          <w:marLeft w:val="0"/>
          <w:marRight w:val="0"/>
          <w:marTop w:val="0"/>
          <w:marBottom w:val="0"/>
          <w:divBdr>
            <w:top w:val="none" w:sz="0" w:space="0" w:color="auto"/>
            <w:left w:val="none" w:sz="0" w:space="0" w:color="auto"/>
            <w:bottom w:val="none" w:sz="0" w:space="0" w:color="auto"/>
            <w:right w:val="none" w:sz="0" w:space="0" w:color="auto"/>
          </w:divBdr>
          <w:divsChild>
            <w:div w:id="504513490">
              <w:marLeft w:val="0"/>
              <w:marRight w:val="0"/>
              <w:marTop w:val="0"/>
              <w:marBottom w:val="0"/>
              <w:divBdr>
                <w:top w:val="none" w:sz="0" w:space="0" w:color="auto"/>
                <w:left w:val="none" w:sz="0" w:space="0" w:color="auto"/>
                <w:bottom w:val="none" w:sz="0" w:space="0" w:color="auto"/>
                <w:right w:val="none" w:sz="0" w:space="0" w:color="auto"/>
              </w:divBdr>
              <w:divsChild>
                <w:div w:id="101583143">
                  <w:marLeft w:val="0"/>
                  <w:marRight w:val="0"/>
                  <w:marTop w:val="0"/>
                  <w:marBottom w:val="0"/>
                  <w:divBdr>
                    <w:top w:val="none" w:sz="0" w:space="0" w:color="auto"/>
                    <w:left w:val="none" w:sz="0" w:space="0" w:color="auto"/>
                    <w:bottom w:val="none" w:sz="0" w:space="0" w:color="auto"/>
                    <w:right w:val="none" w:sz="0" w:space="0" w:color="auto"/>
                  </w:divBdr>
                  <w:divsChild>
                    <w:div w:id="186628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915984">
      <w:bodyDiv w:val="1"/>
      <w:marLeft w:val="0"/>
      <w:marRight w:val="0"/>
      <w:marTop w:val="0"/>
      <w:marBottom w:val="0"/>
      <w:divBdr>
        <w:top w:val="none" w:sz="0" w:space="0" w:color="auto"/>
        <w:left w:val="none" w:sz="0" w:space="0" w:color="auto"/>
        <w:bottom w:val="none" w:sz="0" w:space="0" w:color="auto"/>
        <w:right w:val="none" w:sz="0" w:space="0" w:color="auto"/>
      </w:divBdr>
    </w:div>
    <w:div w:id="611283051">
      <w:bodyDiv w:val="1"/>
      <w:marLeft w:val="0"/>
      <w:marRight w:val="0"/>
      <w:marTop w:val="0"/>
      <w:marBottom w:val="0"/>
      <w:divBdr>
        <w:top w:val="none" w:sz="0" w:space="0" w:color="auto"/>
        <w:left w:val="none" w:sz="0" w:space="0" w:color="auto"/>
        <w:bottom w:val="none" w:sz="0" w:space="0" w:color="auto"/>
        <w:right w:val="none" w:sz="0" w:space="0" w:color="auto"/>
      </w:divBdr>
    </w:div>
    <w:div w:id="895550928">
      <w:bodyDiv w:val="1"/>
      <w:marLeft w:val="0"/>
      <w:marRight w:val="0"/>
      <w:marTop w:val="0"/>
      <w:marBottom w:val="0"/>
      <w:divBdr>
        <w:top w:val="none" w:sz="0" w:space="0" w:color="auto"/>
        <w:left w:val="none" w:sz="0" w:space="0" w:color="auto"/>
        <w:bottom w:val="none" w:sz="0" w:space="0" w:color="auto"/>
        <w:right w:val="none" w:sz="0" w:space="0" w:color="auto"/>
      </w:divBdr>
    </w:div>
    <w:div w:id="972711659">
      <w:bodyDiv w:val="1"/>
      <w:marLeft w:val="0"/>
      <w:marRight w:val="0"/>
      <w:marTop w:val="0"/>
      <w:marBottom w:val="0"/>
      <w:divBdr>
        <w:top w:val="none" w:sz="0" w:space="0" w:color="auto"/>
        <w:left w:val="none" w:sz="0" w:space="0" w:color="auto"/>
        <w:bottom w:val="none" w:sz="0" w:space="0" w:color="auto"/>
        <w:right w:val="none" w:sz="0" w:space="0" w:color="auto"/>
      </w:divBdr>
      <w:divsChild>
        <w:div w:id="794448927">
          <w:marLeft w:val="0"/>
          <w:marRight w:val="0"/>
          <w:marTop w:val="0"/>
          <w:marBottom w:val="0"/>
          <w:divBdr>
            <w:top w:val="none" w:sz="0" w:space="0" w:color="auto"/>
            <w:left w:val="none" w:sz="0" w:space="0" w:color="auto"/>
            <w:bottom w:val="none" w:sz="0" w:space="0" w:color="auto"/>
            <w:right w:val="none" w:sz="0" w:space="0" w:color="auto"/>
          </w:divBdr>
          <w:divsChild>
            <w:div w:id="1765569529">
              <w:marLeft w:val="0"/>
              <w:marRight w:val="0"/>
              <w:marTop w:val="0"/>
              <w:marBottom w:val="0"/>
              <w:divBdr>
                <w:top w:val="none" w:sz="0" w:space="0" w:color="auto"/>
                <w:left w:val="none" w:sz="0" w:space="0" w:color="auto"/>
                <w:bottom w:val="none" w:sz="0" w:space="0" w:color="auto"/>
                <w:right w:val="none" w:sz="0" w:space="0" w:color="auto"/>
              </w:divBdr>
              <w:divsChild>
                <w:div w:id="207225539">
                  <w:marLeft w:val="0"/>
                  <w:marRight w:val="0"/>
                  <w:marTop w:val="0"/>
                  <w:marBottom w:val="0"/>
                  <w:divBdr>
                    <w:top w:val="none" w:sz="0" w:space="0" w:color="auto"/>
                    <w:left w:val="none" w:sz="0" w:space="0" w:color="auto"/>
                    <w:bottom w:val="none" w:sz="0" w:space="0" w:color="auto"/>
                    <w:right w:val="none" w:sz="0" w:space="0" w:color="auto"/>
                  </w:divBdr>
                  <w:divsChild>
                    <w:div w:id="159377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1343048">
      <w:bodyDiv w:val="1"/>
      <w:marLeft w:val="0"/>
      <w:marRight w:val="0"/>
      <w:marTop w:val="0"/>
      <w:marBottom w:val="0"/>
      <w:divBdr>
        <w:top w:val="none" w:sz="0" w:space="0" w:color="auto"/>
        <w:left w:val="none" w:sz="0" w:space="0" w:color="auto"/>
        <w:bottom w:val="none" w:sz="0" w:space="0" w:color="auto"/>
        <w:right w:val="none" w:sz="0" w:space="0" w:color="auto"/>
      </w:divBdr>
      <w:divsChild>
        <w:div w:id="209462554">
          <w:marLeft w:val="0"/>
          <w:marRight w:val="0"/>
          <w:marTop w:val="0"/>
          <w:marBottom w:val="0"/>
          <w:divBdr>
            <w:top w:val="none" w:sz="0" w:space="0" w:color="auto"/>
            <w:left w:val="none" w:sz="0" w:space="0" w:color="auto"/>
            <w:bottom w:val="none" w:sz="0" w:space="0" w:color="auto"/>
            <w:right w:val="none" w:sz="0" w:space="0" w:color="auto"/>
          </w:divBdr>
          <w:divsChild>
            <w:div w:id="1384600772">
              <w:marLeft w:val="0"/>
              <w:marRight w:val="0"/>
              <w:marTop w:val="0"/>
              <w:marBottom w:val="0"/>
              <w:divBdr>
                <w:top w:val="none" w:sz="0" w:space="0" w:color="auto"/>
                <w:left w:val="none" w:sz="0" w:space="0" w:color="auto"/>
                <w:bottom w:val="none" w:sz="0" w:space="0" w:color="auto"/>
                <w:right w:val="none" w:sz="0" w:space="0" w:color="auto"/>
              </w:divBdr>
              <w:divsChild>
                <w:div w:id="1501046785">
                  <w:marLeft w:val="0"/>
                  <w:marRight w:val="0"/>
                  <w:marTop w:val="0"/>
                  <w:marBottom w:val="0"/>
                  <w:divBdr>
                    <w:top w:val="none" w:sz="0" w:space="0" w:color="auto"/>
                    <w:left w:val="none" w:sz="0" w:space="0" w:color="auto"/>
                    <w:bottom w:val="none" w:sz="0" w:space="0" w:color="auto"/>
                    <w:right w:val="none" w:sz="0" w:space="0" w:color="auto"/>
                  </w:divBdr>
                  <w:divsChild>
                    <w:div w:id="34186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business-review.eu/business/nestle-group-announces-organic-growth-of-3-5-in-q1-2026-295787" TargetMode="External" /><Relationship Id="rId18" Type="http://schemas.openxmlformats.org/officeDocument/2006/relationships/hyperlink" Target="https://www.nestle.com/aboutus" TargetMode="External" /><Relationship Id="rId26" Type="http://schemas.openxmlformats.org/officeDocument/2006/relationships/hyperlink" Target="https://www.nestle.com/sites/default/files/2026-02/annual-review-2025-en.pdf" TargetMode="External" /><Relationship Id="rId3" Type="http://schemas.openxmlformats.org/officeDocument/2006/relationships/styles" Target="styles.xml" /><Relationship Id="rId21" Type="http://schemas.openxmlformats.org/officeDocument/2006/relationships/hyperlink" Target="https://www.nestleprofessional.co.uk/sustainability" TargetMode="External" /><Relationship Id="rId34" Type="http://schemas.openxmlformats.org/officeDocument/2006/relationships/hyperlink" Target="https://sustainabilitymag.com/news/nestles-sustainability-push-drives-business-transformation" TargetMode="External" /><Relationship Id="rId7" Type="http://schemas.openxmlformats.org/officeDocument/2006/relationships/endnotes" Target="endnotes.xml" /><Relationship Id="rId12" Type="http://schemas.openxmlformats.org/officeDocument/2006/relationships/hyperlink" Target="https://businesschief.com/news/how-is-nestles-ceo-strengthening-strategy-with-core-units" TargetMode="External" /><Relationship Id="rId17" Type="http://schemas.openxmlformats.org/officeDocument/2006/relationships/hyperlink" Target="https://www.nestle.com/about/history" TargetMode="External" /><Relationship Id="rId25" Type="http://schemas.openxmlformats.org/officeDocument/2006/relationships/hyperlink" Target="https://www.nestle.com/investors/overview/strategy" TargetMode="External" /><Relationship Id="rId33" Type="http://schemas.openxmlformats.org/officeDocument/2006/relationships/hyperlink" Target="https://supplychaindigital.com/news/annual-report-inside-nestles-global-supply-chain-overhaul" TargetMode="External"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jamessharp.co.uk/market-news/nestle-publish-2026-three-month-sales/" TargetMode="External" /><Relationship Id="rId20" Type="http://schemas.openxmlformats.org/officeDocument/2006/relationships/hyperlink" Target="https://www.nestle-mena.com/en/media/pressreleases/allpressreleases/full-year-results-2025-strategic-update" TargetMode="External" /><Relationship Id="rId29" Type="http://schemas.openxmlformats.org/officeDocument/2006/relationships/hyperlink" Target="https://pitchgrade.com/companies/nestle"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oardmix.com/analysis/nestle-mission-and-vision-statement-analysis/" TargetMode="External" /><Relationship Id="rId24" Type="http://schemas.openxmlformats.org/officeDocument/2006/relationships/hyperlink" Target="https://www.nestle.com/sites/default/files/2026-02/full-year-results-press-release-2025-en.pdf" TargetMode="External" /><Relationship Id="rId32" Type="http://schemas.openxmlformats.org/officeDocument/2006/relationships/hyperlink" Target="https://knowledge.skema.edu/nestle-portfolio-coherence-corporate-endurance/" TargetMode="External"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foodingredientsfirst.com/news/nestle-coffee-confectionery-growth-momentum.html" TargetMode="External" /><Relationship Id="rId23" Type="http://schemas.openxmlformats.org/officeDocument/2006/relationships/hyperlink" Target="https://www.nestle.com/sites/default/files/2026-02/creating-shared-value-nestle-2025.pdf" TargetMode="External" /><Relationship Id="rId28" Type="http://schemas.openxmlformats.org/officeDocument/2006/relationships/hyperlink" Target="https://www.nestle.com/investors/annual-report/executing-strategy/accelerating-business-transformation" TargetMode="External" /><Relationship Id="rId36" Type="http://schemas.openxmlformats.org/officeDocument/2006/relationships/footer" Target="footer1.xml" /><Relationship Id="rId10" Type="http://schemas.openxmlformats.org/officeDocument/2006/relationships/image" Target="media/image3.jpeg" /><Relationship Id="rId19" Type="http://schemas.openxmlformats.org/officeDocument/2006/relationships/hyperlink" Target="https://www.nestle.com/about/strategy" TargetMode="External" /><Relationship Id="rId31" Type="http://schemas.openxmlformats.org/officeDocument/2006/relationships/hyperlink" Target="https://www.retaildetail.eu/news/food/nestles-restructuring-plan-is-taking-shape-in-france-and-germany/"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www.businessgreen.com/news/4525946/nestle-exceeds-interim-emissions-target-2025" TargetMode="External" /><Relationship Id="rId22" Type="http://schemas.openxmlformats.org/officeDocument/2006/relationships/hyperlink" Target="https://www.nestle.com/sites/default/files/2026-04/speeches-annual-general-meeting-2026-en.pdf" TargetMode="External" /><Relationship Id="rId27" Type="http://schemas.openxmlformats.org/officeDocument/2006/relationships/hyperlink" Target="https://www.nestle.com/investors/environmental-social-governance-sustainability" TargetMode="External" /><Relationship Id="rId30" Type="http://schemas.openxmlformats.org/officeDocument/2006/relationships/hyperlink" Target="https://www.researchgate.net/publication/398668016_Nestle's_Nestle_Cocoa_Plan_Creating_Shared_Value_Through_Sustainable_Cocoa_Sourcing_A_Case_Study" TargetMode="External" /><Relationship Id="rId35" Type="http://schemas.openxmlformats.org/officeDocument/2006/relationships/hyperlink" Target="https://www.swissinfo.ch/eng/workplace/new-nestl%C3%A9-boss-plots-strategic-overhaul-to-reignite-growth/9088598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DBF4D0-8272-4905-ACD0-57BBFA0CF0C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7550</Words>
  <Characters>43035</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Savaliya Ak</cp:lastModifiedBy>
  <cp:revision>2</cp:revision>
  <dcterms:created xsi:type="dcterms:W3CDTF">2026-08-11T13:25:00Z</dcterms:created>
  <dcterms:modified xsi:type="dcterms:W3CDTF">2026-08-11T13:25:00Z</dcterms:modified>
</cp:coreProperties>
</file>