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073E" w:rsidRPr="00AC073E" w:rsidRDefault="00AC073E" w:rsidP="00A8046D">
      <w:pPr>
        <w:spacing w:line="480" w:lineRule="auto"/>
        <w:jc w:val="center"/>
        <w:rPr>
          <w:rFonts w:ascii="Times New Roman" w:hAnsi="Times New Roman" w:cs="Times New Roman"/>
          <w:sz w:val="24"/>
          <w:szCs w:val="24"/>
        </w:rPr>
      </w:pPr>
      <w:r>
        <w:rPr>
          <w:rFonts w:ascii="Times New Roman" w:hAnsi="Times New Roman" w:cs="Times New Roman"/>
          <w:sz w:val="24"/>
          <w:szCs w:val="24"/>
          <w:u w:val="single"/>
        </w:rPr>
        <w:t>Critical Source Review</w:t>
      </w:r>
      <w:bookmarkStart w:id="0" w:name="_GoBack"/>
      <w:bookmarkEnd w:id="0"/>
    </w:p>
    <w:p w:rsidR="00AC073E" w:rsidRDefault="00AC073E" w:rsidP="00A8046D">
      <w:pPr>
        <w:spacing w:line="480" w:lineRule="auto"/>
        <w:rPr>
          <w:rFonts w:ascii="Times New Roman" w:hAnsi="Times New Roman" w:cs="Times New Roman"/>
          <w:sz w:val="24"/>
          <w:szCs w:val="24"/>
        </w:rPr>
      </w:pPr>
    </w:p>
    <w:p w:rsidR="00A54E10" w:rsidRDefault="00AC073E" w:rsidP="00A8046D">
      <w:pPr>
        <w:spacing w:line="480" w:lineRule="auto"/>
        <w:rPr>
          <w:rFonts w:ascii="Times New Roman" w:hAnsi="Times New Roman" w:cs="Times New Roman"/>
          <w:sz w:val="24"/>
          <w:szCs w:val="24"/>
        </w:rPr>
      </w:pPr>
      <w:r>
        <w:rPr>
          <w:rFonts w:ascii="Times New Roman" w:hAnsi="Times New Roman" w:cs="Times New Roman"/>
          <w:sz w:val="24"/>
          <w:szCs w:val="24"/>
        </w:rPr>
        <w:t>“Ancient literature informs the beliefs and practices surrounding death, disposal, and remembrance, whereas the archaeological material demonstrates the reality of practice”.</w:t>
      </w:r>
      <w:r>
        <w:rPr>
          <w:rStyle w:val="FootnoteReference"/>
          <w:rFonts w:ascii="Times New Roman" w:hAnsi="Times New Roman" w:cs="Times New Roman"/>
          <w:sz w:val="24"/>
          <w:szCs w:val="24"/>
        </w:rPr>
        <w:footnoteReference w:id="1"/>
      </w:r>
    </w:p>
    <w:p w:rsidR="00AC073E" w:rsidRDefault="00AC073E" w:rsidP="00A8046D">
      <w:pPr>
        <w:spacing w:line="480" w:lineRule="auto"/>
        <w:rPr>
          <w:rFonts w:ascii="Times New Roman" w:hAnsi="Times New Roman" w:cs="Times New Roman"/>
          <w:sz w:val="24"/>
          <w:szCs w:val="24"/>
        </w:rPr>
      </w:pPr>
    </w:p>
    <w:p w:rsidR="00AC073E" w:rsidRDefault="00AC073E" w:rsidP="00A8046D">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quote by Virginia Campbell sums up the </w:t>
      </w:r>
      <w:r w:rsidR="00992D2F">
        <w:rPr>
          <w:rFonts w:ascii="Times New Roman" w:hAnsi="Times New Roman" w:cs="Times New Roman"/>
          <w:sz w:val="24"/>
          <w:szCs w:val="24"/>
        </w:rPr>
        <w:t xml:space="preserve">ways in which archaeological and literary evidence can </w:t>
      </w:r>
      <w:r w:rsidR="002A268B">
        <w:rPr>
          <w:rFonts w:ascii="Times New Roman" w:hAnsi="Times New Roman" w:cs="Times New Roman"/>
          <w:sz w:val="24"/>
          <w:szCs w:val="24"/>
        </w:rPr>
        <w:t>help us understand ancient funerary practices in different</w:t>
      </w:r>
      <w:r w:rsidR="00A8046D">
        <w:rPr>
          <w:rFonts w:ascii="Times New Roman" w:hAnsi="Times New Roman" w:cs="Times New Roman"/>
          <w:sz w:val="24"/>
          <w:szCs w:val="24"/>
        </w:rPr>
        <w:t>, yet complementing, ways</w:t>
      </w:r>
      <w:r w:rsidR="002A268B">
        <w:rPr>
          <w:rFonts w:ascii="Times New Roman" w:hAnsi="Times New Roman" w:cs="Times New Roman"/>
          <w:sz w:val="24"/>
          <w:szCs w:val="24"/>
        </w:rPr>
        <w:t xml:space="preserve">. In this critical source </w:t>
      </w:r>
      <w:proofErr w:type="gramStart"/>
      <w:r w:rsidR="002A268B">
        <w:rPr>
          <w:rFonts w:ascii="Times New Roman" w:hAnsi="Times New Roman" w:cs="Times New Roman"/>
          <w:sz w:val="24"/>
          <w:szCs w:val="24"/>
        </w:rPr>
        <w:t>review</w:t>
      </w:r>
      <w:proofErr w:type="gramEnd"/>
      <w:r w:rsidR="002A268B">
        <w:rPr>
          <w:rFonts w:ascii="Times New Roman" w:hAnsi="Times New Roman" w:cs="Times New Roman"/>
          <w:sz w:val="24"/>
          <w:szCs w:val="24"/>
        </w:rPr>
        <w:t xml:space="preserve"> I will be looking at two pieces of literary evidence: ‘Trimalchio’s Feast’ in Petronius’ </w:t>
      </w:r>
      <w:r w:rsidR="002A268B" w:rsidRPr="002A268B">
        <w:rPr>
          <w:rFonts w:ascii="Times New Roman" w:hAnsi="Times New Roman" w:cs="Times New Roman"/>
          <w:i/>
          <w:iCs/>
          <w:sz w:val="24"/>
          <w:szCs w:val="24"/>
        </w:rPr>
        <w:t>Satyricon</w:t>
      </w:r>
      <w:r w:rsidR="002A268B">
        <w:rPr>
          <w:rFonts w:ascii="Times New Roman" w:hAnsi="Times New Roman" w:cs="Times New Roman"/>
          <w:sz w:val="24"/>
          <w:szCs w:val="24"/>
        </w:rPr>
        <w:t xml:space="preserve"> and Ovid’s </w:t>
      </w:r>
      <w:proofErr w:type="spellStart"/>
      <w:r w:rsidR="002A268B">
        <w:rPr>
          <w:rFonts w:ascii="Times New Roman" w:hAnsi="Times New Roman" w:cs="Times New Roman"/>
          <w:i/>
          <w:iCs/>
          <w:sz w:val="24"/>
          <w:szCs w:val="24"/>
        </w:rPr>
        <w:t>Tristia</w:t>
      </w:r>
      <w:proofErr w:type="spellEnd"/>
      <w:r w:rsidR="002A268B">
        <w:rPr>
          <w:rFonts w:ascii="Times New Roman" w:hAnsi="Times New Roman" w:cs="Times New Roman"/>
          <w:sz w:val="24"/>
          <w:szCs w:val="24"/>
        </w:rPr>
        <w:t xml:space="preserve">. </w:t>
      </w:r>
      <w:r w:rsidR="00CC7B85">
        <w:rPr>
          <w:rFonts w:ascii="Times New Roman" w:hAnsi="Times New Roman" w:cs="Times New Roman"/>
          <w:sz w:val="24"/>
          <w:szCs w:val="24"/>
        </w:rPr>
        <w:t xml:space="preserve">I have chosen these two sources because they give insights into the thoughts and attitudes surrounding Roman funerary practice from which parallels with archaeological evidence can be drawn. </w:t>
      </w:r>
      <w:r w:rsidR="00A8046D">
        <w:rPr>
          <w:rFonts w:ascii="Times New Roman" w:hAnsi="Times New Roman" w:cs="Times New Roman"/>
          <w:sz w:val="24"/>
          <w:szCs w:val="24"/>
        </w:rPr>
        <w:t xml:space="preserve">These are things that are not often obvious if considering the archaeological evidence on its own, </w:t>
      </w:r>
      <w:r w:rsidR="007260FC">
        <w:rPr>
          <w:rFonts w:ascii="Times New Roman" w:hAnsi="Times New Roman" w:cs="Times New Roman"/>
          <w:sz w:val="24"/>
          <w:szCs w:val="24"/>
        </w:rPr>
        <w:t>but by analysing the two types of evidence together we can come closer to a fuller understanding of Roman funerary practice, and, as I aim to demonstrate in my research, the identity of the dead of Pompeii.</w:t>
      </w:r>
      <w:r w:rsidR="003B68F8">
        <w:rPr>
          <w:rFonts w:ascii="Times New Roman" w:hAnsi="Times New Roman" w:cs="Times New Roman"/>
          <w:sz w:val="24"/>
          <w:szCs w:val="24"/>
        </w:rPr>
        <w:t xml:space="preserve"> If actions between individual and material culture facilitate the creation and maintenance</w:t>
      </w:r>
      <w:r w:rsidR="00FE0563">
        <w:rPr>
          <w:rFonts w:ascii="Times New Roman" w:hAnsi="Times New Roman" w:cs="Times New Roman"/>
          <w:sz w:val="24"/>
          <w:szCs w:val="24"/>
        </w:rPr>
        <w:t xml:space="preserve"> of identity (see Discussion of Theories and Methodologies essay), then literary sources can illuminate why people acted in the way that they did and what cultural influences they experienced. </w:t>
      </w:r>
      <w:r w:rsidR="00826F93">
        <w:rPr>
          <w:rFonts w:ascii="Times New Roman" w:hAnsi="Times New Roman" w:cs="Times New Roman"/>
          <w:sz w:val="24"/>
          <w:szCs w:val="24"/>
        </w:rPr>
        <w:t>I must make it clear, however, that these texts are not composed by, no</w:t>
      </w:r>
      <w:r w:rsidR="001B54DD">
        <w:rPr>
          <w:rFonts w:ascii="Times New Roman" w:hAnsi="Times New Roman" w:cs="Times New Roman"/>
          <w:sz w:val="24"/>
          <w:szCs w:val="24"/>
        </w:rPr>
        <w:t>r</w:t>
      </w:r>
      <w:r w:rsidR="00826F93">
        <w:rPr>
          <w:rFonts w:ascii="Times New Roman" w:hAnsi="Times New Roman" w:cs="Times New Roman"/>
          <w:sz w:val="24"/>
          <w:szCs w:val="24"/>
        </w:rPr>
        <w:t xml:space="preserve"> tell the story of, people in Pompeii itself, but of people associated with Rome. </w:t>
      </w:r>
      <w:r w:rsidR="00251866">
        <w:rPr>
          <w:rFonts w:ascii="Times New Roman" w:hAnsi="Times New Roman" w:cs="Times New Roman"/>
          <w:sz w:val="24"/>
          <w:szCs w:val="24"/>
        </w:rPr>
        <w:t xml:space="preserve">I do not intend to argue that these texts are entirely mappable to the thoughts and beliefs to the people of Pompeii, more that in a town that had adopted many ways on Roman life these thoughts and beliefs can be tentatively explored within the scope of Pompeiian funerary culture. </w:t>
      </w:r>
    </w:p>
    <w:p w:rsidR="00D93B05" w:rsidRDefault="00D93B05" w:rsidP="00A8046D">
      <w:pPr>
        <w:spacing w:line="480" w:lineRule="auto"/>
        <w:rPr>
          <w:rFonts w:ascii="Times New Roman" w:hAnsi="Times New Roman" w:cs="Times New Roman"/>
          <w:sz w:val="24"/>
          <w:szCs w:val="24"/>
        </w:rPr>
      </w:pPr>
    </w:p>
    <w:p w:rsidR="00D93B05" w:rsidRDefault="00480B93" w:rsidP="00A804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dinner with Trimalchio episode in The Satyricon </w:t>
      </w:r>
      <w:r w:rsidR="00FE0563">
        <w:rPr>
          <w:rFonts w:ascii="Times New Roman" w:hAnsi="Times New Roman" w:cs="Times New Roman"/>
          <w:sz w:val="24"/>
          <w:szCs w:val="24"/>
        </w:rPr>
        <w:t xml:space="preserve">is unlikely to be an exact account of a real-life event, but it depicts a common part of Roman elite life (the dinner party) and events and conversations that could have gone on within them, to whatever extent they reflected reality. </w:t>
      </w:r>
      <w:r w:rsidR="00F74B5E">
        <w:rPr>
          <w:rFonts w:ascii="Times New Roman" w:hAnsi="Times New Roman" w:cs="Times New Roman"/>
          <w:sz w:val="24"/>
          <w:szCs w:val="24"/>
        </w:rPr>
        <w:t xml:space="preserve">The text </w:t>
      </w:r>
      <w:r w:rsidR="00FE0563">
        <w:rPr>
          <w:rFonts w:ascii="Times New Roman" w:hAnsi="Times New Roman" w:cs="Times New Roman"/>
          <w:sz w:val="24"/>
          <w:szCs w:val="24"/>
        </w:rPr>
        <w:t>includes a scene during the dinner party where Trimalchio addresses the topic of his will and arrangements for after his death with his guests</w:t>
      </w:r>
      <w:r w:rsidR="009D328E">
        <w:rPr>
          <w:rFonts w:ascii="Times New Roman" w:hAnsi="Times New Roman" w:cs="Times New Roman"/>
          <w:sz w:val="24"/>
          <w:szCs w:val="24"/>
        </w:rPr>
        <w:t>.</w:t>
      </w:r>
      <w:r w:rsidR="00FE0563">
        <w:rPr>
          <w:rStyle w:val="FootnoteReference"/>
          <w:rFonts w:ascii="Times New Roman" w:hAnsi="Times New Roman" w:cs="Times New Roman"/>
          <w:sz w:val="24"/>
          <w:szCs w:val="24"/>
        </w:rPr>
        <w:footnoteReference w:id="2"/>
      </w:r>
      <w:r w:rsidR="009D328E">
        <w:rPr>
          <w:rFonts w:ascii="Times New Roman" w:hAnsi="Times New Roman" w:cs="Times New Roman"/>
          <w:sz w:val="24"/>
          <w:szCs w:val="24"/>
        </w:rPr>
        <w:t xml:space="preserve"> </w:t>
      </w:r>
      <w:r w:rsidR="00A41D7A">
        <w:rPr>
          <w:rFonts w:ascii="Times New Roman" w:hAnsi="Times New Roman" w:cs="Times New Roman"/>
          <w:sz w:val="24"/>
          <w:szCs w:val="24"/>
        </w:rPr>
        <w:t>This episode gives us information on the beliefs and practices surrounding Roman funerary culture</w:t>
      </w:r>
      <w:r w:rsidR="00292501">
        <w:rPr>
          <w:rFonts w:ascii="Times New Roman" w:hAnsi="Times New Roman" w:cs="Times New Roman"/>
          <w:sz w:val="24"/>
          <w:szCs w:val="24"/>
        </w:rPr>
        <w:t>, though it is focused on the actions of the elite class, being those who would attend a lavish dinner party and be capable of building monumental tombs, such as the one Trimalchio is having built for himself</w:t>
      </w:r>
      <w:r w:rsidR="009C0FA4">
        <w:rPr>
          <w:rFonts w:ascii="Times New Roman" w:hAnsi="Times New Roman" w:cs="Times New Roman"/>
          <w:sz w:val="24"/>
          <w:szCs w:val="24"/>
        </w:rPr>
        <w:t xml:space="preserve">. What I would like to demonstrate is that this text, at the very least, can help us to understand how a member of the Roman elite may have thought about their own death, how they would like to be commemorated, and where they saw themselves within the funerary culture of Roman society. </w:t>
      </w:r>
    </w:p>
    <w:p w:rsidR="008B35D3" w:rsidRDefault="008B35D3" w:rsidP="00A8046D">
      <w:pPr>
        <w:spacing w:line="480" w:lineRule="auto"/>
        <w:rPr>
          <w:rFonts w:ascii="Times New Roman" w:hAnsi="Times New Roman" w:cs="Times New Roman"/>
          <w:sz w:val="24"/>
          <w:szCs w:val="24"/>
        </w:rPr>
      </w:pPr>
      <w:r>
        <w:rPr>
          <w:rFonts w:ascii="Times New Roman" w:hAnsi="Times New Roman" w:cs="Times New Roman"/>
          <w:sz w:val="24"/>
          <w:szCs w:val="24"/>
        </w:rPr>
        <w:t>Trimalchio, after having his will read out, asks Habinnas (a friend)</w:t>
      </w:r>
      <w:r w:rsidR="00045F44">
        <w:rPr>
          <w:rFonts w:ascii="Times New Roman" w:hAnsi="Times New Roman" w:cs="Times New Roman"/>
          <w:sz w:val="24"/>
          <w:szCs w:val="24"/>
        </w:rPr>
        <w:t>, “Are you building my monument the way I told you?”</w:t>
      </w:r>
      <w:r w:rsidR="00045F44">
        <w:rPr>
          <w:rStyle w:val="FootnoteReference"/>
          <w:rFonts w:ascii="Times New Roman" w:hAnsi="Times New Roman" w:cs="Times New Roman"/>
          <w:sz w:val="24"/>
          <w:szCs w:val="24"/>
        </w:rPr>
        <w:footnoteReference w:id="3"/>
      </w:r>
      <w:r w:rsidR="00045F44">
        <w:rPr>
          <w:rFonts w:ascii="Times New Roman" w:hAnsi="Times New Roman" w:cs="Times New Roman"/>
          <w:sz w:val="24"/>
          <w:szCs w:val="24"/>
        </w:rPr>
        <w:t xml:space="preserve"> This implies that Trimalchio has requested for his tomb to be built before he dies and that, along with the rest of the passage, he is particular about how it must look and function. </w:t>
      </w:r>
      <w:r w:rsidR="00A800BF">
        <w:rPr>
          <w:rFonts w:ascii="Times New Roman" w:hAnsi="Times New Roman" w:cs="Times New Roman"/>
          <w:sz w:val="24"/>
          <w:szCs w:val="24"/>
        </w:rPr>
        <w:t xml:space="preserve">It is seemingly set out in the will, which </w:t>
      </w:r>
      <w:proofErr w:type="gramStart"/>
      <w:r w:rsidR="00A800BF">
        <w:rPr>
          <w:rFonts w:ascii="Times New Roman" w:hAnsi="Times New Roman" w:cs="Times New Roman"/>
          <w:sz w:val="24"/>
          <w:szCs w:val="24"/>
        </w:rPr>
        <w:t>a number of</w:t>
      </w:r>
      <w:proofErr w:type="gramEnd"/>
      <w:r w:rsidR="00A800BF">
        <w:rPr>
          <w:rFonts w:ascii="Times New Roman" w:hAnsi="Times New Roman" w:cs="Times New Roman"/>
          <w:sz w:val="24"/>
          <w:szCs w:val="24"/>
        </w:rPr>
        <w:t xml:space="preserve"> family and close friends have now been witness to, that Habinnas will play this role. </w:t>
      </w:r>
      <w:r w:rsidR="005664C5">
        <w:rPr>
          <w:rFonts w:ascii="Times New Roman" w:hAnsi="Times New Roman" w:cs="Times New Roman"/>
          <w:sz w:val="24"/>
          <w:szCs w:val="24"/>
        </w:rPr>
        <w:t xml:space="preserve">By entrusting this job to a close friend before his death ensures that Trimalchio can be commemorated in the exact way that he wishes. One of the key ways Trimalchio wishes to display his identity is on an inscription with the tomb. </w:t>
      </w:r>
      <w:r w:rsidR="003E586C">
        <w:rPr>
          <w:rFonts w:ascii="Times New Roman" w:hAnsi="Times New Roman" w:cs="Times New Roman"/>
          <w:sz w:val="24"/>
          <w:szCs w:val="24"/>
        </w:rPr>
        <w:t xml:space="preserve">Here he wants written that he was a member of the Augustan college, but that he also “could have been on every board in Rome”, so accomplished was </w:t>
      </w:r>
      <w:r w:rsidR="003E586C">
        <w:rPr>
          <w:rFonts w:ascii="Times New Roman" w:hAnsi="Times New Roman" w:cs="Times New Roman"/>
          <w:sz w:val="24"/>
          <w:szCs w:val="24"/>
        </w:rPr>
        <w:lastRenderedPageBreak/>
        <w:t>he.</w:t>
      </w:r>
      <w:r w:rsidR="003E586C">
        <w:rPr>
          <w:rStyle w:val="FootnoteReference"/>
          <w:rFonts w:ascii="Times New Roman" w:hAnsi="Times New Roman" w:cs="Times New Roman"/>
          <w:sz w:val="24"/>
          <w:szCs w:val="24"/>
        </w:rPr>
        <w:footnoteReference w:id="4"/>
      </w:r>
      <w:r w:rsidR="003E586C">
        <w:rPr>
          <w:rFonts w:ascii="Times New Roman" w:hAnsi="Times New Roman" w:cs="Times New Roman"/>
          <w:sz w:val="24"/>
          <w:szCs w:val="24"/>
        </w:rPr>
        <w:t xml:space="preserve"> He also lists three personal characteristics and a reference to his extreme wealth: he was god-fearing, brave, and true, and left an estate of 30,000,000</w:t>
      </w:r>
      <w:r w:rsidR="009A722C">
        <w:rPr>
          <w:rFonts w:ascii="Times New Roman" w:hAnsi="Times New Roman" w:cs="Times New Roman"/>
          <w:sz w:val="24"/>
          <w:szCs w:val="24"/>
        </w:rPr>
        <w:t>.</w:t>
      </w:r>
      <w:r w:rsidR="009A722C">
        <w:rPr>
          <w:rStyle w:val="FootnoteReference"/>
          <w:rFonts w:ascii="Times New Roman" w:hAnsi="Times New Roman" w:cs="Times New Roman"/>
          <w:sz w:val="24"/>
          <w:szCs w:val="24"/>
        </w:rPr>
        <w:footnoteReference w:id="5"/>
      </w:r>
      <w:r w:rsidR="00190C2A">
        <w:rPr>
          <w:rFonts w:ascii="Times New Roman" w:hAnsi="Times New Roman" w:cs="Times New Roman"/>
          <w:sz w:val="24"/>
          <w:szCs w:val="24"/>
        </w:rPr>
        <w:t xml:space="preserve"> All of these together create an image of who Trimalchio was, in the way that he himself chose. </w:t>
      </w:r>
      <w:r w:rsidR="00EE034A">
        <w:rPr>
          <w:rFonts w:ascii="Times New Roman" w:hAnsi="Times New Roman" w:cs="Times New Roman"/>
          <w:sz w:val="24"/>
          <w:szCs w:val="24"/>
        </w:rPr>
        <w:t xml:space="preserve">It is unlikely that this represents the entirety of Trimalchio’s life, but we can argue that it represents the types of things an elite Roman male might value most about his life: success, virtue, and status. </w:t>
      </w:r>
    </w:p>
    <w:p w:rsidR="008460CA" w:rsidRDefault="008460CA" w:rsidP="00A8046D">
      <w:pPr>
        <w:spacing w:line="480" w:lineRule="auto"/>
        <w:rPr>
          <w:rFonts w:ascii="Times New Roman" w:hAnsi="Times New Roman" w:cs="Times New Roman"/>
          <w:sz w:val="24"/>
          <w:szCs w:val="24"/>
        </w:rPr>
      </w:pPr>
      <w:r>
        <w:rPr>
          <w:rFonts w:ascii="Times New Roman" w:hAnsi="Times New Roman" w:cs="Times New Roman"/>
          <w:sz w:val="24"/>
          <w:szCs w:val="24"/>
        </w:rPr>
        <w:t>There is also an interesting parallel drawn between the tomb and the house: “it’s a big mistake to have nice houses just for when you’re alive and not worry about the one we have to live in for much longer.”</w:t>
      </w:r>
      <w:r>
        <w:rPr>
          <w:rStyle w:val="FootnoteReference"/>
          <w:rFonts w:ascii="Times New Roman" w:hAnsi="Times New Roman" w:cs="Times New Roman"/>
          <w:sz w:val="24"/>
          <w:szCs w:val="24"/>
        </w:rPr>
        <w:footnoteReference w:id="6"/>
      </w:r>
      <w:r w:rsidR="000B0E3E">
        <w:rPr>
          <w:rFonts w:ascii="Times New Roman" w:hAnsi="Times New Roman" w:cs="Times New Roman"/>
          <w:sz w:val="24"/>
          <w:szCs w:val="24"/>
        </w:rPr>
        <w:t xml:space="preserve"> Houses were a way in which social status and identity could be easily manipulated, and Valerie Hope mentions that burial places could be used in a similar way.</w:t>
      </w:r>
      <w:r w:rsidR="000B0E3E">
        <w:rPr>
          <w:rStyle w:val="FootnoteReference"/>
          <w:rFonts w:ascii="Times New Roman" w:hAnsi="Times New Roman" w:cs="Times New Roman"/>
          <w:sz w:val="24"/>
          <w:szCs w:val="24"/>
        </w:rPr>
        <w:footnoteReference w:id="7"/>
      </w:r>
      <w:r w:rsidR="000B0E3E">
        <w:rPr>
          <w:rFonts w:ascii="Times New Roman" w:hAnsi="Times New Roman" w:cs="Times New Roman"/>
          <w:sz w:val="24"/>
          <w:szCs w:val="24"/>
        </w:rPr>
        <w:t xml:space="preserve"> </w:t>
      </w:r>
      <w:r w:rsidR="005C605F">
        <w:rPr>
          <w:rFonts w:ascii="Times New Roman" w:hAnsi="Times New Roman" w:cs="Times New Roman"/>
          <w:sz w:val="24"/>
          <w:szCs w:val="24"/>
        </w:rPr>
        <w:t>Trimalchio wants his own ‘house of the dead’ to be painted, surrounded by an orchard, with statues of himself and his wife, and a banqueting hall</w:t>
      </w:r>
      <w:r w:rsidR="009F6A51">
        <w:rPr>
          <w:rFonts w:ascii="Times New Roman" w:hAnsi="Times New Roman" w:cs="Times New Roman"/>
          <w:sz w:val="24"/>
          <w:szCs w:val="24"/>
        </w:rPr>
        <w:t>.</w:t>
      </w:r>
      <w:r w:rsidR="009F6A51">
        <w:rPr>
          <w:rStyle w:val="FootnoteReference"/>
          <w:rFonts w:ascii="Times New Roman" w:hAnsi="Times New Roman" w:cs="Times New Roman"/>
          <w:sz w:val="24"/>
          <w:szCs w:val="24"/>
        </w:rPr>
        <w:footnoteReference w:id="8"/>
      </w:r>
      <w:r w:rsidR="009F6A51">
        <w:rPr>
          <w:rFonts w:ascii="Times New Roman" w:hAnsi="Times New Roman" w:cs="Times New Roman"/>
          <w:sz w:val="24"/>
          <w:szCs w:val="24"/>
        </w:rPr>
        <w:t xml:space="preserve"> </w:t>
      </w:r>
      <w:r w:rsidR="00732E8E">
        <w:rPr>
          <w:rFonts w:ascii="Times New Roman" w:hAnsi="Times New Roman" w:cs="Times New Roman"/>
          <w:sz w:val="24"/>
          <w:szCs w:val="24"/>
        </w:rPr>
        <w:t xml:space="preserve">This relationship between the two structures allows for a comparison in how they were used to express identity by an individual that inhabited, and would inhabit, them both. </w:t>
      </w:r>
    </w:p>
    <w:p w:rsidR="009F1532" w:rsidRDefault="009F1532" w:rsidP="00A8046D">
      <w:pPr>
        <w:spacing w:line="480" w:lineRule="auto"/>
        <w:rPr>
          <w:rFonts w:ascii="Times New Roman" w:hAnsi="Times New Roman" w:cs="Times New Roman"/>
          <w:sz w:val="24"/>
          <w:szCs w:val="24"/>
        </w:rPr>
      </w:pPr>
    </w:p>
    <w:p w:rsidR="009F1532" w:rsidRDefault="009F1532" w:rsidP="00A804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passage in the </w:t>
      </w:r>
      <w:proofErr w:type="spellStart"/>
      <w:r>
        <w:rPr>
          <w:rFonts w:ascii="Times New Roman" w:hAnsi="Times New Roman" w:cs="Times New Roman"/>
          <w:i/>
          <w:iCs/>
          <w:sz w:val="24"/>
          <w:szCs w:val="24"/>
        </w:rPr>
        <w:t>Tristia</w:t>
      </w:r>
      <w:proofErr w:type="spellEnd"/>
      <w:r>
        <w:rPr>
          <w:rFonts w:ascii="Times New Roman" w:hAnsi="Times New Roman" w:cs="Times New Roman"/>
          <w:sz w:val="24"/>
          <w:szCs w:val="24"/>
        </w:rPr>
        <w:t xml:space="preserve"> that I will be looking at was written by Ovid whilst he was in exile.</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In it he gives his personal wishes for his burial, and can give us an insight into an example of how burial was viewed in the Roman world. We see that location must have been an important factor, as Ovid knows that he will die outside Rome, and without a proper burial process, will be buried in “Barbarian soil”.</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In death his exile will not extend to his dead body, so he instructs his wife to bring his cremated remains back to Rome, to be buried </w:t>
      </w:r>
      <w:r>
        <w:rPr>
          <w:rFonts w:ascii="Times New Roman" w:hAnsi="Times New Roman" w:cs="Times New Roman"/>
          <w:sz w:val="24"/>
          <w:szCs w:val="24"/>
        </w:rPr>
        <w:lastRenderedPageBreak/>
        <w:t>outside the city, if she is able.</w:t>
      </w:r>
      <w:r>
        <w:rPr>
          <w:rStyle w:val="FootnoteReference"/>
          <w:rFonts w:ascii="Times New Roman" w:hAnsi="Times New Roman" w:cs="Times New Roman"/>
          <w:sz w:val="24"/>
          <w:szCs w:val="24"/>
        </w:rPr>
        <w:footnoteReference w:id="11"/>
      </w:r>
      <w:r w:rsidR="00B84780">
        <w:rPr>
          <w:rFonts w:ascii="Times New Roman" w:hAnsi="Times New Roman" w:cs="Times New Roman"/>
          <w:sz w:val="24"/>
          <w:szCs w:val="24"/>
        </w:rPr>
        <w:t xml:space="preserve"> Ovid wished for his remains to be interred in a place that he was connected to in life, and this shows that there was an important connection between the living and the deceased person. </w:t>
      </w:r>
    </w:p>
    <w:p w:rsidR="006029A0" w:rsidRDefault="006029A0" w:rsidP="00A8046D">
      <w:pPr>
        <w:spacing w:line="480" w:lineRule="auto"/>
        <w:rPr>
          <w:rFonts w:ascii="Times New Roman" w:hAnsi="Times New Roman" w:cs="Times New Roman"/>
          <w:sz w:val="24"/>
          <w:szCs w:val="24"/>
        </w:rPr>
      </w:pPr>
      <w:r>
        <w:rPr>
          <w:rFonts w:ascii="Times New Roman" w:hAnsi="Times New Roman" w:cs="Times New Roman"/>
          <w:sz w:val="24"/>
          <w:szCs w:val="24"/>
        </w:rPr>
        <w:t>Like Trimalchio, Ovid described what he wished for the inscription on his grave to say. His main emphasis is on his career as a poet</w:t>
      </w:r>
      <w:r w:rsidR="005E5DC0">
        <w:rPr>
          <w:rFonts w:ascii="Times New Roman" w:hAnsi="Times New Roman" w:cs="Times New Roman"/>
          <w:sz w:val="24"/>
          <w:szCs w:val="24"/>
        </w:rPr>
        <w:t xml:space="preserve">, </w:t>
      </w:r>
      <w:r w:rsidR="00DD30F3">
        <w:rPr>
          <w:rFonts w:ascii="Times New Roman" w:hAnsi="Times New Roman" w:cs="Times New Roman"/>
          <w:sz w:val="24"/>
          <w:szCs w:val="24"/>
        </w:rPr>
        <w:t>and a direction for a passing stranger to wish him well.</w:t>
      </w:r>
      <w:r w:rsidR="00DD30F3">
        <w:rPr>
          <w:rStyle w:val="FootnoteReference"/>
          <w:rFonts w:ascii="Times New Roman" w:hAnsi="Times New Roman" w:cs="Times New Roman"/>
          <w:sz w:val="24"/>
          <w:szCs w:val="24"/>
        </w:rPr>
        <w:footnoteReference w:id="12"/>
      </w:r>
      <w:r w:rsidR="00DD30F3">
        <w:rPr>
          <w:rFonts w:ascii="Times New Roman" w:hAnsi="Times New Roman" w:cs="Times New Roman"/>
          <w:sz w:val="24"/>
          <w:szCs w:val="24"/>
        </w:rPr>
        <w:t xml:space="preserve"> From this we can see what Ovid considered to be the most important feature of his life, </w:t>
      </w:r>
      <w:r w:rsidR="00D62F2A">
        <w:rPr>
          <w:rFonts w:ascii="Times New Roman" w:hAnsi="Times New Roman" w:cs="Times New Roman"/>
          <w:sz w:val="24"/>
          <w:szCs w:val="24"/>
        </w:rPr>
        <w:t xml:space="preserve">his career, as well as a look into how a person’s memory could be maintained in death. </w:t>
      </w:r>
    </w:p>
    <w:p w:rsidR="00D9201F" w:rsidRDefault="00D9201F" w:rsidP="00A8046D">
      <w:pPr>
        <w:spacing w:line="480" w:lineRule="auto"/>
        <w:rPr>
          <w:rFonts w:ascii="Times New Roman" w:hAnsi="Times New Roman" w:cs="Times New Roman"/>
          <w:sz w:val="24"/>
          <w:szCs w:val="24"/>
        </w:rPr>
      </w:pPr>
    </w:p>
    <w:p w:rsidR="002B5D11" w:rsidRDefault="00D9201F" w:rsidP="00A804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two literary sources can help us to understand some of the thoughts and practices behind Roman funerary culture. When used alongside archaeological evidence, as I will be doing in my research, </w:t>
      </w:r>
      <w:r w:rsidR="00294243">
        <w:rPr>
          <w:rFonts w:ascii="Times New Roman" w:hAnsi="Times New Roman" w:cs="Times New Roman"/>
          <w:sz w:val="24"/>
          <w:szCs w:val="24"/>
        </w:rPr>
        <w:t xml:space="preserve">we can gain a better understanding into funerary culture in a more whole sense. </w:t>
      </w:r>
    </w:p>
    <w:p w:rsidR="002B5D11" w:rsidRDefault="002B5D11">
      <w:pPr>
        <w:rPr>
          <w:rFonts w:ascii="Times New Roman" w:hAnsi="Times New Roman" w:cs="Times New Roman"/>
          <w:sz w:val="24"/>
          <w:szCs w:val="24"/>
        </w:rPr>
      </w:pPr>
      <w:r>
        <w:rPr>
          <w:rFonts w:ascii="Times New Roman" w:hAnsi="Times New Roman" w:cs="Times New Roman"/>
          <w:sz w:val="24"/>
          <w:szCs w:val="24"/>
        </w:rPr>
        <w:br w:type="page"/>
      </w:r>
    </w:p>
    <w:p w:rsidR="00D9201F" w:rsidRDefault="002B5D11" w:rsidP="00A8046D">
      <w:pPr>
        <w:spacing w:line="480" w:lineRule="auto"/>
        <w:rPr>
          <w:rFonts w:ascii="Times New Roman" w:hAnsi="Times New Roman" w:cs="Times New Roman"/>
          <w:sz w:val="24"/>
          <w:szCs w:val="24"/>
        </w:rPr>
      </w:pPr>
      <w:r>
        <w:rPr>
          <w:rFonts w:ascii="Times New Roman" w:hAnsi="Times New Roman" w:cs="Times New Roman"/>
          <w:sz w:val="24"/>
          <w:szCs w:val="24"/>
          <w:u w:val="single"/>
        </w:rPr>
        <w:lastRenderedPageBreak/>
        <w:t>Bibliography</w:t>
      </w:r>
    </w:p>
    <w:p w:rsidR="002B5D11" w:rsidRDefault="002B5D11" w:rsidP="00A8046D">
      <w:pPr>
        <w:spacing w:line="480" w:lineRule="auto"/>
        <w:rPr>
          <w:rFonts w:ascii="Times New Roman" w:hAnsi="Times New Roman" w:cs="Times New Roman"/>
          <w:sz w:val="24"/>
          <w:szCs w:val="24"/>
        </w:rPr>
      </w:pPr>
      <w:r>
        <w:rPr>
          <w:rFonts w:ascii="Times New Roman" w:hAnsi="Times New Roman" w:cs="Times New Roman"/>
          <w:sz w:val="24"/>
          <w:szCs w:val="24"/>
          <w:u w:val="single"/>
        </w:rPr>
        <w:t>Ancient Sources</w:t>
      </w:r>
    </w:p>
    <w:p w:rsidR="007F34A3" w:rsidRDefault="007F34A3" w:rsidP="007F34A3">
      <w:pPr>
        <w:spacing w:line="480" w:lineRule="auto"/>
        <w:rPr>
          <w:rFonts w:ascii="Times New Roman" w:hAnsi="Times New Roman" w:cs="Times New Roman"/>
          <w:sz w:val="24"/>
          <w:szCs w:val="24"/>
        </w:rPr>
      </w:pPr>
      <w:r>
        <w:rPr>
          <w:rFonts w:ascii="Times New Roman" w:hAnsi="Times New Roman" w:cs="Times New Roman"/>
          <w:sz w:val="24"/>
          <w:szCs w:val="24"/>
        </w:rPr>
        <w:t xml:space="preserve">Ovid, </w:t>
      </w:r>
      <w:proofErr w:type="spellStart"/>
      <w:r>
        <w:rPr>
          <w:rFonts w:ascii="Times New Roman" w:hAnsi="Times New Roman" w:cs="Times New Roman"/>
          <w:i/>
          <w:iCs/>
          <w:sz w:val="24"/>
          <w:szCs w:val="24"/>
        </w:rPr>
        <w:t>Tristia</w:t>
      </w:r>
      <w:proofErr w:type="spellEnd"/>
      <w:r>
        <w:rPr>
          <w:rFonts w:ascii="Times New Roman" w:hAnsi="Times New Roman" w:cs="Times New Roman"/>
          <w:sz w:val="24"/>
          <w:szCs w:val="24"/>
        </w:rPr>
        <w:t>. L. R. Lind (trans.). 1975. Athens: The University of Georgia Press.</w:t>
      </w:r>
    </w:p>
    <w:p w:rsidR="007F34A3" w:rsidRDefault="007F34A3" w:rsidP="007F34A3">
      <w:pPr>
        <w:spacing w:line="480" w:lineRule="auto"/>
        <w:rPr>
          <w:rFonts w:ascii="Times New Roman" w:hAnsi="Times New Roman" w:cs="Times New Roman"/>
          <w:sz w:val="24"/>
          <w:szCs w:val="24"/>
        </w:rPr>
      </w:pPr>
      <w:r>
        <w:rPr>
          <w:rFonts w:ascii="Times New Roman" w:hAnsi="Times New Roman" w:cs="Times New Roman"/>
          <w:sz w:val="24"/>
          <w:szCs w:val="24"/>
        </w:rPr>
        <w:t xml:space="preserve">Petronius, </w:t>
      </w:r>
      <w:r>
        <w:rPr>
          <w:rFonts w:ascii="Times New Roman" w:hAnsi="Times New Roman" w:cs="Times New Roman"/>
          <w:i/>
          <w:iCs/>
          <w:sz w:val="24"/>
          <w:szCs w:val="24"/>
        </w:rPr>
        <w:t>The Satyricon</w:t>
      </w:r>
      <w:r>
        <w:rPr>
          <w:rFonts w:ascii="Times New Roman" w:hAnsi="Times New Roman" w:cs="Times New Roman"/>
          <w:sz w:val="24"/>
          <w:szCs w:val="24"/>
        </w:rPr>
        <w:t xml:space="preserve">. J. P. Sullivan (trans.). 2011. London: Penguin Books Ltd. </w:t>
      </w:r>
    </w:p>
    <w:p w:rsidR="007F34A3" w:rsidRDefault="007F34A3" w:rsidP="007F34A3">
      <w:pPr>
        <w:spacing w:line="480" w:lineRule="auto"/>
        <w:rPr>
          <w:rFonts w:ascii="Times New Roman" w:hAnsi="Times New Roman" w:cs="Times New Roman"/>
          <w:sz w:val="24"/>
          <w:szCs w:val="24"/>
        </w:rPr>
      </w:pPr>
      <w:r>
        <w:rPr>
          <w:rFonts w:ascii="Times New Roman" w:hAnsi="Times New Roman" w:cs="Times New Roman"/>
          <w:sz w:val="24"/>
          <w:szCs w:val="24"/>
          <w:u w:val="single"/>
        </w:rPr>
        <w:t>Modern Scholarship</w:t>
      </w:r>
    </w:p>
    <w:p w:rsidR="007F34A3" w:rsidRDefault="007F34A3" w:rsidP="007F34A3">
      <w:pPr>
        <w:spacing w:line="480" w:lineRule="auto"/>
        <w:rPr>
          <w:rFonts w:ascii="Times New Roman" w:hAnsi="Times New Roman" w:cs="Times New Roman"/>
          <w:sz w:val="24"/>
          <w:szCs w:val="24"/>
        </w:rPr>
      </w:pPr>
      <w:r>
        <w:rPr>
          <w:rFonts w:ascii="Times New Roman" w:hAnsi="Times New Roman" w:cs="Times New Roman"/>
          <w:sz w:val="24"/>
          <w:szCs w:val="24"/>
        </w:rPr>
        <w:t xml:space="preserve">Hope, Valerie M. (1997) ‘Constructing Roman identity: funerary monuments and social structure in the Roman world’, </w:t>
      </w:r>
      <w:r>
        <w:rPr>
          <w:rFonts w:ascii="Times New Roman" w:hAnsi="Times New Roman" w:cs="Times New Roman"/>
          <w:i/>
          <w:iCs/>
          <w:sz w:val="24"/>
          <w:szCs w:val="24"/>
        </w:rPr>
        <w:t>Mortality</w:t>
      </w:r>
      <w:r>
        <w:rPr>
          <w:rFonts w:ascii="Times New Roman" w:hAnsi="Times New Roman" w:cs="Times New Roman"/>
          <w:sz w:val="24"/>
          <w:szCs w:val="24"/>
        </w:rPr>
        <w:t xml:space="preserve"> 2(2), pp. 103-121</w:t>
      </w:r>
    </w:p>
    <w:p w:rsidR="007F34A3" w:rsidRPr="007F34A3" w:rsidRDefault="007F34A3" w:rsidP="007F34A3">
      <w:pPr>
        <w:spacing w:line="480" w:lineRule="auto"/>
        <w:rPr>
          <w:rFonts w:ascii="Times New Roman" w:hAnsi="Times New Roman" w:cs="Times New Roman"/>
          <w:sz w:val="24"/>
          <w:szCs w:val="24"/>
        </w:rPr>
      </w:pPr>
    </w:p>
    <w:sectPr w:rsidR="007F34A3" w:rsidRPr="007F34A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4FD9" w:rsidRDefault="006F4FD9" w:rsidP="00AC073E">
      <w:pPr>
        <w:spacing w:after="0" w:line="240" w:lineRule="auto"/>
      </w:pPr>
      <w:r>
        <w:separator/>
      </w:r>
    </w:p>
  </w:endnote>
  <w:endnote w:type="continuationSeparator" w:id="0">
    <w:p w:rsidR="006F4FD9" w:rsidRDefault="006F4FD9" w:rsidP="00AC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1113543"/>
      <w:docPartObj>
        <w:docPartGallery w:val="Page Numbers (Bottom of Page)"/>
        <w:docPartUnique/>
      </w:docPartObj>
    </w:sdtPr>
    <w:sdtEndPr>
      <w:rPr>
        <w:noProof/>
      </w:rPr>
    </w:sdtEndPr>
    <w:sdtContent>
      <w:p w:rsidR="00BE7F43" w:rsidRDefault="00BE7F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E7F43" w:rsidRDefault="00BE7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4FD9" w:rsidRDefault="006F4FD9" w:rsidP="00AC073E">
      <w:pPr>
        <w:spacing w:after="0" w:line="240" w:lineRule="auto"/>
      </w:pPr>
      <w:r>
        <w:separator/>
      </w:r>
    </w:p>
  </w:footnote>
  <w:footnote w:type="continuationSeparator" w:id="0">
    <w:p w:rsidR="006F4FD9" w:rsidRDefault="006F4FD9" w:rsidP="00AC073E">
      <w:pPr>
        <w:spacing w:after="0" w:line="240" w:lineRule="auto"/>
      </w:pPr>
      <w:r>
        <w:continuationSeparator/>
      </w:r>
    </w:p>
  </w:footnote>
  <w:footnote w:id="1">
    <w:p w:rsidR="00AC073E" w:rsidRDefault="00AC073E">
      <w:pPr>
        <w:pStyle w:val="FootnoteText"/>
      </w:pPr>
      <w:r>
        <w:rPr>
          <w:rStyle w:val="FootnoteReference"/>
        </w:rPr>
        <w:footnoteRef/>
      </w:r>
      <w:r>
        <w:t xml:space="preserve"> Campbell 2015: 7</w:t>
      </w:r>
    </w:p>
  </w:footnote>
  <w:footnote w:id="2">
    <w:p w:rsidR="00FE0563" w:rsidRDefault="00FE0563">
      <w:pPr>
        <w:pStyle w:val="FootnoteText"/>
      </w:pPr>
      <w:r>
        <w:rPr>
          <w:rStyle w:val="FootnoteReference"/>
        </w:rPr>
        <w:footnoteRef/>
      </w:r>
      <w:r>
        <w:t xml:space="preserve"> Petron. Sat. 71-72</w:t>
      </w:r>
    </w:p>
  </w:footnote>
  <w:footnote w:id="3">
    <w:p w:rsidR="00045F44" w:rsidRDefault="00045F44">
      <w:pPr>
        <w:pStyle w:val="FootnoteText"/>
      </w:pPr>
      <w:r>
        <w:rPr>
          <w:rStyle w:val="FootnoteReference"/>
        </w:rPr>
        <w:footnoteRef/>
      </w:r>
      <w:r>
        <w:t xml:space="preserve"> Petron. Sat. 71</w:t>
      </w:r>
    </w:p>
  </w:footnote>
  <w:footnote w:id="4">
    <w:p w:rsidR="003E586C" w:rsidRDefault="003E586C">
      <w:pPr>
        <w:pStyle w:val="FootnoteText"/>
      </w:pPr>
      <w:r>
        <w:rPr>
          <w:rStyle w:val="FootnoteReference"/>
        </w:rPr>
        <w:footnoteRef/>
      </w:r>
      <w:r>
        <w:t xml:space="preserve"> Petron. Sat. 71</w:t>
      </w:r>
    </w:p>
  </w:footnote>
  <w:footnote w:id="5">
    <w:p w:rsidR="009A722C" w:rsidRDefault="009A722C">
      <w:pPr>
        <w:pStyle w:val="FootnoteText"/>
      </w:pPr>
      <w:r>
        <w:rPr>
          <w:rStyle w:val="FootnoteReference"/>
        </w:rPr>
        <w:footnoteRef/>
      </w:r>
      <w:r>
        <w:t xml:space="preserve"> Petron. Sat. 71</w:t>
      </w:r>
    </w:p>
  </w:footnote>
  <w:footnote w:id="6">
    <w:p w:rsidR="008460CA" w:rsidRDefault="008460CA">
      <w:pPr>
        <w:pStyle w:val="FootnoteText"/>
      </w:pPr>
      <w:r>
        <w:rPr>
          <w:rStyle w:val="FootnoteReference"/>
        </w:rPr>
        <w:footnoteRef/>
      </w:r>
      <w:r>
        <w:t xml:space="preserve"> Petron. Sat. 71</w:t>
      </w:r>
    </w:p>
  </w:footnote>
  <w:footnote w:id="7">
    <w:p w:rsidR="000B0E3E" w:rsidRDefault="000B0E3E">
      <w:pPr>
        <w:pStyle w:val="FootnoteText"/>
      </w:pPr>
      <w:r>
        <w:rPr>
          <w:rStyle w:val="FootnoteReference"/>
        </w:rPr>
        <w:footnoteRef/>
      </w:r>
      <w:r>
        <w:t xml:space="preserve"> Hope 1997: 109</w:t>
      </w:r>
    </w:p>
  </w:footnote>
  <w:footnote w:id="8">
    <w:p w:rsidR="009F6A51" w:rsidRDefault="009F6A51">
      <w:pPr>
        <w:pStyle w:val="FootnoteText"/>
      </w:pPr>
      <w:r>
        <w:rPr>
          <w:rStyle w:val="FootnoteReference"/>
        </w:rPr>
        <w:footnoteRef/>
      </w:r>
      <w:r>
        <w:t xml:space="preserve"> Petron. Sat. 71</w:t>
      </w:r>
    </w:p>
  </w:footnote>
  <w:footnote w:id="9">
    <w:p w:rsidR="009F1532" w:rsidRDefault="009F1532">
      <w:pPr>
        <w:pStyle w:val="FootnoteText"/>
      </w:pPr>
      <w:r>
        <w:rPr>
          <w:rStyle w:val="FootnoteReference"/>
        </w:rPr>
        <w:footnoteRef/>
      </w:r>
      <w:r>
        <w:t xml:space="preserve"> </w:t>
      </w:r>
      <w:proofErr w:type="spellStart"/>
      <w:r>
        <w:t>Ov</w:t>
      </w:r>
      <w:proofErr w:type="spellEnd"/>
      <w:r>
        <w:t>. Tris. 3.3.35-38</w:t>
      </w:r>
    </w:p>
  </w:footnote>
  <w:footnote w:id="10">
    <w:p w:rsidR="009F1532" w:rsidRDefault="009F1532">
      <w:pPr>
        <w:pStyle w:val="FootnoteText"/>
      </w:pPr>
      <w:r>
        <w:rPr>
          <w:rStyle w:val="FootnoteReference"/>
        </w:rPr>
        <w:footnoteRef/>
      </w:r>
      <w:r>
        <w:t xml:space="preserve"> </w:t>
      </w:r>
      <w:proofErr w:type="spellStart"/>
      <w:r>
        <w:t>Ov</w:t>
      </w:r>
      <w:proofErr w:type="spellEnd"/>
      <w:r>
        <w:t>. Tris. 3.3.35-46</w:t>
      </w:r>
    </w:p>
  </w:footnote>
  <w:footnote w:id="11">
    <w:p w:rsidR="009F1532" w:rsidRDefault="009F1532">
      <w:pPr>
        <w:pStyle w:val="FootnoteText"/>
      </w:pPr>
      <w:r>
        <w:rPr>
          <w:rStyle w:val="FootnoteReference"/>
        </w:rPr>
        <w:footnoteRef/>
      </w:r>
      <w:r>
        <w:t xml:space="preserve"> </w:t>
      </w:r>
      <w:proofErr w:type="spellStart"/>
      <w:r>
        <w:t>Ov</w:t>
      </w:r>
      <w:proofErr w:type="spellEnd"/>
      <w:r>
        <w:t>. Tris. 3.3.</w:t>
      </w:r>
      <w:r w:rsidR="00B84780">
        <w:t>65</w:t>
      </w:r>
    </w:p>
  </w:footnote>
  <w:footnote w:id="12">
    <w:p w:rsidR="00DD30F3" w:rsidRDefault="00DD30F3">
      <w:pPr>
        <w:pStyle w:val="FootnoteText"/>
      </w:pPr>
      <w:r>
        <w:rPr>
          <w:rStyle w:val="FootnoteReference"/>
        </w:rPr>
        <w:footnoteRef/>
      </w:r>
      <w:r>
        <w:t xml:space="preserve"> </w:t>
      </w:r>
      <w:proofErr w:type="spellStart"/>
      <w:r>
        <w:t>Ov</w:t>
      </w:r>
      <w:proofErr w:type="spellEnd"/>
      <w:r>
        <w:t>. Tris. 3.3.73-76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7F43" w:rsidRPr="00BE7F43" w:rsidRDefault="00BE7F43">
    <w:pPr>
      <w:pStyle w:val="Header"/>
      <w:rPr>
        <w:rFonts w:ascii="Times New Roman" w:hAnsi="Times New Roman" w:cs="Times New Roman"/>
      </w:rPr>
    </w:pPr>
    <w:r w:rsidRPr="00BE7F43">
      <w:rPr>
        <w:rFonts w:ascii="Times New Roman" w:hAnsi="Times New Roman" w:cs="Times New Roman"/>
      </w:rPr>
      <w:ptab w:relativeTo="margin" w:alignment="right" w:leader="none"/>
    </w:r>
    <w:r w:rsidRPr="00BE7F43">
      <w:rPr>
        <w:rFonts w:ascii="Times New Roman" w:hAnsi="Times New Roman" w:cs="Times New Roman"/>
      </w:rPr>
      <w:t>Eleanor Travers 1500674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73E"/>
    <w:rsid w:val="00045F44"/>
    <w:rsid w:val="000B0E3E"/>
    <w:rsid w:val="000F6E6B"/>
    <w:rsid w:val="00190C2A"/>
    <w:rsid w:val="001B54DD"/>
    <w:rsid w:val="002343A7"/>
    <w:rsid w:val="00251866"/>
    <w:rsid w:val="00292501"/>
    <w:rsid w:val="00294243"/>
    <w:rsid w:val="002A268B"/>
    <w:rsid w:val="002B5D11"/>
    <w:rsid w:val="00332361"/>
    <w:rsid w:val="003572DB"/>
    <w:rsid w:val="003B35F2"/>
    <w:rsid w:val="003B68F8"/>
    <w:rsid w:val="003E586C"/>
    <w:rsid w:val="00480B93"/>
    <w:rsid w:val="005664C5"/>
    <w:rsid w:val="005C605F"/>
    <w:rsid w:val="005E5DC0"/>
    <w:rsid w:val="006029A0"/>
    <w:rsid w:val="006F4FD9"/>
    <w:rsid w:val="007260FC"/>
    <w:rsid w:val="00732E8E"/>
    <w:rsid w:val="00770D1B"/>
    <w:rsid w:val="007A4458"/>
    <w:rsid w:val="007F34A3"/>
    <w:rsid w:val="00826F93"/>
    <w:rsid w:val="008460CA"/>
    <w:rsid w:val="00884890"/>
    <w:rsid w:val="008B35D3"/>
    <w:rsid w:val="00927877"/>
    <w:rsid w:val="00992D2F"/>
    <w:rsid w:val="009A722C"/>
    <w:rsid w:val="009C0FA4"/>
    <w:rsid w:val="009D328E"/>
    <w:rsid w:val="009F1532"/>
    <w:rsid w:val="009F6A51"/>
    <w:rsid w:val="00A41D7A"/>
    <w:rsid w:val="00A54E10"/>
    <w:rsid w:val="00A800BF"/>
    <w:rsid w:val="00A8046D"/>
    <w:rsid w:val="00AC073E"/>
    <w:rsid w:val="00B67716"/>
    <w:rsid w:val="00B84780"/>
    <w:rsid w:val="00BB4550"/>
    <w:rsid w:val="00BE7F43"/>
    <w:rsid w:val="00C152BC"/>
    <w:rsid w:val="00C42139"/>
    <w:rsid w:val="00C562F7"/>
    <w:rsid w:val="00CB004A"/>
    <w:rsid w:val="00CC7B85"/>
    <w:rsid w:val="00D62F2A"/>
    <w:rsid w:val="00D9201F"/>
    <w:rsid w:val="00D93B05"/>
    <w:rsid w:val="00DD30F3"/>
    <w:rsid w:val="00DD3FB1"/>
    <w:rsid w:val="00EC79DB"/>
    <w:rsid w:val="00EE034A"/>
    <w:rsid w:val="00F74B5E"/>
    <w:rsid w:val="00FE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2964D"/>
  <w15:chartTrackingRefBased/>
  <w15:docId w15:val="{7293E585-C8C5-4291-8FF3-32F23D2D2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C07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073E"/>
    <w:rPr>
      <w:sz w:val="20"/>
      <w:szCs w:val="20"/>
    </w:rPr>
  </w:style>
  <w:style w:type="character" w:styleId="FootnoteReference">
    <w:name w:val="footnote reference"/>
    <w:basedOn w:val="DefaultParagraphFont"/>
    <w:uiPriority w:val="99"/>
    <w:semiHidden/>
    <w:unhideWhenUsed/>
    <w:rsid w:val="00AC073E"/>
    <w:rPr>
      <w:vertAlign w:val="superscript"/>
    </w:rPr>
  </w:style>
  <w:style w:type="paragraph" w:styleId="Header">
    <w:name w:val="header"/>
    <w:basedOn w:val="Normal"/>
    <w:link w:val="HeaderChar"/>
    <w:uiPriority w:val="99"/>
    <w:unhideWhenUsed/>
    <w:rsid w:val="00BE7F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F43"/>
  </w:style>
  <w:style w:type="paragraph" w:styleId="Footer">
    <w:name w:val="footer"/>
    <w:basedOn w:val="Normal"/>
    <w:link w:val="FooterChar"/>
    <w:uiPriority w:val="99"/>
    <w:unhideWhenUsed/>
    <w:rsid w:val="00BE7F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F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5</Pages>
  <Words>978</Words>
  <Characters>5575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Travers</dc:creator>
  <cp:keywords/>
  <dc:description/>
  <cp:lastModifiedBy>Eleanor Travers</cp:lastModifiedBy>
  <cp:revision>38</cp:revision>
  <dcterms:created xsi:type="dcterms:W3CDTF">2019-05-24T19:14:00Z</dcterms:created>
  <dcterms:modified xsi:type="dcterms:W3CDTF">2019-05-24T22:10:00Z</dcterms:modified>
</cp:coreProperties>
</file>