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3F2B8D" w14:textId="77777777" w:rsidR="00A80B44" w:rsidRDefault="009271BF">
      <w:pPr>
        <w:spacing w:after="0" w:line="259" w:lineRule="auto"/>
        <w:ind w:left="8" w:hanging="10"/>
      </w:pPr>
      <w:r>
        <w:rPr>
          <w:rFonts w:ascii="Calibri" w:eastAsia="Calibri" w:hAnsi="Calibri" w:cs="Calibri"/>
          <w:sz w:val="56"/>
        </w:rPr>
        <w:t xml:space="preserve">Catalogue entry:  </w:t>
      </w:r>
    </w:p>
    <w:p w14:paraId="0076A980" w14:textId="77777777" w:rsidR="00A80B44" w:rsidRDefault="009271BF">
      <w:pPr>
        <w:spacing w:after="0" w:line="259" w:lineRule="auto"/>
        <w:ind w:left="-302" w:right="-1348" w:firstLine="0"/>
      </w:pPr>
      <w:r>
        <w:rPr>
          <w:rFonts w:ascii="Calibri" w:eastAsia="Calibri" w:hAnsi="Calibri" w:cs="Calibri"/>
          <w:noProof/>
          <w:sz w:val="22"/>
        </w:rPr>
        <mc:AlternateContent>
          <mc:Choice Requires="wpg">
            <w:drawing>
              <wp:inline distT="0" distB="0" distL="0" distR="0" wp14:anchorId="3DF991CA" wp14:editId="2A5AD0CB">
                <wp:extent cx="6810375" cy="6434404"/>
                <wp:effectExtent l="0" t="0" r="0" b="0"/>
                <wp:docPr id="17288" name="Group 17288"/>
                <wp:cNvGraphicFramePr/>
                <a:graphic xmlns:a="http://schemas.openxmlformats.org/drawingml/2006/main">
                  <a:graphicData uri="http://schemas.microsoft.com/office/word/2010/wordprocessingGroup">
                    <wpg:wgp>
                      <wpg:cNvGrpSpPr/>
                      <wpg:grpSpPr>
                        <a:xfrm>
                          <a:off x="0" y="0"/>
                          <a:ext cx="6810375" cy="6434404"/>
                          <a:chOff x="0" y="0"/>
                          <a:chExt cx="6810375" cy="6434404"/>
                        </a:xfrm>
                      </wpg:grpSpPr>
                      <pic:pic xmlns:pic="http://schemas.openxmlformats.org/drawingml/2006/picture">
                        <pic:nvPicPr>
                          <pic:cNvPr id="227" name="Picture 227"/>
                          <pic:cNvPicPr/>
                        </pic:nvPicPr>
                        <pic:blipFill>
                          <a:blip r:embed="rId4"/>
                          <a:stretch>
                            <a:fillRect/>
                          </a:stretch>
                        </pic:blipFill>
                        <pic:spPr>
                          <a:xfrm>
                            <a:off x="0" y="133350"/>
                            <a:ext cx="3371850" cy="4495800"/>
                          </a:xfrm>
                          <a:prstGeom prst="rect">
                            <a:avLst/>
                          </a:prstGeom>
                        </pic:spPr>
                      </pic:pic>
                      <pic:pic xmlns:pic="http://schemas.openxmlformats.org/drawingml/2006/picture">
                        <pic:nvPicPr>
                          <pic:cNvPr id="229" name="Picture 229"/>
                          <pic:cNvPicPr/>
                        </pic:nvPicPr>
                        <pic:blipFill>
                          <a:blip r:embed="rId5"/>
                          <a:stretch>
                            <a:fillRect/>
                          </a:stretch>
                        </pic:blipFill>
                        <pic:spPr>
                          <a:xfrm>
                            <a:off x="3790950" y="0"/>
                            <a:ext cx="1847850" cy="2457450"/>
                          </a:xfrm>
                          <a:prstGeom prst="rect">
                            <a:avLst/>
                          </a:prstGeom>
                        </pic:spPr>
                      </pic:pic>
                      <pic:pic xmlns:pic="http://schemas.openxmlformats.org/drawingml/2006/picture">
                        <pic:nvPicPr>
                          <pic:cNvPr id="231" name="Picture 231"/>
                          <pic:cNvPicPr/>
                        </pic:nvPicPr>
                        <pic:blipFill>
                          <a:blip r:embed="rId6"/>
                          <a:stretch>
                            <a:fillRect/>
                          </a:stretch>
                        </pic:blipFill>
                        <pic:spPr>
                          <a:xfrm>
                            <a:off x="5638800" y="819150"/>
                            <a:ext cx="1171575" cy="571500"/>
                          </a:xfrm>
                          <a:prstGeom prst="rect">
                            <a:avLst/>
                          </a:prstGeom>
                        </pic:spPr>
                      </pic:pic>
                      <pic:pic xmlns:pic="http://schemas.openxmlformats.org/drawingml/2006/picture">
                        <pic:nvPicPr>
                          <pic:cNvPr id="233" name="Picture 233"/>
                          <pic:cNvPicPr/>
                        </pic:nvPicPr>
                        <pic:blipFill>
                          <a:blip r:embed="rId7"/>
                          <a:stretch>
                            <a:fillRect/>
                          </a:stretch>
                        </pic:blipFill>
                        <pic:spPr>
                          <a:xfrm>
                            <a:off x="3800475" y="2667000"/>
                            <a:ext cx="1981200" cy="2438400"/>
                          </a:xfrm>
                          <a:prstGeom prst="rect">
                            <a:avLst/>
                          </a:prstGeom>
                        </pic:spPr>
                      </pic:pic>
                      <pic:pic xmlns:pic="http://schemas.openxmlformats.org/drawingml/2006/picture">
                        <pic:nvPicPr>
                          <pic:cNvPr id="235" name="Picture 235"/>
                          <pic:cNvPicPr/>
                        </pic:nvPicPr>
                        <pic:blipFill>
                          <a:blip r:embed="rId8"/>
                          <a:stretch>
                            <a:fillRect/>
                          </a:stretch>
                        </pic:blipFill>
                        <pic:spPr>
                          <a:xfrm>
                            <a:off x="457200" y="4653229"/>
                            <a:ext cx="2257425" cy="285750"/>
                          </a:xfrm>
                          <a:prstGeom prst="rect">
                            <a:avLst/>
                          </a:prstGeom>
                        </pic:spPr>
                      </pic:pic>
                      <pic:pic xmlns:pic="http://schemas.openxmlformats.org/drawingml/2006/picture">
                        <pic:nvPicPr>
                          <pic:cNvPr id="237" name="Picture 237"/>
                          <pic:cNvPicPr/>
                        </pic:nvPicPr>
                        <pic:blipFill>
                          <a:blip r:embed="rId9"/>
                          <a:stretch>
                            <a:fillRect/>
                          </a:stretch>
                        </pic:blipFill>
                        <pic:spPr>
                          <a:xfrm>
                            <a:off x="3714750" y="5158054"/>
                            <a:ext cx="2305050" cy="1276350"/>
                          </a:xfrm>
                          <a:prstGeom prst="rect">
                            <a:avLst/>
                          </a:prstGeom>
                        </pic:spPr>
                      </pic:pic>
                    </wpg:wgp>
                  </a:graphicData>
                </a:graphic>
              </wp:inline>
            </w:drawing>
          </mc:Choice>
          <mc:Fallback xmlns:a="http://schemas.openxmlformats.org/drawingml/2006/main">
            <w:pict>
              <v:group id="Group 17288" style="width:536.25pt;height:506.646pt;mso-position-horizontal-relative:char;mso-position-vertical-relative:line" coordsize="68103,64344">
                <v:shape id="Picture 227" style="position:absolute;width:33718;height:44958;left:0;top:1333;" filled="f">
                  <v:imagedata r:id="rId10"/>
                </v:shape>
                <v:shape id="Picture 229" style="position:absolute;width:18478;height:24574;left:37909;top:0;" filled="f">
                  <v:imagedata r:id="rId11"/>
                </v:shape>
                <v:shape id="Picture 231" style="position:absolute;width:11715;height:5715;left:56388;top:8191;" filled="f">
                  <v:imagedata r:id="rId12"/>
                </v:shape>
                <v:shape id="Picture 233" style="position:absolute;width:19812;height:24384;left:38004;top:26670;" filled="f">
                  <v:imagedata r:id="rId13"/>
                </v:shape>
                <v:shape id="Picture 235" style="position:absolute;width:22574;height:2857;left:4572;top:46532;" filled="f">
                  <v:imagedata r:id="rId14"/>
                </v:shape>
                <v:shape id="Picture 237" style="position:absolute;width:23050;height:12763;left:37147;top:51580;" filled="f">
                  <v:imagedata r:id="rId15"/>
                </v:shape>
              </v:group>
            </w:pict>
          </mc:Fallback>
        </mc:AlternateContent>
      </w:r>
    </w:p>
    <w:p w14:paraId="63514ED7" w14:textId="77777777" w:rsidR="00A80B44" w:rsidRDefault="009271BF">
      <w:pPr>
        <w:spacing w:after="196" w:line="259" w:lineRule="auto"/>
        <w:ind w:firstLine="0"/>
      </w:pPr>
      <w:r>
        <w:t xml:space="preserve"> </w:t>
      </w:r>
    </w:p>
    <w:p w14:paraId="414A88EA" w14:textId="77777777" w:rsidR="00A80B44" w:rsidRDefault="009271BF">
      <w:pPr>
        <w:spacing w:after="196" w:line="259" w:lineRule="auto"/>
        <w:ind w:firstLine="0"/>
      </w:pPr>
      <w:r>
        <w:t xml:space="preserve"> </w:t>
      </w:r>
    </w:p>
    <w:p w14:paraId="63735325" w14:textId="77777777" w:rsidR="00A80B44" w:rsidRDefault="009271BF">
      <w:pPr>
        <w:spacing w:after="196" w:line="259" w:lineRule="auto"/>
        <w:ind w:firstLine="0"/>
      </w:pPr>
      <w:r>
        <w:t xml:space="preserve"> </w:t>
      </w:r>
    </w:p>
    <w:p w14:paraId="5A499FFC" w14:textId="77777777" w:rsidR="00A80B44" w:rsidRDefault="009271BF">
      <w:pPr>
        <w:spacing w:after="196" w:line="259" w:lineRule="auto"/>
        <w:ind w:firstLine="0"/>
      </w:pPr>
      <w:r>
        <w:t xml:space="preserve"> </w:t>
      </w:r>
    </w:p>
    <w:p w14:paraId="558B75D0" w14:textId="77777777" w:rsidR="00A80B44" w:rsidRDefault="009271BF">
      <w:pPr>
        <w:spacing w:after="196" w:line="259" w:lineRule="auto"/>
        <w:ind w:firstLine="0"/>
      </w:pPr>
      <w:r>
        <w:t xml:space="preserve"> </w:t>
      </w:r>
    </w:p>
    <w:p w14:paraId="6233A2A6" w14:textId="77777777" w:rsidR="00A80B44" w:rsidRDefault="009271BF">
      <w:pPr>
        <w:spacing w:after="0" w:line="259" w:lineRule="auto"/>
        <w:ind w:firstLine="0"/>
      </w:pPr>
      <w:r>
        <w:t xml:space="preserve"> </w:t>
      </w:r>
    </w:p>
    <w:p w14:paraId="71F39E55" w14:textId="77777777" w:rsidR="00A80B44" w:rsidRDefault="009271BF">
      <w:pPr>
        <w:ind w:left="-2" w:right="5"/>
      </w:pPr>
      <w:r>
        <w:lastRenderedPageBreak/>
        <w:t xml:space="preserve">Predynastic Decorated Ceramic Vessel </w:t>
      </w:r>
    </w:p>
    <w:p w14:paraId="2A0E0F87" w14:textId="77777777" w:rsidR="00A80B44" w:rsidRDefault="009271BF">
      <w:pPr>
        <w:ind w:left="-2" w:right="5"/>
      </w:pPr>
      <w:r>
        <w:t xml:space="preserve">Object type: Ceramic vessel  </w:t>
      </w:r>
    </w:p>
    <w:p w14:paraId="7876700D" w14:textId="77777777" w:rsidR="00A80B44" w:rsidRDefault="009271BF">
      <w:pPr>
        <w:ind w:left="-2" w:right="5"/>
      </w:pPr>
      <w:proofErr w:type="spellStart"/>
      <w:r>
        <w:t>Cyfathfa</w:t>
      </w:r>
      <w:proofErr w:type="spellEnd"/>
      <w:r>
        <w:t xml:space="preserve"> Castle and Park. CCM 270.004 </w:t>
      </w:r>
    </w:p>
    <w:p w14:paraId="72B5A3E5" w14:textId="77777777" w:rsidR="00A80B44" w:rsidRDefault="009271BF">
      <w:pPr>
        <w:ind w:left="-2" w:right="5"/>
      </w:pPr>
      <w:r>
        <w:t xml:space="preserve">Period: 3550-3100bc  </w:t>
      </w:r>
    </w:p>
    <w:p w14:paraId="3D5D8E17" w14:textId="77777777" w:rsidR="00A80B44" w:rsidRDefault="009271BF">
      <w:pPr>
        <w:ind w:left="-2" w:right="5"/>
      </w:pPr>
      <w:r>
        <w:t xml:space="preserve">Provenance: Egypt </w:t>
      </w:r>
    </w:p>
    <w:p w14:paraId="4920D29C" w14:textId="77777777" w:rsidR="00A80B44" w:rsidRDefault="009271BF">
      <w:pPr>
        <w:ind w:left="-2" w:right="5"/>
      </w:pPr>
      <w:r>
        <w:t xml:space="preserve">Dimensions: height 30 cm, width at widest point 28cm  </w:t>
      </w:r>
    </w:p>
    <w:p w14:paraId="0B3C84BD" w14:textId="77777777" w:rsidR="00A80B44" w:rsidRDefault="009271BF">
      <w:pPr>
        <w:ind w:left="-2" w:right="5"/>
      </w:pPr>
      <w:r>
        <w:t xml:space="preserve">Material: marl clay and ochre paint </w:t>
      </w:r>
    </w:p>
    <w:p w14:paraId="2BBD06E0" w14:textId="77777777" w:rsidR="00A80B44" w:rsidRDefault="009271BF">
      <w:pPr>
        <w:ind w:left="-2" w:right="5"/>
      </w:pPr>
      <w:r>
        <w:t xml:space="preserve">Object analysis by: Lillian York  </w:t>
      </w:r>
    </w:p>
    <w:p w14:paraId="20E4CB07" w14:textId="77777777" w:rsidR="00A05F43" w:rsidRPr="00A05F43" w:rsidRDefault="009271BF" w:rsidP="00521697">
      <w:pPr>
        <w:pStyle w:val="NormalWeb"/>
        <w:spacing w:before="0" w:beforeAutospacing="0" w:after="184" w:afterAutospacing="0"/>
        <w:ind w:right="5"/>
      </w:pPr>
      <w:r>
        <w:t xml:space="preserve"> </w:t>
      </w:r>
      <w:r w:rsidR="00A05F43" w:rsidRPr="00A05F43">
        <w:t xml:space="preserve">This decorated pot was produced out of marl clay and had a finishing decoration of red ochre paint. The pot has been dated to the Egyptian Predynastic period (most likely 2550-3100 bc). The vessel stands 30cm high on a narrow base with a diameter of 10.1cm and expands elegantly to a width of 28cm at the shoulder before narrowing to an opening of 15.6cm across. Positioned evenly around the shoulder are three lugs, each with a hole suitable for attaching a tie or fixture. The opening has a simple round rim. The surface colour is a pale terracotta/tan colour, and the painted design is a deep red ochre.  </w:t>
      </w:r>
    </w:p>
    <w:p w14:paraId="044D9D25" w14:textId="77777777" w:rsidR="00A05F43" w:rsidRPr="00A05F43" w:rsidRDefault="00A05F43" w:rsidP="00A05F43">
      <w:pPr>
        <w:spacing w:line="240" w:lineRule="auto"/>
        <w:ind w:left="0" w:right="5" w:firstLine="0"/>
        <w:rPr>
          <w:rFonts w:ascii="Aptos" w:eastAsiaTheme="minorHAnsi" w:hAnsi="Aptos" w:cs="Aptos"/>
          <w:color w:val="auto"/>
          <w:kern w:val="0"/>
          <w:lang w:bidi="ar-SA"/>
          <w14:ligatures w14:val="none"/>
        </w:rPr>
      </w:pPr>
      <w:r w:rsidRPr="00A05F43">
        <w:rPr>
          <w:rFonts w:ascii="Aptos" w:eastAsiaTheme="minorHAnsi" w:hAnsi="Aptos" w:cs="Aptos"/>
          <w:color w:val="auto"/>
          <w:kern w:val="0"/>
          <w:lang w:bidi="ar-SA"/>
          <w14:ligatures w14:val="none"/>
        </w:rPr>
        <w:t xml:space="preserve">There are several different patterns enclosed within four horizontal bands each about 4-5cm wide from the top of the pot to just below the middle. The top band has groups of slanted lines leaning alternately left and right. The next band is empty, with a height of 3.5cm, and the band below repeats the slanted line pattern, with another empty band below. The lowest band covering the largest width of the pot shows triangles broken up with leaf motifs. The pattern of the triangles is six triangles, palm leaf, seven triangles, palm leaf, seven triangles, palm leaf. The triangles represent mountains and palm leaves are associated with fertility and new life. The overall condition of this pot is ok; there are a few sections of this pot which seem to have faded and there are a few pencil marks from previous students who have studied it. </w:t>
      </w:r>
    </w:p>
    <w:p w14:paraId="30924080" w14:textId="77777777" w:rsidR="00A05F43" w:rsidRPr="00A05F43" w:rsidRDefault="00A05F43" w:rsidP="00A05F43">
      <w:pPr>
        <w:spacing w:line="240" w:lineRule="auto"/>
        <w:ind w:left="0" w:right="5" w:firstLine="0"/>
        <w:rPr>
          <w:rFonts w:ascii="Aptos" w:eastAsiaTheme="minorHAnsi" w:hAnsi="Aptos" w:cs="Aptos"/>
          <w:color w:val="auto"/>
          <w:kern w:val="0"/>
          <w:lang w:bidi="ar-SA"/>
          <w14:ligatures w14:val="none"/>
        </w:rPr>
      </w:pPr>
      <w:r w:rsidRPr="00A05F43">
        <w:rPr>
          <w:rFonts w:ascii="Aptos" w:eastAsiaTheme="minorHAnsi" w:hAnsi="Aptos" w:cs="Aptos"/>
          <w:color w:val="auto"/>
          <w:kern w:val="0"/>
          <w:lang w:bidi="ar-SA"/>
          <w14:ligatures w14:val="none"/>
        </w:rPr>
        <w:t xml:space="preserve">The slanted lines represent the River Nile and are grouped into sections of five to 10 lines. Amongst these patterns are three ‘lugs’ which are the handles. These handles show us that this specific pot originally would have had a cloth lid, and these lugs were used to secure the lid. According to the oriental institute, university of Chicago referring to the decorated ware vessel in their collection (with the object number of E10581), decorated pots were valued for their decoration then any earlier use it may have had. We know the River Nile was an important source of daily life with the function of transportation. Many decorated jars and pots display the River Nile. </w:t>
      </w:r>
    </w:p>
    <w:p w14:paraId="75C140D8" w14:textId="5BC86A91" w:rsidR="00A05F43" w:rsidRPr="00A05F43" w:rsidRDefault="00A05F43" w:rsidP="00A05F43">
      <w:pPr>
        <w:spacing w:after="20" w:line="240" w:lineRule="auto"/>
        <w:ind w:left="0" w:right="5" w:firstLine="0"/>
        <w:rPr>
          <w:rFonts w:ascii="Aptos" w:eastAsiaTheme="minorHAnsi" w:hAnsi="Aptos" w:cs="Aptos"/>
          <w:color w:val="auto"/>
          <w:kern w:val="0"/>
          <w:lang w:bidi="ar-SA"/>
          <w14:ligatures w14:val="none"/>
        </w:rPr>
      </w:pPr>
      <w:r w:rsidRPr="00A05F43">
        <w:rPr>
          <w:rFonts w:ascii="Aptos" w:eastAsiaTheme="minorHAnsi" w:hAnsi="Aptos" w:cs="Aptos"/>
          <w:color w:val="auto"/>
          <w:kern w:val="0"/>
          <w:lang w:bidi="ar-SA"/>
          <w14:ligatures w14:val="none"/>
        </w:rPr>
        <w:t xml:space="preserve">The pot was produced in the Naqada II period. If we compare this pot to the jar in the British museum (museum number: EA35502), we can see many similarities which help me to date this particular pot, the </w:t>
      </w:r>
      <w:r w:rsidR="008A1133" w:rsidRPr="00A05F43">
        <w:rPr>
          <w:rFonts w:ascii="Aptos" w:eastAsiaTheme="minorHAnsi" w:hAnsi="Aptos" w:cs="Aptos"/>
          <w:color w:val="auto"/>
          <w:kern w:val="0"/>
          <w:lang w:bidi="ar-SA"/>
          <w14:ligatures w14:val="none"/>
        </w:rPr>
        <w:t>characteristics are</w:t>
      </w:r>
      <w:r w:rsidRPr="00A05F43">
        <w:rPr>
          <w:rFonts w:ascii="Aptos" w:eastAsiaTheme="minorHAnsi" w:hAnsi="Aptos" w:cs="Aptos"/>
          <w:color w:val="auto"/>
          <w:kern w:val="0"/>
          <w:lang w:bidi="ar-SA"/>
          <w14:ligatures w14:val="none"/>
        </w:rPr>
        <w:t xml:space="preserve"> the same. Decorated pottery is mostly found within the wealthy burials. Both pottery pieces are made out of marl clay and painted with red ochre paint. These types of pottery are decorated or D-ware objects. When we compare the pot to this jar, we can conclude that this pot came from </w:t>
      </w:r>
      <w:r w:rsidRPr="00A05F43">
        <w:rPr>
          <w:rFonts w:ascii="Aptos" w:eastAsiaTheme="minorHAnsi" w:hAnsi="Aptos" w:cs="Aptos"/>
          <w:color w:val="auto"/>
          <w:kern w:val="0"/>
          <w:lang w:bidi="ar-SA"/>
          <w14:ligatures w14:val="none"/>
        </w:rPr>
        <w:lastRenderedPageBreak/>
        <w:t xml:space="preserve">a wealthy grave. (British Museum, n.d.) The decoration on the pot is associated with ensuring fertility and rebirth. Not just humans, but for animals and the cosmos. </w:t>
      </w:r>
    </w:p>
    <w:p w14:paraId="11E19037" w14:textId="77777777" w:rsidR="00A05F43" w:rsidRPr="00A05F43" w:rsidRDefault="00A05F43" w:rsidP="00A05F43">
      <w:pPr>
        <w:spacing w:line="240" w:lineRule="auto"/>
        <w:ind w:left="0" w:right="5" w:firstLine="0"/>
        <w:rPr>
          <w:rFonts w:ascii="Aptos" w:eastAsiaTheme="minorHAnsi" w:hAnsi="Aptos" w:cs="Aptos"/>
          <w:color w:val="auto"/>
          <w:kern w:val="0"/>
          <w:lang w:bidi="ar-SA"/>
          <w14:ligatures w14:val="none"/>
        </w:rPr>
      </w:pPr>
      <w:r w:rsidRPr="00A05F43">
        <w:rPr>
          <w:rFonts w:ascii="Aptos" w:eastAsiaTheme="minorHAnsi" w:hAnsi="Aptos" w:cs="Aptos"/>
          <w:color w:val="auto"/>
          <w:kern w:val="0"/>
          <w:lang w:bidi="ar-SA"/>
          <w14:ligatures w14:val="none"/>
        </w:rPr>
        <w:t xml:space="preserve">This was a particularly important aspect to the Egyptians throughout history. (Strudwick N, 2006)  </w:t>
      </w:r>
    </w:p>
    <w:p w14:paraId="6F8D4615" w14:textId="77777777" w:rsidR="008A1133" w:rsidRDefault="00A05F43" w:rsidP="008A1133">
      <w:pPr>
        <w:spacing w:line="240" w:lineRule="auto"/>
        <w:ind w:left="0" w:right="5" w:firstLine="0"/>
        <w:rPr>
          <w:rFonts w:ascii="Aptos" w:eastAsiaTheme="minorHAnsi" w:hAnsi="Aptos" w:cs="Aptos"/>
          <w:color w:val="auto"/>
          <w:kern w:val="0"/>
          <w:lang w:bidi="ar-SA"/>
          <w14:ligatures w14:val="none"/>
        </w:rPr>
      </w:pPr>
      <w:r w:rsidRPr="00A05F43">
        <w:rPr>
          <w:rFonts w:ascii="Aptos" w:eastAsiaTheme="minorHAnsi" w:hAnsi="Aptos" w:cs="Aptos"/>
          <w:color w:val="auto"/>
          <w:kern w:val="0"/>
          <w:lang w:bidi="ar-SA"/>
          <w14:ligatures w14:val="none"/>
        </w:rPr>
        <w:t>This decorated pot is immensely helpful for archaeologists to understand the mindset of the Egyptians during this period</w:t>
      </w:r>
      <w:r w:rsidR="008A1133">
        <w:rPr>
          <w:rFonts w:ascii="Aptos" w:eastAsiaTheme="minorHAnsi" w:hAnsi="Aptos" w:cs="Aptos"/>
          <w:color w:val="auto"/>
          <w:kern w:val="0"/>
          <w:lang w:bidi="ar-SA"/>
          <w14:ligatures w14:val="none"/>
        </w:rPr>
        <w:t>.</w:t>
      </w:r>
    </w:p>
    <w:p w14:paraId="4EC73DD3" w14:textId="3FE28175" w:rsidR="00A05F43" w:rsidRPr="00A05F43" w:rsidRDefault="00A05F43" w:rsidP="008A1133">
      <w:pPr>
        <w:spacing w:line="240" w:lineRule="auto"/>
        <w:ind w:left="0" w:right="5" w:firstLine="0"/>
        <w:rPr>
          <w:rFonts w:ascii="Aptos" w:eastAsiaTheme="minorHAnsi" w:hAnsi="Aptos" w:cs="Aptos"/>
          <w:color w:val="auto"/>
          <w:kern w:val="0"/>
          <w:lang w:bidi="ar-SA"/>
          <w14:ligatures w14:val="none"/>
        </w:rPr>
      </w:pPr>
      <w:r w:rsidRPr="00A05F43">
        <w:rPr>
          <w:rFonts w:ascii="Aptos" w:eastAsiaTheme="minorHAnsi" w:hAnsi="Aptos" w:cs="Aptos"/>
          <w:color w:val="auto"/>
          <w:kern w:val="0"/>
          <w:lang w:bidi="ar-SA"/>
          <w14:ligatures w14:val="none"/>
        </w:rPr>
        <w:t xml:space="preserve">Decorated pots were placed within graves to supply the deceased with resources for the afterlife. Egyptians believed that the afterlife was a continuation of living. Supplying the deceased with earthly artefacts for the next “journey”. Ceramic pots in Predynastic burials informs us the symbolic acts of remembering the deceased (Stevenson, 2009; Catstillos, 2025). This ceramic vessel was a storage vessel. We know that this ceramic vessel did not have any liquids because there is no residue inside the vessel. Items were often left within the tombs and graves of the deceased to represent the career of the person. The grave this vessel was found could have been a potter, or it could have been an object for storage. We know that this ceramic vessel did have a lid, as we can see the attachments on the vessel, for preserving foods for the deceased to take into the afterlife. Dr Jennifer Houser Wegner from Penn Museum wrote that the preparation for burial was extremely important and objects were necessary for passing successfully to the afterlife. (Wegner, n.d.)  </w:t>
      </w:r>
    </w:p>
    <w:p w14:paraId="4C9BAEE7" w14:textId="77777777" w:rsidR="00A05F43" w:rsidRPr="00A05F43" w:rsidRDefault="00A05F43" w:rsidP="00A05F43">
      <w:pPr>
        <w:spacing w:line="240" w:lineRule="auto"/>
        <w:ind w:left="0" w:right="5" w:firstLine="0"/>
        <w:rPr>
          <w:rFonts w:ascii="Aptos" w:eastAsiaTheme="minorHAnsi" w:hAnsi="Aptos" w:cs="Aptos"/>
          <w:color w:val="auto"/>
          <w:kern w:val="0"/>
          <w:lang w:bidi="ar-SA"/>
          <w14:ligatures w14:val="none"/>
        </w:rPr>
      </w:pPr>
      <w:r w:rsidRPr="00A05F43">
        <w:rPr>
          <w:rFonts w:ascii="Aptos" w:eastAsiaTheme="minorHAnsi" w:hAnsi="Aptos" w:cs="Aptos"/>
          <w:color w:val="auto"/>
          <w:kern w:val="0"/>
          <w:lang w:bidi="ar-SA"/>
          <w14:ligatures w14:val="none"/>
        </w:rPr>
        <w:t xml:space="preserve"> Wegner explains how some objects which are buried within the tomb had been used by the deceased during their lifetime, while other goods such as amulets, canonic jars and shabtis were made specifically for the burial of the person. (Wegner, n.d.)  </w:t>
      </w:r>
    </w:p>
    <w:p w14:paraId="0B91B94D" w14:textId="77777777" w:rsidR="00A05F43" w:rsidRPr="00A05F43" w:rsidRDefault="00A05F43" w:rsidP="00A05F43">
      <w:pPr>
        <w:spacing w:line="240" w:lineRule="auto"/>
        <w:ind w:left="0" w:right="5" w:firstLine="0"/>
        <w:rPr>
          <w:rFonts w:ascii="Aptos" w:eastAsiaTheme="minorHAnsi" w:hAnsi="Aptos" w:cs="Aptos"/>
          <w:color w:val="auto"/>
          <w:kern w:val="0"/>
          <w:lang w:bidi="ar-SA"/>
          <w14:ligatures w14:val="none"/>
        </w:rPr>
      </w:pPr>
      <w:r w:rsidRPr="00A05F43">
        <w:rPr>
          <w:rFonts w:ascii="Aptos" w:eastAsiaTheme="minorHAnsi" w:hAnsi="Aptos" w:cs="Aptos"/>
          <w:color w:val="auto"/>
          <w:kern w:val="0"/>
          <w:lang w:bidi="ar-SA"/>
          <w14:ligatures w14:val="none"/>
        </w:rPr>
        <w:t xml:space="preserve">When we compare this pot to a predynastic object in the Eton Myers Collection at the University of Birmingham (Museum code: ECM1868) Steven R.W. Gregory writes that this pot appears to have been handmade rather than on a wheel. (Gregory, University of Birmingham, n.d.) You can feel a ridge around the internal surface, as well as the rim being drawn out by hand, I concluded that the decorated pot is handmade due to its imperfections. Gregory writes within his article that the symbols on his decorated pot would have had meaning to the society from which the deceased person was from and will inform us partly about their life and their status (Gregory, University of Birmingham, n.d.). </w:t>
      </w:r>
    </w:p>
    <w:p w14:paraId="707E693B" w14:textId="77777777" w:rsidR="00A05F43" w:rsidRPr="00A05F43" w:rsidRDefault="00A05F43" w:rsidP="00A05F43">
      <w:pPr>
        <w:spacing w:line="240" w:lineRule="auto"/>
        <w:ind w:left="0" w:right="5" w:firstLine="0"/>
        <w:rPr>
          <w:rFonts w:ascii="Aptos" w:eastAsiaTheme="minorHAnsi" w:hAnsi="Aptos" w:cs="Aptos"/>
          <w:color w:val="auto"/>
          <w:kern w:val="0"/>
          <w:lang w:bidi="ar-SA"/>
          <w14:ligatures w14:val="none"/>
        </w:rPr>
      </w:pPr>
      <w:r w:rsidRPr="00A05F43">
        <w:rPr>
          <w:rFonts w:ascii="Aptos" w:eastAsiaTheme="minorHAnsi" w:hAnsi="Aptos" w:cs="Aptos"/>
          <w:color w:val="auto"/>
          <w:kern w:val="0"/>
          <w:lang w:bidi="ar-SA"/>
          <w14:ligatures w14:val="none"/>
        </w:rPr>
        <w:t xml:space="preserve">Looking at the jar in the British Museum again, Strudwick says that decorated pottery is rare and is found within the wealthy burials. (Strudwick N, 2006) </w:t>
      </w:r>
    </w:p>
    <w:p w14:paraId="3C97E75B" w14:textId="77777777" w:rsidR="00A05F43" w:rsidRPr="00A05F43" w:rsidRDefault="00A05F43" w:rsidP="00A05F43">
      <w:pPr>
        <w:spacing w:line="240" w:lineRule="auto"/>
        <w:ind w:left="0" w:right="5" w:firstLine="0"/>
        <w:rPr>
          <w:rFonts w:ascii="Aptos" w:eastAsiaTheme="minorHAnsi" w:hAnsi="Aptos" w:cs="Aptos"/>
          <w:color w:val="auto"/>
          <w:kern w:val="0"/>
          <w:lang w:bidi="ar-SA"/>
          <w14:ligatures w14:val="none"/>
        </w:rPr>
      </w:pPr>
      <w:r w:rsidRPr="00A05F43">
        <w:rPr>
          <w:rFonts w:ascii="Aptos" w:eastAsiaTheme="minorHAnsi" w:hAnsi="Aptos" w:cs="Aptos"/>
          <w:color w:val="auto"/>
          <w:kern w:val="0"/>
          <w:lang w:bidi="ar-SA"/>
          <w14:ligatures w14:val="none"/>
        </w:rPr>
        <w:t>The decoration of this ceramic vessel is incredibly detailed. When we look at the red orchard paint used as a coating on this vessel, we can see the life focus as in Predynastic Egypt the red ochre paint was a symbolisation of rebirth and life. Red ochre was often used within the burial ritual itself and was sprinkled on the deceased as a form of energy to take them into the afterlife. The staining on the bones was a sign of rebirth and renewal.</w:t>
      </w:r>
    </w:p>
    <w:p w14:paraId="2A936FB1" w14:textId="77777777" w:rsidR="00A05F43" w:rsidRPr="00A05F43" w:rsidRDefault="00A05F43" w:rsidP="00A05F43">
      <w:pPr>
        <w:spacing w:line="240" w:lineRule="auto"/>
        <w:ind w:left="0" w:right="5" w:firstLine="0"/>
        <w:rPr>
          <w:rFonts w:ascii="Aptos" w:eastAsiaTheme="minorHAnsi" w:hAnsi="Aptos" w:cs="Aptos"/>
          <w:color w:val="auto"/>
          <w:kern w:val="0"/>
          <w:lang w:bidi="ar-SA"/>
          <w14:ligatures w14:val="none"/>
        </w:rPr>
      </w:pPr>
      <w:r w:rsidRPr="00A05F43">
        <w:rPr>
          <w:rFonts w:ascii="Aptos" w:eastAsiaTheme="minorHAnsi" w:hAnsi="Aptos" w:cs="Aptos"/>
          <w:color w:val="auto"/>
          <w:kern w:val="0"/>
          <w:lang w:bidi="ar-SA"/>
          <w14:ligatures w14:val="none"/>
        </w:rPr>
        <w:t xml:space="preserve">By finding this ceramic vessel within a grave it improves the information we have about the predynastic Egyptian beliefs and views, their Food and drinks, or something which they used in their living life to do with their occupation. (British Museum, n.d.) </w:t>
      </w:r>
    </w:p>
    <w:p w14:paraId="7530A6C6" w14:textId="77777777" w:rsidR="00A05F43" w:rsidRPr="00A05F43" w:rsidRDefault="00A05F43" w:rsidP="00A05F43">
      <w:pPr>
        <w:spacing w:line="240" w:lineRule="auto"/>
        <w:ind w:left="0" w:right="5" w:firstLine="0"/>
        <w:rPr>
          <w:rFonts w:ascii="Aptos" w:eastAsiaTheme="minorHAnsi" w:hAnsi="Aptos" w:cs="Aptos"/>
          <w:color w:val="auto"/>
          <w:kern w:val="0"/>
          <w:lang w:bidi="ar-SA"/>
          <w14:ligatures w14:val="none"/>
        </w:rPr>
      </w:pPr>
      <w:r w:rsidRPr="00A05F43">
        <w:rPr>
          <w:rFonts w:ascii="Aptos" w:eastAsiaTheme="minorHAnsi" w:hAnsi="Aptos" w:cs="Aptos"/>
          <w:color w:val="auto"/>
          <w:kern w:val="0"/>
          <w:lang w:bidi="ar-SA"/>
          <w14:ligatures w14:val="none"/>
        </w:rPr>
        <w:lastRenderedPageBreak/>
        <w:t xml:space="preserve">A Predynastic jar from Hierakonpolis is at the Metropolitan Museum of Art (with the museum code of 35.54.5) the museum states that this jar was excavated from a tomb that was part of the burial process. They state that it may have been a jar for storing food, water or even goods. (Metropolitan Museum of Art, n.d.)  </w:t>
      </w:r>
    </w:p>
    <w:p w14:paraId="667AF316" w14:textId="77777777" w:rsidR="00A05F43" w:rsidRPr="00A05F43" w:rsidRDefault="00A05F43" w:rsidP="00A05F43">
      <w:pPr>
        <w:spacing w:line="240" w:lineRule="auto"/>
        <w:ind w:left="0" w:right="5" w:firstLine="0"/>
        <w:rPr>
          <w:rFonts w:ascii="Aptos" w:eastAsiaTheme="minorHAnsi" w:hAnsi="Aptos" w:cs="Aptos"/>
          <w:color w:val="auto"/>
          <w:kern w:val="0"/>
          <w:lang w:bidi="ar-SA"/>
          <w14:ligatures w14:val="none"/>
        </w:rPr>
      </w:pPr>
      <w:r w:rsidRPr="00A05F43">
        <w:rPr>
          <w:rFonts w:ascii="Aptos" w:eastAsiaTheme="minorHAnsi" w:hAnsi="Aptos" w:cs="Aptos"/>
          <w:color w:val="auto"/>
          <w:kern w:val="0"/>
          <w:lang w:bidi="ar-SA"/>
          <w14:ligatures w14:val="none"/>
        </w:rPr>
        <w:t xml:space="preserve">During this time, the Egyptians believed in the Ka, an essence which separated the living from the deceased. The Ka was seen as a bit like a shadow. Without the Ka the deceased would not survive within the afterlife. Food and drinks within these vessels would sustain the Ka within the afterlife. The Ka needed to survive or else the deceased individual would not survive. (Detroit Institute of Art, n.d.). Looking at the relief of Ka-per with offerings at the Detroit institute of arts (museum code 57.58) Even though this jar is from the Old Kingdom, it is still an important jar which can enhance our understanding of the Predynastic burial rituals and traditions. (Detroit Institute of Art, n.d.). </w:t>
      </w:r>
    </w:p>
    <w:p w14:paraId="15CC8842" w14:textId="77777777" w:rsidR="00A05F43" w:rsidRPr="00A05F43" w:rsidRDefault="00A05F43" w:rsidP="00A05F43">
      <w:pPr>
        <w:spacing w:after="160" w:line="278" w:lineRule="auto"/>
        <w:ind w:left="0" w:firstLine="0"/>
        <w:rPr>
          <w:rFonts w:asciiTheme="minorHAnsi" w:eastAsiaTheme="minorHAnsi" w:hAnsiTheme="minorHAnsi" w:cstheme="minorBidi"/>
          <w:color w:val="auto"/>
          <w:sz w:val="28"/>
          <w:szCs w:val="28"/>
          <w:lang w:eastAsia="en-US" w:bidi="ar-SA"/>
        </w:rPr>
      </w:pPr>
    </w:p>
    <w:p w14:paraId="77976C9B" w14:textId="629409B7" w:rsidR="00A80B44" w:rsidRDefault="00A80B44" w:rsidP="00A05F43">
      <w:pPr>
        <w:spacing w:after="196" w:line="259" w:lineRule="auto"/>
        <w:ind w:firstLine="0"/>
      </w:pPr>
    </w:p>
    <w:p w14:paraId="072E63A2" w14:textId="77777777" w:rsidR="00A80B44" w:rsidRDefault="009271BF">
      <w:pPr>
        <w:spacing w:after="196" w:line="259" w:lineRule="auto"/>
        <w:ind w:firstLine="0"/>
      </w:pPr>
      <w:r>
        <w:t xml:space="preserve"> </w:t>
      </w:r>
    </w:p>
    <w:p w14:paraId="19B0F1EE" w14:textId="77777777" w:rsidR="00A80B44" w:rsidRDefault="009271BF">
      <w:pPr>
        <w:spacing w:after="490" w:line="259" w:lineRule="auto"/>
        <w:ind w:firstLine="0"/>
      </w:pPr>
      <w:r>
        <w:t xml:space="preserve"> </w:t>
      </w:r>
    </w:p>
    <w:p w14:paraId="343DF427" w14:textId="77777777" w:rsidR="00A80B44" w:rsidRDefault="009271BF">
      <w:pPr>
        <w:spacing w:after="0" w:line="259" w:lineRule="auto"/>
        <w:ind w:firstLine="0"/>
      </w:pPr>
      <w:r>
        <w:rPr>
          <w:rFonts w:ascii="Calibri" w:eastAsia="Calibri" w:hAnsi="Calibri" w:cs="Calibri"/>
          <w:sz w:val="56"/>
        </w:rPr>
        <w:t xml:space="preserve"> </w:t>
      </w:r>
    </w:p>
    <w:p w14:paraId="47CC5AF4" w14:textId="77777777" w:rsidR="00A80B44" w:rsidRDefault="009271BF">
      <w:pPr>
        <w:spacing w:after="0" w:line="259" w:lineRule="auto"/>
        <w:ind w:firstLine="0"/>
      </w:pPr>
      <w:r>
        <w:rPr>
          <w:rFonts w:ascii="Calibri" w:eastAsia="Calibri" w:hAnsi="Calibri" w:cs="Calibri"/>
          <w:sz w:val="56"/>
        </w:rPr>
        <w:t xml:space="preserve"> </w:t>
      </w:r>
    </w:p>
    <w:p w14:paraId="05CA13DE" w14:textId="77777777" w:rsidR="00A80B44" w:rsidRDefault="009271BF">
      <w:pPr>
        <w:spacing w:after="0" w:line="259" w:lineRule="auto"/>
        <w:ind w:firstLine="0"/>
      </w:pPr>
      <w:r>
        <w:rPr>
          <w:rFonts w:ascii="Calibri" w:eastAsia="Calibri" w:hAnsi="Calibri" w:cs="Calibri"/>
          <w:sz w:val="56"/>
        </w:rPr>
        <w:t xml:space="preserve"> </w:t>
      </w:r>
    </w:p>
    <w:p w14:paraId="3468DB3B" w14:textId="77777777" w:rsidR="00A80B44" w:rsidRDefault="009271BF">
      <w:pPr>
        <w:spacing w:after="0" w:line="259" w:lineRule="auto"/>
        <w:ind w:firstLine="0"/>
      </w:pPr>
      <w:r>
        <w:rPr>
          <w:rFonts w:ascii="Calibri" w:eastAsia="Calibri" w:hAnsi="Calibri" w:cs="Calibri"/>
          <w:sz w:val="56"/>
        </w:rPr>
        <w:t xml:space="preserve"> </w:t>
      </w:r>
    </w:p>
    <w:p w14:paraId="35AF2706" w14:textId="77777777" w:rsidR="00A80B44" w:rsidRDefault="009271BF">
      <w:pPr>
        <w:spacing w:after="0" w:line="259" w:lineRule="auto"/>
        <w:ind w:firstLine="0"/>
      </w:pPr>
      <w:r>
        <w:rPr>
          <w:rFonts w:ascii="Calibri" w:eastAsia="Calibri" w:hAnsi="Calibri" w:cs="Calibri"/>
          <w:sz w:val="56"/>
        </w:rPr>
        <w:t xml:space="preserve"> </w:t>
      </w:r>
    </w:p>
    <w:p w14:paraId="1B78DAB0" w14:textId="77777777" w:rsidR="00A80B44" w:rsidRDefault="009271BF">
      <w:pPr>
        <w:spacing w:after="0" w:line="259" w:lineRule="auto"/>
        <w:ind w:firstLine="0"/>
      </w:pPr>
      <w:r>
        <w:rPr>
          <w:rFonts w:ascii="Calibri" w:eastAsia="Calibri" w:hAnsi="Calibri" w:cs="Calibri"/>
          <w:sz w:val="56"/>
        </w:rPr>
        <w:t xml:space="preserve"> </w:t>
      </w:r>
    </w:p>
    <w:p w14:paraId="066A4CAF" w14:textId="77777777" w:rsidR="00A80B44" w:rsidRDefault="009271BF">
      <w:pPr>
        <w:spacing w:after="0" w:line="259" w:lineRule="auto"/>
        <w:ind w:firstLine="0"/>
      </w:pPr>
      <w:r>
        <w:rPr>
          <w:rFonts w:ascii="Calibri" w:eastAsia="Calibri" w:hAnsi="Calibri" w:cs="Calibri"/>
          <w:sz w:val="56"/>
        </w:rPr>
        <w:t xml:space="preserve"> </w:t>
      </w:r>
    </w:p>
    <w:p w14:paraId="370C98A3" w14:textId="77777777" w:rsidR="00A80B44" w:rsidRDefault="009271BF">
      <w:pPr>
        <w:spacing w:after="0" w:line="259" w:lineRule="auto"/>
        <w:ind w:firstLine="0"/>
      </w:pPr>
      <w:r>
        <w:rPr>
          <w:rFonts w:ascii="Calibri" w:eastAsia="Calibri" w:hAnsi="Calibri" w:cs="Calibri"/>
          <w:sz w:val="56"/>
        </w:rPr>
        <w:t xml:space="preserve"> </w:t>
      </w:r>
    </w:p>
    <w:p w14:paraId="79486E7E" w14:textId="77777777" w:rsidR="00A80B44" w:rsidRDefault="009271BF">
      <w:pPr>
        <w:spacing w:after="0" w:line="259" w:lineRule="auto"/>
        <w:ind w:firstLine="0"/>
      </w:pPr>
      <w:r>
        <w:rPr>
          <w:rFonts w:ascii="Calibri" w:eastAsia="Calibri" w:hAnsi="Calibri" w:cs="Calibri"/>
          <w:sz w:val="56"/>
        </w:rPr>
        <w:t xml:space="preserve"> </w:t>
      </w:r>
    </w:p>
    <w:p w14:paraId="6AC3CA56" w14:textId="77777777" w:rsidR="00A80B44" w:rsidRDefault="009271BF">
      <w:pPr>
        <w:spacing w:after="0" w:line="259" w:lineRule="auto"/>
        <w:ind w:firstLine="0"/>
      </w:pPr>
      <w:r>
        <w:rPr>
          <w:rFonts w:ascii="Calibri" w:eastAsia="Calibri" w:hAnsi="Calibri" w:cs="Calibri"/>
          <w:sz w:val="56"/>
        </w:rPr>
        <w:t xml:space="preserve"> </w:t>
      </w:r>
    </w:p>
    <w:p w14:paraId="74363B1A" w14:textId="77777777" w:rsidR="00A80B44" w:rsidRDefault="009271BF">
      <w:pPr>
        <w:spacing w:after="0" w:line="259" w:lineRule="auto"/>
        <w:ind w:firstLine="0"/>
      </w:pPr>
      <w:r>
        <w:rPr>
          <w:rFonts w:ascii="Calibri" w:eastAsia="Calibri" w:hAnsi="Calibri" w:cs="Calibri"/>
          <w:sz w:val="56"/>
        </w:rPr>
        <w:t xml:space="preserve"> </w:t>
      </w:r>
    </w:p>
    <w:p w14:paraId="5F8649EE" w14:textId="77777777" w:rsidR="00A80B44" w:rsidRDefault="009271BF">
      <w:pPr>
        <w:spacing w:after="0" w:line="259" w:lineRule="auto"/>
        <w:ind w:firstLine="0"/>
      </w:pPr>
      <w:r>
        <w:rPr>
          <w:rFonts w:ascii="Calibri" w:eastAsia="Calibri" w:hAnsi="Calibri" w:cs="Calibri"/>
          <w:sz w:val="56"/>
        </w:rPr>
        <w:t xml:space="preserve"> </w:t>
      </w:r>
    </w:p>
    <w:p w14:paraId="3DCF2878" w14:textId="77777777" w:rsidR="00A80B44" w:rsidRDefault="009271BF">
      <w:pPr>
        <w:spacing w:after="0" w:line="259" w:lineRule="auto"/>
        <w:ind w:firstLine="0"/>
      </w:pPr>
      <w:r>
        <w:rPr>
          <w:rFonts w:ascii="Calibri" w:eastAsia="Calibri" w:hAnsi="Calibri" w:cs="Calibri"/>
          <w:sz w:val="56"/>
        </w:rPr>
        <w:t xml:space="preserve"> </w:t>
      </w:r>
    </w:p>
    <w:p w14:paraId="4F506AD8" w14:textId="77777777" w:rsidR="00A80B44" w:rsidRDefault="009271BF">
      <w:pPr>
        <w:spacing w:after="0" w:line="259" w:lineRule="auto"/>
        <w:ind w:firstLine="0"/>
      </w:pPr>
      <w:r>
        <w:rPr>
          <w:rFonts w:ascii="Calibri" w:eastAsia="Calibri" w:hAnsi="Calibri" w:cs="Calibri"/>
          <w:sz w:val="56"/>
        </w:rPr>
        <w:t xml:space="preserve"> </w:t>
      </w:r>
    </w:p>
    <w:p w14:paraId="5B1FC5D8" w14:textId="77777777" w:rsidR="00A80B44" w:rsidRDefault="009271BF">
      <w:pPr>
        <w:spacing w:after="0" w:line="259" w:lineRule="auto"/>
        <w:ind w:firstLine="0"/>
      </w:pPr>
      <w:r>
        <w:rPr>
          <w:rFonts w:ascii="Calibri" w:eastAsia="Calibri" w:hAnsi="Calibri" w:cs="Calibri"/>
          <w:sz w:val="56"/>
        </w:rPr>
        <w:t xml:space="preserve"> </w:t>
      </w:r>
    </w:p>
    <w:p w14:paraId="6CF5E674" w14:textId="77777777" w:rsidR="00A80B44" w:rsidRDefault="009271BF">
      <w:pPr>
        <w:spacing w:after="0" w:line="259" w:lineRule="auto"/>
        <w:ind w:firstLine="0"/>
      </w:pPr>
      <w:r>
        <w:rPr>
          <w:rFonts w:ascii="Calibri" w:eastAsia="Calibri" w:hAnsi="Calibri" w:cs="Calibri"/>
          <w:sz w:val="56"/>
        </w:rPr>
        <w:t xml:space="preserve"> </w:t>
      </w:r>
    </w:p>
    <w:p w14:paraId="3096DB11" w14:textId="77777777" w:rsidR="00A80B44" w:rsidRDefault="009271BF">
      <w:pPr>
        <w:spacing w:after="0" w:line="259" w:lineRule="auto"/>
        <w:ind w:firstLine="0"/>
      </w:pPr>
      <w:r>
        <w:rPr>
          <w:rFonts w:ascii="Calibri" w:eastAsia="Calibri" w:hAnsi="Calibri" w:cs="Calibri"/>
          <w:sz w:val="56"/>
        </w:rPr>
        <w:t xml:space="preserve"> </w:t>
      </w:r>
    </w:p>
    <w:p w14:paraId="07B82517" w14:textId="77777777" w:rsidR="009271BF" w:rsidRDefault="009271BF">
      <w:pPr>
        <w:spacing w:after="0" w:line="259" w:lineRule="auto"/>
        <w:ind w:left="8" w:hanging="10"/>
        <w:rPr>
          <w:rFonts w:ascii="Calibri" w:eastAsia="Calibri" w:hAnsi="Calibri" w:cs="Calibri"/>
          <w:sz w:val="56"/>
        </w:rPr>
      </w:pPr>
    </w:p>
    <w:p w14:paraId="75E69E99" w14:textId="77777777" w:rsidR="009271BF" w:rsidRDefault="009271BF">
      <w:pPr>
        <w:spacing w:after="0" w:line="259" w:lineRule="auto"/>
        <w:ind w:left="8" w:hanging="10"/>
        <w:rPr>
          <w:rFonts w:ascii="Calibri" w:eastAsia="Calibri" w:hAnsi="Calibri" w:cs="Calibri"/>
          <w:sz w:val="56"/>
        </w:rPr>
      </w:pPr>
    </w:p>
    <w:p w14:paraId="7F698271" w14:textId="77777777" w:rsidR="009271BF" w:rsidRDefault="009271BF">
      <w:pPr>
        <w:spacing w:after="0" w:line="259" w:lineRule="auto"/>
        <w:ind w:left="8" w:hanging="10"/>
        <w:rPr>
          <w:rFonts w:ascii="Calibri" w:eastAsia="Calibri" w:hAnsi="Calibri" w:cs="Calibri"/>
          <w:sz w:val="56"/>
        </w:rPr>
      </w:pPr>
    </w:p>
    <w:p w14:paraId="265ED672" w14:textId="2B5F3B0F" w:rsidR="00A80B44" w:rsidRDefault="009271BF">
      <w:pPr>
        <w:spacing w:after="0" w:line="259" w:lineRule="auto"/>
        <w:ind w:left="8" w:hanging="10"/>
      </w:pPr>
      <w:r>
        <w:rPr>
          <w:rFonts w:ascii="Calibri" w:eastAsia="Calibri" w:hAnsi="Calibri" w:cs="Calibri"/>
          <w:sz w:val="56"/>
        </w:rPr>
        <w:lastRenderedPageBreak/>
        <w:t xml:space="preserve">Bibliography  </w:t>
      </w:r>
    </w:p>
    <w:p w14:paraId="1F55A0E4" w14:textId="77777777" w:rsidR="00A80B44" w:rsidRDefault="009271BF">
      <w:pPr>
        <w:spacing w:after="32"/>
        <w:ind w:left="-2" w:right="5"/>
      </w:pPr>
      <w:r>
        <w:t xml:space="preserve">Oriental institute, University of Chicago. (n.d.) </w:t>
      </w:r>
      <w:r>
        <w:rPr>
          <w:sz w:val="25"/>
        </w:rPr>
        <w:t xml:space="preserve">Decorated Ware Vessel (Object no.E10581). </w:t>
      </w:r>
      <w:r>
        <w:t xml:space="preserve">In: </w:t>
      </w:r>
      <w:r>
        <w:rPr>
          <w:sz w:val="25"/>
        </w:rPr>
        <w:t xml:space="preserve">Museum Highlights. </w:t>
      </w:r>
      <w:r>
        <w:t xml:space="preserve">Chicago: Oriental Institute Museum, University </w:t>
      </w:r>
    </w:p>
    <w:p w14:paraId="330A1DA0" w14:textId="77777777" w:rsidR="00A80B44" w:rsidRDefault="009271BF">
      <w:pPr>
        <w:ind w:left="-2" w:right="5"/>
      </w:pPr>
      <w:r>
        <w:t xml:space="preserve">of Chicago. Available at </w:t>
      </w:r>
      <w:hyperlink r:id="rId16">
        <w:r>
          <w:rPr>
            <w:color w:val="467886"/>
            <w:u w:val="single" w:color="467886"/>
          </w:rPr>
          <w:t>https://oi.uchicago.edu</w:t>
        </w:r>
      </w:hyperlink>
      <w:r>
        <w:t xml:space="preserve">  (Accessed: 13</w:t>
      </w:r>
      <w:r>
        <w:rPr>
          <w:sz w:val="22"/>
          <w:vertAlign w:val="superscript"/>
        </w:rPr>
        <w:t>th</w:t>
      </w:r>
      <w:r>
        <w:t xml:space="preserve"> October 2025) </w:t>
      </w:r>
    </w:p>
    <w:p w14:paraId="261F51F4" w14:textId="77777777" w:rsidR="00A80B44" w:rsidRDefault="009271BF">
      <w:pPr>
        <w:spacing w:after="15"/>
        <w:ind w:left="-2" w:right="5"/>
      </w:pPr>
      <w:r>
        <w:t xml:space="preserve">British Museum. (n.d.) </w:t>
      </w:r>
      <w:r>
        <w:rPr>
          <w:sz w:val="25"/>
        </w:rPr>
        <w:t>Decorated jar (object no.EA35502).</w:t>
      </w:r>
      <w:r>
        <w:t xml:space="preserve"> London: The British </w:t>
      </w:r>
    </w:p>
    <w:p w14:paraId="1A97B46A" w14:textId="77777777" w:rsidR="00A80B44" w:rsidRDefault="009271BF">
      <w:pPr>
        <w:spacing w:after="40" w:line="259" w:lineRule="auto"/>
        <w:ind w:left="8" w:right="35" w:hanging="10"/>
      </w:pPr>
      <w:r>
        <w:t xml:space="preserve">Museum Collection Online. Available at: </w:t>
      </w:r>
      <w:hyperlink r:id="rId17">
        <w:r>
          <w:rPr>
            <w:color w:val="467886"/>
            <w:u w:val="single" w:color="467886"/>
          </w:rPr>
          <w:t>https://www.britishmuseum.org/collection</w:t>
        </w:r>
      </w:hyperlink>
      <w:r>
        <w:t xml:space="preserve"> </w:t>
      </w:r>
    </w:p>
    <w:p w14:paraId="48F117E1" w14:textId="77777777" w:rsidR="00A80B44" w:rsidRDefault="009271BF">
      <w:pPr>
        <w:ind w:left="-2" w:right="5"/>
      </w:pPr>
      <w:r>
        <w:t xml:space="preserve">(Accessed 13th October 2025)  </w:t>
      </w:r>
    </w:p>
    <w:p w14:paraId="642DF69E" w14:textId="77777777" w:rsidR="00A80B44" w:rsidRDefault="009271BF">
      <w:pPr>
        <w:spacing w:after="43"/>
        <w:ind w:left="-2" w:right="5"/>
      </w:pPr>
      <w:r>
        <w:t xml:space="preserve">Strudwick, N. (2006) The British Museum Pocket Dictionary: Ancient Egypt. London: </w:t>
      </w:r>
    </w:p>
    <w:p w14:paraId="525AEA1B" w14:textId="77777777" w:rsidR="00A80B44" w:rsidRDefault="009271BF">
      <w:pPr>
        <w:ind w:left="-2" w:right="5"/>
      </w:pPr>
      <w:r>
        <w:t>British Museum Press. (Accessed: 13</w:t>
      </w:r>
      <w:r>
        <w:rPr>
          <w:sz w:val="22"/>
          <w:vertAlign w:val="superscript"/>
        </w:rPr>
        <w:t>th</w:t>
      </w:r>
      <w:r>
        <w:t xml:space="preserve"> October 2025) </w:t>
      </w:r>
    </w:p>
    <w:p w14:paraId="04D3FE6E" w14:textId="77777777" w:rsidR="00A80B44" w:rsidRDefault="009271BF">
      <w:pPr>
        <w:ind w:left="-2" w:right="5"/>
      </w:pPr>
      <w:r>
        <w:t xml:space="preserve">Stevenson, A., 2009. Social Relationships in Predynastic Burials. </w:t>
      </w:r>
      <w:r>
        <w:rPr>
          <w:sz w:val="25"/>
        </w:rPr>
        <w:t xml:space="preserve">Journal of Egyptian Archaeology, </w:t>
      </w:r>
      <w:r>
        <w:t xml:space="preserve">95, pp.175-192. </w:t>
      </w:r>
    </w:p>
    <w:p w14:paraId="53D475A9" w14:textId="77777777" w:rsidR="00A80B44" w:rsidRDefault="009271BF">
      <w:pPr>
        <w:ind w:left="-2" w:right="5"/>
      </w:pPr>
      <w:r>
        <w:t xml:space="preserve">Castillos, J.J., 2025. Decorated pots in Egyptian Predynastic tombs of children and Subadults. Göttinger Miszellen, 272, pp.15-26.  </w:t>
      </w:r>
    </w:p>
    <w:p w14:paraId="18B2BAF9" w14:textId="77777777" w:rsidR="00A80B44" w:rsidRDefault="009271BF">
      <w:pPr>
        <w:spacing w:after="15"/>
        <w:ind w:left="-2" w:right="5"/>
      </w:pPr>
      <w:r>
        <w:t xml:space="preserve">Wegner, J.H. (n.d.) Preparation for Burial. </w:t>
      </w:r>
      <w:r>
        <w:rPr>
          <w:sz w:val="25"/>
        </w:rPr>
        <w:t xml:space="preserve">Penn Museum Articles and Blogs. </w:t>
      </w:r>
    </w:p>
    <w:p w14:paraId="1BBBAF7C" w14:textId="77777777" w:rsidR="00A80B44" w:rsidRDefault="009271BF">
      <w:pPr>
        <w:spacing w:after="44"/>
        <w:ind w:left="-2" w:right="5"/>
      </w:pPr>
      <w:r>
        <w:t xml:space="preserve">Philadelphia: University of Pennsylvania Museum of Archaeology and Anthropology. </w:t>
      </w:r>
    </w:p>
    <w:p w14:paraId="0A47F766" w14:textId="77777777" w:rsidR="00A80B44" w:rsidRDefault="009271BF">
      <w:pPr>
        <w:ind w:left="-2" w:right="5"/>
      </w:pPr>
      <w:r>
        <w:t xml:space="preserve">Available at: </w:t>
      </w:r>
      <w:hyperlink r:id="rId18">
        <w:r>
          <w:rPr>
            <w:color w:val="467886"/>
            <w:u w:val="single" w:color="467886"/>
          </w:rPr>
          <w:t>https://www.penn.museum</w:t>
        </w:r>
      </w:hyperlink>
      <w:r>
        <w:t xml:space="preserve"> (Accessed: 13</w:t>
      </w:r>
      <w:r>
        <w:rPr>
          <w:sz w:val="22"/>
          <w:vertAlign w:val="superscript"/>
        </w:rPr>
        <w:t>th</w:t>
      </w:r>
      <w:r>
        <w:t xml:space="preserve"> October 2025) </w:t>
      </w:r>
    </w:p>
    <w:p w14:paraId="05EAC53F" w14:textId="77777777" w:rsidR="00A80B44" w:rsidRDefault="009271BF">
      <w:pPr>
        <w:ind w:left="-2" w:right="5"/>
      </w:pPr>
      <w:r>
        <w:t xml:space="preserve">Eton Myers Collection, University of Birmingham. (n.d.) </w:t>
      </w:r>
      <w:r>
        <w:rPr>
          <w:sz w:val="25"/>
        </w:rPr>
        <w:t xml:space="preserve">Eton Myers Collection Object ECM1868. </w:t>
      </w:r>
      <w:r>
        <w:t>Birmingham</w:t>
      </w:r>
      <w:r>
        <w:rPr>
          <w:sz w:val="25"/>
        </w:rPr>
        <w:t xml:space="preserve">: </w:t>
      </w:r>
      <w:r>
        <w:t xml:space="preserve">University of Birmingham. Available at </w:t>
      </w:r>
      <w:hyperlink r:id="rId19">
        <w:r>
          <w:rPr>
            <w:color w:val="467886"/>
            <w:u w:val="single" w:color="467886"/>
          </w:rPr>
          <w:t>https://etonmyers.bham.ac.uk</w:t>
        </w:r>
      </w:hyperlink>
      <w:r>
        <w:t xml:space="preserve"> (Accessed 13</w:t>
      </w:r>
      <w:r>
        <w:rPr>
          <w:sz w:val="22"/>
          <w:vertAlign w:val="superscript"/>
        </w:rPr>
        <w:t>th</w:t>
      </w:r>
      <w:r>
        <w:t xml:space="preserve"> October 2025)  </w:t>
      </w:r>
    </w:p>
    <w:p w14:paraId="1A9DB66A" w14:textId="77777777" w:rsidR="00A80B44" w:rsidRDefault="009271BF">
      <w:pPr>
        <w:spacing w:after="151" w:line="298" w:lineRule="auto"/>
        <w:ind w:right="103" w:firstLine="0"/>
        <w:jc w:val="both"/>
      </w:pPr>
      <w:r>
        <w:t xml:space="preserve">Metropolitan Museum of Art (n.d.) </w:t>
      </w:r>
      <w:r>
        <w:rPr>
          <w:sz w:val="25"/>
        </w:rPr>
        <w:t xml:space="preserve">Large Late Ware Storage Jar (Object no. 25.54.5) </w:t>
      </w:r>
      <w:r>
        <w:t xml:space="preserve">New York: The Metropolitan Museum of Art. Available at </w:t>
      </w:r>
      <w:hyperlink r:id="rId20">
        <w:r>
          <w:rPr>
            <w:color w:val="467886"/>
            <w:u w:val="single" w:color="467886"/>
          </w:rPr>
          <w:t>https://www.metmuseum.org/art/collection/search/547140</w:t>
        </w:r>
      </w:hyperlink>
      <w:r>
        <w:t xml:space="preserve"> (Accessed: 13</w:t>
      </w:r>
      <w:r>
        <w:rPr>
          <w:sz w:val="22"/>
          <w:vertAlign w:val="superscript"/>
        </w:rPr>
        <w:t>th</w:t>
      </w:r>
      <w:r>
        <w:t xml:space="preserve"> October 2025)  </w:t>
      </w:r>
    </w:p>
    <w:p w14:paraId="2F6BC0A6" w14:textId="77777777" w:rsidR="00A80B44" w:rsidRDefault="009271BF">
      <w:pPr>
        <w:spacing w:after="26" w:line="259" w:lineRule="auto"/>
        <w:ind w:firstLine="0"/>
      </w:pPr>
      <w:r>
        <w:t xml:space="preserve">Detroit Institute of Arts (n.d.) </w:t>
      </w:r>
      <w:r>
        <w:rPr>
          <w:sz w:val="25"/>
        </w:rPr>
        <w:t xml:space="preserve">relief of Ka-aper with Offerings (Object no. 57.58). </w:t>
      </w:r>
    </w:p>
    <w:p w14:paraId="53CA665D" w14:textId="77777777" w:rsidR="00A80B44" w:rsidRDefault="009271BF">
      <w:pPr>
        <w:spacing w:after="41"/>
        <w:ind w:left="-2" w:right="5"/>
      </w:pPr>
      <w:r>
        <w:t xml:space="preserve">Detroit: Detroit Institute of Arts. Available at: </w:t>
      </w:r>
    </w:p>
    <w:p w14:paraId="16C5D142" w14:textId="77777777" w:rsidR="00A80B44" w:rsidRDefault="009271BF">
      <w:pPr>
        <w:spacing w:after="40" w:line="259" w:lineRule="auto"/>
        <w:ind w:left="8" w:right="35" w:hanging="10"/>
      </w:pPr>
      <w:hyperlink r:id="rId21">
        <w:r>
          <w:rPr>
            <w:color w:val="467886"/>
            <w:u w:val="single" w:color="467886"/>
          </w:rPr>
          <w:t>https://dia.org/collection/relief-ka-aper-offerings-43744</w:t>
        </w:r>
      </w:hyperlink>
      <w:r>
        <w:t xml:space="preserve"> (accessed: 13</w:t>
      </w:r>
      <w:r>
        <w:rPr>
          <w:sz w:val="22"/>
          <w:vertAlign w:val="superscript"/>
        </w:rPr>
        <w:t>th</w:t>
      </w:r>
      <w:r>
        <w:t xml:space="preserve"> October 2025)  </w:t>
      </w:r>
    </w:p>
    <w:sectPr w:rsidR="00A80B44">
      <w:pgSz w:w="11920" w:h="16840"/>
      <w:pgMar w:top="1440" w:right="1418" w:bottom="1482" w:left="142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B44"/>
    <w:rsid w:val="00862FF7"/>
    <w:rsid w:val="008A1133"/>
    <w:rsid w:val="009271BF"/>
    <w:rsid w:val="009577BE"/>
    <w:rsid w:val="00A05F43"/>
    <w:rsid w:val="00A80B44"/>
    <w:rsid w:val="00B341E4"/>
    <w:rsid w:val="00F03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9349BE"/>
  <w15:docId w15:val="{5B7EF1CE-1E1E-A64C-8F8F-5FEB8D3CF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84" w:line="270" w:lineRule="auto"/>
      <w:ind w:left="13" w:firstLine="3"/>
    </w:pPr>
    <w:rPr>
      <w:rFonts w:ascii="Arial" w:eastAsia="Arial" w:hAnsi="Arial" w:cs="Arial"/>
      <w:color w:val="000000"/>
      <w:lang w:bidi="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05F43"/>
    <w:pPr>
      <w:spacing w:before="100" w:beforeAutospacing="1" w:after="100" w:afterAutospacing="1" w:line="240" w:lineRule="auto"/>
      <w:ind w:left="0" w:firstLine="0"/>
    </w:pPr>
    <w:rPr>
      <w:rFonts w:ascii="Aptos" w:eastAsiaTheme="minorHAnsi" w:hAnsi="Aptos" w:cs="Aptos"/>
      <w:color w:val="auto"/>
      <w:kern w:val="0"/>
      <w:lang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3.jpg"/><Relationship Id="rId18" Type="http://schemas.openxmlformats.org/officeDocument/2006/relationships/hyperlink" Target="https://www.penn.museum/" TargetMode="External"/><Relationship Id="rId3" Type="http://schemas.openxmlformats.org/officeDocument/2006/relationships/webSettings" Target="webSettings.xml"/><Relationship Id="rId21" Type="http://schemas.openxmlformats.org/officeDocument/2006/relationships/hyperlink" Target="https://dia.org/collection/relief-ka-aper-offerings-43744" TargetMode="External"/><Relationship Id="rId7" Type="http://schemas.openxmlformats.org/officeDocument/2006/relationships/image" Target="media/image4.jpg"/><Relationship Id="rId12" Type="http://schemas.openxmlformats.org/officeDocument/2006/relationships/image" Target="media/image2.png"/><Relationship Id="rId17" Type="http://schemas.openxmlformats.org/officeDocument/2006/relationships/hyperlink" Target="https://www.britishmuseum.org/collection" TargetMode="External"/><Relationship Id="rId2" Type="http://schemas.openxmlformats.org/officeDocument/2006/relationships/settings" Target="settings.xml"/><Relationship Id="rId16" Type="http://schemas.openxmlformats.org/officeDocument/2006/relationships/hyperlink" Target="https://oi.uchicago.edu/" TargetMode="External"/><Relationship Id="rId20" Type="http://schemas.openxmlformats.org/officeDocument/2006/relationships/hyperlink" Target="https://www.metmuseum.org/art/collection/search/547140"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10.jpg"/><Relationship Id="rId5" Type="http://schemas.openxmlformats.org/officeDocument/2006/relationships/image" Target="media/image2.jpg"/><Relationship Id="rId15" Type="http://schemas.openxmlformats.org/officeDocument/2006/relationships/image" Target="media/image50.png"/><Relationship Id="rId23" Type="http://schemas.openxmlformats.org/officeDocument/2006/relationships/theme" Target="theme/theme1.xml"/><Relationship Id="rId10" Type="http://schemas.openxmlformats.org/officeDocument/2006/relationships/image" Target="media/image0.jpg"/><Relationship Id="rId19" Type="http://schemas.openxmlformats.org/officeDocument/2006/relationships/hyperlink" Target="https://etonmyers.bham.ac.uk/" TargetMode="External"/><Relationship Id="rId4" Type="http://schemas.openxmlformats.org/officeDocument/2006/relationships/image" Target="media/image1.jpg"/><Relationship Id="rId9" Type="http://schemas.openxmlformats.org/officeDocument/2006/relationships/image" Target="media/image6.png"/><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1394</Words>
  <Characters>7948</Characters>
  <Application>Microsoft Office Word</Application>
  <DocSecurity>0</DocSecurity>
  <Lines>66</Lines>
  <Paragraphs>18</Paragraphs>
  <ScaleCrop>false</ScaleCrop>
  <Company/>
  <LinksUpToDate>false</LinksUpToDate>
  <CharactersWithSpaces>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predynastic decorated jar catalogue entry</dc:title>
  <dc:subject/>
  <dc:creator/>
  <cp:keywords/>
  <cp:lastModifiedBy>Lilly York (2317170)</cp:lastModifiedBy>
  <cp:revision>3</cp:revision>
  <dcterms:created xsi:type="dcterms:W3CDTF">2025-10-26T15:38:00Z</dcterms:created>
  <dcterms:modified xsi:type="dcterms:W3CDTF">2025-10-26T15:41:00Z</dcterms:modified>
</cp:coreProperties>
</file>