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8E504A" w14:textId="77777777" w:rsidR="00540BFD" w:rsidRPr="004D5510" w:rsidRDefault="00063CBC" w:rsidP="004D5510">
      <w:pPr>
        <w:spacing w:before="60" w:after="60" w:line="360" w:lineRule="auto"/>
        <w:rPr>
          <w:rFonts w:ascii="Times New Roman" w:hAnsi="Times New Roman" w:cs="Times New Roman"/>
        </w:rPr>
      </w:pPr>
      <w:r w:rsidRPr="004D5510">
        <w:rPr>
          <w:rFonts w:ascii="Times New Roman" w:hAnsi="Times New Roman" w:cs="Times New Roman"/>
        </w:rPr>
        <w:t xml:space="preserve"> </w:t>
      </w:r>
    </w:p>
    <w:p w14:paraId="2CAAFF3A" w14:textId="77777777" w:rsidR="00547D9F" w:rsidRPr="004D5510" w:rsidRDefault="00547D9F" w:rsidP="004D5510">
      <w:pPr>
        <w:spacing w:before="180" w:after="180" w:line="360" w:lineRule="auto"/>
        <w:jc w:val="center"/>
        <w:rPr>
          <w:rFonts w:ascii="Times New Roman" w:hAnsi="Times New Roman" w:cs="Times New Roman"/>
          <w:b/>
          <w:bCs/>
        </w:rPr>
      </w:pPr>
    </w:p>
    <w:p w14:paraId="370E0D77" w14:textId="77777777" w:rsidR="00547D9F" w:rsidRPr="004D5510" w:rsidRDefault="00547D9F" w:rsidP="004D5510">
      <w:pPr>
        <w:spacing w:before="180" w:after="180" w:line="360" w:lineRule="auto"/>
        <w:jc w:val="center"/>
        <w:rPr>
          <w:rFonts w:ascii="Times New Roman" w:hAnsi="Times New Roman" w:cs="Times New Roman"/>
          <w:b/>
          <w:bCs/>
        </w:rPr>
      </w:pPr>
    </w:p>
    <w:p w14:paraId="31276D51" w14:textId="77777777" w:rsidR="00547D9F" w:rsidRPr="004D5510" w:rsidRDefault="00547D9F" w:rsidP="004D5510">
      <w:pPr>
        <w:spacing w:before="180" w:after="180" w:line="360" w:lineRule="auto"/>
        <w:jc w:val="center"/>
        <w:rPr>
          <w:rFonts w:ascii="Times New Roman" w:hAnsi="Times New Roman" w:cs="Times New Roman"/>
          <w:b/>
          <w:bCs/>
        </w:rPr>
      </w:pPr>
    </w:p>
    <w:p w14:paraId="50998328" w14:textId="77777777" w:rsidR="00547D9F" w:rsidRPr="004D5510" w:rsidRDefault="00547D9F" w:rsidP="004D5510">
      <w:pPr>
        <w:spacing w:before="180" w:after="180" w:line="360" w:lineRule="auto"/>
        <w:jc w:val="center"/>
        <w:rPr>
          <w:rFonts w:ascii="Times New Roman" w:hAnsi="Times New Roman" w:cs="Times New Roman"/>
          <w:b/>
          <w:bCs/>
        </w:rPr>
      </w:pPr>
    </w:p>
    <w:p w14:paraId="2C49815B" w14:textId="77777777" w:rsidR="00547D9F" w:rsidRPr="004D5510" w:rsidRDefault="00547D9F" w:rsidP="004D5510">
      <w:pPr>
        <w:spacing w:before="180" w:after="180" w:line="360" w:lineRule="auto"/>
        <w:jc w:val="center"/>
        <w:rPr>
          <w:rFonts w:ascii="Times New Roman" w:hAnsi="Times New Roman" w:cs="Times New Roman"/>
          <w:b/>
          <w:bCs/>
        </w:rPr>
      </w:pPr>
    </w:p>
    <w:p w14:paraId="1AF44226" w14:textId="77777777" w:rsidR="00547D9F" w:rsidRPr="004D5510" w:rsidRDefault="00547D9F" w:rsidP="004D5510">
      <w:pPr>
        <w:spacing w:before="180" w:after="180" w:line="360" w:lineRule="auto"/>
        <w:jc w:val="center"/>
        <w:rPr>
          <w:rFonts w:ascii="Times New Roman" w:hAnsi="Times New Roman" w:cs="Times New Roman"/>
          <w:b/>
          <w:bCs/>
        </w:rPr>
      </w:pPr>
    </w:p>
    <w:p w14:paraId="279A673A" w14:textId="77777777" w:rsidR="00547D9F" w:rsidRPr="004D5510" w:rsidRDefault="00547D9F" w:rsidP="004D5510">
      <w:pPr>
        <w:spacing w:before="180" w:after="180" w:line="360" w:lineRule="auto"/>
        <w:jc w:val="center"/>
        <w:rPr>
          <w:rFonts w:ascii="Times New Roman" w:hAnsi="Times New Roman" w:cs="Times New Roman"/>
          <w:b/>
          <w:bCs/>
        </w:rPr>
      </w:pPr>
    </w:p>
    <w:p w14:paraId="6976D11E" w14:textId="77777777" w:rsidR="00540BFD" w:rsidRPr="004D5510" w:rsidRDefault="00063CBC" w:rsidP="004D5510">
      <w:pPr>
        <w:spacing w:before="180" w:after="180" w:line="360" w:lineRule="auto"/>
        <w:jc w:val="center"/>
        <w:rPr>
          <w:rFonts w:ascii="Times New Roman" w:hAnsi="Times New Roman" w:cs="Times New Roman"/>
        </w:rPr>
      </w:pPr>
      <w:r w:rsidRPr="004D5510">
        <w:rPr>
          <w:rFonts w:ascii="Times New Roman" w:hAnsi="Times New Roman" w:cs="Times New Roman"/>
          <w:b/>
          <w:bCs/>
        </w:rPr>
        <w:t>Management Accounting Tools and Financial Decision-Making</w:t>
      </w:r>
    </w:p>
    <w:p w14:paraId="0E415CD2" w14:textId="77777777" w:rsidR="00540BFD" w:rsidRPr="004D5510" w:rsidRDefault="00063CBC" w:rsidP="004D5510">
      <w:pPr>
        <w:spacing w:before="180" w:after="180" w:line="360" w:lineRule="auto"/>
        <w:jc w:val="center"/>
        <w:rPr>
          <w:rFonts w:ascii="Times New Roman" w:hAnsi="Times New Roman" w:cs="Times New Roman"/>
          <w:b/>
          <w:bCs/>
        </w:rPr>
      </w:pPr>
      <w:r w:rsidRPr="004D5510">
        <w:rPr>
          <w:rFonts w:ascii="Times New Roman" w:hAnsi="Times New Roman" w:cs="Times New Roman"/>
          <w:b/>
          <w:bCs/>
        </w:rPr>
        <w:t>A Critical Evaluation of Tesco PLC</w:t>
      </w:r>
    </w:p>
    <w:p w14:paraId="6A86BED1" w14:textId="2648B852" w:rsidR="00547D9F" w:rsidRDefault="00547D9F" w:rsidP="00BD674E">
      <w:pPr>
        <w:spacing w:before="180" w:after="180" w:line="360" w:lineRule="auto"/>
        <w:jc w:val="center"/>
        <w:rPr>
          <w:rFonts w:ascii="Times New Roman" w:hAnsi="Times New Roman" w:cs="Times New Roman"/>
          <w:b/>
          <w:bCs/>
        </w:rPr>
      </w:pPr>
    </w:p>
    <w:p w14:paraId="67316246" w14:textId="77777777" w:rsidR="00063CBC" w:rsidRDefault="00063CBC" w:rsidP="00BD674E">
      <w:pPr>
        <w:spacing w:before="180" w:after="180" w:line="360" w:lineRule="auto"/>
        <w:jc w:val="center"/>
        <w:rPr>
          <w:rFonts w:ascii="Times New Roman" w:hAnsi="Times New Roman" w:cs="Times New Roman"/>
          <w:b/>
          <w:bCs/>
        </w:rPr>
      </w:pPr>
    </w:p>
    <w:p w14:paraId="04EEBAF9" w14:textId="77777777" w:rsidR="00063CBC" w:rsidRPr="004D5510" w:rsidRDefault="00063CBC" w:rsidP="00BD674E">
      <w:pPr>
        <w:spacing w:before="180" w:after="180" w:line="360" w:lineRule="auto"/>
        <w:jc w:val="center"/>
        <w:rPr>
          <w:rFonts w:ascii="Times New Roman" w:hAnsi="Times New Roman" w:cs="Times New Roman"/>
          <w:b/>
          <w:bCs/>
        </w:rPr>
      </w:pPr>
    </w:p>
    <w:p w14:paraId="4E534685" w14:textId="77777777" w:rsidR="00547D9F" w:rsidRPr="004D5510" w:rsidRDefault="00063CBC" w:rsidP="004D5510">
      <w:pPr>
        <w:spacing w:line="360" w:lineRule="auto"/>
        <w:rPr>
          <w:rFonts w:ascii="Times New Roman" w:hAnsi="Times New Roman" w:cs="Times New Roman"/>
          <w:b/>
          <w:bCs/>
        </w:rPr>
      </w:pPr>
      <w:r w:rsidRPr="004D5510">
        <w:rPr>
          <w:rFonts w:ascii="Times New Roman" w:hAnsi="Times New Roman" w:cs="Times New Roman"/>
          <w:b/>
          <w:bCs/>
        </w:rPr>
        <w:br w:type="page"/>
      </w:r>
    </w:p>
    <w:sdt>
      <w:sdtPr>
        <w:rPr>
          <w:rFonts w:ascii="Times New Roman" w:eastAsia="Arial" w:hAnsi="Times New Roman" w:cs="Times New Roman"/>
          <w:b/>
          <w:bCs/>
          <w:color w:val="auto"/>
          <w:sz w:val="24"/>
          <w:szCs w:val="24"/>
        </w:rPr>
        <w:id w:val="181413342"/>
        <w:docPartObj>
          <w:docPartGallery w:val="Table of Contents"/>
          <w:docPartUnique/>
        </w:docPartObj>
      </w:sdtPr>
      <w:sdtEndPr>
        <w:rPr>
          <w:noProof/>
        </w:rPr>
      </w:sdtEndPr>
      <w:sdtContent>
        <w:p w14:paraId="6BC53A0D" w14:textId="77777777" w:rsidR="00547D9F" w:rsidRPr="004D5510" w:rsidRDefault="00063CBC" w:rsidP="004D5510">
          <w:pPr>
            <w:pStyle w:val="TOCHeading"/>
            <w:spacing w:line="360" w:lineRule="auto"/>
            <w:jc w:val="center"/>
            <w:rPr>
              <w:rFonts w:ascii="Times New Roman" w:hAnsi="Times New Roman" w:cs="Times New Roman"/>
              <w:b/>
              <w:bCs/>
              <w:color w:val="auto"/>
              <w:sz w:val="24"/>
              <w:szCs w:val="24"/>
            </w:rPr>
          </w:pPr>
          <w:r w:rsidRPr="004D5510">
            <w:rPr>
              <w:rFonts w:ascii="Times New Roman" w:hAnsi="Times New Roman" w:cs="Times New Roman"/>
              <w:b/>
              <w:bCs/>
              <w:color w:val="auto"/>
              <w:sz w:val="24"/>
              <w:szCs w:val="24"/>
            </w:rPr>
            <w:t>Table of Contents</w:t>
          </w:r>
        </w:p>
        <w:p w14:paraId="0850E77B" w14:textId="77777777" w:rsidR="00547D9F" w:rsidRPr="004D5510" w:rsidRDefault="00063CBC" w:rsidP="004D5510">
          <w:pPr>
            <w:pStyle w:val="TOC1"/>
            <w:tabs>
              <w:tab w:val="right" w:leader="dot" w:pos="9016"/>
            </w:tabs>
            <w:spacing w:line="360" w:lineRule="auto"/>
            <w:rPr>
              <w:rFonts w:ascii="Times New Roman" w:hAnsi="Times New Roman" w:cs="Times New Roman"/>
              <w:noProof/>
            </w:rPr>
          </w:pPr>
          <w:r w:rsidRPr="004D5510">
            <w:rPr>
              <w:rFonts w:ascii="Times New Roman" w:hAnsi="Times New Roman" w:cs="Times New Roman"/>
            </w:rPr>
            <w:fldChar w:fldCharType="begin"/>
          </w:r>
          <w:r w:rsidRPr="004D5510">
            <w:rPr>
              <w:rFonts w:ascii="Times New Roman" w:hAnsi="Times New Roman" w:cs="Times New Roman"/>
            </w:rPr>
            <w:instrText xml:space="preserve"> TOC \o "1-3" \h \z \u </w:instrText>
          </w:r>
          <w:r w:rsidRPr="004D5510">
            <w:rPr>
              <w:rFonts w:ascii="Times New Roman" w:hAnsi="Times New Roman" w:cs="Times New Roman"/>
            </w:rPr>
            <w:fldChar w:fldCharType="separate"/>
          </w:r>
          <w:hyperlink w:anchor="_Toc222444173" w:history="1">
            <w:r w:rsidR="00547D9F" w:rsidRPr="004D5510">
              <w:rPr>
                <w:rStyle w:val="Hyperlink"/>
                <w:rFonts w:ascii="Times New Roman" w:hAnsi="Times New Roman" w:cs="Times New Roman"/>
                <w:noProof/>
                <w:u w:val="none"/>
              </w:rPr>
              <w:t>1. Introduction</w:t>
            </w:r>
            <w:r w:rsidR="00547D9F" w:rsidRPr="004D5510">
              <w:rPr>
                <w:rFonts w:ascii="Times New Roman" w:hAnsi="Times New Roman" w:cs="Times New Roman"/>
                <w:noProof/>
                <w:webHidden/>
              </w:rPr>
              <w:tab/>
            </w:r>
            <w:r w:rsidR="00547D9F" w:rsidRPr="004D5510">
              <w:rPr>
                <w:rFonts w:ascii="Times New Roman" w:hAnsi="Times New Roman" w:cs="Times New Roman"/>
                <w:noProof/>
                <w:webHidden/>
              </w:rPr>
              <w:fldChar w:fldCharType="begin"/>
            </w:r>
            <w:r w:rsidR="00547D9F" w:rsidRPr="004D5510">
              <w:rPr>
                <w:rFonts w:ascii="Times New Roman" w:hAnsi="Times New Roman" w:cs="Times New Roman"/>
                <w:noProof/>
                <w:webHidden/>
              </w:rPr>
              <w:instrText xml:space="preserve"> PAGEREF _Toc222444173 \h </w:instrText>
            </w:r>
            <w:r w:rsidR="00547D9F" w:rsidRPr="004D5510">
              <w:rPr>
                <w:rFonts w:ascii="Times New Roman" w:hAnsi="Times New Roman" w:cs="Times New Roman"/>
                <w:noProof/>
                <w:webHidden/>
              </w:rPr>
            </w:r>
            <w:r w:rsidR="00547D9F" w:rsidRPr="004D5510">
              <w:rPr>
                <w:rFonts w:ascii="Times New Roman" w:hAnsi="Times New Roman" w:cs="Times New Roman"/>
                <w:noProof/>
                <w:webHidden/>
              </w:rPr>
              <w:fldChar w:fldCharType="separate"/>
            </w:r>
            <w:r w:rsidR="00547D9F" w:rsidRPr="004D5510">
              <w:rPr>
                <w:rFonts w:ascii="Times New Roman" w:hAnsi="Times New Roman" w:cs="Times New Roman"/>
                <w:noProof/>
                <w:webHidden/>
              </w:rPr>
              <w:t>2</w:t>
            </w:r>
            <w:r w:rsidR="00547D9F" w:rsidRPr="004D5510">
              <w:rPr>
                <w:rFonts w:ascii="Times New Roman" w:hAnsi="Times New Roman" w:cs="Times New Roman"/>
                <w:noProof/>
                <w:webHidden/>
              </w:rPr>
              <w:fldChar w:fldCharType="end"/>
            </w:r>
          </w:hyperlink>
        </w:p>
        <w:p w14:paraId="22CD1CBF" w14:textId="77777777" w:rsidR="00547D9F" w:rsidRPr="004D5510" w:rsidRDefault="00547D9F" w:rsidP="004D5510">
          <w:pPr>
            <w:pStyle w:val="TOC1"/>
            <w:tabs>
              <w:tab w:val="right" w:leader="dot" w:pos="9016"/>
            </w:tabs>
            <w:spacing w:line="360" w:lineRule="auto"/>
            <w:rPr>
              <w:rFonts w:ascii="Times New Roman" w:hAnsi="Times New Roman" w:cs="Times New Roman"/>
              <w:noProof/>
            </w:rPr>
          </w:pPr>
          <w:hyperlink w:anchor="_Toc222444174" w:history="1">
            <w:r w:rsidRPr="004D5510">
              <w:rPr>
                <w:rStyle w:val="Hyperlink"/>
                <w:rFonts w:ascii="Times New Roman" w:hAnsi="Times New Roman" w:cs="Times New Roman"/>
                <w:noProof/>
                <w:u w:val="none"/>
              </w:rPr>
              <w:t>2. Cost Analysis and Business Model</w:t>
            </w:r>
            <w:r w:rsidRPr="004D5510">
              <w:rPr>
                <w:rFonts w:ascii="Times New Roman" w:hAnsi="Times New Roman" w:cs="Times New Roman"/>
                <w:noProof/>
                <w:webHidden/>
              </w:rPr>
              <w:tab/>
            </w:r>
            <w:r w:rsidRPr="004D5510">
              <w:rPr>
                <w:rFonts w:ascii="Times New Roman" w:hAnsi="Times New Roman" w:cs="Times New Roman"/>
                <w:noProof/>
                <w:webHidden/>
              </w:rPr>
              <w:fldChar w:fldCharType="begin"/>
            </w:r>
            <w:r w:rsidRPr="004D5510">
              <w:rPr>
                <w:rFonts w:ascii="Times New Roman" w:hAnsi="Times New Roman" w:cs="Times New Roman"/>
                <w:noProof/>
                <w:webHidden/>
              </w:rPr>
              <w:instrText xml:space="preserve"> PAGEREF _Toc222444174 \h </w:instrText>
            </w:r>
            <w:r w:rsidRPr="004D5510">
              <w:rPr>
                <w:rFonts w:ascii="Times New Roman" w:hAnsi="Times New Roman" w:cs="Times New Roman"/>
                <w:noProof/>
                <w:webHidden/>
              </w:rPr>
            </w:r>
            <w:r w:rsidRPr="004D5510">
              <w:rPr>
                <w:rFonts w:ascii="Times New Roman" w:hAnsi="Times New Roman" w:cs="Times New Roman"/>
                <w:noProof/>
                <w:webHidden/>
              </w:rPr>
              <w:fldChar w:fldCharType="separate"/>
            </w:r>
            <w:r w:rsidRPr="004D5510">
              <w:rPr>
                <w:rFonts w:ascii="Times New Roman" w:hAnsi="Times New Roman" w:cs="Times New Roman"/>
                <w:noProof/>
                <w:webHidden/>
              </w:rPr>
              <w:t>2</w:t>
            </w:r>
            <w:r w:rsidRPr="004D5510">
              <w:rPr>
                <w:rFonts w:ascii="Times New Roman" w:hAnsi="Times New Roman" w:cs="Times New Roman"/>
                <w:noProof/>
                <w:webHidden/>
              </w:rPr>
              <w:fldChar w:fldCharType="end"/>
            </w:r>
          </w:hyperlink>
        </w:p>
        <w:p w14:paraId="31D494AB" w14:textId="77777777" w:rsidR="00547D9F" w:rsidRPr="004D5510" w:rsidRDefault="00547D9F" w:rsidP="004D5510">
          <w:pPr>
            <w:pStyle w:val="TOC1"/>
            <w:tabs>
              <w:tab w:val="right" w:leader="dot" w:pos="9016"/>
            </w:tabs>
            <w:spacing w:line="360" w:lineRule="auto"/>
            <w:rPr>
              <w:rFonts w:ascii="Times New Roman" w:hAnsi="Times New Roman" w:cs="Times New Roman"/>
              <w:noProof/>
            </w:rPr>
          </w:pPr>
          <w:hyperlink w:anchor="_Toc222444175" w:history="1">
            <w:r w:rsidRPr="004D5510">
              <w:rPr>
                <w:rStyle w:val="Hyperlink"/>
                <w:rFonts w:ascii="Times New Roman" w:hAnsi="Times New Roman" w:cs="Times New Roman"/>
                <w:noProof/>
                <w:u w:val="none"/>
              </w:rPr>
              <w:t>3. Budgeting and Financial Planning</w:t>
            </w:r>
            <w:r w:rsidRPr="004D5510">
              <w:rPr>
                <w:rFonts w:ascii="Times New Roman" w:hAnsi="Times New Roman" w:cs="Times New Roman"/>
                <w:noProof/>
                <w:webHidden/>
              </w:rPr>
              <w:tab/>
            </w:r>
            <w:r w:rsidRPr="004D5510">
              <w:rPr>
                <w:rFonts w:ascii="Times New Roman" w:hAnsi="Times New Roman" w:cs="Times New Roman"/>
                <w:noProof/>
                <w:webHidden/>
              </w:rPr>
              <w:fldChar w:fldCharType="begin"/>
            </w:r>
            <w:r w:rsidRPr="004D5510">
              <w:rPr>
                <w:rFonts w:ascii="Times New Roman" w:hAnsi="Times New Roman" w:cs="Times New Roman"/>
                <w:noProof/>
                <w:webHidden/>
              </w:rPr>
              <w:instrText xml:space="preserve"> PAGEREF _Toc222444175 \h </w:instrText>
            </w:r>
            <w:r w:rsidRPr="004D5510">
              <w:rPr>
                <w:rFonts w:ascii="Times New Roman" w:hAnsi="Times New Roman" w:cs="Times New Roman"/>
                <w:noProof/>
                <w:webHidden/>
              </w:rPr>
            </w:r>
            <w:r w:rsidRPr="004D5510">
              <w:rPr>
                <w:rFonts w:ascii="Times New Roman" w:hAnsi="Times New Roman" w:cs="Times New Roman"/>
                <w:noProof/>
                <w:webHidden/>
              </w:rPr>
              <w:fldChar w:fldCharType="separate"/>
            </w:r>
            <w:r w:rsidRPr="004D5510">
              <w:rPr>
                <w:rFonts w:ascii="Times New Roman" w:hAnsi="Times New Roman" w:cs="Times New Roman"/>
                <w:noProof/>
                <w:webHidden/>
              </w:rPr>
              <w:t>3</w:t>
            </w:r>
            <w:r w:rsidRPr="004D5510">
              <w:rPr>
                <w:rFonts w:ascii="Times New Roman" w:hAnsi="Times New Roman" w:cs="Times New Roman"/>
                <w:noProof/>
                <w:webHidden/>
              </w:rPr>
              <w:fldChar w:fldCharType="end"/>
            </w:r>
          </w:hyperlink>
        </w:p>
        <w:p w14:paraId="43583053" w14:textId="77777777" w:rsidR="00547D9F" w:rsidRPr="004D5510" w:rsidRDefault="00547D9F" w:rsidP="004D5510">
          <w:pPr>
            <w:pStyle w:val="TOC1"/>
            <w:tabs>
              <w:tab w:val="right" w:leader="dot" w:pos="9016"/>
            </w:tabs>
            <w:spacing w:line="360" w:lineRule="auto"/>
            <w:rPr>
              <w:rFonts w:ascii="Times New Roman" w:hAnsi="Times New Roman" w:cs="Times New Roman"/>
              <w:noProof/>
            </w:rPr>
          </w:pPr>
          <w:hyperlink w:anchor="_Toc222444176" w:history="1">
            <w:r w:rsidRPr="004D5510">
              <w:rPr>
                <w:rStyle w:val="Hyperlink"/>
                <w:rFonts w:ascii="Times New Roman" w:hAnsi="Times New Roman" w:cs="Times New Roman"/>
                <w:noProof/>
                <w:u w:val="none"/>
              </w:rPr>
              <w:t>4. Performance Measurement and Decision-Making</w:t>
            </w:r>
            <w:r w:rsidRPr="004D5510">
              <w:rPr>
                <w:rFonts w:ascii="Times New Roman" w:hAnsi="Times New Roman" w:cs="Times New Roman"/>
                <w:noProof/>
                <w:webHidden/>
              </w:rPr>
              <w:tab/>
            </w:r>
            <w:r w:rsidRPr="004D5510">
              <w:rPr>
                <w:rFonts w:ascii="Times New Roman" w:hAnsi="Times New Roman" w:cs="Times New Roman"/>
                <w:noProof/>
                <w:webHidden/>
              </w:rPr>
              <w:fldChar w:fldCharType="begin"/>
            </w:r>
            <w:r w:rsidRPr="004D5510">
              <w:rPr>
                <w:rFonts w:ascii="Times New Roman" w:hAnsi="Times New Roman" w:cs="Times New Roman"/>
                <w:noProof/>
                <w:webHidden/>
              </w:rPr>
              <w:instrText xml:space="preserve"> PAGEREF _Toc222444176 \h </w:instrText>
            </w:r>
            <w:r w:rsidRPr="004D5510">
              <w:rPr>
                <w:rFonts w:ascii="Times New Roman" w:hAnsi="Times New Roman" w:cs="Times New Roman"/>
                <w:noProof/>
                <w:webHidden/>
              </w:rPr>
            </w:r>
            <w:r w:rsidRPr="004D5510">
              <w:rPr>
                <w:rFonts w:ascii="Times New Roman" w:hAnsi="Times New Roman" w:cs="Times New Roman"/>
                <w:noProof/>
                <w:webHidden/>
              </w:rPr>
              <w:fldChar w:fldCharType="separate"/>
            </w:r>
            <w:r w:rsidRPr="004D5510">
              <w:rPr>
                <w:rFonts w:ascii="Times New Roman" w:hAnsi="Times New Roman" w:cs="Times New Roman"/>
                <w:noProof/>
                <w:webHidden/>
              </w:rPr>
              <w:t>4</w:t>
            </w:r>
            <w:r w:rsidRPr="004D5510">
              <w:rPr>
                <w:rFonts w:ascii="Times New Roman" w:hAnsi="Times New Roman" w:cs="Times New Roman"/>
                <w:noProof/>
                <w:webHidden/>
              </w:rPr>
              <w:fldChar w:fldCharType="end"/>
            </w:r>
          </w:hyperlink>
        </w:p>
        <w:p w14:paraId="2942AF94" w14:textId="77777777" w:rsidR="00547D9F" w:rsidRPr="004D5510" w:rsidRDefault="00547D9F" w:rsidP="004D5510">
          <w:pPr>
            <w:pStyle w:val="TOC1"/>
            <w:tabs>
              <w:tab w:val="right" w:leader="dot" w:pos="9016"/>
            </w:tabs>
            <w:spacing w:line="360" w:lineRule="auto"/>
            <w:rPr>
              <w:rFonts w:ascii="Times New Roman" w:hAnsi="Times New Roman" w:cs="Times New Roman"/>
              <w:noProof/>
            </w:rPr>
          </w:pPr>
          <w:hyperlink w:anchor="_Toc222444177" w:history="1">
            <w:r w:rsidRPr="004D5510">
              <w:rPr>
                <w:rStyle w:val="Hyperlink"/>
                <w:rFonts w:ascii="Times New Roman" w:hAnsi="Times New Roman" w:cs="Times New Roman"/>
                <w:noProof/>
                <w:u w:val="none"/>
              </w:rPr>
              <w:t>5. Sustainability and Ethical Considerations</w:t>
            </w:r>
            <w:r w:rsidRPr="004D5510">
              <w:rPr>
                <w:rFonts w:ascii="Times New Roman" w:hAnsi="Times New Roman" w:cs="Times New Roman"/>
                <w:noProof/>
                <w:webHidden/>
              </w:rPr>
              <w:tab/>
            </w:r>
            <w:r w:rsidRPr="004D5510">
              <w:rPr>
                <w:rFonts w:ascii="Times New Roman" w:hAnsi="Times New Roman" w:cs="Times New Roman"/>
                <w:noProof/>
                <w:webHidden/>
              </w:rPr>
              <w:fldChar w:fldCharType="begin"/>
            </w:r>
            <w:r w:rsidRPr="004D5510">
              <w:rPr>
                <w:rFonts w:ascii="Times New Roman" w:hAnsi="Times New Roman" w:cs="Times New Roman"/>
                <w:noProof/>
                <w:webHidden/>
              </w:rPr>
              <w:instrText xml:space="preserve"> PAGEREF _Toc222444177 \h </w:instrText>
            </w:r>
            <w:r w:rsidRPr="004D5510">
              <w:rPr>
                <w:rFonts w:ascii="Times New Roman" w:hAnsi="Times New Roman" w:cs="Times New Roman"/>
                <w:noProof/>
                <w:webHidden/>
              </w:rPr>
            </w:r>
            <w:r w:rsidRPr="004D5510">
              <w:rPr>
                <w:rFonts w:ascii="Times New Roman" w:hAnsi="Times New Roman" w:cs="Times New Roman"/>
                <w:noProof/>
                <w:webHidden/>
              </w:rPr>
              <w:fldChar w:fldCharType="separate"/>
            </w:r>
            <w:r w:rsidRPr="004D5510">
              <w:rPr>
                <w:rFonts w:ascii="Times New Roman" w:hAnsi="Times New Roman" w:cs="Times New Roman"/>
                <w:noProof/>
                <w:webHidden/>
              </w:rPr>
              <w:t>5</w:t>
            </w:r>
            <w:r w:rsidRPr="004D5510">
              <w:rPr>
                <w:rFonts w:ascii="Times New Roman" w:hAnsi="Times New Roman" w:cs="Times New Roman"/>
                <w:noProof/>
                <w:webHidden/>
              </w:rPr>
              <w:fldChar w:fldCharType="end"/>
            </w:r>
          </w:hyperlink>
        </w:p>
        <w:p w14:paraId="7E5688EB" w14:textId="77777777" w:rsidR="00547D9F" w:rsidRPr="004D5510" w:rsidRDefault="00547D9F" w:rsidP="004D5510">
          <w:pPr>
            <w:pStyle w:val="TOC1"/>
            <w:tabs>
              <w:tab w:val="right" w:leader="dot" w:pos="9016"/>
            </w:tabs>
            <w:spacing w:line="360" w:lineRule="auto"/>
            <w:rPr>
              <w:rFonts w:ascii="Times New Roman" w:hAnsi="Times New Roman" w:cs="Times New Roman"/>
              <w:noProof/>
            </w:rPr>
          </w:pPr>
          <w:hyperlink w:anchor="_Toc222444178" w:history="1">
            <w:r w:rsidRPr="004D5510">
              <w:rPr>
                <w:rStyle w:val="Hyperlink"/>
                <w:rFonts w:ascii="Times New Roman" w:hAnsi="Times New Roman" w:cs="Times New Roman"/>
                <w:noProof/>
                <w:u w:val="none"/>
              </w:rPr>
              <w:t>6. Conclusion and Recommendations</w:t>
            </w:r>
            <w:r w:rsidRPr="004D5510">
              <w:rPr>
                <w:rFonts w:ascii="Times New Roman" w:hAnsi="Times New Roman" w:cs="Times New Roman"/>
                <w:noProof/>
                <w:webHidden/>
              </w:rPr>
              <w:tab/>
            </w:r>
            <w:r w:rsidRPr="004D5510">
              <w:rPr>
                <w:rFonts w:ascii="Times New Roman" w:hAnsi="Times New Roman" w:cs="Times New Roman"/>
                <w:noProof/>
                <w:webHidden/>
              </w:rPr>
              <w:fldChar w:fldCharType="begin"/>
            </w:r>
            <w:r w:rsidRPr="004D5510">
              <w:rPr>
                <w:rFonts w:ascii="Times New Roman" w:hAnsi="Times New Roman" w:cs="Times New Roman"/>
                <w:noProof/>
                <w:webHidden/>
              </w:rPr>
              <w:instrText xml:space="preserve"> PAGEREF _Toc222444178 \h </w:instrText>
            </w:r>
            <w:r w:rsidRPr="004D5510">
              <w:rPr>
                <w:rFonts w:ascii="Times New Roman" w:hAnsi="Times New Roman" w:cs="Times New Roman"/>
                <w:noProof/>
                <w:webHidden/>
              </w:rPr>
            </w:r>
            <w:r w:rsidRPr="004D5510">
              <w:rPr>
                <w:rFonts w:ascii="Times New Roman" w:hAnsi="Times New Roman" w:cs="Times New Roman"/>
                <w:noProof/>
                <w:webHidden/>
              </w:rPr>
              <w:fldChar w:fldCharType="separate"/>
            </w:r>
            <w:r w:rsidRPr="004D5510">
              <w:rPr>
                <w:rFonts w:ascii="Times New Roman" w:hAnsi="Times New Roman" w:cs="Times New Roman"/>
                <w:noProof/>
                <w:webHidden/>
              </w:rPr>
              <w:t>5</w:t>
            </w:r>
            <w:r w:rsidRPr="004D5510">
              <w:rPr>
                <w:rFonts w:ascii="Times New Roman" w:hAnsi="Times New Roman" w:cs="Times New Roman"/>
                <w:noProof/>
                <w:webHidden/>
              </w:rPr>
              <w:fldChar w:fldCharType="end"/>
            </w:r>
          </w:hyperlink>
        </w:p>
        <w:p w14:paraId="58CF9C80" w14:textId="77777777" w:rsidR="00547D9F" w:rsidRPr="004D5510" w:rsidRDefault="00547D9F" w:rsidP="004D5510">
          <w:pPr>
            <w:pStyle w:val="TOC1"/>
            <w:tabs>
              <w:tab w:val="right" w:leader="dot" w:pos="9016"/>
            </w:tabs>
            <w:spacing w:line="360" w:lineRule="auto"/>
            <w:rPr>
              <w:rFonts w:ascii="Times New Roman" w:hAnsi="Times New Roman" w:cs="Times New Roman"/>
              <w:noProof/>
            </w:rPr>
          </w:pPr>
          <w:hyperlink w:anchor="_Toc222444179" w:history="1">
            <w:r w:rsidRPr="004D5510">
              <w:rPr>
                <w:rStyle w:val="Hyperlink"/>
                <w:rFonts w:ascii="Times New Roman" w:hAnsi="Times New Roman" w:cs="Times New Roman"/>
                <w:noProof/>
                <w:u w:val="none"/>
              </w:rPr>
              <w:t>References</w:t>
            </w:r>
            <w:r w:rsidRPr="004D5510">
              <w:rPr>
                <w:rFonts w:ascii="Times New Roman" w:hAnsi="Times New Roman" w:cs="Times New Roman"/>
                <w:noProof/>
                <w:webHidden/>
              </w:rPr>
              <w:tab/>
            </w:r>
            <w:r w:rsidRPr="004D5510">
              <w:rPr>
                <w:rFonts w:ascii="Times New Roman" w:hAnsi="Times New Roman" w:cs="Times New Roman"/>
                <w:noProof/>
                <w:webHidden/>
              </w:rPr>
              <w:fldChar w:fldCharType="begin"/>
            </w:r>
            <w:r w:rsidRPr="004D5510">
              <w:rPr>
                <w:rFonts w:ascii="Times New Roman" w:hAnsi="Times New Roman" w:cs="Times New Roman"/>
                <w:noProof/>
                <w:webHidden/>
              </w:rPr>
              <w:instrText xml:space="preserve"> PAGEREF _Toc222444179 \h </w:instrText>
            </w:r>
            <w:r w:rsidRPr="004D5510">
              <w:rPr>
                <w:rFonts w:ascii="Times New Roman" w:hAnsi="Times New Roman" w:cs="Times New Roman"/>
                <w:noProof/>
                <w:webHidden/>
              </w:rPr>
            </w:r>
            <w:r w:rsidRPr="004D5510">
              <w:rPr>
                <w:rFonts w:ascii="Times New Roman" w:hAnsi="Times New Roman" w:cs="Times New Roman"/>
                <w:noProof/>
                <w:webHidden/>
              </w:rPr>
              <w:fldChar w:fldCharType="separate"/>
            </w:r>
            <w:r w:rsidRPr="004D5510">
              <w:rPr>
                <w:rFonts w:ascii="Times New Roman" w:hAnsi="Times New Roman" w:cs="Times New Roman"/>
                <w:noProof/>
                <w:webHidden/>
              </w:rPr>
              <w:t>7</w:t>
            </w:r>
            <w:r w:rsidRPr="004D5510">
              <w:rPr>
                <w:rFonts w:ascii="Times New Roman" w:hAnsi="Times New Roman" w:cs="Times New Roman"/>
                <w:noProof/>
                <w:webHidden/>
              </w:rPr>
              <w:fldChar w:fldCharType="end"/>
            </w:r>
          </w:hyperlink>
        </w:p>
        <w:p w14:paraId="2FB3C187" w14:textId="77777777" w:rsidR="00547D9F" w:rsidRPr="004D5510" w:rsidRDefault="00063CBC" w:rsidP="004D5510">
          <w:pPr>
            <w:spacing w:line="360" w:lineRule="auto"/>
            <w:rPr>
              <w:rFonts w:ascii="Times New Roman" w:hAnsi="Times New Roman" w:cs="Times New Roman"/>
            </w:rPr>
          </w:pPr>
          <w:r w:rsidRPr="004D5510">
            <w:rPr>
              <w:rFonts w:ascii="Times New Roman" w:hAnsi="Times New Roman" w:cs="Times New Roman"/>
              <w:b/>
              <w:bCs/>
              <w:noProof/>
            </w:rPr>
            <w:fldChar w:fldCharType="end"/>
          </w:r>
        </w:p>
      </w:sdtContent>
    </w:sdt>
    <w:p w14:paraId="1E142885" w14:textId="77777777" w:rsidR="00547D9F" w:rsidRPr="004D5510" w:rsidRDefault="00547D9F" w:rsidP="004D5510">
      <w:pPr>
        <w:spacing w:before="180" w:after="180" w:line="360" w:lineRule="auto"/>
        <w:rPr>
          <w:rFonts w:ascii="Times New Roman" w:hAnsi="Times New Roman" w:cs="Times New Roman"/>
        </w:rPr>
      </w:pPr>
    </w:p>
    <w:p w14:paraId="06632CF1" w14:textId="77777777" w:rsidR="00540BFD" w:rsidRPr="004D5510" w:rsidRDefault="00063CBC" w:rsidP="004D5510">
      <w:pPr>
        <w:spacing w:before="60" w:after="60" w:line="360" w:lineRule="auto"/>
        <w:rPr>
          <w:rFonts w:ascii="Times New Roman" w:hAnsi="Times New Roman" w:cs="Times New Roman"/>
        </w:rPr>
      </w:pPr>
      <w:r w:rsidRPr="004D5510">
        <w:rPr>
          <w:rFonts w:ascii="Times New Roman" w:hAnsi="Times New Roman" w:cs="Times New Roman"/>
        </w:rPr>
        <w:t xml:space="preserve"> </w:t>
      </w:r>
    </w:p>
    <w:p w14:paraId="25BFDCFD" w14:textId="77777777" w:rsidR="00547D9F" w:rsidRPr="004D5510" w:rsidRDefault="00063CBC" w:rsidP="004D5510">
      <w:pPr>
        <w:spacing w:line="360" w:lineRule="auto"/>
        <w:rPr>
          <w:rFonts w:ascii="Times New Roman" w:hAnsi="Times New Roman" w:cs="Times New Roman"/>
          <w:b/>
          <w:bCs/>
        </w:rPr>
      </w:pPr>
      <w:r w:rsidRPr="004D5510">
        <w:rPr>
          <w:rFonts w:ascii="Times New Roman" w:hAnsi="Times New Roman" w:cs="Times New Roman"/>
        </w:rPr>
        <w:br w:type="page"/>
      </w:r>
    </w:p>
    <w:p w14:paraId="4C8D9BAB" w14:textId="77777777" w:rsidR="00540BFD" w:rsidRPr="004D5510" w:rsidRDefault="00063CBC" w:rsidP="004D5510">
      <w:pPr>
        <w:pStyle w:val="Heading1"/>
        <w:spacing w:line="360" w:lineRule="auto"/>
        <w:rPr>
          <w:rFonts w:ascii="Times New Roman" w:hAnsi="Times New Roman" w:cs="Times New Roman"/>
          <w:color w:val="auto"/>
          <w:sz w:val="24"/>
          <w:szCs w:val="24"/>
        </w:rPr>
      </w:pPr>
      <w:bookmarkStart w:id="0" w:name="_Toc222444173"/>
      <w:r w:rsidRPr="004D5510">
        <w:rPr>
          <w:rFonts w:ascii="Times New Roman" w:hAnsi="Times New Roman" w:cs="Times New Roman"/>
          <w:color w:val="auto"/>
          <w:sz w:val="24"/>
          <w:szCs w:val="24"/>
        </w:rPr>
        <w:t>1. Introduction</w:t>
      </w:r>
      <w:bookmarkEnd w:id="0"/>
    </w:p>
    <w:p w14:paraId="6F99CD14" w14:textId="77777777" w:rsidR="00540BFD" w:rsidRPr="004D5510" w:rsidRDefault="00063CBC" w:rsidP="004D5510">
      <w:pPr>
        <w:spacing w:before="100" w:after="100" w:line="360" w:lineRule="auto"/>
        <w:ind w:firstLine="720"/>
        <w:jc w:val="both"/>
        <w:rPr>
          <w:rFonts w:ascii="Times New Roman" w:hAnsi="Times New Roman" w:cs="Times New Roman"/>
        </w:rPr>
      </w:pPr>
      <w:r w:rsidRPr="004D5510">
        <w:rPr>
          <w:rFonts w:ascii="Times New Roman" w:hAnsi="Times New Roman" w:cs="Times New Roman"/>
        </w:rPr>
        <w:t xml:space="preserve">Tesco PLC is the largest grocery store in the United Kingdom and one of the best food and general merchandise companies in the world. The Group has 4,572 stores in the UK, the Republic of Ireland and Central Europe and produced total revenue of 69.9 billion in the 52 weeks to February 2025 and adjusted operating profit of 3,128 million (Tesco PLC, 2025). It has diversified business in grocery retail, convenience, wholesale via Booker, insurance, money services and data analytics via </w:t>
      </w:r>
      <w:proofErr w:type="spellStart"/>
      <w:r w:rsidRPr="004D5510">
        <w:rPr>
          <w:rFonts w:ascii="Times New Roman" w:hAnsi="Times New Roman" w:cs="Times New Roman"/>
        </w:rPr>
        <w:t>dunnhumby</w:t>
      </w:r>
      <w:proofErr w:type="spellEnd"/>
      <w:r w:rsidRPr="004D5510">
        <w:rPr>
          <w:rFonts w:ascii="Times New Roman" w:hAnsi="Times New Roman" w:cs="Times New Roman"/>
        </w:rPr>
        <w:t xml:space="preserve">. Considering this magnitude, management accounting, which can be defined as the act of preparation of financial and non-financial information in order to support internal planning, controlling, and decision-making, is not a peripheral task but a strategic requirement (Al </w:t>
      </w:r>
      <w:proofErr w:type="spellStart"/>
      <w:r w:rsidRPr="004D5510">
        <w:rPr>
          <w:rFonts w:ascii="Times New Roman" w:hAnsi="Times New Roman" w:cs="Times New Roman"/>
        </w:rPr>
        <w:t>Refiay</w:t>
      </w:r>
      <w:proofErr w:type="spellEnd"/>
      <w:r w:rsidRPr="004D5510">
        <w:rPr>
          <w:rFonts w:ascii="Times New Roman" w:hAnsi="Times New Roman" w:cs="Times New Roman"/>
        </w:rPr>
        <w:t xml:space="preserve">, </w:t>
      </w:r>
      <w:proofErr w:type="spellStart"/>
      <w:r w:rsidRPr="004D5510">
        <w:rPr>
          <w:rFonts w:ascii="Times New Roman" w:hAnsi="Times New Roman" w:cs="Times New Roman"/>
        </w:rPr>
        <w:t>Abdulhussein</w:t>
      </w:r>
      <w:proofErr w:type="spellEnd"/>
      <w:r w:rsidRPr="004D5510">
        <w:rPr>
          <w:rFonts w:ascii="Times New Roman" w:hAnsi="Times New Roman" w:cs="Times New Roman"/>
        </w:rPr>
        <w:t xml:space="preserve">, and Al </w:t>
      </w:r>
      <w:proofErr w:type="spellStart"/>
      <w:r w:rsidRPr="004D5510">
        <w:rPr>
          <w:rFonts w:ascii="Times New Roman" w:hAnsi="Times New Roman" w:cs="Times New Roman"/>
        </w:rPr>
        <w:t>Shaikh</w:t>
      </w:r>
      <w:proofErr w:type="spellEnd"/>
      <w:r w:rsidRPr="004D5510">
        <w:rPr>
          <w:rFonts w:ascii="Times New Roman" w:hAnsi="Times New Roman" w:cs="Times New Roman"/>
        </w:rPr>
        <w:t xml:space="preserve">, 2022). As </w:t>
      </w:r>
      <w:proofErr w:type="spellStart"/>
      <w:r w:rsidRPr="004D5510">
        <w:rPr>
          <w:rFonts w:ascii="Times New Roman" w:hAnsi="Times New Roman" w:cs="Times New Roman"/>
        </w:rPr>
        <w:t>Pererva</w:t>
      </w:r>
      <w:proofErr w:type="spellEnd"/>
      <w:r w:rsidRPr="004D5510">
        <w:rPr>
          <w:rFonts w:ascii="Times New Roman" w:hAnsi="Times New Roman" w:cs="Times New Roman"/>
        </w:rPr>
        <w:t xml:space="preserve"> et al. (2019) show, organisations that make management accounting an integral part of their strategic decisions always perform better in comparison to those that use it as a f</w:t>
      </w:r>
      <w:r w:rsidRPr="004D5510">
        <w:rPr>
          <w:rFonts w:ascii="Times New Roman" w:hAnsi="Times New Roman" w:cs="Times New Roman"/>
        </w:rPr>
        <w:t>orm of compliance, which is of the essence of commercial importance in the grocery industry with slim profit margins.</w:t>
      </w:r>
    </w:p>
    <w:p w14:paraId="7A5D6FEC" w14:textId="77777777" w:rsidR="00540BFD" w:rsidRPr="004D5510" w:rsidRDefault="00063CBC" w:rsidP="004D5510">
      <w:pPr>
        <w:pStyle w:val="Heading1"/>
        <w:spacing w:line="360" w:lineRule="auto"/>
        <w:rPr>
          <w:rFonts w:ascii="Times New Roman" w:hAnsi="Times New Roman" w:cs="Times New Roman"/>
          <w:color w:val="auto"/>
          <w:sz w:val="24"/>
          <w:szCs w:val="24"/>
        </w:rPr>
      </w:pPr>
      <w:bookmarkStart w:id="1" w:name="_Toc222444174"/>
      <w:r w:rsidRPr="004D5510">
        <w:rPr>
          <w:rFonts w:ascii="Times New Roman" w:hAnsi="Times New Roman" w:cs="Times New Roman"/>
          <w:color w:val="auto"/>
          <w:sz w:val="24"/>
          <w:szCs w:val="24"/>
        </w:rPr>
        <w:t>2. Cost Analysis and Business Model</w:t>
      </w:r>
      <w:bookmarkEnd w:id="1"/>
    </w:p>
    <w:p w14:paraId="6D9BB415" w14:textId="77777777" w:rsidR="00EA1E42" w:rsidRPr="004D5510" w:rsidRDefault="00063CBC" w:rsidP="004D5510">
      <w:pPr>
        <w:spacing w:before="100" w:after="100" w:line="360" w:lineRule="auto"/>
        <w:ind w:firstLine="720"/>
        <w:jc w:val="both"/>
        <w:rPr>
          <w:rFonts w:ascii="Times New Roman" w:hAnsi="Times New Roman" w:cs="Times New Roman"/>
        </w:rPr>
      </w:pPr>
      <w:r w:rsidRPr="004D5510">
        <w:rPr>
          <w:rFonts w:ascii="Times New Roman" w:hAnsi="Times New Roman" w:cs="Times New Roman"/>
        </w:rPr>
        <w:t xml:space="preserve">Tesco is a multi-streamed revenue model. In 2025, the amount of retail sales was 69.2 billion, and this figure was complemented by the revenue of the insurance division, representing 725 million after selling the main lending activities of Tesco Bank in 2024 (Tesco PLC, 2025). Income is diversified further with wholesale through Booker, data services through </w:t>
      </w:r>
      <w:proofErr w:type="spellStart"/>
      <w:r w:rsidRPr="004D5510">
        <w:rPr>
          <w:rFonts w:ascii="Times New Roman" w:hAnsi="Times New Roman" w:cs="Times New Roman"/>
        </w:rPr>
        <w:t>dunnhumby</w:t>
      </w:r>
      <w:proofErr w:type="spellEnd"/>
      <w:r w:rsidRPr="004D5510">
        <w:rPr>
          <w:rFonts w:ascii="Times New Roman" w:hAnsi="Times New Roman" w:cs="Times New Roman"/>
        </w:rPr>
        <w:t>, and convenience retail through One Stop, though grocery retail remains dominant.</w:t>
      </w:r>
    </w:p>
    <w:p w14:paraId="09587382" w14:textId="4C17DCC3" w:rsidR="00540BFD" w:rsidRPr="004D5510" w:rsidRDefault="00063CBC" w:rsidP="004D5510">
      <w:pPr>
        <w:spacing w:before="100" w:after="100" w:line="360" w:lineRule="auto"/>
        <w:ind w:firstLine="720"/>
        <w:jc w:val="both"/>
        <w:rPr>
          <w:rFonts w:ascii="Times New Roman" w:hAnsi="Times New Roman" w:cs="Times New Roman"/>
        </w:rPr>
      </w:pPr>
      <w:r w:rsidRPr="004D5510">
        <w:rPr>
          <w:rFonts w:ascii="Times New Roman" w:hAnsi="Times New Roman" w:cs="Times New Roman"/>
        </w:rPr>
        <w:t xml:space="preserve">The cost structure is heavily variable. </w:t>
      </w:r>
      <w:r w:rsidR="0034473F" w:rsidRPr="004D5510">
        <w:rPr>
          <w:rFonts w:ascii="Times New Roman" w:hAnsi="Times New Roman" w:cs="Times New Roman"/>
        </w:rPr>
        <w:t xml:space="preserve">As of 2025, the cost of sales (versus 2024) is 64.2 billion, which is 91.8 per cent of the total revenue (Tesco PLC, 2024; Tesco PLC, 2025). Using the contribution analysis, in which contribution is the difference between revenue and variable costs, the gross contribution margin of about 8.2 per cent in Tesco validates the </w:t>
      </w:r>
      <w:r w:rsidR="00151506" w:rsidRPr="00151506">
        <w:rPr>
          <w:rFonts w:ascii="Times New Roman" w:hAnsi="Times New Roman" w:cs="Times New Roman"/>
        </w:rPr>
        <w:t>limited profitability</w:t>
      </w:r>
      <w:r w:rsidR="00151506">
        <w:rPr>
          <w:rFonts w:ascii="Times New Roman" w:hAnsi="Times New Roman" w:cs="Times New Roman"/>
        </w:rPr>
        <w:t xml:space="preserve"> </w:t>
      </w:r>
      <w:r w:rsidR="0034473F" w:rsidRPr="004D5510">
        <w:rPr>
          <w:rFonts w:ascii="Times New Roman" w:hAnsi="Times New Roman" w:cs="Times New Roman"/>
        </w:rPr>
        <w:t xml:space="preserve">buffer that Tesco has before the fixed costs cut down its profitability. Cost-volume-profit analysis also shows that marginal revenue gains have a proportionately large profit weight with this structure, i.e. volume maintenance is operationally important. The fixed cost exposure and the breakeven zone also increased with administrative spending, which has increased to 2.02 billion in 2024 and 2.24 billion in 2025 (Tesco PLC, 2024; Tesco PLC, 2025). </w:t>
      </w:r>
      <w:proofErr w:type="spellStart"/>
      <w:r w:rsidR="0034473F" w:rsidRPr="004D5510">
        <w:rPr>
          <w:rFonts w:ascii="Times New Roman" w:hAnsi="Times New Roman" w:cs="Times New Roman"/>
        </w:rPr>
        <w:t>Murombi</w:t>
      </w:r>
      <w:proofErr w:type="spellEnd"/>
      <w:r w:rsidR="0034473F" w:rsidRPr="004D5510">
        <w:rPr>
          <w:rFonts w:ascii="Times New Roman" w:hAnsi="Times New Roman" w:cs="Times New Roman"/>
        </w:rPr>
        <w:t xml:space="preserve"> and Mohammed (2025) caution that the high exposure to fixed overheads generates operating leverage risk, whereby a reduction in revenue proportionally results in a reduction in profit. The concepts of activity-based costing are also visible in the Tesco Save to Invest </w:t>
      </w:r>
      <w:proofErr w:type="spellStart"/>
      <w:r w:rsidR="0034473F" w:rsidRPr="004D5510">
        <w:rPr>
          <w:rFonts w:ascii="Times New Roman" w:hAnsi="Times New Roman" w:cs="Times New Roman"/>
        </w:rPr>
        <w:t>programme</w:t>
      </w:r>
      <w:proofErr w:type="spellEnd"/>
      <w:r w:rsidR="0034473F" w:rsidRPr="004D5510">
        <w:rPr>
          <w:rFonts w:ascii="Times New Roman" w:hAnsi="Times New Roman" w:cs="Times New Roman"/>
        </w:rPr>
        <w:t>, which distributed the savings of £510 million, identifying cost drivers within the procurement, property, and central overheads instead of using blanket cuts (Tesco PLC, 2025). Nevertheless, there is an increasing administrative cost, implying that efficiency gains are being partly offset by the ability investment, which casts doubt on long-term scale cost discipline.</w:t>
      </w:r>
    </w:p>
    <w:p w14:paraId="2153E8AB" w14:textId="77777777" w:rsidR="00540BFD" w:rsidRPr="004D5510" w:rsidRDefault="00063CBC" w:rsidP="004D5510">
      <w:pPr>
        <w:pStyle w:val="Heading1"/>
        <w:spacing w:line="360" w:lineRule="auto"/>
        <w:rPr>
          <w:rFonts w:ascii="Times New Roman" w:hAnsi="Times New Roman" w:cs="Times New Roman"/>
          <w:color w:val="auto"/>
          <w:sz w:val="24"/>
          <w:szCs w:val="24"/>
        </w:rPr>
      </w:pPr>
      <w:bookmarkStart w:id="2" w:name="_Toc222444175"/>
      <w:r w:rsidRPr="004D5510">
        <w:rPr>
          <w:rFonts w:ascii="Times New Roman" w:hAnsi="Times New Roman" w:cs="Times New Roman"/>
          <w:color w:val="auto"/>
          <w:sz w:val="24"/>
          <w:szCs w:val="24"/>
        </w:rPr>
        <w:t>3. Budgeting and Financial Planning</w:t>
      </w:r>
      <w:bookmarkEnd w:id="2"/>
    </w:p>
    <w:p w14:paraId="2B11A291" w14:textId="77777777" w:rsidR="00540BFD" w:rsidRPr="004D5510" w:rsidRDefault="00063CBC" w:rsidP="004D5510">
      <w:pPr>
        <w:spacing w:before="100" w:after="100" w:line="360" w:lineRule="auto"/>
        <w:ind w:firstLine="720"/>
        <w:jc w:val="both"/>
        <w:rPr>
          <w:rFonts w:ascii="Times New Roman" w:hAnsi="Times New Roman" w:cs="Times New Roman"/>
        </w:rPr>
      </w:pPr>
      <w:r w:rsidRPr="004D5510">
        <w:rPr>
          <w:rFonts w:ascii="Times New Roman" w:hAnsi="Times New Roman" w:cs="Times New Roman"/>
        </w:rPr>
        <w:t xml:space="preserve">Tesco budgeting is a dynamic performance management process as opposed to the traditional yearly budgeting. Financial planning of the Group is based on the six-KPI performance framework that is discussed during every Executive Committee meeting, and adjusted operating profit and retail free cash flow are the main financial control levers (Tesco PLC, 2025). This design is broadly in line with what </w:t>
      </w:r>
      <w:proofErr w:type="spellStart"/>
      <w:r w:rsidRPr="004D5510">
        <w:rPr>
          <w:rFonts w:ascii="Times New Roman" w:hAnsi="Times New Roman" w:cs="Times New Roman"/>
        </w:rPr>
        <w:t>Edo-Osagie</w:t>
      </w:r>
      <w:proofErr w:type="spellEnd"/>
      <w:r w:rsidRPr="004D5510">
        <w:rPr>
          <w:rFonts w:ascii="Times New Roman" w:hAnsi="Times New Roman" w:cs="Times New Roman"/>
        </w:rPr>
        <w:t xml:space="preserve"> (2025) refers to as adaptive budgeting, whereby plans are re-adjusted to fluctuating macroeconomic conditions as they arise and not set at the beginning of the year.</w:t>
      </w:r>
    </w:p>
    <w:p w14:paraId="5E96623A" w14:textId="77777777" w:rsidR="00540BFD" w:rsidRPr="004D5510" w:rsidRDefault="00063CBC" w:rsidP="004D5510">
      <w:pPr>
        <w:spacing w:before="100" w:after="100" w:line="360" w:lineRule="auto"/>
        <w:ind w:firstLine="720"/>
        <w:jc w:val="both"/>
        <w:rPr>
          <w:rFonts w:ascii="Times New Roman" w:hAnsi="Times New Roman" w:cs="Times New Roman"/>
        </w:rPr>
      </w:pPr>
      <w:r w:rsidRPr="004D5510">
        <w:rPr>
          <w:rFonts w:ascii="Times New Roman" w:hAnsi="Times New Roman" w:cs="Times New Roman"/>
        </w:rPr>
        <w:t xml:space="preserve">Examining year-on-year movements in operating expenses is instructive here. </w:t>
      </w:r>
      <w:r w:rsidR="0034473F" w:rsidRPr="004D5510">
        <w:rPr>
          <w:rFonts w:ascii="Times New Roman" w:hAnsi="Times New Roman" w:cs="Times New Roman"/>
        </w:rPr>
        <w:t xml:space="preserve">Tesco's share price, according to Google Finance (2026) on 20 February 2026, is GBX 494.10 with a price-to-earnings ratio of 21.84 and market </w:t>
      </w:r>
      <w:proofErr w:type="spellStart"/>
      <w:r w:rsidR="0034473F" w:rsidRPr="004D5510">
        <w:rPr>
          <w:rFonts w:ascii="Times New Roman" w:hAnsi="Times New Roman" w:cs="Times New Roman"/>
        </w:rPr>
        <w:t>capitalisation</w:t>
      </w:r>
      <w:proofErr w:type="spellEnd"/>
      <w:r w:rsidR="0034473F" w:rsidRPr="004D5510">
        <w:rPr>
          <w:rFonts w:ascii="Times New Roman" w:hAnsi="Times New Roman" w:cs="Times New Roman"/>
        </w:rPr>
        <w:t xml:space="preserve"> of 42.66 billion USD, indicating that the market takes a guarded optimism on the cost trend of the Group. According to Figure 1 by Google Finance (2026), Tesco registered a revenue in 2025 of 69.92 billion Pound Sterling, an annual growth of 2.54 per cent, whereas operating expenses increased at a rate of 15.78 per cent, with Net income increasing at a rate of 36.87 per cent, and EBITDA was 4.22 billion, an increase of 6.40 per cent. The disproportionate increase in the operating expenses, as compared to revenue, is subject to examination. Moreover, the administrative expenses increased between 2024 and 2025 by about 10.9 per cent, i.e. between 2.02 and 2.24 billion pounds (Tesco PLC, 2025; 2024). </w:t>
      </w:r>
      <w:r w:rsidRPr="004D5510">
        <w:rPr>
          <w:rFonts w:ascii="Times New Roman" w:hAnsi="Times New Roman" w:cs="Times New Roman"/>
        </w:rPr>
        <w:t>Two forces drove this. Internally, management raised colleague pay to £12.02 per hour, a strategic workforce retention investment increasing the fixed labour co</w:t>
      </w:r>
      <w:r w:rsidRPr="004D5510">
        <w:rPr>
          <w:rFonts w:ascii="Times New Roman" w:hAnsi="Times New Roman" w:cs="Times New Roman"/>
        </w:rPr>
        <w:t xml:space="preserve">st base. Externally, </w:t>
      </w:r>
      <w:r w:rsidR="00FF553C" w:rsidRPr="004D5510">
        <w:rPr>
          <w:rFonts w:ascii="Times New Roman" w:hAnsi="Times New Roman" w:cs="Times New Roman"/>
        </w:rPr>
        <w:t xml:space="preserve">continuous food-price and energy inflation over the period 2022–2025 fixed in increased input costs, strengthened by the British labour market strains. Sharma and </w:t>
      </w:r>
      <w:proofErr w:type="spellStart"/>
      <w:r w:rsidR="00FF553C" w:rsidRPr="004D5510">
        <w:rPr>
          <w:rFonts w:ascii="Times New Roman" w:hAnsi="Times New Roman" w:cs="Times New Roman"/>
        </w:rPr>
        <w:t>Sinha</w:t>
      </w:r>
      <w:proofErr w:type="spellEnd"/>
      <w:r w:rsidR="00FF553C" w:rsidRPr="004D5510">
        <w:rPr>
          <w:rFonts w:ascii="Times New Roman" w:hAnsi="Times New Roman" w:cs="Times New Roman"/>
        </w:rPr>
        <w:t xml:space="preserve"> (2025) warn that companies that strictly follow the principle of </w:t>
      </w:r>
      <w:proofErr w:type="spellStart"/>
      <w:r w:rsidR="00FF553C" w:rsidRPr="004D5510">
        <w:rPr>
          <w:rFonts w:ascii="Times New Roman" w:hAnsi="Times New Roman" w:cs="Times New Roman"/>
        </w:rPr>
        <w:t>minimisation</w:t>
      </w:r>
      <w:proofErr w:type="spellEnd"/>
      <w:r w:rsidR="00FF553C" w:rsidRPr="004D5510">
        <w:rPr>
          <w:rFonts w:ascii="Times New Roman" w:hAnsi="Times New Roman" w:cs="Times New Roman"/>
        </w:rPr>
        <w:t xml:space="preserve"> of expenses in the case of inflation will risk ruining the quality of services and customer loyalty, which is a trade-off Tesco intentionally designed during the 2025 period by accepting an overhead increase to nearly 30 per cent in 2025 (6.3 per cent in 2024). The budgetary rationale indicates an invest-through-the-cycle strategy, which has long-term competitive value, but requires strict observation of returns to incremental costs.</w:t>
      </w:r>
    </w:p>
    <w:p w14:paraId="4A4324D6" w14:textId="77777777" w:rsidR="00BC51A4" w:rsidRPr="004D5510" w:rsidRDefault="00063CBC" w:rsidP="00CD70BC">
      <w:pPr>
        <w:keepNext/>
        <w:spacing w:before="100" w:after="100" w:line="360" w:lineRule="auto"/>
        <w:rPr>
          <w:rFonts w:ascii="Times New Roman" w:hAnsi="Times New Roman" w:cs="Times New Roman"/>
        </w:rPr>
      </w:pPr>
      <w:r w:rsidRPr="004D5510">
        <w:rPr>
          <w:rFonts w:ascii="Times New Roman" w:hAnsi="Times New Roman" w:cs="Times New Roman"/>
          <w:noProof/>
        </w:rPr>
        <w:drawing>
          <wp:inline distT="0" distB="0" distL="0" distR="0" wp14:anchorId="33142277" wp14:editId="267AF4B1">
            <wp:extent cx="5731510" cy="4514850"/>
            <wp:effectExtent l="0" t="0" r="2540" b="0"/>
            <wp:docPr id="2023046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046791" name=""/>
                    <pic:cNvPicPr/>
                  </pic:nvPicPr>
                  <pic:blipFill>
                    <a:blip r:embed="rId6"/>
                    <a:stretch>
                      <a:fillRect/>
                    </a:stretch>
                  </pic:blipFill>
                  <pic:spPr>
                    <a:xfrm>
                      <a:off x="0" y="0"/>
                      <a:ext cx="5731510" cy="4514850"/>
                    </a:xfrm>
                    <a:prstGeom prst="rect">
                      <a:avLst/>
                    </a:prstGeom>
                  </pic:spPr>
                </pic:pic>
              </a:graphicData>
            </a:graphic>
          </wp:inline>
        </w:drawing>
      </w:r>
    </w:p>
    <w:p w14:paraId="0CE8F073" w14:textId="77777777" w:rsidR="00BC51A4" w:rsidRPr="0064043A" w:rsidRDefault="00063CBC" w:rsidP="004D5510">
      <w:pPr>
        <w:pStyle w:val="Caption"/>
        <w:spacing w:line="360" w:lineRule="auto"/>
        <w:jc w:val="center"/>
        <w:rPr>
          <w:rFonts w:ascii="Times New Roman" w:hAnsi="Times New Roman" w:cs="Times New Roman"/>
          <w:i w:val="0"/>
          <w:iCs w:val="0"/>
          <w:color w:val="auto"/>
          <w:sz w:val="20"/>
          <w:szCs w:val="20"/>
        </w:rPr>
      </w:pPr>
      <w:r w:rsidRPr="0064043A">
        <w:rPr>
          <w:rFonts w:ascii="Times New Roman" w:hAnsi="Times New Roman" w:cs="Times New Roman"/>
          <w:b/>
          <w:bCs/>
          <w:i w:val="0"/>
          <w:iCs w:val="0"/>
          <w:color w:val="auto"/>
          <w:sz w:val="20"/>
          <w:szCs w:val="20"/>
        </w:rPr>
        <w:t xml:space="preserve">Figure </w:t>
      </w:r>
      <w:r w:rsidRPr="0064043A">
        <w:rPr>
          <w:rFonts w:ascii="Times New Roman" w:hAnsi="Times New Roman" w:cs="Times New Roman"/>
          <w:b/>
          <w:bCs/>
          <w:i w:val="0"/>
          <w:iCs w:val="0"/>
          <w:color w:val="auto"/>
          <w:sz w:val="20"/>
          <w:szCs w:val="20"/>
        </w:rPr>
        <w:fldChar w:fldCharType="begin"/>
      </w:r>
      <w:r w:rsidRPr="0064043A">
        <w:rPr>
          <w:rFonts w:ascii="Times New Roman" w:hAnsi="Times New Roman" w:cs="Times New Roman"/>
          <w:b/>
          <w:bCs/>
          <w:i w:val="0"/>
          <w:iCs w:val="0"/>
          <w:color w:val="auto"/>
          <w:sz w:val="20"/>
          <w:szCs w:val="20"/>
        </w:rPr>
        <w:instrText xml:space="preserve"> SEQ Figure \* ARABIC </w:instrText>
      </w:r>
      <w:r w:rsidRPr="0064043A">
        <w:rPr>
          <w:rFonts w:ascii="Times New Roman" w:hAnsi="Times New Roman" w:cs="Times New Roman"/>
          <w:b/>
          <w:bCs/>
          <w:i w:val="0"/>
          <w:iCs w:val="0"/>
          <w:color w:val="auto"/>
          <w:sz w:val="20"/>
          <w:szCs w:val="20"/>
        </w:rPr>
        <w:fldChar w:fldCharType="separate"/>
      </w:r>
      <w:r w:rsidRPr="0064043A">
        <w:rPr>
          <w:rFonts w:ascii="Times New Roman" w:hAnsi="Times New Roman" w:cs="Times New Roman"/>
          <w:b/>
          <w:bCs/>
          <w:i w:val="0"/>
          <w:iCs w:val="0"/>
          <w:noProof/>
          <w:color w:val="auto"/>
          <w:sz w:val="20"/>
          <w:szCs w:val="20"/>
        </w:rPr>
        <w:t>1</w:t>
      </w:r>
      <w:r w:rsidRPr="0064043A">
        <w:rPr>
          <w:rFonts w:ascii="Times New Roman" w:hAnsi="Times New Roman" w:cs="Times New Roman"/>
          <w:b/>
          <w:bCs/>
          <w:i w:val="0"/>
          <w:iCs w:val="0"/>
          <w:color w:val="auto"/>
          <w:sz w:val="20"/>
          <w:szCs w:val="20"/>
        </w:rPr>
        <w:fldChar w:fldCharType="end"/>
      </w:r>
      <w:r w:rsidRPr="0064043A">
        <w:rPr>
          <w:rFonts w:ascii="Times New Roman" w:hAnsi="Times New Roman" w:cs="Times New Roman"/>
          <w:b/>
          <w:bCs/>
          <w:i w:val="0"/>
          <w:iCs w:val="0"/>
          <w:color w:val="auto"/>
          <w:sz w:val="20"/>
          <w:szCs w:val="20"/>
        </w:rPr>
        <w:t>:</w:t>
      </w:r>
      <w:r w:rsidRPr="0064043A">
        <w:rPr>
          <w:rFonts w:ascii="Times New Roman" w:hAnsi="Times New Roman" w:cs="Times New Roman"/>
          <w:color w:val="auto"/>
          <w:sz w:val="20"/>
          <w:szCs w:val="20"/>
        </w:rPr>
        <w:t xml:space="preserve"> </w:t>
      </w:r>
      <w:r w:rsidRPr="0064043A">
        <w:rPr>
          <w:rFonts w:ascii="Times New Roman" w:hAnsi="Times New Roman" w:cs="Times New Roman"/>
          <w:i w:val="0"/>
          <w:iCs w:val="0"/>
          <w:color w:val="auto"/>
          <w:sz w:val="20"/>
          <w:szCs w:val="20"/>
        </w:rPr>
        <w:t>Tesco PLC's year-on-year movements in operating expenses (Source: Google Finance, 2026)</w:t>
      </w:r>
    </w:p>
    <w:p w14:paraId="5F5D22EC" w14:textId="77777777" w:rsidR="00540BFD" w:rsidRPr="004D5510" w:rsidRDefault="00063CBC" w:rsidP="004D5510">
      <w:pPr>
        <w:pStyle w:val="Heading1"/>
        <w:spacing w:line="360" w:lineRule="auto"/>
        <w:rPr>
          <w:rFonts w:ascii="Times New Roman" w:hAnsi="Times New Roman" w:cs="Times New Roman"/>
          <w:color w:val="auto"/>
          <w:sz w:val="24"/>
          <w:szCs w:val="24"/>
        </w:rPr>
      </w:pPr>
      <w:bookmarkStart w:id="3" w:name="_Toc222444176"/>
      <w:r w:rsidRPr="004D5510">
        <w:rPr>
          <w:rFonts w:ascii="Times New Roman" w:hAnsi="Times New Roman" w:cs="Times New Roman"/>
          <w:color w:val="auto"/>
          <w:sz w:val="24"/>
          <w:szCs w:val="24"/>
        </w:rPr>
        <w:t>4. Performance Measurement and Decision-Making</w:t>
      </w:r>
      <w:bookmarkEnd w:id="3"/>
    </w:p>
    <w:p w14:paraId="1311ABF4" w14:textId="77777777" w:rsidR="0034473F" w:rsidRPr="004D5510" w:rsidRDefault="00063CBC" w:rsidP="004D5510">
      <w:pPr>
        <w:spacing w:before="100" w:after="100" w:line="360" w:lineRule="auto"/>
        <w:ind w:firstLine="720"/>
        <w:jc w:val="both"/>
        <w:rPr>
          <w:rFonts w:ascii="Times New Roman" w:hAnsi="Times New Roman" w:cs="Times New Roman"/>
        </w:rPr>
      </w:pPr>
      <w:r w:rsidRPr="004D5510">
        <w:rPr>
          <w:rFonts w:ascii="Times New Roman" w:hAnsi="Times New Roman" w:cs="Times New Roman"/>
        </w:rPr>
        <w:t>The Tesco Big 6 KPIs cuts across a financial and non-financial line that is reflective of a performance measurement model that is broadly aligned with the Balanced Scorecard of Kaplan and Norton, which proposes tracking financial, customer, internal process and learning lenses at the same time. In 2025, group sales increased 3.5 per cent to reach £63.6 billion, which is a continuation of 61.5 billion in 2024 (Tesco PLC, 2024; 2025). Adjusted operating profit increased 10.6 per cent to 3,128 million versus 2</w:t>
      </w:r>
      <w:r w:rsidRPr="004D5510">
        <w:rPr>
          <w:rFonts w:ascii="Times New Roman" w:hAnsi="Times New Roman" w:cs="Times New Roman"/>
        </w:rPr>
        <w:t>,826 million the previous year, which means that growth in revenue is being reflected in the quality of earnings (Tesco PLC, 2024; 2025). Adjusted diluted EPS also rose by 17 per cent to 27.38 pence versus 23.43 pence in 2024, which is directly applicable to shareholder value (Tesco PLC, 2024; 2025). The customer advocacy as a major revenue indicator increased its group net promoter score by nine points, to 28, and UK market share stood at 28.3 per cent, compared with 27.4 per cent, and a reflection of a co</w:t>
      </w:r>
      <w:r w:rsidRPr="004D5510">
        <w:rPr>
          <w:rFonts w:ascii="Times New Roman" w:hAnsi="Times New Roman" w:cs="Times New Roman"/>
        </w:rPr>
        <w:t>ntinued positioning over discounters Aldi and Lidl (Tesco PLC, 2024; 2025).</w:t>
      </w:r>
    </w:p>
    <w:p w14:paraId="0FD6745E" w14:textId="77777777" w:rsidR="0004509C" w:rsidRDefault="00063CBC" w:rsidP="004D5510">
      <w:pPr>
        <w:spacing w:before="100" w:after="100" w:line="360" w:lineRule="auto"/>
        <w:ind w:firstLine="720"/>
        <w:jc w:val="both"/>
        <w:rPr>
          <w:rFonts w:ascii="Times New Roman" w:hAnsi="Times New Roman" w:cs="Times New Roman"/>
        </w:rPr>
      </w:pPr>
      <w:r w:rsidRPr="004D5510">
        <w:rPr>
          <w:rFonts w:ascii="Times New Roman" w:hAnsi="Times New Roman" w:cs="Times New Roman"/>
        </w:rPr>
        <w:t xml:space="preserve">Such measures had a direct influence on material strategic decision-making. Customer data showing price as the main driving factor in switching was confirmed by the price investment strategy, which reduced prices on more than 4,000 products by an average of 12 per cent since 2024, which was financially supported by the Save to Invest </w:t>
      </w:r>
      <w:proofErr w:type="spellStart"/>
      <w:r w:rsidRPr="004D5510">
        <w:rPr>
          <w:rFonts w:ascii="Times New Roman" w:hAnsi="Times New Roman" w:cs="Times New Roman"/>
        </w:rPr>
        <w:t>programme</w:t>
      </w:r>
      <w:proofErr w:type="spellEnd"/>
      <w:r w:rsidRPr="004D5510">
        <w:rPr>
          <w:rFonts w:ascii="Times New Roman" w:hAnsi="Times New Roman" w:cs="Times New Roman"/>
        </w:rPr>
        <w:t xml:space="preserve"> (Tesco PLC, 2024). In comparison, the equivalent of the Balanced Scorecard used by Sainsbury, its Next Level Sainsbury KPI framework, is relatively more focused on volume metrics based on loyalty, and the growth of food volume is measured using </w:t>
      </w:r>
      <w:proofErr w:type="spellStart"/>
      <w:r w:rsidRPr="004D5510">
        <w:rPr>
          <w:rFonts w:ascii="Times New Roman" w:hAnsi="Times New Roman" w:cs="Times New Roman"/>
        </w:rPr>
        <w:t>Kantar</w:t>
      </w:r>
      <w:proofErr w:type="spellEnd"/>
      <w:r w:rsidRPr="004D5510">
        <w:rPr>
          <w:rFonts w:ascii="Times New Roman" w:hAnsi="Times New Roman" w:cs="Times New Roman"/>
        </w:rPr>
        <w:t xml:space="preserve"> market share and the Nectar loyalty platform, as a core performance indicator (J Sainsbury PLC, 2025). Sainsbury’s underlying basic EPS of the firm increased by only 4.5 per cent to 23.1 per cent in 2025, whereas the EPS of Tesco is increasing by 17 </w:t>
      </w:r>
      <w:r w:rsidRPr="004D5510">
        <w:rPr>
          <w:rFonts w:ascii="Times New Roman" w:hAnsi="Times New Roman" w:cs="Times New Roman"/>
        </w:rPr>
        <w:t xml:space="preserve">per cent, which means that Tesco has a stronger integrated cost and revenue strategy that is producing higher returns to the shareholders at the time (J Sainsbury PLC, 2025; Tesco PLC, 2025). </w:t>
      </w:r>
    </w:p>
    <w:p w14:paraId="27FE588E" w14:textId="3A3E14AA" w:rsidR="00540BFD" w:rsidRPr="004D5510" w:rsidRDefault="0004509C" w:rsidP="004D5510">
      <w:pPr>
        <w:spacing w:before="100" w:after="100" w:line="360" w:lineRule="auto"/>
        <w:ind w:firstLine="720"/>
        <w:jc w:val="both"/>
        <w:rPr>
          <w:rFonts w:ascii="Times New Roman" w:hAnsi="Times New Roman" w:cs="Times New Roman"/>
        </w:rPr>
      </w:pPr>
      <w:r w:rsidRPr="0004509C">
        <w:rPr>
          <w:rFonts w:ascii="Times New Roman" w:hAnsi="Times New Roman" w:cs="Times New Roman"/>
        </w:rPr>
        <w:t xml:space="preserve">Nevertheless, most importantly, the Tesco model is still comparatively dependent on lagging indicators. </w:t>
      </w:r>
      <w:proofErr w:type="spellStart"/>
      <w:r w:rsidRPr="0004509C">
        <w:rPr>
          <w:rFonts w:ascii="Times New Roman" w:hAnsi="Times New Roman" w:cs="Times New Roman"/>
        </w:rPr>
        <w:t>Ridwan</w:t>
      </w:r>
      <w:proofErr w:type="spellEnd"/>
      <w:r w:rsidRPr="0004509C">
        <w:rPr>
          <w:rFonts w:ascii="Times New Roman" w:hAnsi="Times New Roman" w:cs="Times New Roman"/>
        </w:rPr>
        <w:t xml:space="preserve"> (2025) argues that overemphasis on financial performance prevents the comprehension of long-term performance, and Tesco’s statutory disclosures of customer lifetime value data reported formally by the </w:t>
      </w:r>
      <w:proofErr w:type="spellStart"/>
      <w:r w:rsidRPr="0004509C">
        <w:rPr>
          <w:rFonts w:ascii="Times New Roman" w:hAnsi="Times New Roman" w:cs="Times New Roman"/>
        </w:rPr>
        <w:t>Clubcard</w:t>
      </w:r>
      <w:proofErr w:type="spellEnd"/>
      <w:r w:rsidRPr="0004509C">
        <w:rPr>
          <w:rFonts w:ascii="Times New Roman" w:hAnsi="Times New Roman" w:cs="Times New Roman"/>
        </w:rPr>
        <w:t xml:space="preserve"> </w:t>
      </w:r>
      <w:proofErr w:type="spellStart"/>
      <w:r w:rsidRPr="0004509C">
        <w:rPr>
          <w:rFonts w:ascii="Times New Roman" w:hAnsi="Times New Roman" w:cs="Times New Roman"/>
        </w:rPr>
        <w:t>programme</w:t>
      </w:r>
      <w:proofErr w:type="spellEnd"/>
      <w:r w:rsidRPr="0004509C">
        <w:rPr>
          <w:rFonts w:ascii="Times New Roman" w:hAnsi="Times New Roman" w:cs="Times New Roman"/>
        </w:rPr>
        <w:t xml:space="preserve"> are a weakness of the </w:t>
      </w:r>
      <w:proofErr w:type="spellStart"/>
      <w:r w:rsidRPr="0004509C">
        <w:rPr>
          <w:rFonts w:ascii="Times New Roman" w:hAnsi="Times New Roman" w:cs="Times New Roman"/>
        </w:rPr>
        <w:t>Clubcard</w:t>
      </w:r>
      <w:proofErr w:type="spellEnd"/>
      <w:r w:rsidRPr="0004509C">
        <w:rPr>
          <w:rFonts w:ascii="Times New Roman" w:hAnsi="Times New Roman" w:cs="Times New Roman"/>
        </w:rPr>
        <w:t xml:space="preserve"> </w:t>
      </w:r>
      <w:proofErr w:type="spellStart"/>
      <w:r w:rsidRPr="0004509C">
        <w:rPr>
          <w:rFonts w:ascii="Times New Roman" w:hAnsi="Times New Roman" w:cs="Times New Roman"/>
        </w:rPr>
        <w:t>programme</w:t>
      </w:r>
      <w:proofErr w:type="spellEnd"/>
      <w:r w:rsidRPr="0004509C">
        <w:rPr>
          <w:rFonts w:ascii="Times New Roman" w:hAnsi="Times New Roman" w:cs="Times New Roman"/>
        </w:rPr>
        <w:t>, as data-driven loyalty is increasingly becoming a core element of competitive advantage. Moreover, Kaplan and Norton (</w:t>
      </w:r>
      <w:r>
        <w:rPr>
          <w:rFonts w:ascii="Times New Roman" w:hAnsi="Times New Roman" w:cs="Times New Roman"/>
        </w:rPr>
        <w:t>2005</w:t>
      </w:r>
      <w:r w:rsidRPr="0004509C">
        <w:rPr>
          <w:rFonts w:ascii="Times New Roman" w:hAnsi="Times New Roman" w:cs="Times New Roman"/>
        </w:rPr>
        <w:t>) propose that organisations ought to have a balanced ratio of retrospective financial outcomes to the future-oriented indicators in customer, process and innovation dimensions, which, in this aspect, Tesco has not developed its public reporting. Similarly, although the group net promoter score gives a biased customer point of view, the lack of employee productivity indicators, as well as innovation pipeline indicators, ensures that the framework fails to give the comprehensive outlook required by an effective Balanced Scorecard.</w:t>
      </w:r>
    </w:p>
    <w:p w14:paraId="6397F9CE" w14:textId="77777777" w:rsidR="00540BFD" w:rsidRPr="004D5510" w:rsidRDefault="00063CBC" w:rsidP="004D5510">
      <w:pPr>
        <w:pStyle w:val="Heading1"/>
        <w:spacing w:line="360" w:lineRule="auto"/>
        <w:rPr>
          <w:rFonts w:ascii="Times New Roman" w:hAnsi="Times New Roman" w:cs="Times New Roman"/>
          <w:color w:val="auto"/>
          <w:sz w:val="24"/>
          <w:szCs w:val="24"/>
        </w:rPr>
      </w:pPr>
      <w:bookmarkStart w:id="4" w:name="_Toc222444177"/>
      <w:r w:rsidRPr="004D5510">
        <w:rPr>
          <w:rFonts w:ascii="Times New Roman" w:hAnsi="Times New Roman" w:cs="Times New Roman"/>
          <w:color w:val="auto"/>
          <w:sz w:val="24"/>
          <w:szCs w:val="24"/>
        </w:rPr>
        <w:t>5. Sustainability and Ethical Considerations</w:t>
      </w:r>
      <w:bookmarkEnd w:id="4"/>
    </w:p>
    <w:p w14:paraId="585732D8" w14:textId="77777777" w:rsidR="00FF553C" w:rsidRPr="004D5510" w:rsidRDefault="00063CBC" w:rsidP="004D5510">
      <w:pPr>
        <w:spacing w:before="100" w:after="100" w:line="360" w:lineRule="auto"/>
        <w:ind w:firstLine="720"/>
        <w:jc w:val="both"/>
        <w:rPr>
          <w:rFonts w:ascii="Times New Roman" w:hAnsi="Times New Roman" w:cs="Times New Roman"/>
        </w:rPr>
      </w:pPr>
      <w:r w:rsidRPr="004D5510">
        <w:rPr>
          <w:rFonts w:ascii="Times New Roman" w:hAnsi="Times New Roman" w:cs="Times New Roman"/>
        </w:rPr>
        <w:t xml:space="preserve">Tesco has sincerely strived to integrate sustainability in financial decision-making as opposed to considering it a reputational appendage. The Planet Plan, which is based on six pillars, from </w:t>
      </w:r>
      <w:proofErr w:type="spellStart"/>
      <w:r w:rsidRPr="004D5510">
        <w:rPr>
          <w:rFonts w:ascii="Times New Roman" w:hAnsi="Times New Roman" w:cs="Times New Roman"/>
        </w:rPr>
        <w:t>decarbonising</w:t>
      </w:r>
      <w:proofErr w:type="spellEnd"/>
      <w:r w:rsidRPr="004D5510">
        <w:rPr>
          <w:rFonts w:ascii="Times New Roman" w:hAnsi="Times New Roman" w:cs="Times New Roman"/>
        </w:rPr>
        <w:t xml:space="preserve"> transport to waste elimination, is supported by the Initiatives of the Science-Based Targets, which prove the plans to be carbon neutral in the Group's own operations by 2035, and net zero in the entire value chain by 2050 (Tesco PLC, 2025).</w:t>
      </w:r>
      <w:r w:rsidR="00BC51A4" w:rsidRPr="004D5510">
        <w:rPr>
          <w:rFonts w:ascii="Times New Roman" w:hAnsi="Times New Roman" w:cs="Times New Roman"/>
        </w:rPr>
        <w:t xml:space="preserve"> Progress has been tangible; </w:t>
      </w:r>
      <w:r w:rsidRPr="004D5510">
        <w:rPr>
          <w:rFonts w:ascii="Times New Roman" w:hAnsi="Times New Roman" w:cs="Times New Roman"/>
        </w:rPr>
        <w:t>the Scope 1 and 2 emissions have proved to be reduced by 65 per cent since 2015, and the Scope 1 emissions are now 802,425 tonnes of CO2 equivalent in 2024/25 and 902,830 in 2023/24 (Tesco PLC, 2025).</w:t>
      </w:r>
      <w:r w:rsidR="00BC51A4" w:rsidRPr="004D5510">
        <w:rPr>
          <w:rFonts w:ascii="Times New Roman" w:hAnsi="Times New Roman" w:cs="Times New Roman"/>
        </w:rPr>
        <w:t xml:space="preserve"> </w:t>
      </w:r>
      <w:r w:rsidRPr="004D5510">
        <w:rPr>
          <w:rFonts w:ascii="Times New Roman" w:hAnsi="Times New Roman" w:cs="Times New Roman"/>
        </w:rPr>
        <w:t xml:space="preserve">Milne and Grey (2020) suggest that to achieve true ecological responsibility, environmental costs should be </w:t>
      </w:r>
      <w:proofErr w:type="spellStart"/>
      <w:r w:rsidRPr="004D5510">
        <w:rPr>
          <w:rFonts w:ascii="Times New Roman" w:hAnsi="Times New Roman" w:cs="Times New Roman"/>
        </w:rPr>
        <w:t>modelled</w:t>
      </w:r>
      <w:proofErr w:type="spellEnd"/>
      <w:r w:rsidRPr="004D5510">
        <w:rPr>
          <w:rFonts w:ascii="Times New Roman" w:hAnsi="Times New Roman" w:cs="Times New Roman"/>
        </w:rPr>
        <w:t xml:space="preserve"> as real economic risks and not </w:t>
      </w:r>
      <w:proofErr w:type="spellStart"/>
      <w:r w:rsidRPr="004D5510">
        <w:rPr>
          <w:rFonts w:ascii="Times New Roman" w:hAnsi="Times New Roman" w:cs="Times New Roman"/>
        </w:rPr>
        <w:t>externalised</w:t>
      </w:r>
      <w:proofErr w:type="spellEnd"/>
      <w:r w:rsidRPr="004D5510">
        <w:rPr>
          <w:rFonts w:ascii="Times New Roman" w:hAnsi="Times New Roman" w:cs="Times New Roman"/>
        </w:rPr>
        <w:t>. The use of the sustainability metrics in executive Performance Share Plan awards since 2025 by Tesco is reflective of Environmental Management Accoun</w:t>
      </w:r>
      <w:r w:rsidRPr="004D5510">
        <w:rPr>
          <w:rFonts w:ascii="Times New Roman" w:hAnsi="Times New Roman" w:cs="Times New Roman"/>
        </w:rPr>
        <w:t>ting (EMA) principles, whereby environmental costs and performance information are being formally included in in-house reporting and strategic decision-making and disclosure is no longer required to be taken as an operational financial accountability.</w:t>
      </w:r>
    </w:p>
    <w:p w14:paraId="24466E99" w14:textId="77777777" w:rsidR="00540BFD" w:rsidRPr="004D5510" w:rsidRDefault="00063CBC" w:rsidP="004D5510">
      <w:pPr>
        <w:spacing w:before="100" w:after="100" w:line="360" w:lineRule="auto"/>
        <w:ind w:firstLine="720"/>
        <w:jc w:val="both"/>
        <w:rPr>
          <w:rFonts w:ascii="Times New Roman" w:hAnsi="Times New Roman" w:cs="Times New Roman"/>
        </w:rPr>
      </w:pPr>
      <w:r w:rsidRPr="004D5510">
        <w:rPr>
          <w:rFonts w:ascii="Times New Roman" w:hAnsi="Times New Roman" w:cs="Times New Roman"/>
        </w:rPr>
        <w:t xml:space="preserve">However, the concept of ethical dilemmas in cost management and pricing strategy should be questioned seriously. Aldi Price Match and Low Everyday Prices </w:t>
      </w:r>
      <w:proofErr w:type="spellStart"/>
      <w:r w:rsidRPr="004D5510">
        <w:rPr>
          <w:rFonts w:ascii="Times New Roman" w:hAnsi="Times New Roman" w:cs="Times New Roman"/>
        </w:rPr>
        <w:t>programmes</w:t>
      </w:r>
      <w:proofErr w:type="spellEnd"/>
      <w:r w:rsidRPr="004D5510">
        <w:rPr>
          <w:rFonts w:ascii="Times New Roman" w:hAnsi="Times New Roman" w:cs="Times New Roman"/>
        </w:rPr>
        <w:t xml:space="preserve"> may be commercially successful in terms of retaining volume, but signal whether or not the compression around the margin is being passed downstream to suppliers whose own environmental investment capability is thereby limited. Tesco </w:t>
      </w:r>
      <w:proofErr w:type="spellStart"/>
      <w:r w:rsidRPr="004D5510">
        <w:rPr>
          <w:rFonts w:ascii="Times New Roman" w:hAnsi="Times New Roman" w:cs="Times New Roman"/>
        </w:rPr>
        <w:t>recognises</w:t>
      </w:r>
      <w:proofErr w:type="spellEnd"/>
      <w:r w:rsidRPr="004D5510">
        <w:rPr>
          <w:rFonts w:ascii="Times New Roman" w:hAnsi="Times New Roman" w:cs="Times New Roman"/>
        </w:rPr>
        <w:t xml:space="preserve"> that the proportions of total group emissions due to upstream supply chain activities amount to more than 90 per cent, but the sustainability of suppliers is minimally granular in terms of reporting (Tesco PLC, 2022; Tesco PLC, 2023). Else (2021) critiques </w:t>
      </w:r>
      <w:r w:rsidRPr="004D5510">
        <w:rPr>
          <w:rFonts w:ascii="Times New Roman" w:hAnsi="Times New Roman" w:cs="Times New Roman"/>
        </w:rPr>
        <w:t>the scale of the large retailers claiming to be leaders in sustainability but effectively using their purchasing scale to depress supplier margins in an article that points to Tesco as a company whose reporting has not yet addressed this issue completely, despite the introduction of initiatives such as the Soil Association Exchange Market in 2025.</w:t>
      </w:r>
    </w:p>
    <w:p w14:paraId="3D0DAD2A" w14:textId="77777777" w:rsidR="00540BFD" w:rsidRPr="004D5510" w:rsidRDefault="00063CBC" w:rsidP="004D5510">
      <w:pPr>
        <w:pStyle w:val="Heading1"/>
        <w:spacing w:line="360" w:lineRule="auto"/>
        <w:rPr>
          <w:rFonts w:ascii="Times New Roman" w:hAnsi="Times New Roman" w:cs="Times New Roman"/>
          <w:color w:val="auto"/>
          <w:sz w:val="24"/>
          <w:szCs w:val="24"/>
        </w:rPr>
      </w:pPr>
      <w:bookmarkStart w:id="5" w:name="_Toc222444178"/>
      <w:r w:rsidRPr="004D5510">
        <w:rPr>
          <w:rFonts w:ascii="Times New Roman" w:hAnsi="Times New Roman" w:cs="Times New Roman"/>
          <w:color w:val="auto"/>
          <w:sz w:val="24"/>
          <w:szCs w:val="24"/>
        </w:rPr>
        <w:t>6. Conclusion and Recommendations</w:t>
      </w:r>
      <w:bookmarkEnd w:id="5"/>
    </w:p>
    <w:p w14:paraId="50B8E5F8" w14:textId="77777777" w:rsidR="004D5510" w:rsidRPr="004D5510" w:rsidRDefault="00063CBC" w:rsidP="004D5510">
      <w:pPr>
        <w:spacing w:before="100" w:after="100" w:line="360" w:lineRule="auto"/>
        <w:ind w:firstLine="720"/>
        <w:jc w:val="both"/>
        <w:rPr>
          <w:rFonts w:ascii="Times New Roman" w:hAnsi="Times New Roman" w:cs="Times New Roman"/>
        </w:rPr>
      </w:pPr>
      <w:r w:rsidRPr="004D5510">
        <w:rPr>
          <w:rFonts w:ascii="Times New Roman" w:hAnsi="Times New Roman" w:cs="Times New Roman"/>
        </w:rPr>
        <w:t xml:space="preserve">This report has critically discussed the way Tesco PLC uses management accounting tools in cost analysis, budgeting, performance measurement and sustainability to aid financial decision making. The Group has an authentic application of management accounting in the strategic planning, as reflected in the increase of adjusted operating profit to between 1,815 million and 3,128 million between 2021 and 2025, respectively, resilience to inflationary cycles, and </w:t>
      </w:r>
      <w:proofErr w:type="spellStart"/>
      <w:r w:rsidRPr="004D5510">
        <w:rPr>
          <w:rFonts w:ascii="Times New Roman" w:hAnsi="Times New Roman" w:cs="Times New Roman"/>
        </w:rPr>
        <w:t>modelling</w:t>
      </w:r>
      <w:proofErr w:type="spellEnd"/>
      <w:r w:rsidRPr="004D5510">
        <w:rPr>
          <w:rFonts w:ascii="Times New Roman" w:hAnsi="Times New Roman" w:cs="Times New Roman"/>
        </w:rPr>
        <w:t xml:space="preserve"> a climate risk scenario. Nevertheless, increasing administrative expenses, lack of predictive loyalty measures in statutory KPI disclosures and unresolved sustainability tensions between suppliers are significant weaknesses.</w:t>
      </w:r>
    </w:p>
    <w:p w14:paraId="605B4065" w14:textId="77777777" w:rsidR="00540BFD" w:rsidRPr="004D5510" w:rsidRDefault="00063CBC" w:rsidP="004D5510">
      <w:pPr>
        <w:spacing w:before="100" w:after="100" w:line="360" w:lineRule="auto"/>
        <w:ind w:firstLine="720"/>
        <w:jc w:val="both"/>
        <w:rPr>
          <w:rFonts w:ascii="Times New Roman" w:hAnsi="Times New Roman" w:cs="Times New Roman"/>
        </w:rPr>
      </w:pPr>
      <w:r w:rsidRPr="004D5510">
        <w:rPr>
          <w:rFonts w:ascii="Times New Roman" w:hAnsi="Times New Roman" w:cs="Times New Roman"/>
        </w:rPr>
        <w:t xml:space="preserve">Three recommendations can be given based on the analysis above. To enhance visibility in the future, Tesco should officially report customer lifetime value based on </w:t>
      </w:r>
      <w:proofErr w:type="spellStart"/>
      <w:r w:rsidRPr="004D5510">
        <w:rPr>
          <w:rFonts w:ascii="Times New Roman" w:hAnsi="Times New Roman" w:cs="Times New Roman"/>
        </w:rPr>
        <w:t>Clubcard</w:t>
      </w:r>
      <w:proofErr w:type="spellEnd"/>
      <w:r w:rsidRPr="004D5510">
        <w:rPr>
          <w:rFonts w:ascii="Times New Roman" w:hAnsi="Times New Roman" w:cs="Times New Roman"/>
        </w:rPr>
        <w:t xml:space="preserve"> data as one of the statutory KPIs. Second, the Group must create a supplier sustainability cost accounting framework that explicitly and measurably evaluates the purchasing choices against the environmental undertakings. Third, activity-based costing would be </w:t>
      </w:r>
      <w:proofErr w:type="spellStart"/>
      <w:r w:rsidRPr="004D5510">
        <w:rPr>
          <w:rFonts w:ascii="Times New Roman" w:hAnsi="Times New Roman" w:cs="Times New Roman"/>
        </w:rPr>
        <w:t>utilised</w:t>
      </w:r>
      <w:proofErr w:type="spellEnd"/>
      <w:r w:rsidRPr="004D5510">
        <w:rPr>
          <w:rFonts w:ascii="Times New Roman" w:hAnsi="Times New Roman" w:cs="Times New Roman"/>
        </w:rPr>
        <w:t xml:space="preserve"> more strictly in the convenience, Whoosh and online channels, which have significantly different cost structures than the traditional large-format estate, </w:t>
      </w:r>
      <w:r w:rsidR="00547D9F" w:rsidRPr="004D5510">
        <w:rPr>
          <w:rFonts w:ascii="Times New Roman" w:hAnsi="Times New Roman" w:cs="Times New Roman"/>
        </w:rPr>
        <w:t>and currently lack transparent cost attribution in public reporting.</w:t>
      </w:r>
    </w:p>
    <w:p w14:paraId="27C252B6" w14:textId="77777777" w:rsidR="00540BFD" w:rsidRPr="004D5510" w:rsidRDefault="00063CBC" w:rsidP="004D5510">
      <w:pPr>
        <w:spacing w:before="60" w:after="60" w:line="360" w:lineRule="auto"/>
        <w:rPr>
          <w:rFonts w:ascii="Times New Roman" w:hAnsi="Times New Roman" w:cs="Times New Roman"/>
        </w:rPr>
      </w:pPr>
      <w:r w:rsidRPr="004D5510">
        <w:rPr>
          <w:rFonts w:ascii="Times New Roman" w:hAnsi="Times New Roman" w:cs="Times New Roman"/>
        </w:rPr>
        <w:t xml:space="preserve"> </w:t>
      </w:r>
    </w:p>
    <w:p w14:paraId="64EBD8CC" w14:textId="77777777" w:rsidR="00547D9F" w:rsidRPr="004D5510" w:rsidRDefault="00063CBC" w:rsidP="004D5510">
      <w:pPr>
        <w:spacing w:line="360" w:lineRule="auto"/>
        <w:rPr>
          <w:rFonts w:ascii="Times New Roman" w:hAnsi="Times New Roman" w:cs="Times New Roman"/>
          <w:b/>
          <w:bCs/>
        </w:rPr>
      </w:pPr>
      <w:r w:rsidRPr="004D5510">
        <w:rPr>
          <w:rFonts w:ascii="Times New Roman" w:hAnsi="Times New Roman" w:cs="Times New Roman"/>
        </w:rPr>
        <w:br w:type="page"/>
      </w:r>
    </w:p>
    <w:p w14:paraId="46E8EB4B" w14:textId="77777777" w:rsidR="00540BFD" w:rsidRPr="004D5510" w:rsidRDefault="00063CBC" w:rsidP="004D5510">
      <w:pPr>
        <w:pStyle w:val="Heading1"/>
        <w:spacing w:line="360" w:lineRule="auto"/>
        <w:rPr>
          <w:rFonts w:ascii="Times New Roman" w:hAnsi="Times New Roman" w:cs="Times New Roman"/>
          <w:color w:val="auto"/>
          <w:sz w:val="24"/>
          <w:szCs w:val="24"/>
        </w:rPr>
      </w:pPr>
      <w:bookmarkStart w:id="6" w:name="_Toc222444179"/>
      <w:r w:rsidRPr="004D5510">
        <w:rPr>
          <w:rFonts w:ascii="Times New Roman" w:hAnsi="Times New Roman" w:cs="Times New Roman"/>
          <w:color w:val="auto"/>
          <w:sz w:val="24"/>
          <w:szCs w:val="24"/>
        </w:rPr>
        <w:t>References</w:t>
      </w:r>
      <w:bookmarkEnd w:id="6"/>
    </w:p>
    <w:p w14:paraId="70976646" w14:textId="77777777" w:rsidR="004B6A2A" w:rsidRPr="004D5510" w:rsidRDefault="00063CBC" w:rsidP="0064043A">
      <w:pPr>
        <w:spacing w:line="360" w:lineRule="auto"/>
        <w:ind w:left="720" w:hanging="720"/>
        <w:jc w:val="both"/>
        <w:rPr>
          <w:rFonts w:ascii="Times New Roman" w:hAnsi="Times New Roman" w:cs="Times New Roman"/>
        </w:rPr>
      </w:pPr>
      <w:r w:rsidRPr="004D5510">
        <w:rPr>
          <w:rFonts w:ascii="Times New Roman" w:hAnsi="Times New Roman" w:cs="Times New Roman"/>
        </w:rPr>
        <w:t xml:space="preserve">Al </w:t>
      </w:r>
      <w:proofErr w:type="spellStart"/>
      <w:r w:rsidRPr="004D5510">
        <w:rPr>
          <w:rFonts w:ascii="Times New Roman" w:hAnsi="Times New Roman" w:cs="Times New Roman"/>
        </w:rPr>
        <w:t>Refiay</w:t>
      </w:r>
      <w:proofErr w:type="spellEnd"/>
      <w:r w:rsidRPr="004D5510">
        <w:rPr>
          <w:rFonts w:ascii="Times New Roman" w:hAnsi="Times New Roman" w:cs="Times New Roman"/>
        </w:rPr>
        <w:t xml:space="preserve">, H.A.N., </w:t>
      </w:r>
      <w:proofErr w:type="spellStart"/>
      <w:r w:rsidRPr="004D5510">
        <w:rPr>
          <w:rFonts w:ascii="Times New Roman" w:hAnsi="Times New Roman" w:cs="Times New Roman"/>
        </w:rPr>
        <w:t>Abdulhussein</w:t>
      </w:r>
      <w:proofErr w:type="spellEnd"/>
      <w:r w:rsidRPr="004D5510">
        <w:rPr>
          <w:rFonts w:ascii="Times New Roman" w:hAnsi="Times New Roman" w:cs="Times New Roman"/>
        </w:rPr>
        <w:t xml:space="preserve">, A.S. and Al </w:t>
      </w:r>
      <w:proofErr w:type="spellStart"/>
      <w:r w:rsidRPr="004D5510">
        <w:rPr>
          <w:rFonts w:ascii="Times New Roman" w:hAnsi="Times New Roman" w:cs="Times New Roman"/>
        </w:rPr>
        <w:t>Shaikh</w:t>
      </w:r>
      <w:proofErr w:type="spellEnd"/>
      <w:r w:rsidRPr="004D5510">
        <w:rPr>
          <w:rFonts w:ascii="Times New Roman" w:hAnsi="Times New Roman" w:cs="Times New Roman"/>
        </w:rPr>
        <w:t>, S.S.K. (2022) ‘The impact of financial accounting in decision making processes in business’, </w:t>
      </w:r>
      <w:r w:rsidRPr="004D5510">
        <w:rPr>
          <w:rFonts w:ascii="Times New Roman" w:hAnsi="Times New Roman" w:cs="Times New Roman"/>
          <w:i/>
          <w:iCs/>
        </w:rPr>
        <w:t>International Journal of Professional Business Review: Int. J. Prof. Bus. Rev.</w:t>
      </w:r>
      <w:r w:rsidRPr="004D5510">
        <w:rPr>
          <w:rFonts w:ascii="Times New Roman" w:hAnsi="Times New Roman" w:cs="Times New Roman"/>
        </w:rPr>
        <w:t>, </w:t>
      </w:r>
      <w:r w:rsidRPr="004D5510">
        <w:rPr>
          <w:rFonts w:ascii="Times New Roman" w:hAnsi="Times New Roman" w:cs="Times New Roman"/>
          <w:i/>
          <w:iCs/>
        </w:rPr>
        <w:t>7</w:t>
      </w:r>
      <w:r w:rsidRPr="004D5510">
        <w:rPr>
          <w:rFonts w:ascii="Times New Roman" w:hAnsi="Times New Roman" w:cs="Times New Roman"/>
        </w:rPr>
        <w:t>(4), p.7.</w:t>
      </w:r>
    </w:p>
    <w:p w14:paraId="7B3B76F3" w14:textId="77777777" w:rsidR="004B6A2A" w:rsidRPr="004D5510" w:rsidRDefault="00063CBC" w:rsidP="0064043A">
      <w:pPr>
        <w:spacing w:before="60" w:after="60" w:line="360" w:lineRule="auto"/>
        <w:ind w:left="720" w:hanging="720"/>
        <w:jc w:val="both"/>
        <w:rPr>
          <w:rFonts w:ascii="Times New Roman" w:hAnsi="Times New Roman" w:cs="Times New Roman"/>
        </w:rPr>
      </w:pPr>
      <w:r w:rsidRPr="004D5510">
        <w:rPr>
          <w:rFonts w:ascii="Times New Roman" w:hAnsi="Times New Roman" w:cs="Times New Roman"/>
        </w:rPr>
        <w:t>Drury, C.M. (2013). </w:t>
      </w:r>
      <w:r w:rsidRPr="004D5510">
        <w:rPr>
          <w:rFonts w:ascii="Times New Roman" w:hAnsi="Times New Roman" w:cs="Times New Roman"/>
          <w:i/>
          <w:iCs/>
        </w:rPr>
        <w:t>Management and cost accounting</w:t>
      </w:r>
      <w:r w:rsidRPr="004D5510">
        <w:rPr>
          <w:rFonts w:ascii="Times New Roman" w:hAnsi="Times New Roman" w:cs="Times New Roman"/>
        </w:rPr>
        <w:t>. Springer.</w:t>
      </w:r>
    </w:p>
    <w:p w14:paraId="334F3B4B" w14:textId="77777777" w:rsidR="004B6A2A" w:rsidRPr="004D5510" w:rsidRDefault="00063CBC" w:rsidP="0064043A">
      <w:pPr>
        <w:spacing w:before="60" w:after="60" w:line="360" w:lineRule="auto"/>
        <w:ind w:left="720" w:hanging="720"/>
        <w:jc w:val="both"/>
        <w:rPr>
          <w:rFonts w:ascii="Times New Roman" w:hAnsi="Times New Roman" w:cs="Times New Roman"/>
        </w:rPr>
      </w:pPr>
      <w:proofErr w:type="spellStart"/>
      <w:r w:rsidRPr="004D5510">
        <w:rPr>
          <w:rFonts w:ascii="Times New Roman" w:hAnsi="Times New Roman" w:cs="Times New Roman"/>
        </w:rPr>
        <w:t>Edo-Osagie</w:t>
      </w:r>
      <w:proofErr w:type="spellEnd"/>
      <w:r w:rsidRPr="004D5510">
        <w:rPr>
          <w:rFonts w:ascii="Times New Roman" w:hAnsi="Times New Roman" w:cs="Times New Roman"/>
        </w:rPr>
        <w:t>, E. (2025) ‘Advanced budgeting and dynamic allocation strategies for maximizing financial resilience amid economic volatility and market shifts’, </w:t>
      </w:r>
      <w:r w:rsidRPr="004D5510">
        <w:rPr>
          <w:rFonts w:ascii="Times New Roman" w:hAnsi="Times New Roman" w:cs="Times New Roman"/>
          <w:i/>
          <w:iCs/>
        </w:rPr>
        <w:t>International Journal of Research Publication and Reviews</w:t>
      </w:r>
      <w:r w:rsidRPr="004D5510">
        <w:rPr>
          <w:rFonts w:ascii="Times New Roman" w:hAnsi="Times New Roman" w:cs="Times New Roman"/>
        </w:rPr>
        <w:t>, </w:t>
      </w:r>
      <w:r w:rsidRPr="004D5510">
        <w:rPr>
          <w:rFonts w:ascii="Times New Roman" w:hAnsi="Times New Roman" w:cs="Times New Roman"/>
          <w:i/>
          <w:iCs/>
        </w:rPr>
        <w:t>6</w:t>
      </w:r>
      <w:r w:rsidRPr="004D5510">
        <w:rPr>
          <w:rFonts w:ascii="Times New Roman" w:hAnsi="Times New Roman" w:cs="Times New Roman"/>
        </w:rPr>
        <w:t>(3), pp.1060-1077.</w:t>
      </w:r>
    </w:p>
    <w:p w14:paraId="01A27F32" w14:textId="77777777" w:rsidR="004B6A2A" w:rsidRPr="004D5510" w:rsidRDefault="00063CBC" w:rsidP="0064043A">
      <w:pPr>
        <w:spacing w:line="360" w:lineRule="auto"/>
        <w:ind w:left="720" w:hanging="720"/>
        <w:jc w:val="both"/>
        <w:rPr>
          <w:rFonts w:ascii="Times New Roman" w:hAnsi="Times New Roman" w:cs="Times New Roman"/>
        </w:rPr>
      </w:pPr>
      <w:r w:rsidRPr="004D5510">
        <w:rPr>
          <w:rFonts w:ascii="Times New Roman" w:hAnsi="Times New Roman" w:cs="Times New Roman"/>
        </w:rPr>
        <w:t xml:space="preserve">Else, T. (2021) </w:t>
      </w:r>
      <w:proofErr w:type="spellStart"/>
      <w:r w:rsidRPr="004D5510">
        <w:rPr>
          <w:rFonts w:ascii="Times New Roman" w:hAnsi="Times New Roman" w:cs="Times New Roman"/>
          <w:i/>
          <w:iCs/>
        </w:rPr>
        <w:t>Conceptualising</w:t>
      </w:r>
      <w:proofErr w:type="spellEnd"/>
      <w:r w:rsidRPr="004D5510">
        <w:rPr>
          <w:rFonts w:ascii="Times New Roman" w:hAnsi="Times New Roman" w:cs="Times New Roman"/>
          <w:i/>
          <w:iCs/>
        </w:rPr>
        <w:t xml:space="preserve"> and evaluating hegemonic agri-food supply chain sustainability practices: a UK dairy industry perspective</w:t>
      </w:r>
      <w:r w:rsidRPr="004D5510">
        <w:rPr>
          <w:rFonts w:ascii="Times New Roman" w:hAnsi="Times New Roman" w:cs="Times New Roman"/>
        </w:rPr>
        <w:t> (Doctoral dissertation, University of Sheffield).</w:t>
      </w:r>
    </w:p>
    <w:p w14:paraId="51F65790" w14:textId="77777777" w:rsidR="004B6A2A" w:rsidRPr="004D5510" w:rsidRDefault="00063CBC" w:rsidP="0064043A">
      <w:pPr>
        <w:spacing w:before="60" w:after="60" w:line="360" w:lineRule="auto"/>
        <w:ind w:left="720" w:hanging="720"/>
        <w:jc w:val="both"/>
        <w:rPr>
          <w:rFonts w:ascii="Times New Roman" w:hAnsi="Times New Roman" w:cs="Times New Roman"/>
        </w:rPr>
      </w:pPr>
      <w:r w:rsidRPr="004D5510">
        <w:rPr>
          <w:rFonts w:ascii="Times New Roman" w:hAnsi="Times New Roman" w:cs="Times New Roman"/>
        </w:rPr>
        <w:t xml:space="preserve">Google Finance (2026) </w:t>
      </w:r>
      <w:r w:rsidRPr="004D5510">
        <w:rPr>
          <w:rFonts w:ascii="Times New Roman" w:hAnsi="Times New Roman" w:cs="Times New Roman"/>
          <w:i/>
          <w:iCs/>
        </w:rPr>
        <w:t>TSCO:LON – Tesco PLC share price and quote</w:t>
      </w:r>
      <w:r w:rsidRPr="004D5510">
        <w:rPr>
          <w:rFonts w:ascii="Times New Roman" w:hAnsi="Times New Roman" w:cs="Times New Roman"/>
        </w:rPr>
        <w:t xml:space="preserve">. Available at: </w:t>
      </w:r>
      <w:hyperlink r:id="rId7" w:tgtFrame="_new" w:history="1">
        <w:r w:rsidR="004B6A2A" w:rsidRPr="004D5510">
          <w:rPr>
            <w:rStyle w:val="Hyperlink"/>
            <w:rFonts w:ascii="Times New Roman" w:hAnsi="Times New Roman" w:cs="Times New Roman"/>
            <w:color w:val="auto"/>
            <w:u w:val="none"/>
          </w:rPr>
          <w:t>https://www.google.com/finance/quote/TSCO:LON?hl=en</w:t>
        </w:r>
      </w:hyperlink>
      <w:r w:rsidRPr="004D5510">
        <w:rPr>
          <w:rFonts w:ascii="Times New Roman" w:hAnsi="Times New Roman" w:cs="Times New Roman"/>
        </w:rPr>
        <w:t xml:space="preserve"> (Accessed: 19 February 2026).</w:t>
      </w:r>
    </w:p>
    <w:p w14:paraId="728A0434" w14:textId="77777777" w:rsidR="004B6A2A" w:rsidRDefault="00063CBC" w:rsidP="0064043A">
      <w:pPr>
        <w:spacing w:line="360" w:lineRule="auto"/>
        <w:ind w:left="720" w:hanging="720"/>
        <w:jc w:val="both"/>
        <w:rPr>
          <w:rFonts w:ascii="Times New Roman" w:hAnsi="Times New Roman" w:cs="Times New Roman"/>
        </w:rPr>
      </w:pPr>
      <w:r w:rsidRPr="004D5510">
        <w:rPr>
          <w:rFonts w:ascii="Times New Roman" w:hAnsi="Times New Roman" w:cs="Times New Roman"/>
        </w:rPr>
        <w:t xml:space="preserve">J Sainsbury PLC. (2025) </w:t>
      </w:r>
      <w:r w:rsidRPr="004D5510">
        <w:rPr>
          <w:rFonts w:ascii="Times New Roman" w:hAnsi="Times New Roman" w:cs="Times New Roman"/>
          <w:i/>
          <w:iCs/>
        </w:rPr>
        <w:t>Annual Report and Financial Statements 2025</w:t>
      </w:r>
      <w:r w:rsidRPr="004D5510">
        <w:rPr>
          <w:rFonts w:ascii="Times New Roman" w:hAnsi="Times New Roman" w:cs="Times New Roman"/>
        </w:rPr>
        <w:t xml:space="preserve">. London: J Sainsbury PLC. Available at: </w:t>
      </w:r>
      <w:hyperlink r:id="rId8" w:history="1">
        <w:r w:rsidR="004B6A2A" w:rsidRPr="004D5510">
          <w:rPr>
            <w:rStyle w:val="Hyperlink"/>
            <w:rFonts w:ascii="Times New Roman" w:hAnsi="Times New Roman" w:cs="Times New Roman"/>
          </w:rPr>
          <w:t>https://www.about.sainsburys.co.uk/investors/annual-reports</w:t>
        </w:r>
      </w:hyperlink>
      <w:r w:rsidRPr="004D5510">
        <w:rPr>
          <w:rFonts w:ascii="Times New Roman" w:hAnsi="Times New Roman" w:cs="Times New Roman"/>
        </w:rPr>
        <w:t xml:space="preserve"> (Accessed: 20 February 2026).</w:t>
      </w:r>
    </w:p>
    <w:p w14:paraId="20CD1DD2" w14:textId="616BC1F0" w:rsidR="0004509C" w:rsidRPr="004D5510" w:rsidRDefault="0004509C" w:rsidP="0064043A">
      <w:pPr>
        <w:spacing w:line="360" w:lineRule="auto"/>
        <w:ind w:left="720" w:hanging="720"/>
        <w:jc w:val="both"/>
        <w:rPr>
          <w:rFonts w:ascii="Times New Roman" w:hAnsi="Times New Roman" w:cs="Times New Roman"/>
        </w:rPr>
      </w:pPr>
      <w:r w:rsidRPr="0004509C">
        <w:rPr>
          <w:rFonts w:ascii="Times New Roman" w:hAnsi="Times New Roman" w:cs="Times New Roman"/>
        </w:rPr>
        <w:t>Kaplan, R.S. and Norton, D.P.</w:t>
      </w:r>
      <w:r>
        <w:rPr>
          <w:rFonts w:ascii="Times New Roman" w:hAnsi="Times New Roman" w:cs="Times New Roman"/>
        </w:rPr>
        <w:t xml:space="preserve"> (</w:t>
      </w:r>
      <w:r w:rsidRPr="0004509C">
        <w:rPr>
          <w:rFonts w:ascii="Times New Roman" w:hAnsi="Times New Roman" w:cs="Times New Roman"/>
        </w:rPr>
        <w:t>2005</w:t>
      </w:r>
      <w:r>
        <w:rPr>
          <w:rFonts w:ascii="Times New Roman" w:hAnsi="Times New Roman" w:cs="Times New Roman"/>
        </w:rPr>
        <w:t>)</w:t>
      </w:r>
      <w:r w:rsidRPr="0004509C">
        <w:rPr>
          <w:rFonts w:ascii="Times New Roman" w:hAnsi="Times New Roman" w:cs="Times New Roman"/>
        </w:rPr>
        <w:t> </w:t>
      </w:r>
      <w:r w:rsidRPr="0004509C">
        <w:rPr>
          <w:rFonts w:ascii="Times New Roman" w:hAnsi="Times New Roman" w:cs="Times New Roman"/>
          <w:i/>
          <w:iCs/>
        </w:rPr>
        <w:t>The balanced scorecard: measures that drive performance</w:t>
      </w:r>
      <w:r w:rsidRPr="0004509C">
        <w:rPr>
          <w:rFonts w:ascii="Times New Roman" w:hAnsi="Times New Roman" w:cs="Times New Roman"/>
        </w:rPr>
        <w:t> (Vol. 70, pp. 71-79). Boston, MA, USA: Harvard Business Review.</w:t>
      </w:r>
    </w:p>
    <w:p w14:paraId="33D042D7" w14:textId="77777777" w:rsidR="004B6A2A" w:rsidRPr="004D5510" w:rsidRDefault="00063CBC" w:rsidP="0064043A">
      <w:pPr>
        <w:spacing w:line="360" w:lineRule="auto"/>
        <w:ind w:left="720" w:hanging="720"/>
        <w:jc w:val="both"/>
        <w:rPr>
          <w:rFonts w:ascii="Times New Roman" w:hAnsi="Times New Roman" w:cs="Times New Roman"/>
        </w:rPr>
      </w:pPr>
      <w:proofErr w:type="spellStart"/>
      <w:r w:rsidRPr="004D5510">
        <w:rPr>
          <w:rFonts w:ascii="Times New Roman" w:hAnsi="Times New Roman" w:cs="Times New Roman"/>
        </w:rPr>
        <w:t>Michalke</w:t>
      </w:r>
      <w:proofErr w:type="spellEnd"/>
      <w:r w:rsidRPr="004D5510">
        <w:rPr>
          <w:rFonts w:ascii="Times New Roman" w:hAnsi="Times New Roman" w:cs="Times New Roman"/>
        </w:rPr>
        <w:t xml:space="preserve">, A., Kunz, J. and </w:t>
      </w:r>
      <w:proofErr w:type="spellStart"/>
      <w:r w:rsidRPr="004D5510">
        <w:rPr>
          <w:rFonts w:ascii="Times New Roman" w:hAnsi="Times New Roman" w:cs="Times New Roman"/>
        </w:rPr>
        <w:t>Gaugler</w:t>
      </w:r>
      <w:proofErr w:type="spellEnd"/>
      <w:r w:rsidRPr="004D5510">
        <w:rPr>
          <w:rFonts w:ascii="Times New Roman" w:hAnsi="Times New Roman" w:cs="Times New Roman"/>
        </w:rPr>
        <w:t xml:space="preserve">, T. (2025) </w:t>
      </w:r>
      <w:r w:rsidRPr="004D5510">
        <w:rPr>
          <w:rFonts w:ascii="Times New Roman" w:hAnsi="Times New Roman" w:cs="Times New Roman"/>
          <w:i/>
          <w:iCs/>
        </w:rPr>
        <w:t>True cost accounting: assessing environmental and social damages of production</w:t>
      </w:r>
      <w:r w:rsidRPr="004D5510">
        <w:rPr>
          <w:rFonts w:ascii="Times New Roman" w:hAnsi="Times New Roman" w:cs="Times New Roman"/>
        </w:rPr>
        <w:t>. Taylor &amp; Francis.</w:t>
      </w:r>
    </w:p>
    <w:p w14:paraId="57A10700" w14:textId="77777777" w:rsidR="004B6A2A" w:rsidRPr="004D5510" w:rsidRDefault="00063CBC" w:rsidP="0064043A">
      <w:pPr>
        <w:spacing w:before="60" w:after="60" w:line="360" w:lineRule="auto"/>
        <w:ind w:left="720" w:hanging="720"/>
        <w:jc w:val="both"/>
        <w:rPr>
          <w:rFonts w:ascii="Times New Roman" w:hAnsi="Times New Roman" w:cs="Times New Roman"/>
        </w:rPr>
      </w:pPr>
      <w:proofErr w:type="spellStart"/>
      <w:r w:rsidRPr="004D5510">
        <w:rPr>
          <w:rFonts w:ascii="Times New Roman" w:hAnsi="Times New Roman" w:cs="Times New Roman"/>
        </w:rPr>
        <w:t>Murombi</w:t>
      </w:r>
      <w:proofErr w:type="spellEnd"/>
      <w:r w:rsidRPr="004D5510">
        <w:rPr>
          <w:rFonts w:ascii="Times New Roman" w:hAnsi="Times New Roman" w:cs="Times New Roman"/>
        </w:rPr>
        <w:t>, E.M. and Mohammed, E.S. (2025) ‘Balancing Risk and Return: The Influence of Leverage on Corporate Financial Performance’, </w:t>
      </w:r>
      <w:r w:rsidRPr="004D5510">
        <w:rPr>
          <w:rFonts w:ascii="Times New Roman" w:hAnsi="Times New Roman" w:cs="Times New Roman"/>
          <w:i/>
          <w:iCs/>
        </w:rPr>
        <w:t>East African Finance Journal</w:t>
      </w:r>
      <w:r w:rsidRPr="004D5510">
        <w:rPr>
          <w:rFonts w:ascii="Times New Roman" w:hAnsi="Times New Roman" w:cs="Times New Roman"/>
        </w:rPr>
        <w:t>, </w:t>
      </w:r>
      <w:r w:rsidRPr="004D5510">
        <w:rPr>
          <w:rFonts w:ascii="Times New Roman" w:hAnsi="Times New Roman" w:cs="Times New Roman"/>
          <w:i/>
          <w:iCs/>
        </w:rPr>
        <w:t>4</w:t>
      </w:r>
      <w:r w:rsidRPr="004D5510">
        <w:rPr>
          <w:rFonts w:ascii="Times New Roman" w:hAnsi="Times New Roman" w:cs="Times New Roman"/>
        </w:rPr>
        <w:t>(2), pp.107-118.</w:t>
      </w:r>
    </w:p>
    <w:p w14:paraId="57965D1F" w14:textId="77777777" w:rsidR="004B6A2A" w:rsidRPr="004D5510" w:rsidRDefault="00063CBC" w:rsidP="0064043A">
      <w:pPr>
        <w:spacing w:before="60" w:after="60" w:line="360" w:lineRule="auto"/>
        <w:ind w:left="720" w:hanging="720"/>
        <w:jc w:val="both"/>
        <w:rPr>
          <w:rFonts w:ascii="Times New Roman" w:hAnsi="Times New Roman" w:cs="Times New Roman"/>
        </w:rPr>
      </w:pPr>
      <w:proofErr w:type="spellStart"/>
      <w:r w:rsidRPr="004D5510">
        <w:rPr>
          <w:rFonts w:ascii="Times New Roman" w:hAnsi="Times New Roman" w:cs="Times New Roman"/>
        </w:rPr>
        <w:t>Pererva</w:t>
      </w:r>
      <w:proofErr w:type="spellEnd"/>
      <w:r w:rsidRPr="004D5510">
        <w:rPr>
          <w:rFonts w:ascii="Times New Roman" w:hAnsi="Times New Roman" w:cs="Times New Roman"/>
        </w:rPr>
        <w:t xml:space="preserve">, P., </w:t>
      </w:r>
      <w:proofErr w:type="spellStart"/>
      <w:r w:rsidRPr="004D5510">
        <w:rPr>
          <w:rFonts w:ascii="Times New Roman" w:hAnsi="Times New Roman" w:cs="Times New Roman"/>
        </w:rPr>
        <w:t>Besprozvannykh</w:t>
      </w:r>
      <w:proofErr w:type="spellEnd"/>
      <w:r w:rsidRPr="004D5510">
        <w:rPr>
          <w:rFonts w:ascii="Times New Roman" w:hAnsi="Times New Roman" w:cs="Times New Roman"/>
        </w:rPr>
        <w:t xml:space="preserve">, O., </w:t>
      </w:r>
      <w:proofErr w:type="spellStart"/>
      <w:r w:rsidRPr="004D5510">
        <w:rPr>
          <w:rFonts w:ascii="Times New Roman" w:hAnsi="Times New Roman" w:cs="Times New Roman"/>
        </w:rPr>
        <w:t>Tiutlikova</w:t>
      </w:r>
      <w:proofErr w:type="spellEnd"/>
      <w:r w:rsidRPr="004D5510">
        <w:rPr>
          <w:rFonts w:ascii="Times New Roman" w:hAnsi="Times New Roman" w:cs="Times New Roman"/>
        </w:rPr>
        <w:t xml:space="preserve">, V., </w:t>
      </w:r>
      <w:proofErr w:type="spellStart"/>
      <w:r w:rsidRPr="004D5510">
        <w:rPr>
          <w:rFonts w:ascii="Times New Roman" w:hAnsi="Times New Roman" w:cs="Times New Roman"/>
        </w:rPr>
        <w:t>Kovalova</w:t>
      </w:r>
      <w:proofErr w:type="spellEnd"/>
      <w:r w:rsidRPr="004D5510">
        <w:rPr>
          <w:rFonts w:ascii="Times New Roman" w:hAnsi="Times New Roman" w:cs="Times New Roman"/>
        </w:rPr>
        <w:t xml:space="preserve">, V., </w:t>
      </w:r>
      <w:proofErr w:type="spellStart"/>
      <w:r w:rsidRPr="004D5510">
        <w:rPr>
          <w:rFonts w:ascii="Times New Roman" w:hAnsi="Times New Roman" w:cs="Times New Roman"/>
        </w:rPr>
        <w:t>Kudina</w:t>
      </w:r>
      <w:proofErr w:type="spellEnd"/>
      <w:r w:rsidRPr="004D5510">
        <w:rPr>
          <w:rFonts w:ascii="Times New Roman" w:hAnsi="Times New Roman" w:cs="Times New Roman"/>
        </w:rPr>
        <w:t xml:space="preserve">, O. and </w:t>
      </w:r>
      <w:proofErr w:type="spellStart"/>
      <w:r w:rsidRPr="004D5510">
        <w:rPr>
          <w:rFonts w:ascii="Times New Roman" w:hAnsi="Times New Roman" w:cs="Times New Roman"/>
        </w:rPr>
        <w:t>Dorokhov</w:t>
      </w:r>
      <w:proofErr w:type="spellEnd"/>
      <w:r w:rsidRPr="004D5510">
        <w:rPr>
          <w:rFonts w:ascii="Times New Roman" w:hAnsi="Times New Roman" w:cs="Times New Roman"/>
        </w:rPr>
        <w:t>, O. (2019) ‘Improvement of the Method for Selecting Innovation Projects on the Platform of Innovative Supermarket’, </w:t>
      </w:r>
      <w:r w:rsidRPr="004D5510">
        <w:rPr>
          <w:rFonts w:ascii="Times New Roman" w:hAnsi="Times New Roman" w:cs="Times New Roman"/>
          <w:i/>
          <w:iCs/>
        </w:rPr>
        <w:t>TEM Journal</w:t>
      </w:r>
      <w:r w:rsidRPr="004D5510">
        <w:rPr>
          <w:rFonts w:ascii="Times New Roman" w:hAnsi="Times New Roman" w:cs="Times New Roman"/>
        </w:rPr>
        <w:t>, </w:t>
      </w:r>
      <w:r w:rsidRPr="004D5510">
        <w:rPr>
          <w:rFonts w:ascii="Times New Roman" w:hAnsi="Times New Roman" w:cs="Times New Roman"/>
          <w:i/>
          <w:iCs/>
        </w:rPr>
        <w:t>8</w:t>
      </w:r>
      <w:r w:rsidRPr="004D5510">
        <w:rPr>
          <w:rFonts w:ascii="Times New Roman" w:hAnsi="Times New Roman" w:cs="Times New Roman"/>
        </w:rPr>
        <w:t>(2).</w:t>
      </w:r>
    </w:p>
    <w:p w14:paraId="3E7F4B19" w14:textId="77777777" w:rsidR="004B6A2A" w:rsidRPr="004D5510" w:rsidRDefault="00063CBC" w:rsidP="0064043A">
      <w:pPr>
        <w:spacing w:before="60" w:after="60" w:line="360" w:lineRule="auto"/>
        <w:ind w:left="720" w:hanging="720"/>
        <w:jc w:val="both"/>
        <w:rPr>
          <w:rFonts w:ascii="Times New Roman" w:hAnsi="Times New Roman" w:cs="Times New Roman"/>
        </w:rPr>
      </w:pPr>
      <w:proofErr w:type="spellStart"/>
      <w:r w:rsidRPr="004D5510">
        <w:rPr>
          <w:rFonts w:ascii="Times New Roman" w:hAnsi="Times New Roman" w:cs="Times New Roman"/>
        </w:rPr>
        <w:t>Ridwan</w:t>
      </w:r>
      <w:proofErr w:type="spellEnd"/>
      <w:r w:rsidRPr="004D5510">
        <w:rPr>
          <w:rFonts w:ascii="Times New Roman" w:hAnsi="Times New Roman" w:cs="Times New Roman"/>
        </w:rPr>
        <w:t>, I.B. (2025) ‘Dynamic strategic foresight using predictive business analytics: Strategic modeling of competitive advantage in unstable market and innovation ecosystems’, </w:t>
      </w:r>
      <w:r w:rsidRPr="004D5510">
        <w:rPr>
          <w:rFonts w:ascii="Times New Roman" w:hAnsi="Times New Roman" w:cs="Times New Roman"/>
          <w:i/>
          <w:iCs/>
        </w:rPr>
        <w:t>World Journal of Advanced Research and Reviews</w:t>
      </w:r>
      <w:r w:rsidRPr="004D5510">
        <w:rPr>
          <w:rFonts w:ascii="Times New Roman" w:hAnsi="Times New Roman" w:cs="Times New Roman"/>
        </w:rPr>
        <w:t>, </w:t>
      </w:r>
      <w:r w:rsidRPr="004D5510">
        <w:rPr>
          <w:rFonts w:ascii="Times New Roman" w:hAnsi="Times New Roman" w:cs="Times New Roman"/>
          <w:i/>
          <w:iCs/>
        </w:rPr>
        <w:t>26</w:t>
      </w:r>
      <w:r w:rsidRPr="004D5510">
        <w:rPr>
          <w:rFonts w:ascii="Times New Roman" w:hAnsi="Times New Roman" w:cs="Times New Roman"/>
        </w:rPr>
        <w:t>(2), pp.473-493.</w:t>
      </w:r>
    </w:p>
    <w:p w14:paraId="3470D9F2" w14:textId="77777777" w:rsidR="004B6A2A" w:rsidRPr="004D5510" w:rsidRDefault="00063CBC" w:rsidP="0064043A">
      <w:pPr>
        <w:spacing w:before="60" w:after="60" w:line="360" w:lineRule="auto"/>
        <w:ind w:left="720" w:hanging="720"/>
        <w:jc w:val="both"/>
        <w:rPr>
          <w:rFonts w:ascii="Times New Roman" w:hAnsi="Times New Roman" w:cs="Times New Roman"/>
        </w:rPr>
      </w:pPr>
      <w:r w:rsidRPr="004D5510">
        <w:rPr>
          <w:rFonts w:ascii="Times New Roman" w:hAnsi="Times New Roman" w:cs="Times New Roman"/>
        </w:rPr>
        <w:t xml:space="preserve">Sharma, K.S. and </w:t>
      </w:r>
      <w:proofErr w:type="spellStart"/>
      <w:r w:rsidRPr="004D5510">
        <w:rPr>
          <w:rFonts w:ascii="Times New Roman" w:hAnsi="Times New Roman" w:cs="Times New Roman"/>
        </w:rPr>
        <w:t>Sinha</w:t>
      </w:r>
      <w:proofErr w:type="spellEnd"/>
      <w:r w:rsidRPr="004D5510">
        <w:rPr>
          <w:rFonts w:ascii="Times New Roman" w:hAnsi="Times New Roman" w:cs="Times New Roman"/>
        </w:rPr>
        <w:t>, U.P. (2025) </w:t>
      </w:r>
      <w:r w:rsidRPr="004D5510">
        <w:rPr>
          <w:rFonts w:ascii="Times New Roman" w:hAnsi="Times New Roman" w:cs="Times New Roman"/>
          <w:i/>
          <w:iCs/>
        </w:rPr>
        <w:t>Navigating The Inflation Surge: Economic Insights and Solutions</w:t>
      </w:r>
      <w:r w:rsidRPr="004D5510">
        <w:rPr>
          <w:rFonts w:ascii="Times New Roman" w:hAnsi="Times New Roman" w:cs="Times New Roman"/>
        </w:rPr>
        <w:t>. Concept Publishing Company.</w:t>
      </w:r>
    </w:p>
    <w:p w14:paraId="6865E6EA" w14:textId="77777777" w:rsidR="004B6A2A" w:rsidRPr="004D5510" w:rsidRDefault="00063CBC" w:rsidP="0064043A">
      <w:pPr>
        <w:spacing w:before="60" w:after="60" w:line="360" w:lineRule="auto"/>
        <w:ind w:left="720" w:hanging="720"/>
        <w:jc w:val="both"/>
        <w:rPr>
          <w:rFonts w:ascii="Times New Roman" w:hAnsi="Times New Roman" w:cs="Times New Roman"/>
        </w:rPr>
      </w:pPr>
      <w:r w:rsidRPr="004D5510">
        <w:rPr>
          <w:rFonts w:ascii="Times New Roman" w:hAnsi="Times New Roman" w:cs="Times New Roman"/>
        </w:rPr>
        <w:t xml:space="preserve">Tesco PLC (2021) Annual Report and Financial Statements 2021. Welwyn Garden City: Tesco PLC. </w:t>
      </w:r>
      <w:hyperlink r:id="rId9" w:history="1">
        <w:r w:rsidR="004B6A2A" w:rsidRPr="004D5510">
          <w:rPr>
            <w:rStyle w:val="Hyperlink"/>
            <w:rFonts w:ascii="Times New Roman" w:hAnsi="Times New Roman" w:cs="Times New Roman"/>
            <w:u w:val="none"/>
          </w:rPr>
          <w:t>https://www.annualreports.com/Company/tesco-plc</w:t>
        </w:r>
      </w:hyperlink>
      <w:r w:rsidRPr="004D5510">
        <w:rPr>
          <w:rFonts w:ascii="Times New Roman" w:hAnsi="Times New Roman" w:cs="Times New Roman"/>
        </w:rPr>
        <w:t xml:space="preserve"> (Accessed: 19 February 2026).</w:t>
      </w:r>
    </w:p>
    <w:p w14:paraId="28587C38" w14:textId="77777777" w:rsidR="004B6A2A" w:rsidRPr="004D5510" w:rsidRDefault="00063CBC" w:rsidP="0064043A">
      <w:pPr>
        <w:spacing w:before="60" w:after="60" w:line="360" w:lineRule="auto"/>
        <w:ind w:left="720" w:hanging="720"/>
        <w:jc w:val="both"/>
        <w:rPr>
          <w:rFonts w:ascii="Times New Roman" w:hAnsi="Times New Roman" w:cs="Times New Roman"/>
        </w:rPr>
      </w:pPr>
      <w:r w:rsidRPr="004D5510">
        <w:rPr>
          <w:rFonts w:ascii="Times New Roman" w:hAnsi="Times New Roman" w:cs="Times New Roman"/>
        </w:rPr>
        <w:t xml:space="preserve">Tesco PLC (2022) Annual Report and Financial Statements 2022. Welwyn Garden City: Tesco PLC. </w:t>
      </w:r>
      <w:hyperlink r:id="rId10" w:history="1">
        <w:r w:rsidR="004B6A2A" w:rsidRPr="004D5510">
          <w:rPr>
            <w:rStyle w:val="Hyperlink"/>
            <w:rFonts w:ascii="Times New Roman" w:hAnsi="Times New Roman" w:cs="Times New Roman"/>
            <w:u w:val="none"/>
          </w:rPr>
          <w:t>https://www.tescoplc.com/investors/reports-results-and-presentations/annual-report-2022</w:t>
        </w:r>
      </w:hyperlink>
      <w:r w:rsidRPr="004D5510">
        <w:rPr>
          <w:rFonts w:ascii="Times New Roman" w:hAnsi="Times New Roman" w:cs="Times New Roman"/>
        </w:rPr>
        <w:t xml:space="preserve"> (Accessed: 19 February 2026).</w:t>
      </w:r>
    </w:p>
    <w:p w14:paraId="65A248AF" w14:textId="77777777" w:rsidR="004B6A2A" w:rsidRPr="004D5510" w:rsidRDefault="00063CBC" w:rsidP="0064043A">
      <w:pPr>
        <w:spacing w:before="60" w:after="60" w:line="360" w:lineRule="auto"/>
        <w:ind w:left="720" w:hanging="720"/>
        <w:jc w:val="both"/>
        <w:rPr>
          <w:rFonts w:ascii="Times New Roman" w:hAnsi="Times New Roman" w:cs="Times New Roman"/>
        </w:rPr>
      </w:pPr>
      <w:r w:rsidRPr="004D5510">
        <w:rPr>
          <w:rFonts w:ascii="Times New Roman" w:hAnsi="Times New Roman" w:cs="Times New Roman"/>
        </w:rPr>
        <w:t xml:space="preserve">Tesco PLC (2023) Annual Report and Financial Statements 2023. Welwyn Garden City: Tesco PLC. </w:t>
      </w:r>
      <w:hyperlink r:id="rId11" w:history="1">
        <w:r w:rsidR="004B6A2A" w:rsidRPr="004D5510">
          <w:rPr>
            <w:rStyle w:val="Hyperlink"/>
            <w:rFonts w:ascii="Times New Roman" w:hAnsi="Times New Roman" w:cs="Times New Roman"/>
            <w:u w:val="none"/>
          </w:rPr>
          <w:t>https://www.tescoplc.com/investors/reports-results-and-presentations/annual-report-2023</w:t>
        </w:r>
      </w:hyperlink>
      <w:r w:rsidRPr="004D5510">
        <w:rPr>
          <w:rFonts w:ascii="Times New Roman" w:hAnsi="Times New Roman" w:cs="Times New Roman"/>
        </w:rPr>
        <w:t xml:space="preserve"> (Accessed: 19 February 2026).</w:t>
      </w:r>
    </w:p>
    <w:p w14:paraId="1DCB4156" w14:textId="77777777" w:rsidR="004B6A2A" w:rsidRPr="004D5510" w:rsidRDefault="00063CBC" w:rsidP="0064043A">
      <w:pPr>
        <w:spacing w:before="60" w:after="60" w:line="360" w:lineRule="auto"/>
        <w:ind w:left="720" w:hanging="720"/>
        <w:jc w:val="both"/>
        <w:rPr>
          <w:rFonts w:ascii="Times New Roman" w:hAnsi="Times New Roman" w:cs="Times New Roman"/>
        </w:rPr>
      </w:pPr>
      <w:r w:rsidRPr="004D5510">
        <w:rPr>
          <w:rFonts w:ascii="Times New Roman" w:hAnsi="Times New Roman" w:cs="Times New Roman"/>
        </w:rPr>
        <w:t xml:space="preserve">Tesco PLC (2024) Annual Report and Financial Statements 2024. Welwyn Garden City: Tesco PLC. </w:t>
      </w:r>
      <w:hyperlink r:id="rId12" w:history="1">
        <w:r w:rsidR="004B6A2A" w:rsidRPr="004D5510">
          <w:rPr>
            <w:rStyle w:val="Hyperlink"/>
            <w:rFonts w:ascii="Times New Roman" w:hAnsi="Times New Roman" w:cs="Times New Roman"/>
            <w:u w:val="none"/>
          </w:rPr>
          <w:t>https://www.tescoplc.com/media/zgvhd0dn/tescos_ar24.pdf</w:t>
        </w:r>
      </w:hyperlink>
      <w:r w:rsidRPr="004D5510">
        <w:rPr>
          <w:rFonts w:ascii="Times New Roman" w:hAnsi="Times New Roman" w:cs="Times New Roman"/>
        </w:rPr>
        <w:t xml:space="preserve"> (Accessed: 19 February 2026).</w:t>
      </w:r>
    </w:p>
    <w:p w14:paraId="199638F7" w14:textId="77777777" w:rsidR="004B6A2A" w:rsidRPr="004D5510" w:rsidRDefault="00063CBC" w:rsidP="0064043A">
      <w:pPr>
        <w:spacing w:before="60" w:after="60" w:line="360" w:lineRule="auto"/>
        <w:ind w:left="720" w:hanging="720"/>
        <w:jc w:val="both"/>
        <w:rPr>
          <w:rFonts w:ascii="Times New Roman" w:hAnsi="Times New Roman" w:cs="Times New Roman"/>
        </w:rPr>
      </w:pPr>
      <w:r w:rsidRPr="004D5510">
        <w:rPr>
          <w:rFonts w:ascii="Times New Roman" w:hAnsi="Times New Roman" w:cs="Times New Roman"/>
        </w:rPr>
        <w:t xml:space="preserve">Tesco PLC (2025) Annual Report and Financial Statements 2025. Welwyn Garden City: Tesco PLC. </w:t>
      </w:r>
      <w:hyperlink r:id="rId13" w:history="1">
        <w:r w:rsidR="004B6A2A" w:rsidRPr="004D5510">
          <w:rPr>
            <w:rStyle w:val="Hyperlink"/>
            <w:rFonts w:ascii="Times New Roman" w:hAnsi="Times New Roman" w:cs="Times New Roman"/>
            <w:u w:val="none"/>
          </w:rPr>
          <w:t>https://www.tescoplc.com/investors/reports-results-and-presentations/annual-report-2025</w:t>
        </w:r>
      </w:hyperlink>
      <w:r w:rsidRPr="004D5510">
        <w:rPr>
          <w:rFonts w:ascii="Times New Roman" w:hAnsi="Times New Roman" w:cs="Times New Roman"/>
        </w:rPr>
        <w:t xml:space="preserve"> (Accessed: 19 February 2026).</w:t>
      </w:r>
    </w:p>
    <w:sectPr w:rsidR="004B6A2A" w:rsidRPr="004D5510">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4002E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81CE3"/>
    <w:multiLevelType w:val="multilevel"/>
    <w:tmpl w:val="EF902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4502AD"/>
    <w:multiLevelType w:val="hybridMultilevel"/>
    <w:tmpl w:val="968AA33A"/>
    <w:lvl w:ilvl="0" w:tplc="5E8CA196">
      <w:start w:val="1"/>
      <w:numFmt w:val="bullet"/>
      <w:lvlText w:val="●"/>
      <w:lvlJc w:val="left"/>
      <w:pPr>
        <w:ind w:left="720" w:hanging="360"/>
      </w:pPr>
    </w:lvl>
    <w:lvl w:ilvl="1" w:tplc="6434AF4A">
      <w:start w:val="1"/>
      <w:numFmt w:val="bullet"/>
      <w:lvlText w:val="○"/>
      <w:lvlJc w:val="left"/>
      <w:pPr>
        <w:ind w:left="1440" w:hanging="360"/>
      </w:pPr>
    </w:lvl>
    <w:lvl w:ilvl="2" w:tplc="2CA418E2">
      <w:start w:val="1"/>
      <w:numFmt w:val="bullet"/>
      <w:lvlText w:val="■"/>
      <w:lvlJc w:val="left"/>
      <w:pPr>
        <w:ind w:left="2160" w:hanging="360"/>
      </w:pPr>
    </w:lvl>
    <w:lvl w:ilvl="3" w:tplc="D7B60A96">
      <w:start w:val="1"/>
      <w:numFmt w:val="bullet"/>
      <w:lvlText w:val="●"/>
      <w:lvlJc w:val="left"/>
      <w:pPr>
        <w:ind w:left="2880" w:hanging="360"/>
      </w:pPr>
    </w:lvl>
    <w:lvl w:ilvl="4" w:tplc="65E21DEA">
      <w:start w:val="1"/>
      <w:numFmt w:val="bullet"/>
      <w:lvlText w:val="○"/>
      <w:lvlJc w:val="left"/>
      <w:pPr>
        <w:ind w:left="3600" w:hanging="360"/>
      </w:pPr>
    </w:lvl>
    <w:lvl w:ilvl="5" w:tplc="EDA0A138">
      <w:start w:val="1"/>
      <w:numFmt w:val="bullet"/>
      <w:lvlText w:val="■"/>
      <w:lvlJc w:val="left"/>
      <w:pPr>
        <w:ind w:left="4320" w:hanging="360"/>
      </w:pPr>
    </w:lvl>
    <w:lvl w:ilvl="6" w:tplc="56963626">
      <w:start w:val="1"/>
      <w:numFmt w:val="bullet"/>
      <w:lvlText w:val="●"/>
      <w:lvlJc w:val="left"/>
      <w:pPr>
        <w:ind w:left="5040" w:hanging="360"/>
      </w:pPr>
    </w:lvl>
    <w:lvl w:ilvl="7" w:tplc="D34E089C">
      <w:start w:val="1"/>
      <w:numFmt w:val="bullet"/>
      <w:lvlText w:val="●"/>
      <w:lvlJc w:val="left"/>
      <w:pPr>
        <w:ind w:left="5760" w:hanging="360"/>
      </w:pPr>
    </w:lvl>
    <w:lvl w:ilvl="8" w:tplc="B120B372">
      <w:start w:val="1"/>
      <w:numFmt w:val="bullet"/>
      <w:lvlText w:val="●"/>
      <w:lvlJc w:val="left"/>
      <w:pPr>
        <w:ind w:left="6480" w:hanging="360"/>
      </w:pPr>
    </w:lvl>
  </w:abstractNum>
  <w:num w:numId="1" w16cid:durableId="1879467495">
    <w:abstractNumId w:val="1"/>
    <w:lvlOverride w:ilvl="0">
      <w:startOverride w:val="1"/>
    </w:lvlOverride>
  </w:num>
  <w:num w:numId="2" w16cid:durableId="1740590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6"/>
  <w:displayBackgroundShape/>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0BFD"/>
    <w:rsid w:val="00022284"/>
    <w:rsid w:val="0004509C"/>
    <w:rsid w:val="00063CBC"/>
    <w:rsid w:val="000C0909"/>
    <w:rsid w:val="00151506"/>
    <w:rsid w:val="002E0C19"/>
    <w:rsid w:val="0031288C"/>
    <w:rsid w:val="0034473F"/>
    <w:rsid w:val="003A3CB4"/>
    <w:rsid w:val="004004DF"/>
    <w:rsid w:val="00463AC3"/>
    <w:rsid w:val="004B6A2A"/>
    <w:rsid w:val="004D5510"/>
    <w:rsid w:val="00540BFD"/>
    <w:rsid w:val="00547D9F"/>
    <w:rsid w:val="005D0FE9"/>
    <w:rsid w:val="00612B66"/>
    <w:rsid w:val="0064043A"/>
    <w:rsid w:val="00694DA8"/>
    <w:rsid w:val="006D2CE0"/>
    <w:rsid w:val="00781511"/>
    <w:rsid w:val="00985DC3"/>
    <w:rsid w:val="00BC51A4"/>
    <w:rsid w:val="00BD674E"/>
    <w:rsid w:val="00CD70BC"/>
    <w:rsid w:val="00DD7C65"/>
    <w:rsid w:val="00EA1E42"/>
    <w:rsid w:val="00EE4A04"/>
    <w:rsid w:val="00F46452"/>
    <w:rsid w:val="00F6348B"/>
    <w:rsid w:val="00FF5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82006"/>
  <w15:docId w15:val="{0564D5FC-FA4F-449C-B21F-FB3431708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40"/>
      <w:outlineLvl w:val="0"/>
    </w:pPr>
    <w:rPr>
      <w:b/>
      <w:bCs/>
      <w:color w:val="1F3864"/>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Caption">
    <w:name w:val="caption"/>
    <w:basedOn w:val="Normal"/>
    <w:next w:val="Normal"/>
    <w:uiPriority w:val="35"/>
    <w:unhideWhenUsed/>
    <w:qFormat/>
    <w:rsid w:val="00547D9F"/>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547D9F"/>
    <w:rPr>
      <w:color w:val="605E5C"/>
      <w:shd w:val="clear" w:color="auto" w:fill="E1DFDD"/>
    </w:rPr>
  </w:style>
  <w:style w:type="paragraph" w:styleId="TOCHeading">
    <w:name w:val="TOC Heading"/>
    <w:basedOn w:val="Heading1"/>
    <w:next w:val="Normal"/>
    <w:uiPriority w:val="39"/>
    <w:unhideWhenUsed/>
    <w:qFormat/>
    <w:rsid w:val="00547D9F"/>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547D9F"/>
    <w:pPr>
      <w:spacing w:after="100"/>
    </w:pPr>
  </w:style>
  <w:style w:type="character" w:styleId="FollowedHyperlink">
    <w:name w:val="FollowedHyperlink"/>
    <w:basedOn w:val="DefaultParagraphFont"/>
    <w:uiPriority w:val="99"/>
    <w:semiHidden/>
    <w:unhideWhenUsed/>
    <w:rsid w:val="00694DA8"/>
    <w:rPr>
      <w:color w:val="954F72" w:themeColor="followedHyperlink"/>
      <w:u w:val="single"/>
    </w:rPr>
  </w:style>
  <w:style w:type="character" w:styleId="CommentReference">
    <w:name w:val="annotation reference"/>
    <w:basedOn w:val="DefaultParagraphFont"/>
    <w:uiPriority w:val="99"/>
    <w:semiHidden/>
    <w:unhideWhenUsed/>
    <w:rsid w:val="00DD7C65"/>
    <w:rPr>
      <w:sz w:val="16"/>
      <w:szCs w:val="16"/>
    </w:rPr>
  </w:style>
  <w:style w:type="paragraph" w:styleId="CommentText">
    <w:name w:val="annotation text"/>
    <w:basedOn w:val="Normal"/>
    <w:link w:val="CommentTextChar"/>
    <w:uiPriority w:val="99"/>
    <w:semiHidden/>
    <w:unhideWhenUsed/>
    <w:rsid w:val="00DD7C65"/>
    <w:rPr>
      <w:sz w:val="20"/>
      <w:szCs w:val="20"/>
    </w:rPr>
  </w:style>
  <w:style w:type="character" w:customStyle="1" w:styleId="CommentTextChar">
    <w:name w:val="Comment Text Char"/>
    <w:basedOn w:val="DefaultParagraphFont"/>
    <w:link w:val="CommentText"/>
    <w:uiPriority w:val="99"/>
    <w:semiHidden/>
    <w:rsid w:val="00DD7C65"/>
    <w:rPr>
      <w:sz w:val="20"/>
      <w:szCs w:val="20"/>
    </w:rPr>
  </w:style>
  <w:style w:type="paragraph" w:styleId="CommentSubject">
    <w:name w:val="annotation subject"/>
    <w:basedOn w:val="CommentText"/>
    <w:next w:val="CommentText"/>
    <w:link w:val="CommentSubjectChar"/>
    <w:uiPriority w:val="99"/>
    <w:semiHidden/>
    <w:unhideWhenUsed/>
    <w:rsid w:val="00DD7C65"/>
    <w:rPr>
      <w:b/>
      <w:bCs/>
    </w:rPr>
  </w:style>
  <w:style w:type="character" w:customStyle="1" w:styleId="CommentSubjectChar">
    <w:name w:val="Comment Subject Char"/>
    <w:basedOn w:val="CommentTextChar"/>
    <w:link w:val="CommentSubject"/>
    <w:uiPriority w:val="99"/>
    <w:semiHidden/>
    <w:rsid w:val="00DD7C65"/>
    <w:rPr>
      <w:b/>
      <w:bCs/>
      <w:sz w:val="20"/>
      <w:szCs w:val="20"/>
    </w:rPr>
  </w:style>
  <w:style w:type="paragraph" w:styleId="NormalWeb">
    <w:name w:val="Normal (Web)"/>
    <w:basedOn w:val="Normal"/>
    <w:uiPriority w:val="99"/>
    <w:semiHidden/>
    <w:unhideWhenUsed/>
    <w:rsid w:val="00612B6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bout.sainsburys.co.uk/investors/annual-reports" TargetMode="External"/><Relationship Id="rId13" Type="http://schemas.openxmlformats.org/officeDocument/2006/relationships/hyperlink" Target="https://www.tescoplc.com/investors/reports-results-and-presentations/annual-report-2025" TargetMode="External"/><Relationship Id="rId3" Type="http://schemas.openxmlformats.org/officeDocument/2006/relationships/styles" Target="styles.xml"/><Relationship Id="rId7" Type="http://schemas.openxmlformats.org/officeDocument/2006/relationships/hyperlink" Target="https://www.google.com/finance/quote/TSCO:LON?hl=en" TargetMode="External"/><Relationship Id="rId12" Type="http://schemas.openxmlformats.org/officeDocument/2006/relationships/hyperlink" Target="https://www.tescoplc.com/media/zgvhd0dn/tescos_ar24.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escoplc.com/investors/reports-results-and-presentations/annual-report-202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escoplc.com/investors/reports-results-and-presentations/annual-report-2022" TargetMode="External"/><Relationship Id="rId4" Type="http://schemas.openxmlformats.org/officeDocument/2006/relationships/settings" Target="settings.xml"/><Relationship Id="rId9" Type="http://schemas.openxmlformats.org/officeDocument/2006/relationships/hyperlink" Target="https://www.annualreports.com/Company/tesco-pl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9C26C-9848-4620-A084-9295039830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Pages>
  <Words>2562</Words>
  <Characters>14606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simone nash</cp:lastModifiedBy>
  <cp:revision>4</cp:revision>
  <dcterms:created xsi:type="dcterms:W3CDTF">2026-02-20T08:36:00Z</dcterms:created>
  <dcterms:modified xsi:type="dcterms:W3CDTF">2026-02-27T03:13:00Z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0ed7877b-ec0c-4698-9f49-87b10b444bbe</vt:lpwstr>
  </property>
</Properties>
</file>