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710E5D" w14:textId="06E951D1" w:rsidR="00A0741B" w:rsidRPr="00A0741B" w:rsidRDefault="00A0741B" w:rsidP="00763D9C">
      <w:pPr>
        <w:jc w:val="center"/>
        <w:rPr>
          <w:rFonts w:ascii="Arial" w:hAnsi="Arial" w:cs="Arial"/>
          <w:u w:val="single"/>
        </w:rPr>
      </w:pPr>
      <w:r w:rsidRPr="00A0741B">
        <w:rPr>
          <w:rFonts w:ascii="Arial" w:hAnsi="Arial" w:cs="Arial"/>
          <w:u w:val="single"/>
        </w:rPr>
        <w:t>Academic critique of current thinking concerning the concept of adult learning and the adult learner in the context of today's PCET</w:t>
      </w:r>
    </w:p>
    <w:p w14:paraId="6B40F1C1" w14:textId="77777777" w:rsidR="00A0741B" w:rsidRPr="00A0741B" w:rsidRDefault="00A0741B" w:rsidP="00A0741B">
      <w:pPr>
        <w:rPr>
          <w:rFonts w:ascii="Arial" w:hAnsi="Arial" w:cs="Arial"/>
        </w:rPr>
      </w:pPr>
    </w:p>
    <w:p w14:paraId="35876F93" w14:textId="77777777" w:rsidR="00A0741B" w:rsidRPr="00A0741B" w:rsidRDefault="00A0741B" w:rsidP="00A0741B">
      <w:pPr>
        <w:rPr>
          <w:rFonts w:ascii="Arial" w:hAnsi="Arial" w:cs="Arial"/>
        </w:rPr>
      </w:pPr>
    </w:p>
    <w:p w14:paraId="27D03AFD" w14:textId="1B959EE3" w:rsidR="00A0741B" w:rsidRPr="00A0741B" w:rsidRDefault="00A0741B" w:rsidP="00A0741B">
      <w:pPr>
        <w:spacing w:line="360" w:lineRule="auto"/>
        <w:rPr>
          <w:rFonts w:ascii="Arial" w:hAnsi="Arial" w:cs="Arial"/>
        </w:rPr>
      </w:pPr>
      <w:r w:rsidRPr="00A0741B">
        <w:rPr>
          <w:rFonts w:ascii="Arial" w:hAnsi="Arial" w:cs="Arial"/>
        </w:rPr>
        <w:t>To be effective as a practitioner in adult education, understanding how adults learn best is essential. The term andragogy is far from modern and dates back to 1883. It was in the 1970s that Knowles 1990 (cited in Gould, 2012, p.54) propagated the term, explaining it as ‘the art and science of helping adults learn' and subsequently adopted the term to describe his theory of adult learning. Knowles theory highlights how adults view learning differently to children and hold six principles at its core (see Appendix A), which will be explored further in the assignment. As the main focus throughout is on adult learners, this assignment will also consider and analyse the concept of the adult learner in the context of today's PCET.</w:t>
      </w:r>
    </w:p>
    <w:p w14:paraId="65FCE322" w14:textId="77777777" w:rsidR="00A0741B" w:rsidRDefault="00A0741B" w:rsidP="00A0741B">
      <w:pPr>
        <w:spacing w:line="360" w:lineRule="auto"/>
        <w:rPr>
          <w:rFonts w:ascii="Arial" w:hAnsi="Arial" w:cs="Arial"/>
        </w:rPr>
      </w:pPr>
    </w:p>
    <w:p w14:paraId="3620FD2B" w14:textId="31AB4820" w:rsidR="00174DB1" w:rsidRDefault="0094467A" w:rsidP="00174DB1">
      <w:pPr>
        <w:spacing w:line="360" w:lineRule="auto"/>
        <w:rPr>
          <w:rFonts w:ascii="Arial" w:hAnsi="Arial" w:cs="Arial"/>
        </w:rPr>
      </w:pPr>
      <w:r w:rsidRPr="00A0741B">
        <w:rPr>
          <w:rFonts w:ascii="Arial" w:hAnsi="Arial" w:cs="Arial"/>
        </w:rPr>
        <w:t>According to Knowles</w:t>
      </w:r>
      <w:r>
        <w:rPr>
          <w:rFonts w:ascii="Arial" w:hAnsi="Arial" w:cs="Arial"/>
        </w:rPr>
        <w:t xml:space="preserve"> et al (2015)</w:t>
      </w:r>
      <w:r w:rsidRPr="00A0741B">
        <w:rPr>
          <w:rFonts w:ascii="Arial" w:hAnsi="Arial" w:cs="Arial"/>
        </w:rPr>
        <w:t>, adults view learning differently to that of children. Consequently, by drawing on concepts of adult learning PCET students, indeed all practitioners working in the post-compulsory sector can provide effective teaching and lear</w:t>
      </w:r>
      <w:r>
        <w:rPr>
          <w:rFonts w:ascii="Arial" w:hAnsi="Arial" w:cs="Arial"/>
        </w:rPr>
        <w:t xml:space="preserve">ning experiences. </w:t>
      </w:r>
      <w:r w:rsidR="00A0741B" w:rsidRPr="00A0741B">
        <w:rPr>
          <w:rFonts w:ascii="Arial" w:hAnsi="Arial" w:cs="Arial"/>
        </w:rPr>
        <w:t>For Knowles, there are six princip</w:t>
      </w:r>
      <w:r w:rsidR="00C07A00">
        <w:rPr>
          <w:rFonts w:ascii="Arial" w:hAnsi="Arial" w:cs="Arial"/>
        </w:rPr>
        <w:t>les of adult learning including</w:t>
      </w:r>
      <w:r w:rsidR="00A0741B" w:rsidRPr="00A0741B">
        <w:rPr>
          <w:rFonts w:ascii="Arial" w:hAnsi="Arial" w:cs="Arial"/>
        </w:rPr>
        <w:t xml:space="preserve"> ‘learners need to know, self-concept, past learning experiences, readiness to learn, orientation to learn, </w:t>
      </w:r>
      <w:r>
        <w:rPr>
          <w:rFonts w:ascii="Arial" w:hAnsi="Arial" w:cs="Arial"/>
        </w:rPr>
        <w:t>and internally motivation</w:t>
      </w:r>
      <w:r w:rsidR="00A0741B" w:rsidRPr="00A0741B">
        <w:rPr>
          <w:rFonts w:ascii="Arial" w:hAnsi="Arial" w:cs="Arial"/>
        </w:rPr>
        <w:t>' (cite</w:t>
      </w:r>
      <w:r w:rsidR="00174DB1">
        <w:rPr>
          <w:rFonts w:ascii="Arial" w:hAnsi="Arial" w:cs="Arial"/>
        </w:rPr>
        <w:t>d in Knowles et al</w:t>
      </w:r>
      <w:r w:rsidR="00A0741B" w:rsidRPr="00A0741B">
        <w:rPr>
          <w:rFonts w:ascii="Arial" w:hAnsi="Arial" w:cs="Arial"/>
        </w:rPr>
        <w:t xml:space="preserve">, 2015, p.6). </w:t>
      </w:r>
      <w:r>
        <w:rPr>
          <w:rFonts w:ascii="Arial" w:hAnsi="Arial" w:cs="Arial"/>
        </w:rPr>
        <w:t>A</w:t>
      </w:r>
      <w:r w:rsidR="00A0741B" w:rsidRPr="00A0741B">
        <w:rPr>
          <w:rFonts w:ascii="Arial" w:hAnsi="Arial" w:cs="Arial"/>
        </w:rPr>
        <w:t>dults remain or return to post-compulsory education for many different reasons,</w:t>
      </w:r>
      <w:r w:rsidR="00174DB1">
        <w:rPr>
          <w:rFonts w:ascii="Arial" w:hAnsi="Arial" w:cs="Arial"/>
        </w:rPr>
        <w:t xml:space="preserve"> w</w:t>
      </w:r>
      <w:r w:rsidR="00307D33" w:rsidRPr="00A0741B">
        <w:rPr>
          <w:rFonts w:ascii="Arial" w:hAnsi="Arial" w:cs="Arial"/>
        </w:rPr>
        <w:t xml:space="preserve">ith maturity comes recognition of the importance of education and learning and so adult learners </w:t>
      </w:r>
      <w:r w:rsidR="00307D33">
        <w:rPr>
          <w:rFonts w:ascii="Arial" w:hAnsi="Arial" w:cs="Arial"/>
        </w:rPr>
        <w:t xml:space="preserve">tend to be </w:t>
      </w:r>
      <w:r w:rsidR="00307D33" w:rsidRPr="00A0741B">
        <w:rPr>
          <w:rFonts w:ascii="Arial" w:hAnsi="Arial" w:cs="Arial"/>
        </w:rPr>
        <w:t>ready to learn. Additionally, adults can direct their learning due to a secure self-concept and possess a wealth of past learning experiences that can, when drawn upon support learning and that of peers</w:t>
      </w:r>
      <w:r w:rsidR="00174DB1">
        <w:rPr>
          <w:rFonts w:ascii="Arial" w:hAnsi="Arial" w:cs="Arial"/>
        </w:rPr>
        <w:t xml:space="preserve"> (Knowles et al, 2015).</w:t>
      </w:r>
      <w:r w:rsidR="00307D33">
        <w:rPr>
          <w:rFonts w:ascii="Arial" w:hAnsi="Arial" w:cs="Arial"/>
        </w:rPr>
        <w:t xml:space="preserve"> </w:t>
      </w:r>
    </w:p>
    <w:p w14:paraId="6C348190" w14:textId="77777777" w:rsidR="00174DB1" w:rsidRDefault="00174DB1" w:rsidP="00174DB1">
      <w:pPr>
        <w:spacing w:line="360" w:lineRule="auto"/>
        <w:rPr>
          <w:rFonts w:ascii="Arial" w:hAnsi="Arial" w:cs="Arial"/>
        </w:rPr>
      </w:pPr>
    </w:p>
    <w:p w14:paraId="3A2061FF" w14:textId="14761959" w:rsidR="00174DB1" w:rsidRPr="00A0741B" w:rsidRDefault="00174DB1" w:rsidP="00174DB1">
      <w:pPr>
        <w:spacing w:line="360" w:lineRule="auto"/>
        <w:rPr>
          <w:rFonts w:ascii="Arial" w:hAnsi="Arial" w:cs="Arial"/>
        </w:rPr>
      </w:pPr>
      <w:r w:rsidRPr="00A0741B">
        <w:rPr>
          <w:rFonts w:ascii="Arial" w:hAnsi="Arial" w:cs="Arial"/>
        </w:rPr>
        <w:t>For Kolb (</w:t>
      </w:r>
      <w:r>
        <w:rPr>
          <w:rFonts w:ascii="Arial" w:hAnsi="Arial" w:cs="Arial"/>
        </w:rPr>
        <w:t>cited in Fry et al, 2015</w:t>
      </w:r>
      <w:r w:rsidRPr="00A0741B">
        <w:rPr>
          <w:rFonts w:ascii="Arial" w:hAnsi="Arial" w:cs="Arial"/>
        </w:rPr>
        <w:t>)</w:t>
      </w:r>
      <w:r>
        <w:rPr>
          <w:rFonts w:ascii="Arial" w:hAnsi="Arial" w:cs="Arial"/>
        </w:rPr>
        <w:t>,</w:t>
      </w:r>
      <w:r w:rsidRPr="00A0741B">
        <w:rPr>
          <w:rFonts w:ascii="Arial" w:hAnsi="Arial" w:cs="Arial"/>
        </w:rPr>
        <w:t xml:space="preserve"> adults learn from their experiences and </w:t>
      </w:r>
      <w:r>
        <w:rPr>
          <w:rFonts w:ascii="Arial" w:hAnsi="Arial" w:cs="Arial"/>
        </w:rPr>
        <w:t xml:space="preserve">he </w:t>
      </w:r>
      <w:r w:rsidRPr="00A0741B">
        <w:rPr>
          <w:rFonts w:ascii="Arial" w:hAnsi="Arial" w:cs="Arial"/>
        </w:rPr>
        <w:t>identi</w:t>
      </w:r>
      <w:r>
        <w:rPr>
          <w:rFonts w:ascii="Arial" w:hAnsi="Arial" w:cs="Arial"/>
        </w:rPr>
        <w:t>fies</w:t>
      </w:r>
      <w:r w:rsidRPr="00A0741B">
        <w:rPr>
          <w:rFonts w:ascii="Arial" w:hAnsi="Arial" w:cs="Arial"/>
        </w:rPr>
        <w:t xml:space="preserve"> the need for practitioners to draw on learner's experiences, as reflection is a central </w:t>
      </w:r>
      <w:r>
        <w:rPr>
          <w:rFonts w:ascii="Arial" w:hAnsi="Arial" w:cs="Arial"/>
        </w:rPr>
        <w:t xml:space="preserve">part of learning. </w:t>
      </w:r>
      <w:r w:rsidRPr="00A0741B">
        <w:rPr>
          <w:rFonts w:ascii="Arial" w:hAnsi="Arial" w:cs="Arial"/>
        </w:rPr>
        <w:t>Kolb's experiential learning cycle is an integral part of teaching and learning (See Appendix B), as practitioners can refer to the c</w:t>
      </w:r>
      <w:r>
        <w:rPr>
          <w:rFonts w:ascii="Arial" w:hAnsi="Arial" w:cs="Arial"/>
        </w:rPr>
        <w:t xml:space="preserve">ycle to </w:t>
      </w:r>
      <w:r w:rsidRPr="00A0741B">
        <w:rPr>
          <w:rFonts w:ascii="Arial" w:hAnsi="Arial" w:cs="Arial"/>
        </w:rPr>
        <w:t xml:space="preserve">create relevant learning experiences </w:t>
      </w:r>
      <w:r>
        <w:rPr>
          <w:rFonts w:ascii="Arial" w:hAnsi="Arial" w:cs="Arial"/>
        </w:rPr>
        <w:t xml:space="preserve">while </w:t>
      </w:r>
      <w:r w:rsidRPr="00A0741B">
        <w:rPr>
          <w:rFonts w:ascii="Arial" w:hAnsi="Arial" w:cs="Arial"/>
        </w:rPr>
        <w:t xml:space="preserve">accommodating different learning styles. </w:t>
      </w:r>
      <w:r>
        <w:rPr>
          <w:rFonts w:ascii="Arial" w:hAnsi="Arial" w:cs="Arial"/>
        </w:rPr>
        <w:t>Moreover, a</w:t>
      </w:r>
      <w:r w:rsidRPr="00A0741B">
        <w:rPr>
          <w:rFonts w:ascii="Arial" w:hAnsi="Arial" w:cs="Arial"/>
        </w:rPr>
        <w:t>ctive learning takes place where progression through the cycles, four stages can be seen</w:t>
      </w:r>
      <w:r w:rsidR="007B1346">
        <w:rPr>
          <w:rFonts w:ascii="Arial" w:hAnsi="Arial" w:cs="Arial"/>
        </w:rPr>
        <w:t xml:space="preserve"> and is encouraged</w:t>
      </w:r>
      <w:r w:rsidRPr="00A0741B">
        <w:rPr>
          <w:rFonts w:ascii="Arial" w:hAnsi="Arial" w:cs="Arial"/>
        </w:rPr>
        <w:t xml:space="preserve">. To achieve this, teachers should incorporate activities that allow learners to complete the cycle. </w:t>
      </w:r>
    </w:p>
    <w:p w14:paraId="52D4FBD3" w14:textId="77777777" w:rsidR="00174DB1" w:rsidRDefault="00174DB1" w:rsidP="00A0741B">
      <w:pPr>
        <w:spacing w:line="360" w:lineRule="auto"/>
        <w:rPr>
          <w:rFonts w:ascii="Arial" w:hAnsi="Arial" w:cs="Arial"/>
        </w:rPr>
      </w:pPr>
    </w:p>
    <w:p w14:paraId="551F900C" w14:textId="392E5C7C" w:rsidR="00307D33" w:rsidRDefault="00A0741B" w:rsidP="00A0741B">
      <w:pPr>
        <w:spacing w:line="360" w:lineRule="auto"/>
        <w:rPr>
          <w:rFonts w:ascii="Arial" w:hAnsi="Arial" w:cs="Arial"/>
        </w:rPr>
      </w:pPr>
      <w:r w:rsidRPr="00A0741B">
        <w:rPr>
          <w:rFonts w:ascii="Arial" w:hAnsi="Arial" w:cs="Arial"/>
        </w:rPr>
        <w:t>Many adult learners have set goals in mind, such as a particular job or promotion and so a</w:t>
      </w:r>
      <w:r w:rsidR="00307D33">
        <w:rPr>
          <w:rFonts w:ascii="Arial" w:hAnsi="Arial" w:cs="Arial"/>
        </w:rPr>
        <w:t>re extrinsically motivated to succeed.</w:t>
      </w:r>
      <w:r w:rsidR="00802730">
        <w:rPr>
          <w:rFonts w:ascii="Arial" w:hAnsi="Arial" w:cs="Arial"/>
        </w:rPr>
        <w:t xml:space="preserve"> Al</w:t>
      </w:r>
      <w:r w:rsidRPr="00A0741B">
        <w:rPr>
          <w:rFonts w:ascii="Arial" w:hAnsi="Arial" w:cs="Arial"/>
        </w:rPr>
        <w:t>ter</w:t>
      </w:r>
      <w:r w:rsidR="00802730">
        <w:rPr>
          <w:rFonts w:ascii="Arial" w:hAnsi="Arial" w:cs="Arial"/>
        </w:rPr>
        <w:t>n</w:t>
      </w:r>
      <w:r w:rsidRPr="00A0741B">
        <w:rPr>
          <w:rFonts w:ascii="Arial" w:hAnsi="Arial" w:cs="Arial"/>
        </w:rPr>
        <w:t>atively, many are intrinsically motivated to succeed for reasons other than good grades such as a personal accom</w:t>
      </w:r>
      <w:r w:rsidR="00802730">
        <w:rPr>
          <w:rFonts w:ascii="Arial" w:hAnsi="Arial" w:cs="Arial"/>
        </w:rPr>
        <w:t xml:space="preserve">plishment (Gravells, 2012). </w:t>
      </w:r>
      <w:r w:rsidRPr="00A0741B">
        <w:rPr>
          <w:rFonts w:ascii="Arial" w:hAnsi="Arial" w:cs="Arial"/>
        </w:rPr>
        <w:t>Based on these assumptions, Knowles theory has implications for practitioners in adult learning. For example, learners should have a say in their learning experiences, and practitioners need to seek opportunities to link current learning to previous experiences, making correlations to person</w:t>
      </w:r>
      <w:r w:rsidR="00307D33">
        <w:rPr>
          <w:rFonts w:ascii="Arial" w:hAnsi="Arial" w:cs="Arial"/>
        </w:rPr>
        <w:t>al life and work. For example, i</w:t>
      </w:r>
      <w:r w:rsidRPr="00A0741B">
        <w:rPr>
          <w:rFonts w:ascii="Arial" w:hAnsi="Arial" w:cs="Arial"/>
        </w:rPr>
        <w:t xml:space="preserve">ncorporating </w:t>
      </w:r>
      <w:r w:rsidR="00307D33">
        <w:rPr>
          <w:rFonts w:ascii="Arial" w:hAnsi="Arial" w:cs="Arial"/>
        </w:rPr>
        <w:t>a problem</w:t>
      </w:r>
      <w:r w:rsidR="00174DB1">
        <w:rPr>
          <w:rFonts w:ascii="Arial" w:hAnsi="Arial" w:cs="Arial"/>
        </w:rPr>
        <w:t>-</w:t>
      </w:r>
      <w:r w:rsidRPr="00A0741B">
        <w:rPr>
          <w:rFonts w:ascii="Arial" w:hAnsi="Arial" w:cs="Arial"/>
        </w:rPr>
        <w:t>b</w:t>
      </w:r>
      <w:r w:rsidR="00307D33">
        <w:rPr>
          <w:rFonts w:ascii="Arial" w:hAnsi="Arial" w:cs="Arial"/>
        </w:rPr>
        <w:t>ased approach in learning linking it to</w:t>
      </w:r>
      <w:r w:rsidRPr="00A0741B">
        <w:rPr>
          <w:rFonts w:ascii="Arial" w:hAnsi="Arial" w:cs="Arial"/>
        </w:rPr>
        <w:t xml:space="preserve"> real life experiences is a more effective way of learning for adults rathe</w:t>
      </w:r>
      <w:r w:rsidR="00A80F13">
        <w:rPr>
          <w:rFonts w:ascii="Arial" w:hAnsi="Arial" w:cs="Arial"/>
        </w:rPr>
        <w:t>r than simple rote memorisation (Knowles, et al, 2015).</w:t>
      </w:r>
      <w:r w:rsidRPr="00A0741B">
        <w:rPr>
          <w:rFonts w:ascii="Arial" w:hAnsi="Arial" w:cs="Arial"/>
        </w:rPr>
        <w:t xml:space="preserve"> </w:t>
      </w:r>
      <w:r w:rsidR="0034638D" w:rsidRPr="00A0741B">
        <w:rPr>
          <w:rFonts w:ascii="Arial" w:hAnsi="Arial" w:cs="Arial"/>
        </w:rPr>
        <w:t>Current thinking related to the concept of adult learning has not moved too far away from Knowles theory.</w:t>
      </w:r>
      <w:r w:rsidR="0034638D">
        <w:rPr>
          <w:rFonts w:ascii="Arial" w:hAnsi="Arial" w:cs="Arial"/>
        </w:rPr>
        <w:t xml:space="preserve"> Even so, a</w:t>
      </w:r>
      <w:r w:rsidRPr="00A0741B">
        <w:rPr>
          <w:rFonts w:ascii="Arial" w:hAnsi="Arial" w:cs="Arial"/>
        </w:rPr>
        <w:t>ndragogy</w:t>
      </w:r>
      <w:r w:rsidR="00A80F13">
        <w:rPr>
          <w:rFonts w:ascii="Arial" w:hAnsi="Arial" w:cs="Arial"/>
        </w:rPr>
        <w:t xml:space="preserve"> is not without its criticisms, as Rodgers and Horrocks (2010) </w:t>
      </w:r>
      <w:r w:rsidRPr="00A0741B">
        <w:rPr>
          <w:rFonts w:ascii="Arial" w:hAnsi="Arial" w:cs="Arial"/>
        </w:rPr>
        <w:t>argue</w:t>
      </w:r>
      <w:r w:rsidR="00A80F13">
        <w:rPr>
          <w:rFonts w:ascii="Arial" w:hAnsi="Arial" w:cs="Arial"/>
        </w:rPr>
        <w:t>,</w:t>
      </w:r>
      <w:r w:rsidRPr="00A0741B">
        <w:rPr>
          <w:rFonts w:ascii="Arial" w:hAnsi="Arial" w:cs="Arial"/>
        </w:rPr>
        <w:t xml:space="preserve"> practition</w:t>
      </w:r>
      <w:r w:rsidR="007B1346">
        <w:rPr>
          <w:rFonts w:ascii="Arial" w:hAnsi="Arial" w:cs="Arial"/>
        </w:rPr>
        <w:t>ers would be wrong to assume K</w:t>
      </w:r>
      <w:r w:rsidR="0034638D">
        <w:rPr>
          <w:rFonts w:ascii="Arial" w:hAnsi="Arial" w:cs="Arial"/>
        </w:rPr>
        <w:t>nowles’</w:t>
      </w:r>
      <w:r w:rsidRPr="00A0741B">
        <w:rPr>
          <w:rFonts w:ascii="Arial" w:hAnsi="Arial" w:cs="Arial"/>
        </w:rPr>
        <w:t xml:space="preserve"> learner profile is representative of all adult learners. Indeed, </w:t>
      </w:r>
      <w:r w:rsidR="0094467A">
        <w:rPr>
          <w:rFonts w:ascii="Arial" w:hAnsi="Arial" w:cs="Arial"/>
        </w:rPr>
        <w:t>at the very least, personality and learners</w:t>
      </w:r>
      <w:r w:rsidRPr="00A0741B">
        <w:rPr>
          <w:rFonts w:ascii="Arial" w:hAnsi="Arial" w:cs="Arial"/>
        </w:rPr>
        <w:t xml:space="preserve"> </w:t>
      </w:r>
      <w:r w:rsidR="00307D33">
        <w:rPr>
          <w:rFonts w:ascii="Arial" w:hAnsi="Arial" w:cs="Arial"/>
        </w:rPr>
        <w:t>ability level</w:t>
      </w:r>
      <w:r w:rsidR="0094467A">
        <w:rPr>
          <w:rFonts w:ascii="Arial" w:hAnsi="Arial" w:cs="Arial"/>
        </w:rPr>
        <w:t xml:space="preserve"> will differ</w:t>
      </w:r>
      <w:r w:rsidRPr="00A0741B">
        <w:rPr>
          <w:rFonts w:ascii="Arial" w:hAnsi="Arial" w:cs="Arial"/>
        </w:rPr>
        <w:t>.</w:t>
      </w:r>
      <w:r w:rsidR="00307D33">
        <w:rPr>
          <w:rFonts w:ascii="Arial" w:hAnsi="Arial" w:cs="Arial"/>
        </w:rPr>
        <w:t xml:space="preserve"> </w:t>
      </w:r>
      <w:r w:rsidRPr="00A0741B">
        <w:rPr>
          <w:rFonts w:ascii="Arial" w:hAnsi="Arial" w:cs="Arial"/>
        </w:rPr>
        <w:t xml:space="preserve">Interestingly, Knowles admitted that his assumptions were not universally relatable. </w:t>
      </w:r>
    </w:p>
    <w:p w14:paraId="306D6554" w14:textId="77777777" w:rsidR="00307D33" w:rsidRDefault="00307D33" w:rsidP="00A0741B">
      <w:pPr>
        <w:spacing w:line="360" w:lineRule="auto"/>
        <w:rPr>
          <w:rFonts w:ascii="Arial" w:hAnsi="Arial" w:cs="Arial"/>
        </w:rPr>
      </w:pPr>
    </w:p>
    <w:p w14:paraId="0F5149E5" w14:textId="3AD3BACF" w:rsidR="00A0741B" w:rsidRPr="00A0741B" w:rsidRDefault="007B1346" w:rsidP="00A0741B">
      <w:pPr>
        <w:spacing w:line="360" w:lineRule="auto"/>
        <w:rPr>
          <w:rFonts w:ascii="Arial" w:hAnsi="Arial" w:cs="Arial"/>
        </w:rPr>
      </w:pPr>
      <w:r>
        <w:rPr>
          <w:rFonts w:ascii="Arial" w:hAnsi="Arial" w:cs="Arial"/>
        </w:rPr>
        <w:t>Indeed, a</w:t>
      </w:r>
      <w:r w:rsidR="00A0741B" w:rsidRPr="00A0741B">
        <w:rPr>
          <w:rFonts w:ascii="Arial" w:hAnsi="Arial" w:cs="Arial"/>
        </w:rPr>
        <w:t>dult learners are likely to have different responsibilities outside of education that may impact on attendance, motivation and success, and so to obtain the qualification they seek means for many multitasking. To this end, the role of today's practitioner in adult learning goes far beyond facilitating learning (Me</w:t>
      </w:r>
      <w:r>
        <w:rPr>
          <w:rFonts w:ascii="Arial" w:hAnsi="Arial" w:cs="Arial"/>
        </w:rPr>
        <w:t>rriam and Bierema, 2014). As</w:t>
      </w:r>
      <w:r w:rsidR="00A0741B" w:rsidRPr="00A0741B">
        <w:rPr>
          <w:rFonts w:ascii="Arial" w:hAnsi="Arial" w:cs="Arial"/>
        </w:rPr>
        <w:t xml:space="preserve"> today's practitioner will encounter diverse student cohorts, personalities, backgrounds, experiences, cultures, v</w:t>
      </w:r>
      <w:r w:rsidR="00C42D5F">
        <w:rPr>
          <w:rFonts w:ascii="Arial" w:hAnsi="Arial" w:cs="Arial"/>
        </w:rPr>
        <w:t>iews and ages. According to Schnackenberg and Johnson (2019),</w:t>
      </w:r>
      <w:r w:rsidR="00A0741B" w:rsidRPr="00A0741B">
        <w:rPr>
          <w:rFonts w:ascii="Arial" w:hAnsi="Arial" w:cs="Arial"/>
        </w:rPr>
        <w:t xml:space="preserve"> the age of adult learners can impact on teaching and learning experience</w:t>
      </w:r>
      <w:r w:rsidR="00307D33">
        <w:rPr>
          <w:rFonts w:ascii="Arial" w:hAnsi="Arial" w:cs="Arial"/>
        </w:rPr>
        <w:t xml:space="preserve">s. </w:t>
      </w:r>
      <w:r w:rsidR="00FA3A72">
        <w:rPr>
          <w:rFonts w:ascii="Arial" w:hAnsi="Arial" w:cs="Arial"/>
        </w:rPr>
        <w:t xml:space="preserve">For example, Millennials, adults </w:t>
      </w:r>
      <w:r w:rsidR="0068519D">
        <w:rPr>
          <w:rFonts w:ascii="Arial" w:hAnsi="Arial" w:cs="Arial"/>
        </w:rPr>
        <w:t>born between 1982-1994 and Generation Z</w:t>
      </w:r>
      <w:r>
        <w:rPr>
          <w:rFonts w:ascii="Arial" w:hAnsi="Arial" w:cs="Arial"/>
        </w:rPr>
        <w:t>,</w:t>
      </w:r>
      <w:r w:rsidR="0068519D">
        <w:rPr>
          <w:rFonts w:ascii="Arial" w:hAnsi="Arial" w:cs="Arial"/>
        </w:rPr>
        <w:t xml:space="preserve"> born between mid 1990’s to the early 2000’s, </w:t>
      </w:r>
      <w:r w:rsidR="00A0741B" w:rsidRPr="00A0741B">
        <w:rPr>
          <w:rFonts w:ascii="Arial" w:hAnsi="Arial" w:cs="Arial"/>
        </w:rPr>
        <w:t>typically have experienced a child-centric upbringing where relationships with adults were equal. The impact of this in adult education can be seen where there is a learner expectation that practitioners are available to answer questions instantly, and learners require frequent feedback and interactivity as attention spans tend to be short. Also, millennials are more inclined to seek personal advice and support from practitioners. However, caution should be taken in such instances to remai</w:t>
      </w:r>
      <w:r>
        <w:rPr>
          <w:rFonts w:ascii="Arial" w:hAnsi="Arial" w:cs="Arial"/>
        </w:rPr>
        <w:t>n professional and instead</w:t>
      </w:r>
      <w:r w:rsidR="00A0741B" w:rsidRPr="00A0741B">
        <w:rPr>
          <w:rFonts w:ascii="Arial" w:hAnsi="Arial" w:cs="Arial"/>
        </w:rPr>
        <w:t xml:space="preserve"> a more mentoring role</w:t>
      </w:r>
      <w:r>
        <w:rPr>
          <w:rFonts w:ascii="Arial" w:hAnsi="Arial" w:cs="Arial"/>
        </w:rPr>
        <w:t xml:space="preserve"> should be adopted</w:t>
      </w:r>
      <w:r w:rsidR="00A0741B" w:rsidRPr="00A0741B">
        <w:rPr>
          <w:rFonts w:ascii="Arial" w:hAnsi="Arial" w:cs="Arial"/>
        </w:rPr>
        <w:t>. On a more practical note, millennials are more likely to be competent with modern technologies. To meet professional standards</w:t>
      </w:r>
      <w:r w:rsidR="00C42D5F">
        <w:rPr>
          <w:rFonts w:ascii="Arial" w:hAnsi="Arial" w:cs="Arial"/>
        </w:rPr>
        <w:t xml:space="preserve"> (UKPSF, 2011),</w:t>
      </w:r>
      <w:r w:rsidR="00A0741B" w:rsidRPr="00A0741B">
        <w:rPr>
          <w:rFonts w:ascii="Arial" w:hAnsi="Arial" w:cs="Arial"/>
        </w:rPr>
        <w:t xml:space="preserve"> and equip learners with the technological skills required for successful future employment, practitioners must incorporate effective technologies into sessions. However, </w:t>
      </w:r>
      <w:r w:rsidR="00FA3A72">
        <w:rPr>
          <w:rFonts w:ascii="Arial" w:hAnsi="Arial" w:cs="Arial"/>
        </w:rPr>
        <w:t xml:space="preserve">due to diversity in age, practitioners should </w:t>
      </w:r>
      <w:bookmarkStart w:id="0" w:name="_GoBack"/>
      <w:bookmarkEnd w:id="0"/>
      <w:r w:rsidR="00FA3A72">
        <w:rPr>
          <w:rFonts w:ascii="Arial" w:hAnsi="Arial" w:cs="Arial"/>
        </w:rPr>
        <w:t>consider all</w:t>
      </w:r>
      <w:r w:rsidR="00A0741B" w:rsidRPr="00A0741B">
        <w:rPr>
          <w:rFonts w:ascii="Arial" w:hAnsi="Arial" w:cs="Arial"/>
        </w:rPr>
        <w:t xml:space="preserve"> </w:t>
      </w:r>
      <w:r w:rsidR="0068519D">
        <w:rPr>
          <w:rFonts w:ascii="Arial" w:hAnsi="Arial" w:cs="Arial"/>
        </w:rPr>
        <w:t>members of a given class where technological competency may not be universal</w:t>
      </w:r>
      <w:r w:rsidR="00A0741B" w:rsidRPr="00A0741B">
        <w:rPr>
          <w:rFonts w:ascii="Arial" w:hAnsi="Arial" w:cs="Arial"/>
        </w:rPr>
        <w:t xml:space="preserve"> (Green et al cited in Boden-McGill and King, 2014). Ultimately practitioners and PCET students should be aware of the different characteristics of adult learners. As </w:t>
      </w:r>
      <w:r w:rsidR="0068519D">
        <w:rPr>
          <w:rFonts w:ascii="Arial" w:hAnsi="Arial" w:cs="Arial"/>
        </w:rPr>
        <w:t xml:space="preserve">by </w:t>
      </w:r>
      <w:r w:rsidR="00A0741B" w:rsidRPr="00A0741B">
        <w:rPr>
          <w:rFonts w:ascii="Arial" w:hAnsi="Arial" w:cs="Arial"/>
        </w:rPr>
        <w:t>being aware and knowledgeable</w:t>
      </w:r>
      <w:r w:rsidR="0068519D">
        <w:rPr>
          <w:rFonts w:ascii="Arial" w:hAnsi="Arial" w:cs="Arial"/>
        </w:rPr>
        <w:t xml:space="preserve">, relevant </w:t>
      </w:r>
      <w:r w:rsidR="00A0741B" w:rsidRPr="00A0741B">
        <w:rPr>
          <w:rFonts w:ascii="Arial" w:hAnsi="Arial" w:cs="Arial"/>
        </w:rPr>
        <w:t>meaningful teaching and learning experien</w:t>
      </w:r>
      <w:r w:rsidR="0068519D">
        <w:rPr>
          <w:rFonts w:ascii="Arial" w:hAnsi="Arial" w:cs="Arial"/>
        </w:rPr>
        <w:t>ces can be planned and facilitated</w:t>
      </w:r>
      <w:r w:rsidR="00A0741B" w:rsidRPr="00A0741B">
        <w:rPr>
          <w:rFonts w:ascii="Arial" w:hAnsi="Arial" w:cs="Arial"/>
        </w:rPr>
        <w:t xml:space="preserve"> that meet learner diversity and</w:t>
      </w:r>
      <w:r w:rsidR="00AF766D">
        <w:rPr>
          <w:rFonts w:ascii="Arial" w:hAnsi="Arial" w:cs="Arial"/>
        </w:rPr>
        <w:t xml:space="preserve"> ensure equality (Gravells, 2014</w:t>
      </w:r>
      <w:r w:rsidR="00A0741B" w:rsidRPr="00A0741B">
        <w:rPr>
          <w:rFonts w:ascii="Arial" w:hAnsi="Arial" w:cs="Arial"/>
        </w:rPr>
        <w:t>). For Henschke (2011), andragogy so far as Knowles perspective is still relevant and will continue to be so. However, eventually, the conversation should exceed what is currently recognised, acknowledging adult learning from different viewpoints.</w:t>
      </w:r>
    </w:p>
    <w:p w14:paraId="3C8C89BE" w14:textId="77777777" w:rsidR="00A0741B" w:rsidRPr="00A0741B" w:rsidRDefault="00A0741B" w:rsidP="00A0741B">
      <w:pPr>
        <w:spacing w:line="360" w:lineRule="auto"/>
        <w:rPr>
          <w:rFonts w:ascii="Arial" w:hAnsi="Arial" w:cs="Arial"/>
        </w:rPr>
      </w:pPr>
    </w:p>
    <w:p w14:paraId="1DAB4D07" w14:textId="1491A4DF" w:rsidR="00A0741B" w:rsidRPr="00802730" w:rsidRDefault="00802730" w:rsidP="00A0741B">
      <w:pPr>
        <w:spacing w:line="360" w:lineRule="auto"/>
        <w:rPr>
          <w:rFonts w:ascii="Arial" w:hAnsi="Arial" w:cs="Arial"/>
          <w:u w:val="single"/>
        </w:rPr>
      </w:pPr>
      <w:r>
        <w:rPr>
          <w:rFonts w:ascii="Arial" w:hAnsi="Arial" w:cs="Arial"/>
          <w:u w:val="single"/>
        </w:rPr>
        <w:t>Concept of the Adult Learner in the Context of T</w:t>
      </w:r>
      <w:r w:rsidR="00A0741B" w:rsidRPr="00802730">
        <w:rPr>
          <w:rFonts w:ascii="Arial" w:hAnsi="Arial" w:cs="Arial"/>
          <w:u w:val="single"/>
        </w:rPr>
        <w:t>oday's PCET</w:t>
      </w:r>
    </w:p>
    <w:p w14:paraId="4FB6D44B" w14:textId="706C8967" w:rsidR="00A0741B" w:rsidRPr="00A0741B" w:rsidRDefault="00A0741B" w:rsidP="00A0741B">
      <w:pPr>
        <w:spacing w:line="360" w:lineRule="auto"/>
        <w:rPr>
          <w:rFonts w:ascii="Arial" w:hAnsi="Arial" w:cs="Arial"/>
        </w:rPr>
      </w:pPr>
      <w:r w:rsidRPr="00A0741B">
        <w:rPr>
          <w:rFonts w:ascii="Arial" w:hAnsi="Arial" w:cs="Arial"/>
        </w:rPr>
        <w:t xml:space="preserve">The characteristics of the adult learner identified so far reflect that of today's contemporary adult undertaking the PCET. The initial motivation to enrol on the programme is likely to </w:t>
      </w:r>
      <w:r w:rsidR="0068519D">
        <w:rPr>
          <w:rFonts w:ascii="Arial" w:hAnsi="Arial" w:cs="Arial"/>
        </w:rPr>
        <w:t xml:space="preserve">be </w:t>
      </w:r>
      <w:r w:rsidRPr="00A0741B">
        <w:rPr>
          <w:rFonts w:ascii="Arial" w:hAnsi="Arial" w:cs="Arial"/>
        </w:rPr>
        <w:t>extrinsic due perhaps to the pursuit of a change in career. Although, intrinsic motiv</w:t>
      </w:r>
      <w:r w:rsidR="00802730">
        <w:rPr>
          <w:rFonts w:ascii="Arial" w:hAnsi="Arial" w:cs="Arial"/>
        </w:rPr>
        <w:t>ation is also likely to feature</w:t>
      </w:r>
      <w:r w:rsidRPr="00A0741B">
        <w:rPr>
          <w:rFonts w:ascii="Arial" w:hAnsi="Arial" w:cs="Arial"/>
        </w:rPr>
        <w:t xml:space="preserve"> and can be fostered with positive, relevant learning experiences and an encouraging, supportive overseeing lecturer (Gravells, 2012). </w:t>
      </w:r>
    </w:p>
    <w:p w14:paraId="10EBCA82" w14:textId="77777777" w:rsidR="00A0741B" w:rsidRPr="00A0741B" w:rsidRDefault="00A0741B" w:rsidP="00A0741B">
      <w:pPr>
        <w:spacing w:line="360" w:lineRule="auto"/>
        <w:rPr>
          <w:rFonts w:ascii="Arial" w:hAnsi="Arial" w:cs="Arial"/>
        </w:rPr>
      </w:pPr>
    </w:p>
    <w:p w14:paraId="68AF612A" w14:textId="0126313A" w:rsidR="00A0741B" w:rsidRPr="00A0741B" w:rsidRDefault="00A0741B" w:rsidP="00A0741B">
      <w:pPr>
        <w:spacing w:line="360" w:lineRule="auto"/>
        <w:rPr>
          <w:rFonts w:ascii="Arial" w:hAnsi="Arial" w:cs="Arial"/>
        </w:rPr>
      </w:pPr>
      <w:r w:rsidRPr="00A0741B">
        <w:rPr>
          <w:rFonts w:ascii="Arial" w:hAnsi="Arial" w:cs="Arial"/>
        </w:rPr>
        <w:t xml:space="preserve">For PCET student's </w:t>
      </w:r>
      <w:r w:rsidR="00802730">
        <w:rPr>
          <w:rFonts w:ascii="Arial" w:hAnsi="Arial" w:cs="Arial"/>
        </w:rPr>
        <w:t xml:space="preserve">the </w:t>
      </w:r>
      <w:r w:rsidRPr="00A0741B">
        <w:rPr>
          <w:rFonts w:ascii="Arial" w:hAnsi="Arial" w:cs="Arial"/>
        </w:rPr>
        <w:t>experience of microteaching affords a valuable opportunity to experiment with different teaching approaches, activities and experience the teaching process from planning, preparing, delivering through to evaluation in a safe non-jud</w:t>
      </w:r>
      <w:r w:rsidR="00AF766D">
        <w:rPr>
          <w:rFonts w:ascii="Arial" w:hAnsi="Arial" w:cs="Arial"/>
        </w:rPr>
        <w:t xml:space="preserve">gemental environment (Gravells and Simpson, </w:t>
      </w:r>
      <w:r w:rsidRPr="00A0741B">
        <w:rPr>
          <w:rFonts w:ascii="Arial" w:hAnsi="Arial" w:cs="Arial"/>
        </w:rPr>
        <w:t xml:space="preserve">2012). Moreover, the feedback provided by peers, lecturer and own self-evaluation following the micro-teach experience provides a valuable insight into personal teaching </w:t>
      </w:r>
      <w:r w:rsidR="0068519D">
        <w:rPr>
          <w:rFonts w:ascii="Arial" w:hAnsi="Arial" w:cs="Arial"/>
        </w:rPr>
        <w:t>practice, identifies strengths</w:t>
      </w:r>
      <w:r w:rsidRPr="00A0741B">
        <w:rPr>
          <w:rFonts w:ascii="Arial" w:hAnsi="Arial" w:cs="Arial"/>
        </w:rPr>
        <w:t xml:space="preserve"> and areas for improvement before starting professional teaching experience. Also, the PCET class represents a diverse adult population and so provides a practical teaching and learning environment for learners to develop </w:t>
      </w:r>
      <w:r w:rsidR="00802730">
        <w:rPr>
          <w:rFonts w:ascii="Arial" w:hAnsi="Arial" w:cs="Arial"/>
        </w:rPr>
        <w:t xml:space="preserve">their skills (Gravells, 2012). </w:t>
      </w:r>
      <w:r w:rsidRPr="00A0741B">
        <w:rPr>
          <w:rFonts w:ascii="Arial" w:hAnsi="Arial" w:cs="Arial"/>
        </w:rPr>
        <w:t xml:space="preserve">For Rodgers and Horrocks (2010), in learning how to teach adults, a student teacher learns much about their own/peers learning </w:t>
      </w:r>
      <w:r w:rsidR="007B1346">
        <w:rPr>
          <w:rFonts w:ascii="Arial" w:hAnsi="Arial" w:cs="Arial"/>
        </w:rPr>
        <w:t>preferences and styles. Combined</w:t>
      </w:r>
      <w:r w:rsidR="005B1C3E">
        <w:rPr>
          <w:rFonts w:ascii="Arial" w:hAnsi="Arial" w:cs="Arial"/>
        </w:rPr>
        <w:t xml:space="preserve"> with a</w:t>
      </w:r>
      <w:r w:rsidRPr="00A0741B">
        <w:rPr>
          <w:rFonts w:ascii="Arial" w:hAnsi="Arial" w:cs="Arial"/>
        </w:rPr>
        <w:t xml:space="preserve"> sound knowledge of the characteristics of the adult learner </w:t>
      </w:r>
      <w:r w:rsidR="005B1C3E">
        <w:rPr>
          <w:rFonts w:ascii="Arial" w:hAnsi="Arial" w:cs="Arial"/>
        </w:rPr>
        <w:t xml:space="preserve">obtained from the theory and practical experiences afforded by the PCET ensures learners will be better equipped for their professional teaching experience </w:t>
      </w:r>
      <w:r w:rsidRPr="00A0741B">
        <w:rPr>
          <w:rFonts w:ascii="Arial" w:hAnsi="Arial" w:cs="Arial"/>
        </w:rPr>
        <w:t>(UWTSD, 2019).</w:t>
      </w:r>
      <w:r w:rsidR="00802730">
        <w:rPr>
          <w:rFonts w:ascii="Arial" w:hAnsi="Arial" w:cs="Arial"/>
        </w:rPr>
        <w:t xml:space="preserve"> </w:t>
      </w:r>
      <w:r w:rsidRPr="00A0741B">
        <w:rPr>
          <w:rFonts w:ascii="Arial" w:hAnsi="Arial" w:cs="Arial"/>
        </w:rPr>
        <w:t>For Weingarten (2018), the PCET contributes much toward to Wales' economy. Undoubtedly, adult learners completing the PCET and adult learners, in general, afford many benefits to the e</w:t>
      </w:r>
      <w:r w:rsidR="00763D9C">
        <w:rPr>
          <w:rFonts w:ascii="Arial" w:hAnsi="Arial" w:cs="Arial"/>
        </w:rPr>
        <w:t>conomy and society as a whole. Also on an individual level</w:t>
      </w:r>
      <w:r w:rsidRPr="00A0741B">
        <w:rPr>
          <w:rFonts w:ascii="Arial" w:hAnsi="Arial" w:cs="Arial"/>
        </w:rPr>
        <w:t>, as many relevant skills can be developed and transferred into education, employment and life. In addition to developing skills, adult learning can have a positive impact on health and overall well-being and social interaction (Welsh Government, 2017).</w:t>
      </w:r>
    </w:p>
    <w:p w14:paraId="2B2F7B20" w14:textId="77777777" w:rsidR="00A0741B" w:rsidRPr="00A0741B" w:rsidRDefault="00A0741B" w:rsidP="00A0741B">
      <w:pPr>
        <w:spacing w:line="360" w:lineRule="auto"/>
        <w:rPr>
          <w:rFonts w:ascii="Arial" w:hAnsi="Arial" w:cs="Arial"/>
        </w:rPr>
      </w:pPr>
    </w:p>
    <w:p w14:paraId="57933F8F" w14:textId="5A66EF37" w:rsidR="00A0741B" w:rsidRPr="00A0741B" w:rsidRDefault="00A0741B" w:rsidP="00A0741B">
      <w:pPr>
        <w:spacing w:line="360" w:lineRule="auto"/>
        <w:rPr>
          <w:rFonts w:ascii="Arial" w:hAnsi="Arial" w:cs="Arial"/>
        </w:rPr>
      </w:pPr>
      <w:r w:rsidRPr="00A0741B">
        <w:rPr>
          <w:rFonts w:ascii="Arial" w:hAnsi="Arial" w:cs="Arial"/>
        </w:rPr>
        <w:t xml:space="preserve">To conclude, the concept of adult learning has altered little since Knowles introduced his six assumptions despite the criticisms his theory has elicited. </w:t>
      </w:r>
      <w:r w:rsidR="005B1C3E">
        <w:rPr>
          <w:rFonts w:ascii="Arial" w:hAnsi="Arial" w:cs="Arial"/>
        </w:rPr>
        <w:t>Ultimately, e</w:t>
      </w:r>
      <w:r w:rsidRPr="00A0741B">
        <w:rPr>
          <w:rFonts w:ascii="Arial" w:hAnsi="Arial" w:cs="Arial"/>
        </w:rPr>
        <w:t xml:space="preserve">ducation can have a profound impact on the lives of the diverse adult learner population, whether continuing or returning to post-compulsory education. Consequently, practitioners and PCET students must understand the characteristics of adult learners to meet the professional standards required, plan and deliver engaging, relevant learning experiences and adopt a mentoring role, supporting learners with their concerns and issues and ultimately helping them to fulfil their potential. </w:t>
      </w:r>
    </w:p>
    <w:p w14:paraId="6B91123C" w14:textId="77777777" w:rsidR="00A0741B" w:rsidRDefault="00A0741B" w:rsidP="00A0741B">
      <w:pPr>
        <w:spacing w:line="360" w:lineRule="auto"/>
        <w:rPr>
          <w:rFonts w:ascii="Arial" w:hAnsi="Arial" w:cs="Arial"/>
        </w:rPr>
      </w:pPr>
    </w:p>
    <w:p w14:paraId="3775732C" w14:textId="77777777" w:rsidR="00A0741B" w:rsidRDefault="00A0741B" w:rsidP="00A0741B">
      <w:pPr>
        <w:spacing w:line="360" w:lineRule="auto"/>
        <w:jc w:val="center"/>
        <w:rPr>
          <w:rFonts w:ascii="Arial" w:hAnsi="Arial" w:cs="Arial"/>
        </w:rPr>
      </w:pPr>
    </w:p>
    <w:p w14:paraId="2FD01DB3" w14:textId="77777777" w:rsidR="00A0741B" w:rsidRDefault="00A0741B" w:rsidP="007B212A">
      <w:pPr>
        <w:jc w:val="center"/>
        <w:rPr>
          <w:rFonts w:ascii="Arial" w:hAnsi="Arial" w:cs="Arial"/>
        </w:rPr>
      </w:pPr>
    </w:p>
    <w:p w14:paraId="5E103723" w14:textId="77777777" w:rsidR="00A0741B" w:rsidRDefault="00A0741B" w:rsidP="007B212A">
      <w:pPr>
        <w:jc w:val="center"/>
        <w:rPr>
          <w:rFonts w:ascii="Arial" w:hAnsi="Arial" w:cs="Arial"/>
        </w:rPr>
      </w:pPr>
    </w:p>
    <w:p w14:paraId="2F203520" w14:textId="77777777" w:rsidR="00A0741B" w:rsidRDefault="00A0741B" w:rsidP="007B212A">
      <w:pPr>
        <w:jc w:val="center"/>
        <w:rPr>
          <w:rFonts w:ascii="Arial" w:hAnsi="Arial" w:cs="Arial"/>
        </w:rPr>
      </w:pPr>
    </w:p>
    <w:p w14:paraId="01A2C653" w14:textId="77777777" w:rsidR="00A0741B" w:rsidRDefault="00A0741B" w:rsidP="007B212A">
      <w:pPr>
        <w:jc w:val="center"/>
        <w:rPr>
          <w:rFonts w:ascii="Arial" w:hAnsi="Arial" w:cs="Arial"/>
        </w:rPr>
      </w:pPr>
    </w:p>
    <w:p w14:paraId="5C9F0C62" w14:textId="77777777" w:rsidR="00A0741B" w:rsidRDefault="00A0741B" w:rsidP="007B212A">
      <w:pPr>
        <w:jc w:val="center"/>
        <w:rPr>
          <w:rFonts w:ascii="Arial" w:hAnsi="Arial" w:cs="Arial"/>
        </w:rPr>
      </w:pPr>
    </w:p>
    <w:p w14:paraId="5CAAE836" w14:textId="77777777" w:rsidR="00A0741B" w:rsidRDefault="00A0741B" w:rsidP="007B212A">
      <w:pPr>
        <w:jc w:val="center"/>
        <w:rPr>
          <w:rFonts w:ascii="Arial" w:hAnsi="Arial" w:cs="Arial"/>
        </w:rPr>
      </w:pPr>
    </w:p>
    <w:p w14:paraId="239B5867" w14:textId="77777777" w:rsidR="00A0741B" w:rsidRDefault="00A0741B" w:rsidP="007B212A">
      <w:pPr>
        <w:jc w:val="center"/>
        <w:rPr>
          <w:rFonts w:ascii="Arial" w:hAnsi="Arial" w:cs="Arial"/>
        </w:rPr>
      </w:pPr>
    </w:p>
    <w:p w14:paraId="199B39C4" w14:textId="77777777" w:rsidR="00A0741B" w:rsidRDefault="00A0741B" w:rsidP="007B212A">
      <w:pPr>
        <w:jc w:val="center"/>
        <w:rPr>
          <w:rFonts w:ascii="Arial" w:hAnsi="Arial" w:cs="Arial"/>
        </w:rPr>
      </w:pPr>
    </w:p>
    <w:p w14:paraId="7303DF94" w14:textId="77777777" w:rsidR="00A0741B" w:rsidRDefault="00A0741B" w:rsidP="007B212A">
      <w:pPr>
        <w:jc w:val="center"/>
        <w:rPr>
          <w:rFonts w:ascii="Arial" w:hAnsi="Arial" w:cs="Arial"/>
        </w:rPr>
      </w:pPr>
    </w:p>
    <w:p w14:paraId="76A526A0" w14:textId="77777777" w:rsidR="00A0741B" w:rsidRDefault="00A0741B" w:rsidP="007B212A">
      <w:pPr>
        <w:jc w:val="center"/>
        <w:rPr>
          <w:rFonts w:ascii="Arial" w:hAnsi="Arial" w:cs="Arial"/>
        </w:rPr>
      </w:pPr>
    </w:p>
    <w:p w14:paraId="27897008" w14:textId="77777777" w:rsidR="00054E72" w:rsidRDefault="00054E72" w:rsidP="00536C14">
      <w:pPr>
        <w:rPr>
          <w:rFonts w:ascii="Arial" w:hAnsi="Arial" w:cs="Arial"/>
        </w:rPr>
      </w:pPr>
    </w:p>
    <w:p w14:paraId="5E9BB4CD" w14:textId="77777777" w:rsidR="00054E72" w:rsidRDefault="00054E72" w:rsidP="00536C14">
      <w:pPr>
        <w:rPr>
          <w:rFonts w:ascii="Arial" w:hAnsi="Arial" w:cs="Arial"/>
        </w:rPr>
      </w:pPr>
    </w:p>
    <w:p w14:paraId="16740AC5" w14:textId="77777777" w:rsidR="00054E72" w:rsidRDefault="00054E72" w:rsidP="00536C14">
      <w:pPr>
        <w:rPr>
          <w:rFonts w:ascii="Arial" w:hAnsi="Arial" w:cs="Arial"/>
        </w:rPr>
      </w:pPr>
    </w:p>
    <w:p w14:paraId="7CCDE96D" w14:textId="77777777" w:rsidR="00054E72" w:rsidRDefault="00054E72" w:rsidP="00536C14">
      <w:pPr>
        <w:rPr>
          <w:rFonts w:ascii="Arial" w:hAnsi="Arial" w:cs="Arial"/>
        </w:rPr>
      </w:pPr>
    </w:p>
    <w:p w14:paraId="354C8CC3" w14:textId="77777777" w:rsidR="00802730" w:rsidRDefault="00802730" w:rsidP="00536C14">
      <w:pPr>
        <w:rPr>
          <w:rFonts w:ascii="Arial" w:hAnsi="Arial" w:cs="Arial"/>
        </w:rPr>
      </w:pPr>
    </w:p>
    <w:p w14:paraId="54C0DFD8" w14:textId="77777777" w:rsidR="00802730" w:rsidRDefault="00802730" w:rsidP="00536C14">
      <w:pPr>
        <w:rPr>
          <w:rFonts w:ascii="Arial" w:hAnsi="Arial" w:cs="Arial"/>
        </w:rPr>
      </w:pPr>
    </w:p>
    <w:p w14:paraId="319B52C5" w14:textId="77777777" w:rsidR="00C07A00" w:rsidRDefault="00C07A00" w:rsidP="00536C14">
      <w:pPr>
        <w:rPr>
          <w:rFonts w:ascii="Arial" w:hAnsi="Arial" w:cs="Arial"/>
        </w:rPr>
      </w:pPr>
    </w:p>
    <w:p w14:paraId="2EC31660" w14:textId="77777777" w:rsidR="00C07A00" w:rsidRDefault="00C07A00" w:rsidP="00536C14">
      <w:pPr>
        <w:rPr>
          <w:rFonts w:ascii="Arial" w:hAnsi="Arial" w:cs="Arial"/>
        </w:rPr>
      </w:pPr>
    </w:p>
    <w:p w14:paraId="0D3E2D4E" w14:textId="77777777" w:rsidR="00C07A00" w:rsidRDefault="00C07A00" w:rsidP="00536C14">
      <w:pPr>
        <w:rPr>
          <w:rFonts w:ascii="Arial" w:hAnsi="Arial" w:cs="Arial"/>
        </w:rPr>
      </w:pPr>
    </w:p>
    <w:p w14:paraId="255CC74E" w14:textId="77777777" w:rsidR="00C07A00" w:rsidRDefault="00C07A00" w:rsidP="00536C14">
      <w:pPr>
        <w:rPr>
          <w:rFonts w:ascii="Arial" w:hAnsi="Arial" w:cs="Arial"/>
        </w:rPr>
      </w:pPr>
    </w:p>
    <w:p w14:paraId="49A87DD2" w14:textId="4C72A84E" w:rsidR="00536C14" w:rsidRPr="00505F0A" w:rsidRDefault="00536C14" w:rsidP="00536C14">
      <w:pPr>
        <w:rPr>
          <w:rFonts w:ascii="Arial" w:hAnsi="Arial" w:cs="Arial"/>
        </w:rPr>
      </w:pPr>
      <w:r w:rsidRPr="00505F0A">
        <w:rPr>
          <w:rFonts w:ascii="Arial" w:hAnsi="Arial" w:cs="Arial"/>
        </w:rPr>
        <w:t>Reference List</w:t>
      </w:r>
    </w:p>
    <w:p w14:paraId="5FEFCAA3" w14:textId="77777777" w:rsidR="00536C14" w:rsidRDefault="00536C14" w:rsidP="00536C14">
      <w:pPr>
        <w:rPr>
          <w:rFonts w:ascii="Arial" w:hAnsi="Arial" w:cs="Arial"/>
        </w:rPr>
      </w:pPr>
    </w:p>
    <w:p w14:paraId="2460A5E7" w14:textId="30A7B968" w:rsidR="000033A9" w:rsidRDefault="000033A9" w:rsidP="00536C14">
      <w:pPr>
        <w:rPr>
          <w:rFonts w:ascii="Arial" w:hAnsi="Arial" w:cs="Arial"/>
        </w:rPr>
      </w:pPr>
      <w:r>
        <w:rPr>
          <w:rFonts w:ascii="Arial" w:hAnsi="Arial" w:cs="Arial"/>
        </w:rPr>
        <w:t xml:space="preserve">Boden-McGill, J, C. and King, O, K. (eds.) (2014) </w:t>
      </w:r>
      <w:r w:rsidRPr="000033A9">
        <w:rPr>
          <w:rFonts w:ascii="Arial" w:hAnsi="Arial" w:cs="Arial"/>
          <w:i/>
        </w:rPr>
        <w:t>Developing and Sustaining Adult Learning</w:t>
      </w:r>
      <w:r>
        <w:rPr>
          <w:rFonts w:ascii="Arial" w:hAnsi="Arial" w:cs="Arial"/>
        </w:rPr>
        <w:t xml:space="preserve">. USA: Information Age Publishing Inc. </w:t>
      </w:r>
    </w:p>
    <w:p w14:paraId="13C47627" w14:textId="77777777" w:rsidR="00536C14" w:rsidRDefault="00536C14" w:rsidP="00536C14">
      <w:pPr>
        <w:rPr>
          <w:rFonts w:ascii="Arial" w:hAnsi="Arial" w:cs="Arial"/>
        </w:rPr>
      </w:pPr>
    </w:p>
    <w:p w14:paraId="599C7D2F" w14:textId="6AA85DB5" w:rsidR="001E35EC" w:rsidRDefault="001E35EC" w:rsidP="00536C14">
      <w:pPr>
        <w:rPr>
          <w:rFonts w:ascii="Arial" w:hAnsi="Arial" w:cs="Arial"/>
        </w:rPr>
      </w:pPr>
      <w:r>
        <w:rPr>
          <w:rFonts w:ascii="Arial" w:hAnsi="Arial" w:cs="Arial"/>
        </w:rPr>
        <w:t xml:space="preserve">Fry, H., Ketteridge, S. and </w:t>
      </w:r>
      <w:r w:rsidR="009F1AD9">
        <w:rPr>
          <w:rFonts w:ascii="Arial" w:hAnsi="Arial" w:cs="Arial"/>
        </w:rPr>
        <w:t xml:space="preserve">Marshall, S. (eds.) (2015) </w:t>
      </w:r>
      <w:r w:rsidR="009F1AD9" w:rsidRPr="00EB2054">
        <w:rPr>
          <w:rFonts w:ascii="Arial" w:hAnsi="Arial" w:cs="Arial"/>
          <w:i/>
        </w:rPr>
        <w:t>A Handbook for Teaching and Learning in Higher Education</w:t>
      </w:r>
      <w:r w:rsidR="009F1AD9">
        <w:rPr>
          <w:rFonts w:ascii="Arial" w:hAnsi="Arial" w:cs="Arial"/>
        </w:rPr>
        <w:t>. 4</w:t>
      </w:r>
      <w:r w:rsidR="009F1AD9" w:rsidRPr="009F1AD9">
        <w:rPr>
          <w:rFonts w:ascii="Arial" w:hAnsi="Arial" w:cs="Arial"/>
          <w:vertAlign w:val="superscript"/>
        </w:rPr>
        <w:t>th</w:t>
      </w:r>
      <w:r w:rsidR="009F1AD9">
        <w:rPr>
          <w:rFonts w:ascii="Arial" w:hAnsi="Arial" w:cs="Arial"/>
        </w:rPr>
        <w:t xml:space="preserve"> edn</w:t>
      </w:r>
      <w:r w:rsidR="00EB2054">
        <w:rPr>
          <w:rFonts w:ascii="Arial" w:hAnsi="Arial" w:cs="Arial"/>
        </w:rPr>
        <w:t>. Oxon: Routledge.</w:t>
      </w:r>
      <w:r w:rsidR="009F1AD9">
        <w:rPr>
          <w:rFonts w:ascii="Arial" w:hAnsi="Arial" w:cs="Arial"/>
        </w:rPr>
        <w:t xml:space="preserve"> </w:t>
      </w:r>
    </w:p>
    <w:p w14:paraId="637B4CCA" w14:textId="77777777" w:rsidR="001E35EC" w:rsidRPr="00505F0A" w:rsidRDefault="001E35EC" w:rsidP="00536C14">
      <w:pPr>
        <w:rPr>
          <w:rFonts w:ascii="Arial" w:hAnsi="Arial" w:cs="Arial"/>
        </w:rPr>
      </w:pPr>
    </w:p>
    <w:p w14:paraId="72F58537" w14:textId="77777777" w:rsidR="00536C14" w:rsidRPr="00505F0A" w:rsidRDefault="00536C14" w:rsidP="00536C14">
      <w:pPr>
        <w:rPr>
          <w:rFonts w:ascii="Arial" w:hAnsi="Arial" w:cs="Arial"/>
        </w:rPr>
      </w:pPr>
      <w:r w:rsidRPr="00505F0A">
        <w:rPr>
          <w:rFonts w:ascii="Arial" w:hAnsi="Arial" w:cs="Arial"/>
        </w:rPr>
        <w:t xml:space="preserve">Gould, J. (2012) </w:t>
      </w:r>
      <w:r w:rsidRPr="00505F0A">
        <w:rPr>
          <w:rFonts w:ascii="Arial" w:hAnsi="Arial" w:cs="Arial"/>
          <w:i/>
        </w:rPr>
        <w:t>Learning Theory and Classroom Practice in the Lifelong Learning Sector.</w:t>
      </w:r>
      <w:r w:rsidRPr="00505F0A">
        <w:rPr>
          <w:rFonts w:ascii="Arial" w:hAnsi="Arial" w:cs="Arial"/>
        </w:rPr>
        <w:t xml:space="preserve"> 2nd edn. London: Learning Matters. </w:t>
      </w:r>
    </w:p>
    <w:p w14:paraId="50048105" w14:textId="77777777" w:rsidR="00536C14" w:rsidRDefault="00536C14" w:rsidP="00536C14">
      <w:pPr>
        <w:rPr>
          <w:rFonts w:ascii="Arial" w:hAnsi="Arial" w:cs="Arial"/>
        </w:rPr>
      </w:pPr>
    </w:p>
    <w:p w14:paraId="61341DBC" w14:textId="125D8C8A" w:rsidR="00B139F4" w:rsidRDefault="00B139F4" w:rsidP="00536C14">
      <w:pPr>
        <w:rPr>
          <w:rFonts w:ascii="Arial" w:hAnsi="Arial" w:cs="Arial"/>
        </w:rPr>
      </w:pPr>
      <w:r>
        <w:rPr>
          <w:rFonts w:ascii="Arial" w:hAnsi="Arial" w:cs="Arial"/>
        </w:rPr>
        <w:t xml:space="preserve">Gravells, A. (2014) </w:t>
      </w:r>
      <w:r w:rsidRPr="00B139F4">
        <w:rPr>
          <w:rFonts w:ascii="Arial" w:hAnsi="Arial" w:cs="Arial"/>
          <w:i/>
        </w:rPr>
        <w:t>The Award in Education and Training</w:t>
      </w:r>
      <w:r>
        <w:rPr>
          <w:rFonts w:ascii="Arial" w:hAnsi="Arial" w:cs="Arial"/>
        </w:rPr>
        <w:t>. London: SAGE Publications Ltd.</w:t>
      </w:r>
    </w:p>
    <w:p w14:paraId="27659E20" w14:textId="77777777" w:rsidR="00B139F4" w:rsidRPr="00505F0A" w:rsidRDefault="00B139F4" w:rsidP="00536C14">
      <w:pPr>
        <w:rPr>
          <w:rFonts w:ascii="Arial" w:hAnsi="Arial" w:cs="Arial"/>
        </w:rPr>
      </w:pPr>
    </w:p>
    <w:p w14:paraId="57D68856" w14:textId="77777777" w:rsidR="00536C14" w:rsidRPr="00505F0A" w:rsidRDefault="00536C14" w:rsidP="00536C14">
      <w:pPr>
        <w:rPr>
          <w:rFonts w:ascii="Arial" w:hAnsi="Arial" w:cs="Arial"/>
        </w:rPr>
      </w:pPr>
      <w:r w:rsidRPr="00505F0A">
        <w:rPr>
          <w:rFonts w:ascii="Arial" w:hAnsi="Arial" w:cs="Arial"/>
        </w:rPr>
        <w:t xml:space="preserve">Gravells, A. and Simpson, S. (2012) </w:t>
      </w:r>
      <w:r w:rsidRPr="00505F0A">
        <w:rPr>
          <w:rFonts w:ascii="Arial" w:hAnsi="Arial" w:cs="Arial"/>
          <w:i/>
        </w:rPr>
        <w:t>Planning and Enabling Learning in the Lifelong Learning Sector</w:t>
      </w:r>
      <w:r w:rsidRPr="00505F0A">
        <w:rPr>
          <w:rFonts w:ascii="Arial" w:hAnsi="Arial" w:cs="Arial"/>
        </w:rPr>
        <w:t xml:space="preserve">. 2nd edn. London: Learning Matters Ltd. </w:t>
      </w:r>
    </w:p>
    <w:p w14:paraId="5C393E2E" w14:textId="77777777" w:rsidR="00536C14" w:rsidRPr="00505F0A" w:rsidRDefault="00536C14" w:rsidP="00536C14">
      <w:pPr>
        <w:rPr>
          <w:rFonts w:ascii="Arial" w:hAnsi="Arial" w:cs="Arial"/>
        </w:rPr>
      </w:pPr>
    </w:p>
    <w:p w14:paraId="1B135CFB" w14:textId="77777777" w:rsidR="00536C14" w:rsidRPr="00505F0A" w:rsidRDefault="00536C14" w:rsidP="00536C14">
      <w:pPr>
        <w:rPr>
          <w:rFonts w:ascii="Arial" w:hAnsi="Arial" w:cs="Arial"/>
        </w:rPr>
      </w:pPr>
      <w:r w:rsidRPr="00505F0A">
        <w:rPr>
          <w:rFonts w:ascii="Arial" w:hAnsi="Arial" w:cs="Arial"/>
        </w:rPr>
        <w:t xml:space="preserve">Gravells, A. (2012) </w:t>
      </w:r>
      <w:r w:rsidRPr="00505F0A">
        <w:rPr>
          <w:rFonts w:ascii="Arial" w:hAnsi="Arial" w:cs="Arial"/>
          <w:i/>
        </w:rPr>
        <w:t>Preparing to Teach in the Lifelong Learning Sector</w:t>
      </w:r>
      <w:r w:rsidRPr="00505F0A">
        <w:rPr>
          <w:rFonts w:ascii="Arial" w:hAnsi="Arial" w:cs="Arial"/>
        </w:rPr>
        <w:t>. 5th edn. London: Learning Matters.</w:t>
      </w:r>
    </w:p>
    <w:p w14:paraId="6FA98560" w14:textId="77777777" w:rsidR="00BB4398" w:rsidRPr="00BB4398" w:rsidRDefault="00BB4398" w:rsidP="00BB4398">
      <w:pPr>
        <w:pStyle w:val="NormalWeb"/>
        <w:rPr>
          <w:rFonts w:ascii="Arial" w:hAnsi="Arial" w:cs="Arial"/>
          <w:bCs/>
          <w:sz w:val="24"/>
          <w:szCs w:val="24"/>
          <w:lang w:val="en-US"/>
        </w:rPr>
      </w:pPr>
      <w:r w:rsidRPr="00BB4398">
        <w:rPr>
          <w:rFonts w:ascii="Arial" w:hAnsi="Arial" w:cs="Arial"/>
          <w:bCs/>
          <w:sz w:val="24"/>
          <w:szCs w:val="24"/>
        </w:rPr>
        <w:t>Henschke, A, J. (2011) ‘</w:t>
      </w:r>
      <w:r w:rsidRPr="00BB4398">
        <w:rPr>
          <w:rFonts w:ascii="Arial" w:hAnsi="Arial" w:cs="Arial"/>
          <w:bCs/>
          <w:sz w:val="24"/>
          <w:szCs w:val="24"/>
          <w:lang w:val="en-US"/>
        </w:rPr>
        <w:t xml:space="preserve">Considerations Regarding the Future of Andragogy’, </w:t>
      </w:r>
      <w:r w:rsidRPr="00BB4398">
        <w:rPr>
          <w:rFonts w:ascii="Arial" w:hAnsi="Arial" w:cs="Arial"/>
          <w:bCs/>
          <w:i/>
          <w:sz w:val="24"/>
          <w:szCs w:val="24"/>
          <w:lang w:val="en-US"/>
        </w:rPr>
        <w:t>Adult Learning</w:t>
      </w:r>
      <w:r w:rsidRPr="00BB4398">
        <w:rPr>
          <w:rFonts w:ascii="Arial" w:hAnsi="Arial" w:cs="Arial"/>
          <w:bCs/>
          <w:sz w:val="24"/>
          <w:szCs w:val="24"/>
          <w:lang w:val="en-US"/>
        </w:rPr>
        <w:t>, 22</w:t>
      </w:r>
      <w:r>
        <w:rPr>
          <w:rFonts w:ascii="Arial" w:hAnsi="Arial" w:cs="Arial"/>
          <w:bCs/>
          <w:sz w:val="24"/>
          <w:szCs w:val="24"/>
          <w:lang w:val="en-US"/>
        </w:rPr>
        <w:t xml:space="preserve"> </w:t>
      </w:r>
      <w:r w:rsidRPr="00BB4398">
        <w:rPr>
          <w:rFonts w:ascii="Arial" w:hAnsi="Arial" w:cs="Arial"/>
          <w:bCs/>
          <w:sz w:val="24"/>
          <w:szCs w:val="24"/>
          <w:lang w:val="en-US"/>
        </w:rPr>
        <w:t>(1), pp.34-37. [Online].</w:t>
      </w:r>
      <w:r>
        <w:rPr>
          <w:rFonts w:ascii="Arial" w:hAnsi="Arial" w:cs="Arial"/>
          <w:bCs/>
          <w:sz w:val="24"/>
          <w:szCs w:val="24"/>
          <w:lang w:val="en-US"/>
        </w:rPr>
        <w:t xml:space="preserve"> </w:t>
      </w:r>
      <w:r w:rsidRPr="00BB4398">
        <w:rPr>
          <w:rFonts w:ascii="Arial" w:hAnsi="Arial" w:cs="Arial"/>
          <w:bCs/>
          <w:sz w:val="24"/>
          <w:szCs w:val="24"/>
          <w:lang w:val="en-US"/>
        </w:rPr>
        <w:t>Available at:</w:t>
      </w:r>
      <w:r w:rsidRPr="00BB4398">
        <w:rPr>
          <w:rFonts w:ascii="Arial" w:hAnsi="Arial" w:cs="Arial"/>
          <w:sz w:val="24"/>
          <w:szCs w:val="24"/>
        </w:rPr>
        <w:t xml:space="preserve"> </w:t>
      </w:r>
      <w:hyperlink r:id="rId8" w:history="1">
        <w:r w:rsidRPr="00BB4398">
          <w:rPr>
            <w:rStyle w:val="Hyperlink"/>
            <w:rFonts w:ascii="Arial" w:hAnsi="Arial" w:cs="Arial"/>
            <w:sz w:val="24"/>
            <w:szCs w:val="24"/>
          </w:rPr>
          <w:t>https://journals-sagepub-com.ezproxy.uwtsd.ac.uk/doi/pdf/10.1177/104515951102200109</w:t>
        </w:r>
      </w:hyperlink>
      <w:r w:rsidRPr="00BB4398">
        <w:rPr>
          <w:rFonts w:ascii="Arial" w:hAnsi="Arial" w:cs="Arial"/>
          <w:sz w:val="24"/>
          <w:szCs w:val="24"/>
        </w:rPr>
        <w:t xml:space="preserve"> (Accessed: 26 May 2019). </w:t>
      </w:r>
    </w:p>
    <w:p w14:paraId="1C2543D7" w14:textId="6820ECCB" w:rsidR="00FA38A3" w:rsidRDefault="00FA38A3" w:rsidP="00536C14">
      <w:pPr>
        <w:rPr>
          <w:rFonts w:ascii="Arial" w:hAnsi="Arial" w:cs="Arial"/>
        </w:rPr>
      </w:pPr>
      <w:r>
        <w:rPr>
          <w:rFonts w:ascii="Arial" w:hAnsi="Arial" w:cs="Arial"/>
        </w:rPr>
        <w:t xml:space="preserve">Knowles, S, M., Holton, F, E. and Swanson, A, R. (2015) </w:t>
      </w:r>
      <w:r w:rsidRPr="00FA38A3">
        <w:rPr>
          <w:rFonts w:ascii="Arial" w:hAnsi="Arial" w:cs="Arial"/>
          <w:i/>
        </w:rPr>
        <w:t>The Adult Learner</w:t>
      </w:r>
      <w:r>
        <w:rPr>
          <w:rFonts w:ascii="Arial" w:hAnsi="Arial" w:cs="Arial"/>
        </w:rPr>
        <w:t>. 8</w:t>
      </w:r>
      <w:r w:rsidRPr="00FA38A3">
        <w:rPr>
          <w:rFonts w:ascii="Arial" w:hAnsi="Arial" w:cs="Arial"/>
          <w:vertAlign w:val="superscript"/>
        </w:rPr>
        <w:t>th</w:t>
      </w:r>
      <w:r>
        <w:rPr>
          <w:rFonts w:ascii="Arial" w:hAnsi="Arial" w:cs="Arial"/>
        </w:rPr>
        <w:t xml:space="preserve"> edn. Oxon: Routledge. </w:t>
      </w:r>
    </w:p>
    <w:p w14:paraId="5CA84564" w14:textId="77777777" w:rsidR="00FA38A3" w:rsidRDefault="00FA38A3" w:rsidP="00536C14">
      <w:pPr>
        <w:rPr>
          <w:rFonts w:ascii="Arial" w:hAnsi="Arial" w:cs="Arial"/>
        </w:rPr>
      </w:pPr>
    </w:p>
    <w:p w14:paraId="77F93D19" w14:textId="3049ECF1" w:rsidR="002C4AED" w:rsidRDefault="002C4AED" w:rsidP="00536C14">
      <w:pPr>
        <w:rPr>
          <w:rFonts w:ascii="Arial" w:hAnsi="Arial" w:cs="Arial"/>
        </w:rPr>
      </w:pPr>
      <w:r>
        <w:rPr>
          <w:rFonts w:ascii="Arial" w:hAnsi="Arial" w:cs="Arial"/>
        </w:rPr>
        <w:t xml:space="preserve">Merriam, B, S. and Bierema, L, L. (2014) </w:t>
      </w:r>
      <w:r w:rsidRPr="002C4AED">
        <w:rPr>
          <w:rFonts w:ascii="Arial" w:hAnsi="Arial" w:cs="Arial"/>
          <w:i/>
        </w:rPr>
        <w:t>Adult Learning: Linking Theory and Practice</w:t>
      </w:r>
      <w:r>
        <w:rPr>
          <w:rFonts w:ascii="Arial" w:hAnsi="Arial" w:cs="Arial"/>
        </w:rPr>
        <w:t>. San Francisco: Josey-Bass.</w:t>
      </w:r>
    </w:p>
    <w:p w14:paraId="2B992B0B" w14:textId="77777777" w:rsidR="00536C14" w:rsidRPr="00505F0A" w:rsidRDefault="00536C14" w:rsidP="00536C14">
      <w:pPr>
        <w:rPr>
          <w:rFonts w:ascii="Arial" w:hAnsi="Arial" w:cs="Arial"/>
        </w:rPr>
      </w:pPr>
    </w:p>
    <w:p w14:paraId="2E14FC5F" w14:textId="77777777" w:rsidR="00536C14" w:rsidRPr="00505F0A" w:rsidRDefault="00536C14" w:rsidP="00536C14">
      <w:pPr>
        <w:rPr>
          <w:rFonts w:ascii="Arial" w:hAnsi="Arial" w:cs="Arial"/>
        </w:rPr>
      </w:pPr>
      <w:r w:rsidRPr="00505F0A">
        <w:rPr>
          <w:rFonts w:ascii="Arial" w:hAnsi="Arial" w:cs="Arial"/>
          <w:lang w:val="en-US"/>
        </w:rPr>
        <w:t xml:space="preserve">Pritchard, A. (2014) </w:t>
      </w:r>
      <w:r w:rsidRPr="00505F0A">
        <w:rPr>
          <w:rFonts w:ascii="Arial" w:hAnsi="Arial" w:cs="Arial"/>
          <w:i/>
          <w:iCs/>
          <w:lang w:val="en-US"/>
        </w:rPr>
        <w:t>Ways Of Learning</w:t>
      </w:r>
      <w:r w:rsidRPr="00505F0A">
        <w:rPr>
          <w:rFonts w:ascii="Arial" w:hAnsi="Arial" w:cs="Arial"/>
          <w:lang w:val="en-US"/>
        </w:rPr>
        <w:t>. 3</w:t>
      </w:r>
      <w:r w:rsidRPr="00505F0A">
        <w:rPr>
          <w:rFonts w:ascii="Arial" w:hAnsi="Arial" w:cs="Arial"/>
          <w:vertAlign w:val="superscript"/>
          <w:lang w:val="en-US"/>
        </w:rPr>
        <w:t>rd</w:t>
      </w:r>
      <w:r w:rsidRPr="00505F0A">
        <w:rPr>
          <w:rFonts w:ascii="Arial" w:hAnsi="Arial" w:cs="Arial"/>
          <w:lang w:val="en-US"/>
        </w:rPr>
        <w:t xml:space="preserve"> edn. Oxon: Routledge</w:t>
      </w:r>
    </w:p>
    <w:p w14:paraId="762284E7" w14:textId="77777777" w:rsidR="00536C14" w:rsidRDefault="00536C14" w:rsidP="00536C14">
      <w:pPr>
        <w:rPr>
          <w:rFonts w:ascii="Arial" w:hAnsi="Arial" w:cs="Arial"/>
        </w:rPr>
      </w:pPr>
    </w:p>
    <w:p w14:paraId="581FE9C7" w14:textId="31B47C33" w:rsidR="00EB2054" w:rsidRDefault="00EB2054" w:rsidP="00536C14">
      <w:pPr>
        <w:rPr>
          <w:rFonts w:ascii="Arial" w:hAnsi="Arial" w:cs="Arial"/>
        </w:rPr>
      </w:pPr>
      <w:r>
        <w:rPr>
          <w:rFonts w:ascii="Arial" w:hAnsi="Arial" w:cs="Arial"/>
        </w:rPr>
        <w:t xml:space="preserve">Rodgers, </w:t>
      </w:r>
      <w:r w:rsidR="00E54164">
        <w:rPr>
          <w:rFonts w:ascii="Arial" w:hAnsi="Arial" w:cs="Arial"/>
        </w:rPr>
        <w:t>A</w:t>
      </w:r>
      <w:r>
        <w:rPr>
          <w:rFonts w:ascii="Arial" w:hAnsi="Arial" w:cs="Arial"/>
        </w:rPr>
        <w:t xml:space="preserve"> and Horrocks</w:t>
      </w:r>
      <w:r w:rsidR="00E54164">
        <w:rPr>
          <w:rFonts w:ascii="Arial" w:hAnsi="Arial" w:cs="Arial"/>
        </w:rPr>
        <w:t>, M</w:t>
      </w:r>
      <w:r>
        <w:rPr>
          <w:rFonts w:ascii="Arial" w:hAnsi="Arial" w:cs="Arial"/>
        </w:rPr>
        <w:t>. (</w:t>
      </w:r>
      <w:r w:rsidR="00E54164">
        <w:rPr>
          <w:rFonts w:ascii="Arial" w:hAnsi="Arial" w:cs="Arial"/>
        </w:rPr>
        <w:t>2010</w:t>
      </w:r>
      <w:r>
        <w:rPr>
          <w:rFonts w:ascii="Arial" w:hAnsi="Arial" w:cs="Arial"/>
        </w:rPr>
        <w:t xml:space="preserve">) </w:t>
      </w:r>
      <w:r w:rsidRPr="00E54164">
        <w:rPr>
          <w:rFonts w:ascii="Arial" w:hAnsi="Arial" w:cs="Arial"/>
          <w:i/>
        </w:rPr>
        <w:t>Adult Learning</w:t>
      </w:r>
      <w:r>
        <w:rPr>
          <w:rFonts w:ascii="Arial" w:hAnsi="Arial" w:cs="Arial"/>
        </w:rPr>
        <w:t xml:space="preserve">. </w:t>
      </w:r>
      <w:r w:rsidR="00E54164">
        <w:rPr>
          <w:rFonts w:ascii="Arial" w:hAnsi="Arial" w:cs="Arial"/>
        </w:rPr>
        <w:t>England: Open University Press.</w:t>
      </w:r>
    </w:p>
    <w:p w14:paraId="5B586F40" w14:textId="77777777" w:rsidR="00EB2054" w:rsidRPr="00505F0A" w:rsidRDefault="00EB2054" w:rsidP="00536C14">
      <w:pPr>
        <w:rPr>
          <w:rFonts w:ascii="Arial" w:hAnsi="Arial" w:cs="Arial"/>
        </w:rPr>
      </w:pPr>
    </w:p>
    <w:p w14:paraId="25517B32" w14:textId="77777777" w:rsidR="00536C14" w:rsidRPr="00505F0A" w:rsidRDefault="00536C14" w:rsidP="00536C14">
      <w:pPr>
        <w:rPr>
          <w:rFonts w:ascii="Arial" w:hAnsi="Arial" w:cs="Arial"/>
        </w:rPr>
      </w:pPr>
      <w:r w:rsidRPr="00505F0A">
        <w:rPr>
          <w:rFonts w:ascii="Arial" w:hAnsi="Arial" w:cs="Arial"/>
        </w:rPr>
        <w:t xml:space="preserve">Sambell, K., McDowell, L. and Montgomery, C. (2013) </w:t>
      </w:r>
      <w:r w:rsidRPr="00505F0A">
        <w:rPr>
          <w:rFonts w:ascii="Arial" w:hAnsi="Arial" w:cs="Arial"/>
          <w:i/>
        </w:rPr>
        <w:t>Assessment for Learning in Higher Education</w:t>
      </w:r>
      <w:r w:rsidRPr="00505F0A">
        <w:rPr>
          <w:rFonts w:ascii="Arial" w:hAnsi="Arial" w:cs="Arial"/>
        </w:rPr>
        <w:t xml:space="preserve">. Oxon: Routledge. </w:t>
      </w:r>
    </w:p>
    <w:p w14:paraId="41EFE895" w14:textId="77777777" w:rsidR="00536C14" w:rsidRDefault="00536C14" w:rsidP="00536C14">
      <w:pPr>
        <w:rPr>
          <w:rFonts w:ascii="Arial" w:hAnsi="Arial" w:cs="Arial"/>
        </w:rPr>
      </w:pPr>
    </w:p>
    <w:p w14:paraId="740D6EA4" w14:textId="23FA8B23" w:rsidR="00E54164" w:rsidRDefault="00E54164" w:rsidP="00536C14">
      <w:pPr>
        <w:rPr>
          <w:rFonts w:ascii="Arial" w:hAnsi="Arial" w:cs="Arial"/>
        </w:rPr>
      </w:pPr>
      <w:r>
        <w:rPr>
          <w:rFonts w:ascii="Arial" w:hAnsi="Arial" w:cs="Arial"/>
        </w:rPr>
        <w:t xml:space="preserve">Schnackenberg, L, H. and Johnson, C. (eds.) (2019) </w:t>
      </w:r>
      <w:r w:rsidRPr="00E54164">
        <w:rPr>
          <w:rFonts w:ascii="Arial" w:hAnsi="Arial" w:cs="Arial"/>
          <w:i/>
        </w:rPr>
        <w:t>Preparing the Higher Education Space for Gen Z</w:t>
      </w:r>
      <w:r>
        <w:rPr>
          <w:rFonts w:ascii="Arial" w:hAnsi="Arial" w:cs="Arial"/>
        </w:rPr>
        <w:t>. USA: IGI Global.</w:t>
      </w:r>
    </w:p>
    <w:p w14:paraId="2D74FE67" w14:textId="77777777" w:rsidR="002E2528" w:rsidRDefault="002E2528" w:rsidP="00536C14">
      <w:pPr>
        <w:rPr>
          <w:rFonts w:ascii="Arial" w:hAnsi="Arial" w:cs="Arial"/>
        </w:rPr>
      </w:pPr>
    </w:p>
    <w:p w14:paraId="11BF6CE7" w14:textId="3EB72B9C" w:rsidR="002E2528" w:rsidRDefault="002E2528" w:rsidP="00536C14">
      <w:pPr>
        <w:rPr>
          <w:rFonts w:ascii="Arial" w:hAnsi="Arial" w:cs="Arial"/>
        </w:rPr>
      </w:pPr>
      <w:r>
        <w:rPr>
          <w:rFonts w:ascii="Arial" w:hAnsi="Arial" w:cs="Arial"/>
        </w:rPr>
        <w:t xml:space="preserve">UWTSD. (2019) </w:t>
      </w:r>
      <w:r w:rsidRPr="002E2528">
        <w:rPr>
          <w:rFonts w:ascii="Arial" w:hAnsi="Arial" w:cs="Arial"/>
          <w:i/>
        </w:rPr>
        <w:t>PGCE/PCE in Post Compulsory Education and Training (PCET).</w:t>
      </w:r>
      <w:r>
        <w:rPr>
          <w:rFonts w:ascii="Arial" w:hAnsi="Arial" w:cs="Arial"/>
        </w:rPr>
        <w:t xml:space="preserve"> </w:t>
      </w:r>
      <w:hyperlink r:id="rId9" w:history="1">
        <w:r w:rsidRPr="0071037C">
          <w:rPr>
            <w:rStyle w:val="Hyperlink"/>
            <w:rFonts w:ascii="Arial" w:hAnsi="Arial" w:cs="Arial"/>
          </w:rPr>
          <w:t>https://www.uwtsd.ac.uk/pce-post-compulsory-eductaion-training/</w:t>
        </w:r>
      </w:hyperlink>
      <w:r>
        <w:rPr>
          <w:rFonts w:ascii="Arial" w:hAnsi="Arial" w:cs="Arial"/>
        </w:rPr>
        <w:t xml:space="preserve"> (Accessed: 26 May 2019).</w:t>
      </w:r>
    </w:p>
    <w:p w14:paraId="77C18A52" w14:textId="77777777" w:rsidR="002E2528" w:rsidRPr="00505F0A" w:rsidRDefault="002E2528" w:rsidP="00536C14">
      <w:pPr>
        <w:rPr>
          <w:rFonts w:ascii="Arial" w:hAnsi="Arial" w:cs="Arial"/>
        </w:rPr>
      </w:pPr>
    </w:p>
    <w:p w14:paraId="2BBA778B" w14:textId="77777777" w:rsidR="00536C14" w:rsidRPr="00505F0A" w:rsidRDefault="00536C14" w:rsidP="00536C14">
      <w:pPr>
        <w:rPr>
          <w:rFonts w:ascii="Arial" w:hAnsi="Arial" w:cs="Arial"/>
        </w:rPr>
      </w:pPr>
      <w:r w:rsidRPr="00505F0A">
        <w:rPr>
          <w:rFonts w:ascii="Arial" w:hAnsi="Arial" w:cs="Arial"/>
        </w:rPr>
        <w:t xml:space="preserve">UK Professional Standards Framework. (2011) </w:t>
      </w:r>
      <w:hyperlink r:id="rId10" w:history="1">
        <w:r w:rsidRPr="00505F0A">
          <w:rPr>
            <w:rStyle w:val="Hyperlink"/>
            <w:rFonts w:ascii="Arial" w:hAnsi="Arial" w:cs="Arial"/>
          </w:rPr>
          <w:t>https://www.heacademy.ac.uk/ukpsf</w:t>
        </w:r>
      </w:hyperlink>
      <w:r w:rsidRPr="00505F0A">
        <w:rPr>
          <w:rFonts w:ascii="Arial" w:hAnsi="Arial" w:cs="Arial"/>
        </w:rPr>
        <w:t xml:space="preserve"> (Accessed: 13 May 2019).</w:t>
      </w:r>
    </w:p>
    <w:p w14:paraId="5C74D0AA" w14:textId="00186375" w:rsidR="009E5689" w:rsidRPr="009E5689" w:rsidRDefault="009E5689" w:rsidP="009E5689">
      <w:pPr>
        <w:pStyle w:val="NormalWeb"/>
        <w:rPr>
          <w:rFonts w:ascii="Arial" w:hAnsi="Arial" w:cs="Arial"/>
          <w:sz w:val="24"/>
          <w:szCs w:val="24"/>
        </w:rPr>
      </w:pPr>
      <w:r w:rsidRPr="009E5689">
        <w:rPr>
          <w:rFonts w:ascii="Arial" w:hAnsi="Arial" w:cs="Arial"/>
          <w:sz w:val="24"/>
          <w:szCs w:val="24"/>
        </w:rPr>
        <w:t xml:space="preserve">Weingarten, P, H. (2018) </w:t>
      </w:r>
      <w:r w:rsidRPr="009E5689">
        <w:rPr>
          <w:rFonts w:ascii="Arial" w:hAnsi="Arial" w:cs="Arial"/>
          <w:i/>
          <w:sz w:val="24"/>
          <w:szCs w:val="24"/>
        </w:rPr>
        <w:t>Maximising the Contribution of the Post-Compulsory Education and Training System to the Achievement of Welsh National Goals.</w:t>
      </w:r>
      <w:r w:rsidRPr="009E5689">
        <w:rPr>
          <w:rFonts w:ascii="Arial" w:hAnsi="Arial" w:cs="Arial"/>
          <w:sz w:val="24"/>
          <w:szCs w:val="24"/>
        </w:rPr>
        <w:t xml:space="preserve"> </w:t>
      </w:r>
      <w:hyperlink r:id="rId11" w:history="1">
        <w:r w:rsidRPr="009E5689">
          <w:rPr>
            <w:rStyle w:val="Hyperlink"/>
            <w:rFonts w:ascii="Arial" w:hAnsi="Arial" w:cs="Arial"/>
            <w:sz w:val="24"/>
            <w:szCs w:val="24"/>
          </w:rPr>
          <w:t>https://gov.wales/sites/defaults/files/publications/2018-09/maximising-the-contribution-of-the-post-compulsory-education-and-training-system-to-the-achievement-of-welsh-national-goals.pdf</w:t>
        </w:r>
      </w:hyperlink>
      <w:r w:rsidRPr="009E5689">
        <w:rPr>
          <w:rFonts w:ascii="Arial" w:hAnsi="Arial" w:cs="Arial"/>
          <w:sz w:val="24"/>
          <w:szCs w:val="24"/>
        </w:rPr>
        <w:t xml:space="preserve"> (Accessed: 26 May 2019). </w:t>
      </w:r>
    </w:p>
    <w:p w14:paraId="5AC58F43" w14:textId="20B68428" w:rsidR="00C617F2" w:rsidRDefault="00C617F2" w:rsidP="00536C14">
      <w:pPr>
        <w:rPr>
          <w:rFonts w:ascii="Arial" w:hAnsi="Arial" w:cs="Arial"/>
        </w:rPr>
      </w:pPr>
      <w:r>
        <w:rPr>
          <w:rFonts w:ascii="Arial" w:hAnsi="Arial" w:cs="Arial"/>
        </w:rPr>
        <w:t xml:space="preserve">Welsh Government. (2017) </w:t>
      </w:r>
      <w:r w:rsidRPr="0028290E">
        <w:rPr>
          <w:rFonts w:ascii="Arial" w:hAnsi="Arial" w:cs="Arial"/>
          <w:i/>
        </w:rPr>
        <w:t>Adult Learning</w:t>
      </w:r>
      <w:r>
        <w:rPr>
          <w:rFonts w:ascii="Arial" w:hAnsi="Arial" w:cs="Arial"/>
        </w:rPr>
        <w:t xml:space="preserve">. </w:t>
      </w:r>
      <w:hyperlink r:id="rId12" w:history="1">
        <w:r w:rsidRPr="0071037C">
          <w:rPr>
            <w:rStyle w:val="Hyperlink"/>
            <w:rFonts w:ascii="Arial" w:hAnsi="Arial" w:cs="Arial"/>
          </w:rPr>
          <w:t>https://gweddill.gov.wales/docs/dcells/publications/170712-adult-learning-policy-statement-en.pdf</w:t>
        </w:r>
      </w:hyperlink>
      <w:r>
        <w:rPr>
          <w:rFonts w:ascii="Arial" w:hAnsi="Arial" w:cs="Arial"/>
        </w:rPr>
        <w:t xml:space="preserve"> (Accessed: 25 May 2019).</w:t>
      </w:r>
    </w:p>
    <w:p w14:paraId="3A258B98" w14:textId="77777777" w:rsidR="00821D1F" w:rsidRDefault="00821D1F">
      <w:pPr>
        <w:rPr>
          <w:rFonts w:ascii="Arial" w:hAnsi="Arial" w:cs="Arial"/>
        </w:rPr>
      </w:pPr>
    </w:p>
    <w:p w14:paraId="29FD8E8C" w14:textId="77777777" w:rsidR="00380D08" w:rsidRDefault="00380D08" w:rsidP="00F91E59">
      <w:pPr>
        <w:pStyle w:val="NormalWeb"/>
        <w:rPr>
          <w:rFonts w:ascii="TimesNewRomanPS" w:hAnsi="TimesNewRomanPS"/>
          <w:b/>
          <w:bCs/>
          <w:sz w:val="30"/>
          <w:szCs w:val="30"/>
        </w:rPr>
      </w:pPr>
    </w:p>
    <w:p w14:paraId="61292C50" w14:textId="77777777" w:rsidR="004F211E" w:rsidRDefault="004F211E" w:rsidP="004F211E">
      <w:pPr>
        <w:rPr>
          <w:rFonts w:ascii="Helvetica Neue" w:eastAsia="Times New Roman" w:hAnsi="Helvetica Neue" w:cs="Times New Roman"/>
          <w:color w:val="3A3A3A"/>
          <w:sz w:val="23"/>
          <w:szCs w:val="23"/>
          <w:shd w:val="clear" w:color="auto" w:fill="FFFFFF"/>
        </w:rPr>
      </w:pPr>
    </w:p>
    <w:p w14:paraId="0395D381" w14:textId="77777777" w:rsidR="004F211E" w:rsidRPr="004F211E" w:rsidRDefault="004F211E" w:rsidP="004F211E">
      <w:pPr>
        <w:rPr>
          <w:rFonts w:ascii="Times" w:eastAsia="Times New Roman" w:hAnsi="Times" w:cs="Times New Roman"/>
          <w:sz w:val="20"/>
          <w:szCs w:val="20"/>
        </w:rPr>
      </w:pPr>
    </w:p>
    <w:p w14:paraId="55443697" w14:textId="61390B31" w:rsidR="00DE315F" w:rsidRDefault="00DE315F">
      <w:pPr>
        <w:rPr>
          <w:rFonts w:ascii="Arial" w:hAnsi="Arial" w:cs="Arial"/>
        </w:rPr>
      </w:pPr>
    </w:p>
    <w:p w14:paraId="6C583204" w14:textId="77777777" w:rsidR="00DE315F" w:rsidRDefault="00DE315F">
      <w:pPr>
        <w:rPr>
          <w:rFonts w:ascii="Arial" w:hAnsi="Arial" w:cs="Arial"/>
        </w:rPr>
      </w:pPr>
    </w:p>
    <w:p w14:paraId="0E83A6F6" w14:textId="77777777" w:rsidR="00DE315F" w:rsidRDefault="00DE315F">
      <w:pPr>
        <w:rPr>
          <w:rFonts w:ascii="Arial" w:hAnsi="Arial" w:cs="Arial"/>
        </w:rPr>
      </w:pPr>
    </w:p>
    <w:p w14:paraId="6BA8E73C" w14:textId="77777777" w:rsidR="00DE315F" w:rsidRDefault="00DE315F">
      <w:pPr>
        <w:rPr>
          <w:rFonts w:ascii="Arial" w:hAnsi="Arial" w:cs="Arial"/>
        </w:rPr>
      </w:pPr>
    </w:p>
    <w:p w14:paraId="49BBC7A8" w14:textId="77777777" w:rsidR="00DE315F" w:rsidRDefault="00DE315F">
      <w:pPr>
        <w:rPr>
          <w:rFonts w:ascii="Arial" w:hAnsi="Arial" w:cs="Arial"/>
        </w:rPr>
      </w:pPr>
    </w:p>
    <w:p w14:paraId="43E7505F" w14:textId="77777777" w:rsidR="00DE315F" w:rsidRDefault="00DE315F">
      <w:pPr>
        <w:rPr>
          <w:rFonts w:ascii="Arial" w:hAnsi="Arial" w:cs="Arial"/>
        </w:rPr>
      </w:pPr>
    </w:p>
    <w:p w14:paraId="1C032C46" w14:textId="77777777" w:rsidR="00DE315F" w:rsidRDefault="00DE315F">
      <w:pPr>
        <w:rPr>
          <w:rFonts w:ascii="Arial" w:hAnsi="Arial" w:cs="Arial"/>
        </w:rPr>
      </w:pPr>
    </w:p>
    <w:p w14:paraId="40C63227" w14:textId="77777777" w:rsidR="00DE315F" w:rsidRDefault="00DE315F">
      <w:pPr>
        <w:rPr>
          <w:rFonts w:ascii="Arial" w:hAnsi="Arial" w:cs="Arial"/>
        </w:rPr>
      </w:pPr>
    </w:p>
    <w:p w14:paraId="0E7EC8E7" w14:textId="77777777" w:rsidR="00DE315F" w:rsidRDefault="00DE315F">
      <w:pPr>
        <w:rPr>
          <w:rFonts w:ascii="Arial" w:hAnsi="Arial" w:cs="Arial"/>
        </w:rPr>
      </w:pPr>
    </w:p>
    <w:p w14:paraId="30EE0B61" w14:textId="77777777" w:rsidR="00DE315F" w:rsidRDefault="00DE315F">
      <w:pPr>
        <w:rPr>
          <w:rFonts w:ascii="Arial" w:hAnsi="Arial" w:cs="Arial"/>
        </w:rPr>
      </w:pPr>
    </w:p>
    <w:p w14:paraId="37374A53" w14:textId="77777777" w:rsidR="00DE315F" w:rsidRDefault="00DE315F">
      <w:pPr>
        <w:rPr>
          <w:rFonts w:ascii="Arial" w:hAnsi="Arial" w:cs="Arial"/>
        </w:rPr>
      </w:pPr>
    </w:p>
    <w:p w14:paraId="5F2B33EF" w14:textId="77777777" w:rsidR="00DE315F" w:rsidRDefault="00DE315F">
      <w:pPr>
        <w:rPr>
          <w:rFonts w:ascii="Arial" w:hAnsi="Arial" w:cs="Arial"/>
        </w:rPr>
      </w:pPr>
    </w:p>
    <w:p w14:paraId="1774333D" w14:textId="77777777" w:rsidR="00DE315F" w:rsidRDefault="00DE315F">
      <w:pPr>
        <w:rPr>
          <w:rFonts w:ascii="Arial" w:hAnsi="Arial" w:cs="Arial"/>
        </w:rPr>
      </w:pPr>
    </w:p>
    <w:p w14:paraId="5FDE75B6" w14:textId="77777777" w:rsidR="00DE315F" w:rsidRDefault="00DE315F">
      <w:pPr>
        <w:rPr>
          <w:rFonts w:ascii="Arial" w:hAnsi="Arial" w:cs="Arial"/>
        </w:rPr>
      </w:pPr>
    </w:p>
    <w:p w14:paraId="7456BD0D" w14:textId="77777777" w:rsidR="00DE315F" w:rsidRDefault="00DE315F">
      <w:pPr>
        <w:rPr>
          <w:rFonts w:ascii="Arial" w:hAnsi="Arial" w:cs="Arial"/>
        </w:rPr>
      </w:pPr>
    </w:p>
    <w:p w14:paraId="3E9F982E" w14:textId="77777777" w:rsidR="00DE315F" w:rsidRDefault="00DE315F">
      <w:pPr>
        <w:rPr>
          <w:rFonts w:ascii="Arial" w:hAnsi="Arial" w:cs="Arial"/>
        </w:rPr>
      </w:pPr>
    </w:p>
    <w:p w14:paraId="0B9DEB50" w14:textId="77777777" w:rsidR="00DE315F" w:rsidRDefault="00DE315F">
      <w:pPr>
        <w:rPr>
          <w:rFonts w:ascii="Arial" w:hAnsi="Arial" w:cs="Arial"/>
        </w:rPr>
      </w:pPr>
    </w:p>
    <w:p w14:paraId="4459244B" w14:textId="77777777" w:rsidR="00DE315F" w:rsidRDefault="00DE315F">
      <w:pPr>
        <w:rPr>
          <w:rFonts w:ascii="Arial" w:hAnsi="Arial" w:cs="Arial"/>
        </w:rPr>
      </w:pPr>
    </w:p>
    <w:p w14:paraId="2AD22EFC" w14:textId="77777777" w:rsidR="00DE315F" w:rsidRDefault="00DE315F">
      <w:pPr>
        <w:rPr>
          <w:rFonts w:ascii="Arial" w:hAnsi="Arial" w:cs="Arial"/>
        </w:rPr>
      </w:pPr>
    </w:p>
    <w:p w14:paraId="5C6135F0" w14:textId="77777777" w:rsidR="00DE315F" w:rsidRDefault="00DE315F">
      <w:pPr>
        <w:rPr>
          <w:rFonts w:ascii="Arial" w:hAnsi="Arial" w:cs="Arial"/>
        </w:rPr>
      </w:pPr>
    </w:p>
    <w:p w14:paraId="3C8C95CE" w14:textId="77777777" w:rsidR="00802730" w:rsidRDefault="00802730" w:rsidP="000C7C80">
      <w:pPr>
        <w:jc w:val="right"/>
        <w:rPr>
          <w:rFonts w:ascii="Arial" w:hAnsi="Arial" w:cs="Arial"/>
        </w:rPr>
      </w:pPr>
    </w:p>
    <w:p w14:paraId="785BD853" w14:textId="77777777" w:rsidR="00802730" w:rsidRDefault="00802730" w:rsidP="000C7C80">
      <w:pPr>
        <w:jc w:val="right"/>
        <w:rPr>
          <w:rFonts w:ascii="Arial" w:hAnsi="Arial" w:cs="Arial"/>
        </w:rPr>
      </w:pPr>
    </w:p>
    <w:p w14:paraId="7686D5D8" w14:textId="77777777" w:rsidR="00802730" w:rsidRDefault="00802730" w:rsidP="000C7C80">
      <w:pPr>
        <w:jc w:val="right"/>
        <w:rPr>
          <w:rFonts w:ascii="Arial" w:hAnsi="Arial" w:cs="Arial"/>
        </w:rPr>
      </w:pPr>
    </w:p>
    <w:p w14:paraId="2DC6BCAD" w14:textId="77777777" w:rsidR="00802730" w:rsidRDefault="00802730" w:rsidP="000C7C80">
      <w:pPr>
        <w:jc w:val="right"/>
        <w:rPr>
          <w:rFonts w:ascii="Arial" w:hAnsi="Arial" w:cs="Arial"/>
        </w:rPr>
      </w:pPr>
    </w:p>
    <w:p w14:paraId="3C410068" w14:textId="77777777" w:rsidR="00802730" w:rsidRDefault="00802730" w:rsidP="000C7C80">
      <w:pPr>
        <w:jc w:val="right"/>
        <w:rPr>
          <w:rFonts w:ascii="Arial" w:hAnsi="Arial" w:cs="Arial"/>
        </w:rPr>
      </w:pPr>
    </w:p>
    <w:p w14:paraId="24B95B2B" w14:textId="77777777" w:rsidR="00802730" w:rsidRDefault="00802730" w:rsidP="000C7C80">
      <w:pPr>
        <w:jc w:val="right"/>
        <w:rPr>
          <w:rFonts w:ascii="Arial" w:hAnsi="Arial" w:cs="Arial"/>
        </w:rPr>
      </w:pPr>
    </w:p>
    <w:p w14:paraId="75EB3BBD" w14:textId="77777777" w:rsidR="00802730" w:rsidRDefault="00802730" w:rsidP="000C7C80">
      <w:pPr>
        <w:jc w:val="right"/>
        <w:rPr>
          <w:rFonts w:ascii="Arial" w:hAnsi="Arial" w:cs="Arial"/>
        </w:rPr>
      </w:pPr>
    </w:p>
    <w:p w14:paraId="5C5FA790" w14:textId="77777777" w:rsidR="00802730" w:rsidRDefault="00802730" w:rsidP="000C7C80">
      <w:pPr>
        <w:jc w:val="right"/>
        <w:rPr>
          <w:rFonts w:ascii="Arial" w:hAnsi="Arial" w:cs="Arial"/>
        </w:rPr>
      </w:pPr>
    </w:p>
    <w:p w14:paraId="5CAC1A59" w14:textId="77777777" w:rsidR="00802730" w:rsidRDefault="00802730" w:rsidP="000C7C80">
      <w:pPr>
        <w:jc w:val="right"/>
        <w:rPr>
          <w:rFonts w:ascii="Arial" w:hAnsi="Arial" w:cs="Arial"/>
        </w:rPr>
      </w:pPr>
    </w:p>
    <w:p w14:paraId="517BBCC5" w14:textId="77777777" w:rsidR="00802730" w:rsidRDefault="00802730" w:rsidP="000C7C80">
      <w:pPr>
        <w:jc w:val="right"/>
        <w:rPr>
          <w:rFonts w:ascii="Arial" w:hAnsi="Arial" w:cs="Arial"/>
        </w:rPr>
      </w:pPr>
    </w:p>
    <w:p w14:paraId="1305B5C0" w14:textId="77777777" w:rsidR="00802730" w:rsidRDefault="00802730" w:rsidP="000C7C80">
      <w:pPr>
        <w:jc w:val="right"/>
        <w:rPr>
          <w:rFonts w:ascii="Arial" w:hAnsi="Arial" w:cs="Arial"/>
        </w:rPr>
      </w:pPr>
    </w:p>
    <w:p w14:paraId="5D1A349B" w14:textId="77777777" w:rsidR="00802730" w:rsidRDefault="00802730" w:rsidP="000C7C80">
      <w:pPr>
        <w:jc w:val="right"/>
        <w:rPr>
          <w:rFonts w:ascii="Arial" w:hAnsi="Arial" w:cs="Arial"/>
        </w:rPr>
      </w:pPr>
    </w:p>
    <w:p w14:paraId="5160FE71" w14:textId="77777777" w:rsidR="00802730" w:rsidRDefault="00802730" w:rsidP="000C7C80">
      <w:pPr>
        <w:jc w:val="right"/>
        <w:rPr>
          <w:rFonts w:ascii="Arial" w:hAnsi="Arial" w:cs="Arial"/>
        </w:rPr>
      </w:pPr>
    </w:p>
    <w:p w14:paraId="110E109E" w14:textId="77777777" w:rsidR="00802730" w:rsidRDefault="00802730" w:rsidP="000C7C80">
      <w:pPr>
        <w:jc w:val="right"/>
        <w:rPr>
          <w:rFonts w:ascii="Arial" w:hAnsi="Arial" w:cs="Arial"/>
        </w:rPr>
      </w:pPr>
    </w:p>
    <w:p w14:paraId="63A02F86" w14:textId="77777777" w:rsidR="00802730" w:rsidRDefault="00802730" w:rsidP="000C7C80">
      <w:pPr>
        <w:jc w:val="right"/>
        <w:rPr>
          <w:rFonts w:ascii="Arial" w:hAnsi="Arial" w:cs="Arial"/>
        </w:rPr>
      </w:pPr>
    </w:p>
    <w:p w14:paraId="134C1561" w14:textId="77777777" w:rsidR="00802730" w:rsidRDefault="00802730" w:rsidP="000C7C80">
      <w:pPr>
        <w:jc w:val="right"/>
        <w:rPr>
          <w:rFonts w:ascii="Arial" w:hAnsi="Arial" w:cs="Arial"/>
        </w:rPr>
      </w:pPr>
    </w:p>
    <w:p w14:paraId="185F2177" w14:textId="0A17D9AD" w:rsidR="00DE315F" w:rsidRDefault="000C7C80" w:rsidP="000C7C80">
      <w:pPr>
        <w:jc w:val="right"/>
        <w:rPr>
          <w:rFonts w:ascii="Arial" w:hAnsi="Arial" w:cs="Arial"/>
        </w:rPr>
      </w:pPr>
      <w:r>
        <w:rPr>
          <w:rFonts w:ascii="Arial" w:hAnsi="Arial" w:cs="Arial"/>
        </w:rPr>
        <w:t>Appendix A</w:t>
      </w:r>
    </w:p>
    <w:p w14:paraId="14938D94" w14:textId="77777777" w:rsidR="00DE315F" w:rsidRDefault="00DE315F">
      <w:pPr>
        <w:rPr>
          <w:rFonts w:ascii="Arial" w:hAnsi="Arial" w:cs="Arial"/>
        </w:rPr>
      </w:pPr>
    </w:p>
    <w:p w14:paraId="7BAB14D8" w14:textId="77777777" w:rsidR="00DE315F" w:rsidRDefault="00DE315F">
      <w:pPr>
        <w:rPr>
          <w:rFonts w:ascii="Arial" w:hAnsi="Arial" w:cs="Arial"/>
        </w:rPr>
      </w:pPr>
    </w:p>
    <w:p w14:paraId="6D4B9781" w14:textId="77777777" w:rsidR="00DE315F" w:rsidRDefault="00DE315F">
      <w:pPr>
        <w:rPr>
          <w:rFonts w:ascii="Arial" w:hAnsi="Arial" w:cs="Arial"/>
        </w:rPr>
      </w:pPr>
    </w:p>
    <w:p w14:paraId="08002594" w14:textId="77777777" w:rsidR="00DE315F" w:rsidRDefault="00DE315F">
      <w:pPr>
        <w:rPr>
          <w:rFonts w:ascii="Arial" w:hAnsi="Arial" w:cs="Arial"/>
        </w:rPr>
      </w:pPr>
    </w:p>
    <w:p w14:paraId="08AE6008" w14:textId="77777777" w:rsidR="00DE315F" w:rsidRDefault="00DE315F">
      <w:pPr>
        <w:rPr>
          <w:rFonts w:ascii="Arial" w:hAnsi="Arial" w:cs="Arial"/>
        </w:rPr>
      </w:pPr>
    </w:p>
    <w:p w14:paraId="24A6CE67" w14:textId="4AEE5713" w:rsidR="00DE315F" w:rsidRDefault="00DE315F">
      <w:pPr>
        <w:rPr>
          <w:rFonts w:ascii="Arial" w:hAnsi="Arial" w:cs="Arial"/>
        </w:rPr>
      </w:pPr>
    </w:p>
    <w:p w14:paraId="216F829A" w14:textId="10922436" w:rsidR="00DE315F" w:rsidRDefault="009E5689" w:rsidP="00DE315F">
      <w:pPr>
        <w:rPr>
          <w:rFonts w:ascii="Arial" w:hAnsi="Arial" w:cs="Arial"/>
        </w:rPr>
      </w:pPr>
      <w:r>
        <w:rPr>
          <w:rFonts w:ascii="Helvetica" w:hAnsi="Helvetica" w:cs="Helvetica"/>
          <w:noProof/>
          <w:lang w:val="en-US"/>
        </w:rPr>
        <w:drawing>
          <wp:inline distT="0" distB="0" distL="0" distR="0" wp14:anchorId="5183DAAC" wp14:editId="4A68D505">
            <wp:extent cx="5173345" cy="5935345"/>
            <wp:effectExtent l="0" t="0" r="825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3345" cy="5935345"/>
                    </a:xfrm>
                    <a:prstGeom prst="rect">
                      <a:avLst/>
                    </a:prstGeom>
                    <a:noFill/>
                    <a:ln>
                      <a:noFill/>
                    </a:ln>
                  </pic:spPr>
                </pic:pic>
              </a:graphicData>
            </a:graphic>
          </wp:inline>
        </w:drawing>
      </w:r>
    </w:p>
    <w:p w14:paraId="6101DA54" w14:textId="77777777" w:rsidR="009E5689" w:rsidRDefault="009E5689" w:rsidP="00DE315F">
      <w:pPr>
        <w:rPr>
          <w:rFonts w:ascii="Arial" w:hAnsi="Arial" w:cs="Arial"/>
        </w:rPr>
      </w:pPr>
    </w:p>
    <w:p w14:paraId="1F21BB4F" w14:textId="77777777" w:rsidR="009E5689" w:rsidRDefault="009E5689" w:rsidP="00DE315F">
      <w:pPr>
        <w:rPr>
          <w:rFonts w:ascii="Arial" w:hAnsi="Arial" w:cs="Arial"/>
        </w:rPr>
      </w:pPr>
    </w:p>
    <w:p w14:paraId="6C1B83AA" w14:textId="77777777" w:rsidR="009E5689" w:rsidRDefault="009E5689" w:rsidP="00DE315F">
      <w:pPr>
        <w:rPr>
          <w:rFonts w:ascii="Arial" w:hAnsi="Arial" w:cs="Arial"/>
        </w:rPr>
      </w:pPr>
    </w:p>
    <w:p w14:paraId="7696F2E9" w14:textId="77777777" w:rsidR="009E5689" w:rsidRDefault="009E5689" w:rsidP="00DE315F">
      <w:pPr>
        <w:rPr>
          <w:rFonts w:ascii="Arial" w:hAnsi="Arial" w:cs="Arial"/>
        </w:rPr>
      </w:pPr>
    </w:p>
    <w:p w14:paraId="17F1D30D" w14:textId="77777777" w:rsidR="009E5689" w:rsidRDefault="009E5689" w:rsidP="00DE315F">
      <w:pPr>
        <w:rPr>
          <w:rFonts w:ascii="Arial" w:hAnsi="Arial" w:cs="Arial"/>
        </w:rPr>
      </w:pPr>
    </w:p>
    <w:p w14:paraId="34FB3F43" w14:textId="77777777" w:rsidR="009E5689" w:rsidRPr="009E5689" w:rsidRDefault="009E5689" w:rsidP="000C7C80">
      <w:pPr>
        <w:jc w:val="right"/>
        <w:rPr>
          <w:rFonts w:ascii="Arial" w:hAnsi="Arial" w:cs="Arial"/>
        </w:rPr>
      </w:pPr>
      <w:r>
        <w:rPr>
          <w:rFonts w:ascii="Arial" w:hAnsi="Arial" w:cs="Arial"/>
        </w:rPr>
        <w:t xml:space="preserve">Google Image. (2019) </w:t>
      </w:r>
      <w:hyperlink r:id="rId14" w:history="1">
        <w:r w:rsidRPr="0071037C">
          <w:rPr>
            <w:rStyle w:val="Hyperlink"/>
            <w:rFonts w:ascii="Arial" w:hAnsi="Arial" w:cs="Arial"/>
          </w:rPr>
          <w:t>https://www.google.co.uk</w:t>
        </w:r>
      </w:hyperlink>
      <w:r>
        <w:rPr>
          <w:rFonts w:ascii="Arial" w:hAnsi="Arial" w:cs="Arial"/>
        </w:rPr>
        <w:t xml:space="preserve"> </w:t>
      </w:r>
    </w:p>
    <w:p w14:paraId="2215EF84" w14:textId="77777777" w:rsidR="009E5689" w:rsidRDefault="009E5689" w:rsidP="00DE315F">
      <w:pPr>
        <w:rPr>
          <w:rFonts w:ascii="Arial" w:hAnsi="Arial" w:cs="Arial"/>
        </w:rPr>
      </w:pPr>
    </w:p>
    <w:p w14:paraId="3E9260A3" w14:textId="77777777" w:rsidR="009E5689" w:rsidRPr="00DE315F" w:rsidRDefault="009E5689" w:rsidP="00DE315F">
      <w:pPr>
        <w:rPr>
          <w:rFonts w:ascii="Arial" w:hAnsi="Arial" w:cs="Arial"/>
        </w:rPr>
      </w:pPr>
    </w:p>
    <w:p w14:paraId="7ADD5BDB" w14:textId="77777777" w:rsidR="00DE315F" w:rsidRPr="00DE315F" w:rsidRDefault="00DE315F" w:rsidP="00DE315F">
      <w:pPr>
        <w:rPr>
          <w:rFonts w:ascii="Arial" w:hAnsi="Arial" w:cs="Arial"/>
        </w:rPr>
      </w:pPr>
    </w:p>
    <w:p w14:paraId="12011CE2" w14:textId="50066FEE" w:rsidR="00DE315F" w:rsidRPr="00DE315F" w:rsidRDefault="000C7C80" w:rsidP="000C7C80">
      <w:pPr>
        <w:jc w:val="right"/>
        <w:rPr>
          <w:rFonts w:ascii="Arial" w:hAnsi="Arial" w:cs="Arial"/>
        </w:rPr>
      </w:pPr>
      <w:r>
        <w:rPr>
          <w:rFonts w:ascii="Arial" w:hAnsi="Arial" w:cs="Arial"/>
        </w:rPr>
        <w:t>Appendix B</w:t>
      </w:r>
    </w:p>
    <w:p w14:paraId="3BDF96CB" w14:textId="77777777" w:rsidR="00DE315F" w:rsidRPr="00DE315F" w:rsidRDefault="00DE315F" w:rsidP="00DE315F">
      <w:pPr>
        <w:rPr>
          <w:rFonts w:ascii="Arial" w:hAnsi="Arial" w:cs="Arial"/>
        </w:rPr>
      </w:pPr>
    </w:p>
    <w:p w14:paraId="370E49CB" w14:textId="6B315C5E" w:rsidR="00DE315F" w:rsidRDefault="009E5689" w:rsidP="00DE315F">
      <w:pPr>
        <w:rPr>
          <w:rFonts w:ascii="Arial" w:hAnsi="Arial" w:cs="Arial"/>
        </w:rPr>
      </w:pPr>
      <w:r>
        <w:rPr>
          <w:rFonts w:ascii="Helvetica" w:hAnsi="Helvetica" w:cs="Helvetica"/>
          <w:noProof/>
          <w:lang w:val="en-US"/>
        </w:rPr>
        <w:drawing>
          <wp:inline distT="0" distB="0" distL="0" distR="0" wp14:anchorId="3C570551" wp14:editId="6F632E26">
            <wp:extent cx="5727700" cy="43005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4300532"/>
                    </a:xfrm>
                    <a:prstGeom prst="rect">
                      <a:avLst/>
                    </a:prstGeom>
                    <a:noFill/>
                    <a:ln>
                      <a:noFill/>
                    </a:ln>
                  </pic:spPr>
                </pic:pic>
              </a:graphicData>
            </a:graphic>
          </wp:inline>
        </w:drawing>
      </w:r>
    </w:p>
    <w:p w14:paraId="63E2C8FB" w14:textId="32C1072B" w:rsidR="009E5689" w:rsidRDefault="00DE315F" w:rsidP="00DE315F">
      <w:pPr>
        <w:tabs>
          <w:tab w:val="left" w:pos="1107"/>
        </w:tabs>
        <w:rPr>
          <w:rFonts w:ascii="Arial" w:hAnsi="Arial" w:cs="Arial"/>
        </w:rPr>
      </w:pPr>
      <w:r>
        <w:rPr>
          <w:rFonts w:ascii="Arial" w:hAnsi="Arial" w:cs="Arial"/>
        </w:rPr>
        <w:tab/>
      </w:r>
    </w:p>
    <w:p w14:paraId="3705B2BF" w14:textId="77777777" w:rsidR="009E5689" w:rsidRPr="009E5689" w:rsidRDefault="009E5689" w:rsidP="009E5689">
      <w:pPr>
        <w:rPr>
          <w:rFonts w:ascii="Arial" w:hAnsi="Arial" w:cs="Arial"/>
        </w:rPr>
      </w:pPr>
    </w:p>
    <w:p w14:paraId="52FD07E9" w14:textId="77777777" w:rsidR="009E5689" w:rsidRPr="009E5689" w:rsidRDefault="009E5689" w:rsidP="009E5689">
      <w:pPr>
        <w:rPr>
          <w:rFonts w:ascii="Arial" w:hAnsi="Arial" w:cs="Arial"/>
        </w:rPr>
      </w:pPr>
    </w:p>
    <w:p w14:paraId="445B4337" w14:textId="77777777" w:rsidR="009E5689" w:rsidRPr="009E5689" w:rsidRDefault="009E5689" w:rsidP="009E5689">
      <w:pPr>
        <w:rPr>
          <w:rFonts w:ascii="Arial" w:hAnsi="Arial" w:cs="Arial"/>
        </w:rPr>
      </w:pPr>
    </w:p>
    <w:p w14:paraId="1E132C4E" w14:textId="77777777" w:rsidR="009E5689" w:rsidRPr="009E5689" w:rsidRDefault="009E5689" w:rsidP="009E5689">
      <w:pPr>
        <w:rPr>
          <w:rFonts w:ascii="Arial" w:hAnsi="Arial" w:cs="Arial"/>
        </w:rPr>
      </w:pPr>
    </w:p>
    <w:p w14:paraId="2E14D444" w14:textId="77777777" w:rsidR="009E5689" w:rsidRPr="009E5689" w:rsidRDefault="009E5689" w:rsidP="009E5689">
      <w:pPr>
        <w:rPr>
          <w:rFonts w:ascii="Arial" w:hAnsi="Arial" w:cs="Arial"/>
        </w:rPr>
      </w:pPr>
    </w:p>
    <w:p w14:paraId="15C71F9B" w14:textId="77777777" w:rsidR="009E5689" w:rsidRPr="009E5689" w:rsidRDefault="009E5689" w:rsidP="009E5689">
      <w:pPr>
        <w:rPr>
          <w:rFonts w:ascii="Arial" w:hAnsi="Arial" w:cs="Arial"/>
        </w:rPr>
      </w:pPr>
    </w:p>
    <w:p w14:paraId="0B0D44C3" w14:textId="77777777" w:rsidR="009E5689" w:rsidRPr="009E5689" w:rsidRDefault="009E5689" w:rsidP="009E5689">
      <w:pPr>
        <w:rPr>
          <w:rFonts w:ascii="Arial" w:hAnsi="Arial" w:cs="Arial"/>
        </w:rPr>
      </w:pPr>
    </w:p>
    <w:p w14:paraId="65BDE352" w14:textId="77777777" w:rsidR="009E5689" w:rsidRPr="009E5689" w:rsidRDefault="009E5689" w:rsidP="009E5689">
      <w:pPr>
        <w:rPr>
          <w:rFonts w:ascii="Arial" w:hAnsi="Arial" w:cs="Arial"/>
        </w:rPr>
      </w:pPr>
    </w:p>
    <w:p w14:paraId="22C72EE1" w14:textId="77777777" w:rsidR="009E5689" w:rsidRPr="009E5689" w:rsidRDefault="009E5689" w:rsidP="009E5689">
      <w:pPr>
        <w:rPr>
          <w:rFonts w:ascii="Arial" w:hAnsi="Arial" w:cs="Arial"/>
        </w:rPr>
      </w:pPr>
    </w:p>
    <w:p w14:paraId="10601C4A" w14:textId="77777777" w:rsidR="009E5689" w:rsidRPr="009E5689" w:rsidRDefault="009E5689" w:rsidP="009E5689">
      <w:pPr>
        <w:rPr>
          <w:rFonts w:ascii="Arial" w:hAnsi="Arial" w:cs="Arial"/>
        </w:rPr>
      </w:pPr>
    </w:p>
    <w:p w14:paraId="2DC90583" w14:textId="77777777" w:rsidR="009E5689" w:rsidRPr="009E5689" w:rsidRDefault="009E5689" w:rsidP="009E5689">
      <w:pPr>
        <w:rPr>
          <w:rFonts w:ascii="Arial" w:hAnsi="Arial" w:cs="Arial"/>
        </w:rPr>
      </w:pPr>
    </w:p>
    <w:p w14:paraId="5AACD7EE" w14:textId="77777777" w:rsidR="009E5689" w:rsidRPr="009E5689" w:rsidRDefault="009E5689" w:rsidP="009E5689">
      <w:pPr>
        <w:rPr>
          <w:rFonts w:ascii="Arial" w:hAnsi="Arial" w:cs="Arial"/>
        </w:rPr>
      </w:pPr>
    </w:p>
    <w:p w14:paraId="674F8128" w14:textId="77777777" w:rsidR="009E5689" w:rsidRPr="009E5689" w:rsidRDefault="009E5689" w:rsidP="009E5689">
      <w:pPr>
        <w:rPr>
          <w:rFonts w:ascii="Arial" w:hAnsi="Arial" w:cs="Arial"/>
        </w:rPr>
      </w:pPr>
    </w:p>
    <w:p w14:paraId="4E86EE56" w14:textId="77777777" w:rsidR="009E5689" w:rsidRPr="009E5689" w:rsidRDefault="009E5689" w:rsidP="009E5689">
      <w:pPr>
        <w:rPr>
          <w:rFonts w:ascii="Arial" w:hAnsi="Arial" w:cs="Arial"/>
        </w:rPr>
      </w:pPr>
    </w:p>
    <w:p w14:paraId="323CDB1B" w14:textId="297227B2" w:rsidR="009E5689" w:rsidRDefault="009E5689" w:rsidP="009E5689">
      <w:pPr>
        <w:rPr>
          <w:rFonts w:ascii="Arial" w:hAnsi="Arial" w:cs="Arial"/>
        </w:rPr>
      </w:pPr>
    </w:p>
    <w:p w14:paraId="2200CC23" w14:textId="77777777" w:rsidR="000C7C80" w:rsidRDefault="000C7C80" w:rsidP="009E5689">
      <w:pPr>
        <w:jc w:val="center"/>
        <w:rPr>
          <w:rFonts w:ascii="Arial" w:hAnsi="Arial" w:cs="Arial"/>
        </w:rPr>
      </w:pPr>
    </w:p>
    <w:p w14:paraId="13A429EB" w14:textId="77777777" w:rsidR="000C7C80" w:rsidRDefault="000C7C80" w:rsidP="009E5689">
      <w:pPr>
        <w:jc w:val="center"/>
        <w:rPr>
          <w:rFonts w:ascii="Arial" w:hAnsi="Arial" w:cs="Arial"/>
        </w:rPr>
      </w:pPr>
    </w:p>
    <w:p w14:paraId="1BE8CFA0" w14:textId="77777777" w:rsidR="000C7C80" w:rsidRDefault="000C7C80" w:rsidP="009E5689">
      <w:pPr>
        <w:jc w:val="center"/>
        <w:rPr>
          <w:rFonts w:ascii="Arial" w:hAnsi="Arial" w:cs="Arial"/>
        </w:rPr>
      </w:pPr>
    </w:p>
    <w:p w14:paraId="4D71E9E4" w14:textId="77777777" w:rsidR="000C7C80" w:rsidRDefault="000C7C80" w:rsidP="009E5689">
      <w:pPr>
        <w:jc w:val="center"/>
        <w:rPr>
          <w:rFonts w:ascii="Arial" w:hAnsi="Arial" w:cs="Arial"/>
        </w:rPr>
      </w:pPr>
    </w:p>
    <w:p w14:paraId="2626B595" w14:textId="77777777" w:rsidR="000C7C80" w:rsidRDefault="000C7C80" w:rsidP="009E5689">
      <w:pPr>
        <w:jc w:val="center"/>
        <w:rPr>
          <w:rFonts w:ascii="Arial" w:hAnsi="Arial" w:cs="Arial"/>
        </w:rPr>
      </w:pPr>
    </w:p>
    <w:p w14:paraId="1B6991F6" w14:textId="1618CE61" w:rsidR="00DE315F" w:rsidRPr="009E5689" w:rsidRDefault="009E5689" w:rsidP="000C7C80">
      <w:pPr>
        <w:jc w:val="right"/>
        <w:rPr>
          <w:rFonts w:ascii="Arial" w:hAnsi="Arial" w:cs="Arial"/>
        </w:rPr>
      </w:pPr>
      <w:r>
        <w:rPr>
          <w:rFonts w:ascii="Arial" w:hAnsi="Arial" w:cs="Arial"/>
        </w:rPr>
        <w:t xml:space="preserve">Google Image. (2019) </w:t>
      </w:r>
      <w:hyperlink r:id="rId16" w:history="1">
        <w:r w:rsidRPr="0071037C">
          <w:rPr>
            <w:rStyle w:val="Hyperlink"/>
            <w:rFonts w:ascii="Arial" w:hAnsi="Arial" w:cs="Arial"/>
          </w:rPr>
          <w:t>https://www.google.co.uk</w:t>
        </w:r>
      </w:hyperlink>
      <w:r>
        <w:rPr>
          <w:rFonts w:ascii="Arial" w:hAnsi="Arial" w:cs="Arial"/>
        </w:rPr>
        <w:t xml:space="preserve"> </w:t>
      </w:r>
    </w:p>
    <w:sectPr w:rsidR="00DE315F" w:rsidRPr="009E5689" w:rsidSect="006C7FB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34A579" w14:textId="77777777" w:rsidR="00C07A00" w:rsidRDefault="00C07A00" w:rsidP="00AE691D">
      <w:r>
        <w:separator/>
      </w:r>
    </w:p>
  </w:endnote>
  <w:endnote w:type="continuationSeparator" w:id="0">
    <w:p w14:paraId="157AA58D" w14:textId="77777777" w:rsidR="00C07A00" w:rsidRDefault="00C07A00" w:rsidP="00AE69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NewRomanPS">
    <w:altName w:val="Times New Roman"/>
    <w:panose1 w:val="00000000000000000000"/>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F0C1FF" w14:textId="77777777" w:rsidR="00C07A00" w:rsidRDefault="00C07A00" w:rsidP="003E47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8AB5BE3" w14:textId="77777777" w:rsidR="00C07A00" w:rsidRDefault="00C07A00" w:rsidP="00AE691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43B8ED" w14:textId="77777777" w:rsidR="00C07A00" w:rsidRDefault="00C07A00" w:rsidP="003E47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A3A72">
      <w:rPr>
        <w:rStyle w:val="PageNumber"/>
        <w:noProof/>
      </w:rPr>
      <w:t>1</w:t>
    </w:r>
    <w:r>
      <w:rPr>
        <w:rStyle w:val="PageNumber"/>
      </w:rPr>
      <w:fldChar w:fldCharType="end"/>
    </w:r>
  </w:p>
  <w:p w14:paraId="3A686050" w14:textId="77777777" w:rsidR="00C07A00" w:rsidRDefault="00C07A00" w:rsidP="00AE691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8661E7" w14:textId="77777777" w:rsidR="00C07A00" w:rsidRDefault="00C07A00" w:rsidP="00AE691D">
      <w:r>
        <w:separator/>
      </w:r>
    </w:p>
  </w:footnote>
  <w:footnote w:type="continuationSeparator" w:id="0">
    <w:p w14:paraId="0E33FD88" w14:textId="77777777" w:rsidR="00C07A00" w:rsidRDefault="00C07A00" w:rsidP="00AE691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1B3F59"/>
    <w:multiLevelType w:val="hybridMultilevel"/>
    <w:tmpl w:val="0C462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4C44BC"/>
    <w:multiLevelType w:val="hybridMultilevel"/>
    <w:tmpl w:val="25442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7FB6"/>
    <w:rsid w:val="000033A9"/>
    <w:rsid w:val="00012915"/>
    <w:rsid w:val="00027D58"/>
    <w:rsid w:val="000403CD"/>
    <w:rsid w:val="00040EB7"/>
    <w:rsid w:val="00054E72"/>
    <w:rsid w:val="000A7BB5"/>
    <w:rsid w:val="000C26E9"/>
    <w:rsid w:val="000C7C80"/>
    <w:rsid w:val="00104C62"/>
    <w:rsid w:val="00113D5A"/>
    <w:rsid w:val="00124108"/>
    <w:rsid w:val="00125457"/>
    <w:rsid w:val="00150FBB"/>
    <w:rsid w:val="00174DB1"/>
    <w:rsid w:val="00197573"/>
    <w:rsid w:val="001B622D"/>
    <w:rsid w:val="001C17DB"/>
    <w:rsid w:val="001C1B86"/>
    <w:rsid w:val="001E35EC"/>
    <w:rsid w:val="001F2151"/>
    <w:rsid w:val="00256454"/>
    <w:rsid w:val="002572BB"/>
    <w:rsid w:val="00265E31"/>
    <w:rsid w:val="002771AB"/>
    <w:rsid w:val="0028290E"/>
    <w:rsid w:val="002C4AED"/>
    <w:rsid w:val="002C598B"/>
    <w:rsid w:val="002E2528"/>
    <w:rsid w:val="002E6CCA"/>
    <w:rsid w:val="002F03C5"/>
    <w:rsid w:val="00307D33"/>
    <w:rsid w:val="00311C93"/>
    <w:rsid w:val="0034638D"/>
    <w:rsid w:val="00380124"/>
    <w:rsid w:val="00380D08"/>
    <w:rsid w:val="003966C9"/>
    <w:rsid w:val="003B5BAF"/>
    <w:rsid w:val="003E150F"/>
    <w:rsid w:val="003E4716"/>
    <w:rsid w:val="003F0D3E"/>
    <w:rsid w:val="004424DE"/>
    <w:rsid w:val="00443A45"/>
    <w:rsid w:val="00461D52"/>
    <w:rsid w:val="004648BF"/>
    <w:rsid w:val="00464AC3"/>
    <w:rsid w:val="004C42B0"/>
    <w:rsid w:val="004F211E"/>
    <w:rsid w:val="0050492A"/>
    <w:rsid w:val="00536C14"/>
    <w:rsid w:val="005640DF"/>
    <w:rsid w:val="0057263D"/>
    <w:rsid w:val="005A0A05"/>
    <w:rsid w:val="005B1C3E"/>
    <w:rsid w:val="005B5569"/>
    <w:rsid w:val="00600955"/>
    <w:rsid w:val="006156C7"/>
    <w:rsid w:val="006303A0"/>
    <w:rsid w:val="006309F1"/>
    <w:rsid w:val="0068519D"/>
    <w:rsid w:val="006905B2"/>
    <w:rsid w:val="006C5B5E"/>
    <w:rsid w:val="006C7FB6"/>
    <w:rsid w:val="006D6E1F"/>
    <w:rsid w:val="006E5DC7"/>
    <w:rsid w:val="00763D9C"/>
    <w:rsid w:val="00782C4C"/>
    <w:rsid w:val="007A1964"/>
    <w:rsid w:val="007B1346"/>
    <w:rsid w:val="007B212A"/>
    <w:rsid w:val="007C4E2C"/>
    <w:rsid w:val="007D2B2E"/>
    <w:rsid w:val="007F152F"/>
    <w:rsid w:val="007F4A6E"/>
    <w:rsid w:val="00802730"/>
    <w:rsid w:val="00802891"/>
    <w:rsid w:val="00802A25"/>
    <w:rsid w:val="00815E66"/>
    <w:rsid w:val="00821D1F"/>
    <w:rsid w:val="00830DF3"/>
    <w:rsid w:val="00834F19"/>
    <w:rsid w:val="008546C0"/>
    <w:rsid w:val="008706F1"/>
    <w:rsid w:val="008F0A8E"/>
    <w:rsid w:val="008F0AEC"/>
    <w:rsid w:val="008F2660"/>
    <w:rsid w:val="009036EE"/>
    <w:rsid w:val="0091347C"/>
    <w:rsid w:val="0091729C"/>
    <w:rsid w:val="0094467A"/>
    <w:rsid w:val="00965DDE"/>
    <w:rsid w:val="00996869"/>
    <w:rsid w:val="009A00F4"/>
    <w:rsid w:val="009A78EC"/>
    <w:rsid w:val="009B2ECB"/>
    <w:rsid w:val="009D2000"/>
    <w:rsid w:val="009E5689"/>
    <w:rsid w:val="009F1AD9"/>
    <w:rsid w:val="009F2CA1"/>
    <w:rsid w:val="00A0741B"/>
    <w:rsid w:val="00A138D3"/>
    <w:rsid w:val="00A343EA"/>
    <w:rsid w:val="00A60B54"/>
    <w:rsid w:val="00A62977"/>
    <w:rsid w:val="00A67419"/>
    <w:rsid w:val="00A80F13"/>
    <w:rsid w:val="00A86DFD"/>
    <w:rsid w:val="00AA73AC"/>
    <w:rsid w:val="00AE691D"/>
    <w:rsid w:val="00AF766D"/>
    <w:rsid w:val="00B139F4"/>
    <w:rsid w:val="00B1679F"/>
    <w:rsid w:val="00B249ED"/>
    <w:rsid w:val="00B34E00"/>
    <w:rsid w:val="00B35EA8"/>
    <w:rsid w:val="00B5406D"/>
    <w:rsid w:val="00B7292B"/>
    <w:rsid w:val="00B72FFF"/>
    <w:rsid w:val="00BB42C7"/>
    <w:rsid w:val="00BB4398"/>
    <w:rsid w:val="00BC4E05"/>
    <w:rsid w:val="00BF77CB"/>
    <w:rsid w:val="00C07A00"/>
    <w:rsid w:val="00C1181D"/>
    <w:rsid w:val="00C15106"/>
    <w:rsid w:val="00C31482"/>
    <w:rsid w:val="00C316CD"/>
    <w:rsid w:val="00C32223"/>
    <w:rsid w:val="00C42D5F"/>
    <w:rsid w:val="00C617F2"/>
    <w:rsid w:val="00C95023"/>
    <w:rsid w:val="00CA3955"/>
    <w:rsid w:val="00CD7337"/>
    <w:rsid w:val="00CE6872"/>
    <w:rsid w:val="00D04B9F"/>
    <w:rsid w:val="00D204EE"/>
    <w:rsid w:val="00D5177A"/>
    <w:rsid w:val="00D57BFD"/>
    <w:rsid w:val="00D6662A"/>
    <w:rsid w:val="00D922E7"/>
    <w:rsid w:val="00DE315F"/>
    <w:rsid w:val="00DF22D4"/>
    <w:rsid w:val="00DF3BCA"/>
    <w:rsid w:val="00E15332"/>
    <w:rsid w:val="00E2660C"/>
    <w:rsid w:val="00E345B6"/>
    <w:rsid w:val="00E404BF"/>
    <w:rsid w:val="00E40686"/>
    <w:rsid w:val="00E426A1"/>
    <w:rsid w:val="00E46705"/>
    <w:rsid w:val="00E54164"/>
    <w:rsid w:val="00E549AD"/>
    <w:rsid w:val="00E61C8F"/>
    <w:rsid w:val="00E642D4"/>
    <w:rsid w:val="00E87623"/>
    <w:rsid w:val="00EB2054"/>
    <w:rsid w:val="00EC7AF9"/>
    <w:rsid w:val="00F329B4"/>
    <w:rsid w:val="00F401FB"/>
    <w:rsid w:val="00F42F4E"/>
    <w:rsid w:val="00F53B3E"/>
    <w:rsid w:val="00F91E0B"/>
    <w:rsid w:val="00F91E59"/>
    <w:rsid w:val="00F945E0"/>
    <w:rsid w:val="00FA1E9A"/>
    <w:rsid w:val="00FA38A3"/>
    <w:rsid w:val="00FA3A72"/>
    <w:rsid w:val="00FA64A7"/>
    <w:rsid w:val="00FC45CD"/>
    <w:rsid w:val="00FC7607"/>
    <w:rsid w:val="00FC7928"/>
    <w:rsid w:val="00FD02EE"/>
    <w:rsid w:val="00FD20D3"/>
    <w:rsid w:val="00FE0CBF"/>
    <w:rsid w:val="00FE5C3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754E8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6C14"/>
    <w:rPr>
      <w:color w:val="0000FF" w:themeColor="hyperlink"/>
      <w:u w:val="single"/>
    </w:rPr>
  </w:style>
  <w:style w:type="paragraph" w:styleId="NormalWeb">
    <w:name w:val="Normal (Web)"/>
    <w:basedOn w:val="Normal"/>
    <w:uiPriority w:val="99"/>
    <w:unhideWhenUsed/>
    <w:rsid w:val="009F2CA1"/>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7B212A"/>
    <w:pPr>
      <w:ind w:left="720"/>
      <w:contextualSpacing/>
    </w:pPr>
  </w:style>
  <w:style w:type="character" w:customStyle="1" w:styleId="apple-converted-space">
    <w:name w:val="apple-converted-space"/>
    <w:basedOn w:val="DefaultParagraphFont"/>
    <w:rsid w:val="00C316CD"/>
  </w:style>
  <w:style w:type="paragraph" w:styleId="Footer">
    <w:name w:val="footer"/>
    <w:basedOn w:val="Normal"/>
    <w:link w:val="FooterChar"/>
    <w:uiPriority w:val="99"/>
    <w:unhideWhenUsed/>
    <w:rsid w:val="00AE691D"/>
    <w:pPr>
      <w:tabs>
        <w:tab w:val="center" w:pos="4320"/>
        <w:tab w:val="right" w:pos="8640"/>
      </w:tabs>
    </w:pPr>
  </w:style>
  <w:style w:type="character" w:customStyle="1" w:styleId="FooterChar">
    <w:name w:val="Footer Char"/>
    <w:basedOn w:val="DefaultParagraphFont"/>
    <w:link w:val="Footer"/>
    <w:uiPriority w:val="99"/>
    <w:rsid w:val="00AE691D"/>
  </w:style>
  <w:style w:type="character" w:styleId="PageNumber">
    <w:name w:val="page number"/>
    <w:basedOn w:val="DefaultParagraphFont"/>
    <w:uiPriority w:val="99"/>
    <w:semiHidden/>
    <w:unhideWhenUsed/>
    <w:rsid w:val="00AE691D"/>
  </w:style>
  <w:style w:type="paragraph" w:styleId="BalloonText">
    <w:name w:val="Balloon Text"/>
    <w:basedOn w:val="Normal"/>
    <w:link w:val="BalloonTextChar"/>
    <w:uiPriority w:val="99"/>
    <w:semiHidden/>
    <w:unhideWhenUsed/>
    <w:rsid w:val="00DE31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E315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6C14"/>
    <w:rPr>
      <w:color w:val="0000FF" w:themeColor="hyperlink"/>
      <w:u w:val="single"/>
    </w:rPr>
  </w:style>
  <w:style w:type="paragraph" w:styleId="NormalWeb">
    <w:name w:val="Normal (Web)"/>
    <w:basedOn w:val="Normal"/>
    <w:uiPriority w:val="99"/>
    <w:unhideWhenUsed/>
    <w:rsid w:val="009F2CA1"/>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7B212A"/>
    <w:pPr>
      <w:ind w:left="720"/>
      <w:contextualSpacing/>
    </w:pPr>
  </w:style>
  <w:style w:type="character" w:customStyle="1" w:styleId="apple-converted-space">
    <w:name w:val="apple-converted-space"/>
    <w:basedOn w:val="DefaultParagraphFont"/>
    <w:rsid w:val="00C316CD"/>
  </w:style>
  <w:style w:type="paragraph" w:styleId="Footer">
    <w:name w:val="footer"/>
    <w:basedOn w:val="Normal"/>
    <w:link w:val="FooterChar"/>
    <w:uiPriority w:val="99"/>
    <w:unhideWhenUsed/>
    <w:rsid w:val="00AE691D"/>
    <w:pPr>
      <w:tabs>
        <w:tab w:val="center" w:pos="4320"/>
        <w:tab w:val="right" w:pos="8640"/>
      </w:tabs>
    </w:pPr>
  </w:style>
  <w:style w:type="character" w:customStyle="1" w:styleId="FooterChar">
    <w:name w:val="Footer Char"/>
    <w:basedOn w:val="DefaultParagraphFont"/>
    <w:link w:val="Footer"/>
    <w:uiPriority w:val="99"/>
    <w:rsid w:val="00AE691D"/>
  </w:style>
  <w:style w:type="character" w:styleId="PageNumber">
    <w:name w:val="page number"/>
    <w:basedOn w:val="DefaultParagraphFont"/>
    <w:uiPriority w:val="99"/>
    <w:semiHidden/>
    <w:unhideWhenUsed/>
    <w:rsid w:val="00AE691D"/>
  </w:style>
  <w:style w:type="paragraph" w:styleId="BalloonText">
    <w:name w:val="Balloon Text"/>
    <w:basedOn w:val="Normal"/>
    <w:link w:val="BalloonTextChar"/>
    <w:uiPriority w:val="99"/>
    <w:semiHidden/>
    <w:unhideWhenUsed/>
    <w:rsid w:val="00DE31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E315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640127">
      <w:bodyDiv w:val="1"/>
      <w:marLeft w:val="0"/>
      <w:marRight w:val="0"/>
      <w:marTop w:val="0"/>
      <w:marBottom w:val="0"/>
      <w:divBdr>
        <w:top w:val="none" w:sz="0" w:space="0" w:color="auto"/>
        <w:left w:val="none" w:sz="0" w:space="0" w:color="auto"/>
        <w:bottom w:val="none" w:sz="0" w:space="0" w:color="auto"/>
        <w:right w:val="none" w:sz="0" w:space="0" w:color="auto"/>
      </w:divBdr>
      <w:divsChild>
        <w:div w:id="1048994213">
          <w:marLeft w:val="0"/>
          <w:marRight w:val="0"/>
          <w:marTop w:val="0"/>
          <w:marBottom w:val="0"/>
          <w:divBdr>
            <w:top w:val="none" w:sz="0" w:space="0" w:color="auto"/>
            <w:left w:val="none" w:sz="0" w:space="0" w:color="auto"/>
            <w:bottom w:val="none" w:sz="0" w:space="0" w:color="auto"/>
            <w:right w:val="none" w:sz="0" w:space="0" w:color="auto"/>
          </w:divBdr>
          <w:divsChild>
            <w:div w:id="449319468">
              <w:marLeft w:val="0"/>
              <w:marRight w:val="0"/>
              <w:marTop w:val="0"/>
              <w:marBottom w:val="0"/>
              <w:divBdr>
                <w:top w:val="none" w:sz="0" w:space="0" w:color="auto"/>
                <w:left w:val="none" w:sz="0" w:space="0" w:color="auto"/>
                <w:bottom w:val="none" w:sz="0" w:space="0" w:color="auto"/>
                <w:right w:val="none" w:sz="0" w:space="0" w:color="auto"/>
              </w:divBdr>
              <w:divsChild>
                <w:div w:id="69161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357808">
      <w:bodyDiv w:val="1"/>
      <w:marLeft w:val="0"/>
      <w:marRight w:val="0"/>
      <w:marTop w:val="0"/>
      <w:marBottom w:val="0"/>
      <w:divBdr>
        <w:top w:val="none" w:sz="0" w:space="0" w:color="auto"/>
        <w:left w:val="none" w:sz="0" w:space="0" w:color="auto"/>
        <w:bottom w:val="none" w:sz="0" w:space="0" w:color="auto"/>
        <w:right w:val="none" w:sz="0" w:space="0" w:color="auto"/>
      </w:divBdr>
    </w:div>
    <w:div w:id="518200562">
      <w:bodyDiv w:val="1"/>
      <w:marLeft w:val="0"/>
      <w:marRight w:val="0"/>
      <w:marTop w:val="0"/>
      <w:marBottom w:val="0"/>
      <w:divBdr>
        <w:top w:val="none" w:sz="0" w:space="0" w:color="auto"/>
        <w:left w:val="none" w:sz="0" w:space="0" w:color="auto"/>
        <w:bottom w:val="none" w:sz="0" w:space="0" w:color="auto"/>
        <w:right w:val="none" w:sz="0" w:space="0" w:color="auto"/>
      </w:divBdr>
    </w:div>
    <w:div w:id="587613259">
      <w:bodyDiv w:val="1"/>
      <w:marLeft w:val="0"/>
      <w:marRight w:val="0"/>
      <w:marTop w:val="0"/>
      <w:marBottom w:val="0"/>
      <w:divBdr>
        <w:top w:val="none" w:sz="0" w:space="0" w:color="auto"/>
        <w:left w:val="none" w:sz="0" w:space="0" w:color="auto"/>
        <w:bottom w:val="none" w:sz="0" w:space="0" w:color="auto"/>
        <w:right w:val="none" w:sz="0" w:space="0" w:color="auto"/>
      </w:divBdr>
      <w:divsChild>
        <w:div w:id="485391804">
          <w:marLeft w:val="0"/>
          <w:marRight w:val="0"/>
          <w:marTop w:val="0"/>
          <w:marBottom w:val="0"/>
          <w:divBdr>
            <w:top w:val="none" w:sz="0" w:space="0" w:color="auto"/>
            <w:left w:val="none" w:sz="0" w:space="0" w:color="auto"/>
            <w:bottom w:val="none" w:sz="0" w:space="0" w:color="auto"/>
            <w:right w:val="none" w:sz="0" w:space="0" w:color="auto"/>
          </w:divBdr>
        </w:div>
        <w:div w:id="976178302">
          <w:marLeft w:val="0"/>
          <w:marRight w:val="0"/>
          <w:marTop w:val="0"/>
          <w:marBottom w:val="0"/>
          <w:divBdr>
            <w:top w:val="none" w:sz="0" w:space="0" w:color="auto"/>
            <w:left w:val="none" w:sz="0" w:space="0" w:color="auto"/>
            <w:bottom w:val="none" w:sz="0" w:space="0" w:color="auto"/>
            <w:right w:val="none" w:sz="0" w:space="0" w:color="auto"/>
          </w:divBdr>
        </w:div>
      </w:divsChild>
    </w:div>
    <w:div w:id="664362729">
      <w:bodyDiv w:val="1"/>
      <w:marLeft w:val="0"/>
      <w:marRight w:val="0"/>
      <w:marTop w:val="0"/>
      <w:marBottom w:val="0"/>
      <w:divBdr>
        <w:top w:val="none" w:sz="0" w:space="0" w:color="auto"/>
        <w:left w:val="none" w:sz="0" w:space="0" w:color="auto"/>
        <w:bottom w:val="none" w:sz="0" w:space="0" w:color="auto"/>
        <w:right w:val="none" w:sz="0" w:space="0" w:color="auto"/>
      </w:divBdr>
    </w:div>
    <w:div w:id="700475938">
      <w:bodyDiv w:val="1"/>
      <w:marLeft w:val="0"/>
      <w:marRight w:val="0"/>
      <w:marTop w:val="0"/>
      <w:marBottom w:val="0"/>
      <w:divBdr>
        <w:top w:val="none" w:sz="0" w:space="0" w:color="auto"/>
        <w:left w:val="none" w:sz="0" w:space="0" w:color="auto"/>
        <w:bottom w:val="none" w:sz="0" w:space="0" w:color="auto"/>
        <w:right w:val="none" w:sz="0" w:space="0" w:color="auto"/>
      </w:divBdr>
      <w:divsChild>
        <w:div w:id="1964146221">
          <w:marLeft w:val="0"/>
          <w:marRight w:val="0"/>
          <w:marTop w:val="0"/>
          <w:marBottom w:val="0"/>
          <w:divBdr>
            <w:top w:val="none" w:sz="0" w:space="0" w:color="auto"/>
            <w:left w:val="none" w:sz="0" w:space="0" w:color="auto"/>
            <w:bottom w:val="none" w:sz="0" w:space="0" w:color="auto"/>
            <w:right w:val="none" w:sz="0" w:space="0" w:color="auto"/>
          </w:divBdr>
          <w:divsChild>
            <w:div w:id="1069964611">
              <w:marLeft w:val="0"/>
              <w:marRight w:val="0"/>
              <w:marTop w:val="0"/>
              <w:marBottom w:val="0"/>
              <w:divBdr>
                <w:top w:val="none" w:sz="0" w:space="0" w:color="auto"/>
                <w:left w:val="none" w:sz="0" w:space="0" w:color="auto"/>
                <w:bottom w:val="none" w:sz="0" w:space="0" w:color="auto"/>
                <w:right w:val="none" w:sz="0" w:space="0" w:color="auto"/>
              </w:divBdr>
              <w:divsChild>
                <w:div w:id="146951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789735">
      <w:bodyDiv w:val="1"/>
      <w:marLeft w:val="0"/>
      <w:marRight w:val="0"/>
      <w:marTop w:val="0"/>
      <w:marBottom w:val="0"/>
      <w:divBdr>
        <w:top w:val="none" w:sz="0" w:space="0" w:color="auto"/>
        <w:left w:val="none" w:sz="0" w:space="0" w:color="auto"/>
        <w:bottom w:val="none" w:sz="0" w:space="0" w:color="auto"/>
        <w:right w:val="none" w:sz="0" w:space="0" w:color="auto"/>
      </w:divBdr>
      <w:divsChild>
        <w:div w:id="1340504185">
          <w:marLeft w:val="0"/>
          <w:marRight w:val="0"/>
          <w:marTop w:val="0"/>
          <w:marBottom w:val="0"/>
          <w:divBdr>
            <w:top w:val="none" w:sz="0" w:space="0" w:color="auto"/>
            <w:left w:val="none" w:sz="0" w:space="0" w:color="auto"/>
            <w:bottom w:val="none" w:sz="0" w:space="0" w:color="auto"/>
            <w:right w:val="none" w:sz="0" w:space="0" w:color="auto"/>
          </w:divBdr>
          <w:divsChild>
            <w:div w:id="1164512709">
              <w:marLeft w:val="0"/>
              <w:marRight w:val="0"/>
              <w:marTop w:val="0"/>
              <w:marBottom w:val="0"/>
              <w:divBdr>
                <w:top w:val="none" w:sz="0" w:space="0" w:color="auto"/>
                <w:left w:val="none" w:sz="0" w:space="0" w:color="auto"/>
                <w:bottom w:val="none" w:sz="0" w:space="0" w:color="auto"/>
                <w:right w:val="none" w:sz="0" w:space="0" w:color="auto"/>
              </w:divBdr>
              <w:divsChild>
                <w:div w:id="187395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622087">
      <w:bodyDiv w:val="1"/>
      <w:marLeft w:val="0"/>
      <w:marRight w:val="0"/>
      <w:marTop w:val="0"/>
      <w:marBottom w:val="0"/>
      <w:divBdr>
        <w:top w:val="none" w:sz="0" w:space="0" w:color="auto"/>
        <w:left w:val="none" w:sz="0" w:space="0" w:color="auto"/>
        <w:bottom w:val="none" w:sz="0" w:space="0" w:color="auto"/>
        <w:right w:val="none" w:sz="0" w:space="0" w:color="auto"/>
      </w:divBdr>
      <w:divsChild>
        <w:div w:id="358049245">
          <w:marLeft w:val="0"/>
          <w:marRight w:val="0"/>
          <w:marTop w:val="0"/>
          <w:marBottom w:val="0"/>
          <w:divBdr>
            <w:top w:val="none" w:sz="0" w:space="0" w:color="auto"/>
            <w:left w:val="none" w:sz="0" w:space="0" w:color="auto"/>
            <w:bottom w:val="none" w:sz="0" w:space="0" w:color="auto"/>
            <w:right w:val="none" w:sz="0" w:space="0" w:color="auto"/>
          </w:divBdr>
          <w:divsChild>
            <w:div w:id="1798526849">
              <w:marLeft w:val="0"/>
              <w:marRight w:val="0"/>
              <w:marTop w:val="0"/>
              <w:marBottom w:val="0"/>
              <w:divBdr>
                <w:top w:val="none" w:sz="0" w:space="0" w:color="auto"/>
                <w:left w:val="none" w:sz="0" w:space="0" w:color="auto"/>
                <w:bottom w:val="none" w:sz="0" w:space="0" w:color="auto"/>
                <w:right w:val="none" w:sz="0" w:space="0" w:color="auto"/>
              </w:divBdr>
              <w:divsChild>
                <w:div w:id="104197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256914">
      <w:bodyDiv w:val="1"/>
      <w:marLeft w:val="0"/>
      <w:marRight w:val="0"/>
      <w:marTop w:val="0"/>
      <w:marBottom w:val="0"/>
      <w:divBdr>
        <w:top w:val="none" w:sz="0" w:space="0" w:color="auto"/>
        <w:left w:val="none" w:sz="0" w:space="0" w:color="auto"/>
        <w:bottom w:val="none" w:sz="0" w:space="0" w:color="auto"/>
        <w:right w:val="none" w:sz="0" w:space="0" w:color="auto"/>
      </w:divBdr>
    </w:div>
    <w:div w:id="20506891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uwtsd.ac.uk/pce-post-compulsory-eductaion-training/" TargetMode="External"/><Relationship Id="rId20" Type="http://schemas.openxmlformats.org/officeDocument/2006/relationships/theme" Target="theme/theme1.xml"/><Relationship Id="rId10" Type="http://schemas.openxmlformats.org/officeDocument/2006/relationships/hyperlink" Target="https://www.heacademy.ac.uk/ukpsf" TargetMode="External"/><Relationship Id="rId11" Type="http://schemas.openxmlformats.org/officeDocument/2006/relationships/hyperlink" Target="https://gov.wales/sites/defaults/files/publications/2018-09/maximising-the-contribution-of-the-post-compulsory-education-and-training-system-to-the-achievement-of-welsh-national-goals.pdf" TargetMode="External"/><Relationship Id="rId12" Type="http://schemas.openxmlformats.org/officeDocument/2006/relationships/hyperlink" Target="https://gweddill.gov.wales/docs/dcells/publications/170712-adult-learning-policy-statement-en.pdf" TargetMode="External"/><Relationship Id="rId13" Type="http://schemas.openxmlformats.org/officeDocument/2006/relationships/image" Target="media/image1.png"/><Relationship Id="rId14" Type="http://schemas.openxmlformats.org/officeDocument/2006/relationships/hyperlink" Target="https://www.google.co.uk" TargetMode="External"/><Relationship Id="rId15" Type="http://schemas.openxmlformats.org/officeDocument/2006/relationships/image" Target="media/image2.png"/><Relationship Id="rId16" Type="http://schemas.openxmlformats.org/officeDocument/2006/relationships/hyperlink" Target="https://www.google.co.uk"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journals-sagepub-com.ezproxy.uwtsd.ac.uk/doi/pdf/10.1177/104515951102200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8</Pages>
  <Words>1802</Words>
  <Characters>10277</Characters>
  <Application>Microsoft Macintosh Word</Application>
  <DocSecurity>0</DocSecurity>
  <Lines>85</Lines>
  <Paragraphs>24</Paragraphs>
  <ScaleCrop>false</ScaleCrop>
  <Company/>
  <LinksUpToDate>false</LinksUpToDate>
  <CharactersWithSpaces>12055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cp:lastPrinted>2019-05-26T22:56:00Z</cp:lastPrinted>
  <dcterms:created xsi:type="dcterms:W3CDTF">2019-05-27T08:18:00Z</dcterms:created>
  <dcterms:modified xsi:type="dcterms:W3CDTF">2019-05-27T08:18:00Z</dcterms:modified>
</cp:coreProperties>
</file>