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9EE13" w14:textId="79289923" w:rsidR="00B82919" w:rsidRDefault="00E27563">
      <w:r>
        <w:t>TN - 2,500 Word Essay</w:t>
      </w:r>
    </w:p>
    <w:p w14:paraId="639255E1" w14:textId="4B51C5A6" w:rsidR="00E27563" w:rsidRDefault="00E27563" w:rsidP="00E27563">
      <w:pPr>
        <w:jc w:val="center"/>
      </w:pPr>
      <w:r>
        <w:t>Critically assess the role that God plays in Berk</w:t>
      </w:r>
      <w:r w:rsidR="005C4A15">
        <w:t>e</w:t>
      </w:r>
      <w:r>
        <w:t>ley’s philosophy.</w:t>
      </w:r>
    </w:p>
    <w:p w14:paraId="09C326F1" w14:textId="25A6EABA" w:rsidR="00E27563" w:rsidRDefault="00E27563" w:rsidP="00E27563">
      <w:r>
        <w:t>George Berk</w:t>
      </w:r>
      <w:r w:rsidR="005C4A15">
        <w:t>e</w:t>
      </w:r>
      <w:r>
        <w:t>ley (1685-1753) was an Irish philosopher and Anglian bishop,</w:t>
      </w:r>
      <w:r w:rsidR="002446C8">
        <w:t xml:space="preserve"> he is </w:t>
      </w:r>
      <w:r>
        <w:t xml:space="preserve">best known for developing </w:t>
      </w:r>
      <w:r w:rsidR="0062075E">
        <w:t xml:space="preserve">and the defence for </w:t>
      </w:r>
      <w:r>
        <w:t>immaterialism, this is the view that reality consists only of minds and their ideas. Berk</w:t>
      </w:r>
      <w:r w:rsidR="005C4A15">
        <w:t>e</w:t>
      </w:r>
      <w:r>
        <w:t xml:space="preserve">ley is considered one of the three major figures of British empiricism, alongside John Locke and David Hume. </w:t>
      </w:r>
      <w:r w:rsidR="005D142B">
        <w:t>For Berkeley</w:t>
      </w:r>
      <w:r w:rsidR="000135CD">
        <w:t>, the objects of everyday experience, such as tables, trees and houses, are nothing more than</w:t>
      </w:r>
      <w:r w:rsidR="00956736">
        <w:t xml:space="preserve"> collections of ideas perceived in our minds. </w:t>
      </w:r>
      <w:r>
        <w:t>A common objection that Berkel</w:t>
      </w:r>
      <w:r w:rsidR="005C4A15">
        <w:t>e</w:t>
      </w:r>
      <w:r>
        <w:t>y faces in his philosophy is what happens to objects when no one is looking? Berkel</w:t>
      </w:r>
      <w:r w:rsidR="005C4A15">
        <w:t>e</w:t>
      </w:r>
      <w:r>
        <w:t>y</w:t>
      </w:r>
      <w:r w:rsidR="00860F82">
        <w:t xml:space="preserve">’s answer to this is his </w:t>
      </w:r>
      <w:r>
        <w:t>attempt</w:t>
      </w:r>
      <w:r w:rsidR="00860F82">
        <w:t xml:space="preserve"> </w:t>
      </w:r>
      <w:r>
        <w:t>to use God, he states that they continue to exist because God is always perceiving them and that the regularity of nature is explained by God’s orderly perception, not by physical laws operating on matter. Thus, Berkel</w:t>
      </w:r>
      <w:r w:rsidR="005C4A15">
        <w:t>e</w:t>
      </w:r>
      <w:r>
        <w:t>y thought his philosophy, which is preserved common sense, strengthened belief in God and undermined scepticism.</w:t>
      </w:r>
      <w:r w:rsidR="0090340D">
        <w:t xml:space="preserve"> This essay aims to discover </w:t>
      </w:r>
      <w:r w:rsidR="0030627D">
        <w:t xml:space="preserve">whether </w:t>
      </w:r>
      <w:r w:rsidR="0090340D">
        <w:t>Berkeley’s appeal to God</w:t>
      </w:r>
      <w:r w:rsidR="0030627D">
        <w:t xml:space="preserve"> is philosophically legitimate or whether it functions as </w:t>
      </w:r>
      <w:r w:rsidR="00A60AB9">
        <w:t>a solution designed to rescue his theory from collapsing. It will examine specific roles that God plays throughout his findings</w:t>
      </w:r>
      <w:r w:rsidR="00BD04A2">
        <w:t>, and whether Berkeley’s belief in God strengthens or weakens his philosophical position.</w:t>
      </w:r>
    </w:p>
    <w:p w14:paraId="61BDE463" w14:textId="7F61B079" w:rsidR="00BD04A2" w:rsidRDefault="00006979" w:rsidP="00E27563">
      <w:r>
        <w:t xml:space="preserve">To begin, Berkeley’s </w:t>
      </w:r>
      <w:r w:rsidR="00F62BB0">
        <w:t xml:space="preserve">immaterialism </w:t>
      </w:r>
      <w:r w:rsidR="00C049DB">
        <w:t xml:space="preserve">is </w:t>
      </w:r>
      <w:r w:rsidR="00F62BB0">
        <w:t xml:space="preserve">developed most </w:t>
      </w:r>
      <w:r w:rsidR="00F36A17">
        <w:t>systematically</w:t>
      </w:r>
      <w:r w:rsidR="00F62BB0">
        <w:t xml:space="preserve"> in “A </w:t>
      </w:r>
      <w:r w:rsidR="00F36A17">
        <w:t>Treatise</w:t>
      </w:r>
      <w:r w:rsidR="00F62BB0">
        <w:t xml:space="preserve"> </w:t>
      </w:r>
      <w:r w:rsidR="00F36A17">
        <w:t>Concerning</w:t>
      </w:r>
      <w:r w:rsidR="00F62BB0">
        <w:t xml:space="preserve"> the Principles of Human Knowledge” in </w:t>
      </w:r>
      <w:r w:rsidR="004C39CB">
        <w:t>1710 and</w:t>
      </w:r>
      <w:r w:rsidR="00F36A17">
        <w:t xml:space="preserve"> i</w:t>
      </w:r>
      <w:r w:rsidR="00D032B1">
        <w:t xml:space="preserve">s </w:t>
      </w:r>
      <w:r w:rsidR="00F36A17">
        <w:t xml:space="preserve">further defended in “Three Dialogues between Hylas and </w:t>
      </w:r>
      <w:proofErr w:type="spellStart"/>
      <w:r w:rsidR="00F36A17">
        <w:t>Philonous</w:t>
      </w:r>
      <w:proofErr w:type="spellEnd"/>
      <w:r w:rsidR="00F36A17">
        <w:t>” in 1713</w:t>
      </w:r>
      <w:r w:rsidR="00BA2668">
        <w:t>, the</w:t>
      </w:r>
      <w:r w:rsidR="004D3A26">
        <w:t xml:space="preserve">se aim to follow the treatment of causation and plays a crucial role in motivating the appeal to God. </w:t>
      </w:r>
      <w:r w:rsidR="00EB128C">
        <w:t xml:space="preserve">Berkley argues that all the </w:t>
      </w:r>
      <w:r w:rsidR="00A434E7">
        <w:t>objects</w:t>
      </w:r>
      <w:r w:rsidR="00EB128C">
        <w:t xml:space="preserve"> of human knowledge are either ideas or spirits</w:t>
      </w:r>
      <w:r w:rsidR="00A434E7">
        <w:t>, and this shows how ideas are passive objects of perception making the spirits active perceivers.</w:t>
      </w:r>
      <w:r w:rsidR="005E00D1">
        <w:t xml:space="preserve"> Berkeley states “all the choir of </w:t>
      </w:r>
      <w:r w:rsidR="00547AAB">
        <w:t>heaven</w:t>
      </w:r>
      <w:r w:rsidR="005E00D1">
        <w:t xml:space="preserve"> and furniture of the earth</w:t>
      </w:r>
      <w:r w:rsidR="00547AAB">
        <w:t>…have not any subsistence without a mind”</w:t>
      </w:r>
      <w:r w:rsidR="00C65753">
        <w:rPr>
          <w:rStyle w:val="FootnoteReference"/>
        </w:rPr>
        <w:footnoteReference w:id="1"/>
      </w:r>
      <w:r w:rsidR="00991963">
        <w:t xml:space="preserve"> Berkeley further develops his point through his </w:t>
      </w:r>
      <w:r w:rsidR="00D032B1">
        <w:t>empiricism;</w:t>
      </w:r>
      <w:r w:rsidR="00991963">
        <w:t xml:space="preserve"> this is where he also shows his rejection of material substance</w:t>
      </w:r>
      <w:r w:rsidR="00D032B1">
        <w:t xml:space="preserve">. Berkeley suggests that </w:t>
      </w:r>
      <w:r w:rsidR="00A21E09">
        <w:t xml:space="preserve">philosophers who speak of material substance “support it by a notion so obscure that it is impossible </w:t>
      </w:r>
      <w:r w:rsidR="009E67CE">
        <w:t>any clear meaning should be annexed to it”</w:t>
      </w:r>
      <w:r w:rsidR="00225FE6">
        <w:t>.</w:t>
      </w:r>
      <w:r w:rsidR="009E67CE">
        <w:rPr>
          <w:rStyle w:val="FootnoteReference"/>
        </w:rPr>
        <w:footnoteReference w:id="2"/>
      </w:r>
      <w:r w:rsidR="00225FE6">
        <w:t xml:space="preserve"> Since qualities such as colour, sha</w:t>
      </w:r>
      <w:r w:rsidR="000352E0">
        <w:t>p</w:t>
      </w:r>
      <w:r w:rsidR="00225FE6">
        <w:t xml:space="preserve">e, and texture exist only as we </w:t>
      </w:r>
      <w:r w:rsidR="00984345">
        <w:t>perceive, the idea of our minds underlying them is</w:t>
      </w:r>
      <w:r w:rsidR="000352E0">
        <w:t xml:space="preserve"> unintelligible – “it is indeed an opinion </w:t>
      </w:r>
      <w:r w:rsidR="004C39CB">
        <w:t>strangely</w:t>
      </w:r>
      <w:r w:rsidR="000352E0">
        <w:t xml:space="preserve"> prevailing amongst men</w:t>
      </w:r>
      <w:r w:rsidR="00D70E18">
        <w:t>…distinct from their being perceived by the understanding”</w:t>
      </w:r>
      <w:r w:rsidR="004C39CB">
        <w:rPr>
          <w:rStyle w:val="FootnoteReference"/>
        </w:rPr>
        <w:footnoteReference w:id="3"/>
      </w:r>
    </w:p>
    <w:p w14:paraId="384F902B" w14:textId="6D065791" w:rsidR="004F5811" w:rsidRDefault="004F5811" w:rsidP="00E27563">
      <w:r>
        <w:t>By denying matter, Berkeley aims to dissolve worries about the external world</w:t>
      </w:r>
      <w:r w:rsidR="00EE59AF">
        <w:t xml:space="preserve">. If objects are nothing over and above ideas immediately given in experience, then there is no gap between appearance </w:t>
      </w:r>
      <w:r w:rsidR="000D25BB">
        <w:t>and</w:t>
      </w:r>
      <w:r w:rsidR="00EE59AF">
        <w:t xml:space="preserve"> reality</w:t>
      </w:r>
      <w:r w:rsidR="00D13D90">
        <w:t xml:space="preserve">. However, this metaphysical economy creates a new difficulty: if objects are ideas, and ideas exist only when </w:t>
      </w:r>
      <w:r w:rsidR="009F37D9">
        <w:t xml:space="preserve">perceived, then it seems that </w:t>
      </w:r>
      <w:r w:rsidR="009F37D9">
        <w:lastRenderedPageBreak/>
        <w:t xml:space="preserve">unperceived objects must cease to exist. Berkeley recognises that this conclusion is unacceptable, and it is here that God becomes </w:t>
      </w:r>
      <w:r w:rsidR="000D25BB">
        <w:t>indispensable.</w:t>
      </w:r>
      <w:r w:rsidR="008E0453">
        <w:t xml:space="preserve"> A criticism for Berkeley’s concept here is that his over-reliance on God is being used as an explanatory example</w:t>
      </w:r>
      <w:r w:rsidR="00DB3D9E">
        <w:t xml:space="preserve">, as his system relies heavily on God to sustain the existence of unperceived objects and the </w:t>
      </w:r>
      <w:r w:rsidR="00811714">
        <w:t>regularity experience. Critics argue that this introduces an unverifiable metaphysical assumption into what purports to be an empirical and philosophical theory</w:t>
      </w:r>
      <w:r w:rsidR="009A4277">
        <w:t xml:space="preserve">, so rather than providing an </w:t>
      </w:r>
      <w:r w:rsidR="00C40056">
        <w:t>empirically</w:t>
      </w:r>
      <w:r w:rsidR="009A4277">
        <w:t xml:space="preserve"> grounded </w:t>
      </w:r>
      <w:r w:rsidR="00C40056">
        <w:t>explanation</w:t>
      </w:r>
      <w:r w:rsidR="009A4277">
        <w:t xml:space="preserve">, Berkeley </w:t>
      </w:r>
      <w:r w:rsidR="00C40056">
        <w:t>uses God as a metaphysical crutch, which some see as problematic or unnecessary from a strict philosophical standpoint.</w:t>
      </w:r>
    </w:p>
    <w:p w14:paraId="03BA7BDD" w14:textId="324B3A00" w:rsidR="009E045D" w:rsidRDefault="009E045D" w:rsidP="00E27563">
      <w:r>
        <w:t xml:space="preserve">In critique of Berkeley’s work, </w:t>
      </w:r>
      <w:r w:rsidR="00120D6A">
        <w:t>some interpreters argue that Berkeley’s argument for God is circular</w:t>
      </w:r>
      <w:r w:rsidR="00D85C0B">
        <w:t xml:space="preserve">. He relies on God to explain why perceptions and </w:t>
      </w:r>
      <w:r w:rsidR="00AC2FED">
        <w:t>their</w:t>
      </w:r>
      <w:r w:rsidR="00D85C0B">
        <w:t xml:space="preserve"> regularity should be </w:t>
      </w:r>
      <w:r w:rsidR="00AC2FED">
        <w:t>trusted but</w:t>
      </w:r>
      <w:r w:rsidR="00D85C0B">
        <w:t xml:space="preserve"> also uses the trustworthiness of those regular perceptions to argue </w:t>
      </w:r>
      <w:r w:rsidR="00EE0B38">
        <w:t xml:space="preserve">for God’s existence. </w:t>
      </w:r>
      <w:proofErr w:type="gramStart"/>
      <w:r w:rsidR="00AC2FED">
        <w:t xml:space="preserve">This </w:t>
      </w:r>
      <w:r w:rsidR="00F939C9">
        <w:t>reveals</w:t>
      </w:r>
      <w:proofErr w:type="gramEnd"/>
      <w:r w:rsidR="00F939C9">
        <w:t xml:space="preserve"> </w:t>
      </w:r>
      <w:r w:rsidR="00EE0B38">
        <w:t>concerns that Berkeley’s appeal to God may not be independently grounded but rather a philosophical loop</w:t>
      </w:r>
      <w:r w:rsidR="00350EF0">
        <w:t>.</w:t>
      </w:r>
      <w:r w:rsidR="00CC3D9D">
        <w:t xml:space="preserve"> This is most supported by David Hume</w:t>
      </w:r>
      <w:r w:rsidR="00414E25">
        <w:t>, as Berkeley cannot legitimately infer a benevolent divine cause from experimental regularity</w:t>
      </w:r>
      <w:r w:rsidR="00E7271F">
        <w:t xml:space="preserve">. If this criticism is accepted, then Berkeley’s appeal to God looks like a philosophical shortcut designed to </w:t>
      </w:r>
      <w:r w:rsidR="00F939C9">
        <w:t>rescue</w:t>
      </w:r>
      <w:r w:rsidR="00E7271F">
        <w:t xml:space="preserve"> </w:t>
      </w:r>
      <w:r w:rsidR="00F939C9">
        <w:t>immaterialism.</w:t>
      </w:r>
      <w:r w:rsidR="00B8073B">
        <w:t xml:space="preserve"> For those who </w:t>
      </w:r>
      <w:r w:rsidR="00BA616E">
        <w:t>already are inclined to accept God’s existence, then circularity may seem inevitable</w:t>
      </w:r>
      <w:r w:rsidR="00D146E0">
        <w:t xml:space="preserve">, but for </w:t>
      </w:r>
      <w:r w:rsidR="00257D27">
        <w:t>sceptics</w:t>
      </w:r>
      <w:r w:rsidR="00D146E0">
        <w:t xml:space="preserve">, it undermines the claim to have resolved doubts about the external world. Therefore, while the charge of circularity does not render Berkeley’s </w:t>
      </w:r>
      <w:r w:rsidR="00257D27">
        <w:t>philosophy incoherent, it remains a weakness rather than a strength, as it reveals the dependence of his immaterialism on controversial theological commitments.</w:t>
      </w:r>
    </w:p>
    <w:p w14:paraId="68B2F664" w14:textId="013E3D2C" w:rsidR="00E27563" w:rsidRDefault="00566F03" w:rsidP="00E27563">
      <w:r>
        <w:t>In addition, Berkley uses God as the sustainer of existence as God’s roles in Berkeley’s philosophy is to guarantee the continued existence of objects when they are not perceived by finite minds</w:t>
      </w:r>
      <w:r w:rsidR="00291457">
        <w:t>. Berkeley states that “the existence of an idea consists in being perceived”</w:t>
      </w:r>
      <w:r w:rsidR="001629EE">
        <w:rPr>
          <w:rStyle w:val="FootnoteReference"/>
        </w:rPr>
        <w:footnoteReference w:id="4"/>
      </w:r>
      <w:r w:rsidR="001629EE">
        <w:t>, but he adds that ideas can either be perceived by God or via the human mind</w:t>
      </w:r>
      <w:r w:rsidR="00281C84">
        <w:t xml:space="preserve">, this is due to the nature that God is always </w:t>
      </w:r>
      <w:r w:rsidR="00FA6075">
        <w:t>perceiving</w:t>
      </w:r>
      <w:r w:rsidR="00281C84">
        <w:t xml:space="preserve"> ideas as the</w:t>
      </w:r>
      <w:r w:rsidR="00FA6075">
        <w:t xml:space="preserve">y hold the </w:t>
      </w:r>
      <w:r w:rsidR="00281C84">
        <w:t>infinite spirit</w:t>
      </w:r>
      <w:r w:rsidR="00FA6075">
        <w:t>.</w:t>
      </w:r>
      <w:r w:rsidR="008139BB">
        <w:t xml:space="preserve"> Berkeley does this to ensure that the world retains its stability and persistence even in an absence of a human observer.</w:t>
      </w:r>
      <w:r w:rsidR="006A3E02">
        <w:t xml:space="preserve"> In Dialogues, </w:t>
      </w:r>
      <w:r w:rsidR="00F65D9D">
        <w:t xml:space="preserve">Berkeley </w:t>
      </w:r>
      <w:r w:rsidR="006C0943">
        <w:t xml:space="preserve">explains that if it wasn’t for God immaterialism would collapse </w:t>
      </w:r>
      <w:r w:rsidR="00F65D9D">
        <w:t xml:space="preserve">into a form where only </w:t>
      </w:r>
      <w:r w:rsidR="00612241">
        <w:t>one’s</w:t>
      </w:r>
      <w:r w:rsidR="00F65D9D">
        <w:t xml:space="preserve"> ideas could be said to exist</w:t>
      </w:r>
      <w:r w:rsidR="005015B9">
        <w:t xml:space="preserve">, therefore God </w:t>
      </w:r>
      <w:r w:rsidR="00E05BCC">
        <w:t>functions</w:t>
      </w:r>
      <w:r w:rsidR="005015B9">
        <w:t xml:space="preserve"> as the ontological foundation of objectivity in Berkeley’s system.</w:t>
      </w:r>
      <w:r w:rsidR="00B639BE">
        <w:t xml:space="preserve"> </w:t>
      </w:r>
      <w:r w:rsidR="000F4324">
        <w:t xml:space="preserve">Berkeley does not claim that God </w:t>
      </w:r>
      <w:r w:rsidR="00513EAB">
        <w:t xml:space="preserve">stores ideas to finite spirits, it’s the worlds regularity and coherence that show expressions </w:t>
      </w:r>
      <w:r w:rsidR="00E551F0">
        <w:t xml:space="preserve">of divinity, and this is emphasised by Berkeley “the ideas of sense are more strong, lively, and </w:t>
      </w:r>
      <w:r w:rsidR="00EA781B">
        <w:t>distinct than those of the imagination”</w:t>
      </w:r>
      <w:r w:rsidR="00EA781B">
        <w:rPr>
          <w:rStyle w:val="FootnoteReference"/>
        </w:rPr>
        <w:footnoteReference w:id="5"/>
      </w:r>
      <w:r w:rsidR="00B47129">
        <w:t xml:space="preserve"> God’s sustaining perception guarantees not only that objects exist continuously, but th</w:t>
      </w:r>
      <w:r w:rsidR="00AD730F">
        <w:t>at they do so in a structured and intelligible manner</w:t>
      </w:r>
      <w:r w:rsidR="00794B8C">
        <w:t>.</w:t>
      </w:r>
    </w:p>
    <w:p w14:paraId="1FB9E62B" w14:textId="5AA37D64" w:rsidR="00E05BCC" w:rsidRDefault="00E05BCC" w:rsidP="00E27563">
      <w:r>
        <w:lastRenderedPageBreak/>
        <w:t xml:space="preserve">However, philosophers such as John Locke, whom Berkeley criticises highly, also appears </w:t>
      </w:r>
      <w:r w:rsidR="00C313C1">
        <w:t>to God, but Locke allows material substance to exist independently of perception</w:t>
      </w:r>
      <w:r w:rsidR="00BB15DD">
        <w:t xml:space="preserve"> </w:t>
      </w:r>
      <w:r w:rsidR="00BB15DD" w:rsidRPr="00BB15DD">
        <w:t xml:space="preserve">(Essay Concerning Human Understanding, </w:t>
      </w:r>
      <w:proofErr w:type="spellStart"/>
      <w:r w:rsidR="00BB15DD" w:rsidRPr="00BB15DD">
        <w:t>II.xxiii</w:t>
      </w:r>
      <w:proofErr w:type="spellEnd"/>
      <w:r w:rsidR="00BB15DD" w:rsidRPr="00BB15DD">
        <w:t>)</w:t>
      </w:r>
      <w:r w:rsidR="00BB15DD">
        <w:t xml:space="preserve">. </w:t>
      </w:r>
      <w:r w:rsidR="008957C0">
        <w:t xml:space="preserve">Berkeley’s position here is more radical, as God replaces matter entirely. Critics argue that Berkeley </w:t>
      </w:r>
      <w:r w:rsidR="00B138F0">
        <w:t xml:space="preserve">could have adopted an alternative account, such as treating objects as permanent possibilities of perception, which was a move </w:t>
      </w:r>
      <w:r w:rsidR="00DA795D">
        <w:t>later</w:t>
      </w:r>
      <w:r w:rsidR="00B138F0">
        <w:t xml:space="preserve"> suggested by J.S. Mill.</w:t>
      </w:r>
      <w:r w:rsidR="00DA795D">
        <w:t xml:space="preserve"> Although, Berkeley critiques this idea insisting that “actual existence is distinct from possibility”</w:t>
      </w:r>
      <w:r w:rsidR="00633752">
        <w:rPr>
          <w:rStyle w:val="FootnoteReference"/>
        </w:rPr>
        <w:footnoteReference w:id="6"/>
      </w:r>
      <w:r w:rsidR="00923274">
        <w:t xml:space="preserve"> This argument suggests that God’s role as a perceiver is not optional but metaphysically necessary within Berkeley’s framework.</w:t>
      </w:r>
    </w:p>
    <w:p w14:paraId="58073882" w14:textId="6827D359" w:rsidR="00850292" w:rsidRDefault="00AA4FE8" w:rsidP="00E27563">
      <w:r>
        <w:t xml:space="preserve">Moving on, Berkeley then suggests that God has causation within nature. </w:t>
      </w:r>
      <w:r w:rsidR="00096A7B">
        <w:t>Berkeley denies that ideas can cause one another, since ideas are passive</w:t>
      </w:r>
      <w:r w:rsidR="00EA60F1">
        <w:t xml:space="preserve"> – “ideas are inactive; there is nothing in them that can produce or effect any change”</w:t>
      </w:r>
      <w:r w:rsidR="00303D35">
        <w:rPr>
          <w:rStyle w:val="FootnoteReference"/>
        </w:rPr>
        <w:footnoteReference w:id="7"/>
      </w:r>
      <w:r w:rsidR="00D2269A">
        <w:t>. Consequently,</w:t>
      </w:r>
      <w:r w:rsidR="00A81EC5">
        <w:t xml:space="preserve"> the casual relations we observe in nature cannot be explained by interactions between material objects.</w:t>
      </w:r>
      <w:r w:rsidR="00D658DB">
        <w:t xml:space="preserve"> Instead, Berkeley </w:t>
      </w:r>
      <w:r w:rsidR="00800D9B">
        <w:t xml:space="preserve">attributes all genuine causation to spirits, and ultimately to God. The regularities </w:t>
      </w:r>
      <w:r w:rsidR="007D536E">
        <w:t>we observe in nature, such as fire being followed by heat, are not casual necessities but they are conjunctions established by God that are fixed by rules.</w:t>
      </w:r>
      <w:r w:rsidR="00F150E5">
        <w:t xml:space="preserve"> Berkeley describes this law of nature as “the set rules or established methods…excites in us the ideas of sense”</w:t>
      </w:r>
      <w:r w:rsidR="00F942C6">
        <w:rPr>
          <w:rStyle w:val="FootnoteReference"/>
        </w:rPr>
        <w:footnoteReference w:id="8"/>
      </w:r>
      <w:r w:rsidR="00690CC2">
        <w:t xml:space="preserve"> Fire does not cause </w:t>
      </w:r>
      <w:r w:rsidR="00296DA0">
        <w:t xml:space="preserve">heat in any metaphysically robust sense; rather, God has decreed that the idea of heat regularity follows the idea of </w:t>
      </w:r>
      <w:r w:rsidR="00D6397F">
        <w:t>fire. This allows Berkeley to preserve the predictability of experience while denying material causation.</w:t>
      </w:r>
    </w:p>
    <w:p w14:paraId="1122B2CC" w14:textId="22C65FEC" w:rsidR="00D71FFB" w:rsidRDefault="00DA5CD7" w:rsidP="00E27563">
      <w:r>
        <w:t xml:space="preserve">This view aligns Berkeley with </w:t>
      </w:r>
      <w:r w:rsidR="004C35AD">
        <w:t xml:space="preserve">occasionalist philosophers such as Nicolas Malebranche, who also argued that God is the only true cause. However, Berkeley </w:t>
      </w:r>
      <w:r w:rsidR="00366A6B">
        <w:t xml:space="preserve">distances himself from full-blown occasionalism by emphasising the practical utility of casual language. We may continue to speak of natural causes for the sake of convenience, even though strictly </w:t>
      </w:r>
      <w:r w:rsidR="006C39C5">
        <w:t>speaking God is the true cause</w:t>
      </w:r>
      <w:r w:rsidR="00691D3F">
        <w:t xml:space="preserve">. </w:t>
      </w:r>
      <w:r w:rsidR="00BE4A2C">
        <w:t xml:space="preserve">Criticisms from the likes of </w:t>
      </w:r>
      <w:r w:rsidR="00D71FFB">
        <w:t>David Hume’s scepticism about causation presents a serious challenge to Berkeley</w:t>
      </w:r>
      <w:r w:rsidR="002D4AE1">
        <w:t xml:space="preserve"> at this point</w:t>
      </w:r>
      <w:r w:rsidR="00396096">
        <w:t xml:space="preserve">. Hume agrees with Berkeley that we never perceive necessary connections between events, but he draws a very different conclusion. For Hume, our belief </w:t>
      </w:r>
      <w:r w:rsidR="00AD1701">
        <w:t>in causation arises from custom and habit, not from insight into divine activity</w:t>
      </w:r>
      <w:r w:rsidR="00B84169">
        <w:t>.</w:t>
      </w:r>
      <w:r w:rsidR="00AB625F">
        <w:t xml:space="preserve"> In “An Enquiry Concerning Human Understanding”, Hume argues that “we have no idea of connexion or power at all” beyond constant conjunction</w:t>
      </w:r>
      <w:r w:rsidR="004C1C81">
        <w:rPr>
          <w:rStyle w:val="FootnoteReference"/>
        </w:rPr>
        <w:footnoteReference w:id="9"/>
      </w:r>
      <w:r w:rsidR="004C1C81">
        <w:t>. From this perspective,</w:t>
      </w:r>
      <w:r w:rsidR="00691D3F">
        <w:t xml:space="preserve"> Berkeley’s appeal to God may see unwarranted; if regularity does not require a metaphysical explanation, then God’s causal role appears excessive.</w:t>
      </w:r>
    </w:p>
    <w:p w14:paraId="6D41EE97" w14:textId="563DE636" w:rsidR="00225CA3" w:rsidRDefault="00225CA3" w:rsidP="00E27563">
      <w:r>
        <w:lastRenderedPageBreak/>
        <w:t xml:space="preserve">Another important role God plays in Berkeley’s philosophy is securing the objectivity of the world. Berkeley is often </w:t>
      </w:r>
      <w:r w:rsidR="007D34A8">
        <w:t>accused of endorsing a subjectivist or relativistic account of reality, according to which the world depends entirely on individual minds</w:t>
      </w:r>
      <w:r w:rsidR="00AB01DE">
        <w:t>. Berkeley strongly resists the interpretation, as he repeatedly emphasises that the ideas constituting the world are not private creations of individual perceivers. Instead, they are governed by stable rules established by God.</w:t>
      </w:r>
      <w:r w:rsidR="00CE4FFC">
        <w:t xml:space="preserve"> </w:t>
      </w:r>
    </w:p>
    <w:p w14:paraId="12BB56BA" w14:textId="77BE6C21" w:rsidR="00347C40" w:rsidRDefault="00034FB5" w:rsidP="00E27563">
      <w:r>
        <w:t xml:space="preserve">God’s continuous perception and casual activity ensure that different finite minds inhabit a shared and public world. When two people perceive the same tree, they are not generating separate </w:t>
      </w:r>
      <w:r w:rsidR="001926F0">
        <w:t>private ideas but participating in the same divinely ordered system of ideas. This allows Berkeley</w:t>
      </w:r>
      <w:r w:rsidR="0076148F">
        <w:t xml:space="preserve"> to claim that his immaterialism is fully compatible with common sense, as he insists in his philosophy</w:t>
      </w:r>
      <w:r w:rsidR="00F12BA8">
        <w:t xml:space="preserve"> that it does not destroy reality</w:t>
      </w:r>
      <w:r w:rsidR="00BD739B">
        <w:t xml:space="preserve"> but merely reinterprets it: sensible objects are exactly what we take them </w:t>
      </w:r>
      <w:r w:rsidR="008A61FC">
        <w:t xml:space="preserve">to be in ordinary life, namely things we see and touch, rather than mysterious material </w:t>
      </w:r>
      <w:r w:rsidR="0065116F">
        <w:t>substrate</w:t>
      </w:r>
      <w:r w:rsidR="0070046E">
        <w:t>.</w:t>
      </w:r>
      <w:r w:rsidR="003A722A">
        <w:t xml:space="preserve"> </w:t>
      </w:r>
      <w:r w:rsidR="003A722A">
        <w:t>From a Kantian perspective, Berkeley’s account may appear excessive here</w:t>
      </w:r>
      <w:r w:rsidR="00F86720">
        <w:t xml:space="preserve">, as </w:t>
      </w:r>
      <w:r w:rsidR="00D2790D">
        <w:t>Kant</w:t>
      </w:r>
      <w:r w:rsidR="00F86720">
        <w:t xml:space="preserve"> seeks to secure objectivity through the shared structures of human cognition rather than through divine perception</w:t>
      </w:r>
      <w:r w:rsidR="00D334D1">
        <w:t>. On the flipside, Berkeley’s solution remains coherent, by grounding objectivity in God’s universal perception rather than in matter, he offers a distinctive account in which objectivity preserves without including unknowable matters. Whether this move succeeds ultimately depends on whether God can be accepted as a legitimate source of objectivity, but within Berkeley’s system, God is the essential guarantor of a shared and stable world.</w:t>
      </w:r>
    </w:p>
    <w:p w14:paraId="5A6D1F73" w14:textId="1061065F" w:rsidR="00992D9B" w:rsidRDefault="00DF6B51" w:rsidP="00E27563">
      <w:r>
        <w:t>Thomas Reid, a later critic of Berkeley, argues that this appeal</w:t>
      </w:r>
      <w:r w:rsidR="00682BFB">
        <w:t xml:space="preserve"> to common sense is disingenuous. Reid claims that Berkeley’s system undermines our natural belief in a mid-independent world and replaces it with an elaborate </w:t>
      </w:r>
      <w:r w:rsidR="00293B76">
        <w:t>theological</w:t>
      </w:r>
      <w:r w:rsidR="00682BFB">
        <w:t xml:space="preserve"> construction</w:t>
      </w:r>
      <w:r w:rsidR="00293B76">
        <w:t>. From Reid’s perspective, Berkeley’s reliance on God to secure objectivity reveals the insatiability of immaterialism</w:t>
      </w:r>
      <w:r w:rsidR="004C0CDD">
        <w:t xml:space="preserve">, if belief in God was to be weakened, the entire system would be threatened. This criticism highlights a key </w:t>
      </w:r>
      <w:r w:rsidR="004468E2">
        <w:t>vulnerability</w:t>
      </w:r>
      <w:r w:rsidR="004C0CDD">
        <w:t xml:space="preserve"> in Berkeley’s </w:t>
      </w:r>
      <w:r w:rsidR="002B334F">
        <w:t>philosophy;</w:t>
      </w:r>
      <w:r w:rsidR="004468E2">
        <w:t xml:space="preserve"> its success depends on the plausibility of its theistic foundations.</w:t>
      </w:r>
    </w:p>
    <w:p w14:paraId="233F054F" w14:textId="282CE979" w:rsidR="00541FDF" w:rsidRDefault="006A7392" w:rsidP="00E27563">
      <w:r>
        <w:t>A central aim of Berkeley’s immaterialism is to overcome philosophical scepticism, which he believes arises fro</w:t>
      </w:r>
      <w:r w:rsidR="002B334F">
        <w:t>m the materialist assumption that objects exist independently of perception</w:t>
      </w:r>
      <w:r w:rsidR="00B315F0">
        <w:t>. Berkeley argues that once philosophers posit mind-independent matter, they cre</w:t>
      </w:r>
      <w:r w:rsidR="00C778FE">
        <w:t>ate a gap between ideas and the external world, thereby making it possible to doubt whether our perceptions</w:t>
      </w:r>
      <w:r w:rsidR="00D42EE1">
        <w:t xml:space="preserve"> accurately represent reality</w:t>
      </w:r>
      <w:r w:rsidR="008068D9">
        <w:t>, as he claims scepticism “springs from the opinion of the existence of external bodies”</w:t>
      </w:r>
      <w:r w:rsidR="004C13CD">
        <w:rPr>
          <w:rStyle w:val="FootnoteReference"/>
        </w:rPr>
        <w:footnoteReference w:id="10"/>
      </w:r>
      <w:r w:rsidR="001D5FB9">
        <w:t xml:space="preserve"> By denying material substance altogether, Berkeley seeks to dissolve this scepticism </w:t>
      </w:r>
      <w:r w:rsidR="002D23BC">
        <w:t>rather</w:t>
      </w:r>
      <w:r w:rsidR="001D5FB9">
        <w:t xml:space="preserve"> than refute it</w:t>
      </w:r>
      <w:r w:rsidR="004905F4">
        <w:t xml:space="preserve">. Since sensible objects are nothing more than ideas perceived by the mind, there is no </w:t>
      </w:r>
      <w:r w:rsidR="00203AD8">
        <w:t xml:space="preserve">question of misinterpretation: to perceive an object is simply to encounter it </w:t>
      </w:r>
      <w:r w:rsidR="00BA2F1A">
        <w:t xml:space="preserve">as it exists. Berkeley therefore insists that “so long as I perceive sensible </w:t>
      </w:r>
      <w:r w:rsidR="00BA2F1A">
        <w:lastRenderedPageBreak/>
        <w:t>things, I am certain of their existence</w:t>
      </w:r>
      <w:r w:rsidR="00066BDF">
        <w:t>”</w:t>
      </w:r>
      <w:r w:rsidR="00066BDF">
        <w:rPr>
          <w:rStyle w:val="FootnoteReference"/>
        </w:rPr>
        <w:footnoteReference w:id="11"/>
      </w:r>
      <w:r w:rsidR="00D529B5">
        <w:t>. However, this anti</w:t>
      </w:r>
      <w:r w:rsidR="007E3269">
        <w:t>-sceptical strategy depends crucially on God, as he guarantees the stability, coherence, and objectivity of the system of ideas that constitutes the world</w:t>
      </w:r>
      <w:r w:rsidR="000527EC">
        <w:t>. Without God’s continuous perception</w:t>
      </w:r>
      <w:r w:rsidR="00ED4A2C">
        <w:t xml:space="preserve">, objects would exist only </w:t>
      </w:r>
      <w:r w:rsidR="003710CD">
        <w:t>intermittently, threatening to collapse Berkeley’s philosophy into solipsism</w:t>
      </w:r>
      <w:r w:rsidR="007F31AA">
        <w:t>. Moreover, God’s benevolence ensures the general reliability of sensory experience</w:t>
      </w:r>
      <w:r w:rsidR="00FF1BB7">
        <w:t>, thereby securing</w:t>
      </w:r>
      <w:r w:rsidR="00A832BD">
        <w:t xml:space="preserve"> our trust in perception. </w:t>
      </w:r>
    </w:p>
    <w:p w14:paraId="14E312BB" w14:textId="1A2ADA80" w:rsidR="00A832BD" w:rsidRDefault="00A832BD" w:rsidP="00E27563">
      <w:r>
        <w:t xml:space="preserve">Furthermore, in this respect, Berkeley’s solution closely parallels Descartes’ appeal </w:t>
      </w:r>
      <w:r w:rsidR="00055103">
        <w:t>to a non-deceptive God</w:t>
      </w:r>
      <w:r w:rsidR="006B5428">
        <w:t xml:space="preserve"> in his “Medit</w:t>
      </w:r>
      <w:r w:rsidR="00B44FCC">
        <w:t xml:space="preserve">ations”, though Berkeley replaces material </w:t>
      </w:r>
      <w:r w:rsidR="00735F90">
        <w:t>substance with divine perception as the foundation of certainty</w:t>
      </w:r>
      <w:r w:rsidR="00B05454">
        <w:t>. Nevertheless, this reliance on God has been heavily criticised. David Hume</w:t>
      </w:r>
      <w:r w:rsidR="001F677A">
        <w:t xml:space="preserve"> argues that appeals to divine benevolence</w:t>
      </w:r>
      <w:r w:rsidR="00A9100B">
        <w:t xml:space="preserve"> exceed </w:t>
      </w:r>
      <w:r w:rsidR="002E1A6B">
        <w:t xml:space="preserve">what </w:t>
      </w:r>
      <w:r w:rsidR="00BF33B5">
        <w:t xml:space="preserve">can be justified by experience, claiming that we cannot legitimately infer </w:t>
      </w:r>
      <w:r w:rsidR="00EC0ABE">
        <w:t xml:space="preserve">a benevolent deity from the observed order of the world </w:t>
      </w:r>
      <w:r w:rsidR="00EC0ABE" w:rsidRPr="00EC0ABE">
        <w:t>(Dialogues Concerning Natural Religion, Hume 2007, pp. 75–80)</w:t>
      </w:r>
      <w:r w:rsidR="00F0375A">
        <w:t xml:space="preserve">. From </w:t>
      </w:r>
      <w:r w:rsidR="003E6BC5">
        <w:t xml:space="preserve">a </w:t>
      </w:r>
      <w:proofErr w:type="spellStart"/>
      <w:r w:rsidR="003E6BC5">
        <w:t>Humean</w:t>
      </w:r>
      <w:proofErr w:type="spellEnd"/>
      <w:r w:rsidR="003E6BC5">
        <w:t xml:space="preserve"> perspective, Berkeley’s solution risks being question-begging, since it relies </w:t>
      </w:r>
      <w:r w:rsidR="00B7628F">
        <w:t>on God to secure the reliability of experience while simultaneously using experience to justify belief in God.</w:t>
      </w:r>
      <w:r w:rsidR="00305DC4">
        <w:t xml:space="preserve"> Consequently, while Berkeley</w:t>
      </w:r>
      <w:r w:rsidR="009260BB">
        <w:t xml:space="preserve"> offers a powerful diagnosis of the origins of scepticism and an innovative attempt to eliminate it, his solution ultimately succeeds only if his </w:t>
      </w:r>
      <w:r w:rsidR="004A17A5">
        <w:t>theological commitments are accepted, leaving his response to scepticism vulnerable to those who doubt the legitimacy of theological explanation in philosophy.</w:t>
      </w:r>
    </w:p>
    <w:p w14:paraId="6FA881DA" w14:textId="1094295C" w:rsidR="00924EAE" w:rsidRDefault="00362428" w:rsidP="00E27563">
      <w:r>
        <w:t>I</w:t>
      </w:r>
      <w:r w:rsidR="00B63FFA">
        <w:t>n conclusion, after evaluating Berkeley’s work and his criti</w:t>
      </w:r>
      <w:r w:rsidR="0001469E">
        <w:t>ques, God plays a central role within Berkeley’s philosophy, functioning as a metaphysical foundation of his immaterialist system.</w:t>
      </w:r>
      <w:r w:rsidR="001B1DBF">
        <w:t xml:space="preserve"> Berkeley’s rejection of material substance would be untenable without God’s continuous perception</w:t>
      </w:r>
      <w:r w:rsidR="00D57C28">
        <w:t xml:space="preserve"> sustaining the existence of sensible objects, his divine activity grounding the regularity of nature and his benevolence securing </w:t>
      </w:r>
      <w:r w:rsidR="00FD7779">
        <w:t>reliability of human experience.</w:t>
      </w:r>
      <w:r w:rsidR="00754870">
        <w:t xml:space="preserve"> </w:t>
      </w:r>
      <w:r w:rsidR="00903B63">
        <w:t xml:space="preserve">For Berkeley, God is not an optional </w:t>
      </w:r>
      <w:r w:rsidR="00715ACC">
        <w:t>theological</w:t>
      </w:r>
      <w:r w:rsidR="00903B63">
        <w:t xml:space="preserve"> addition</w:t>
      </w:r>
      <w:r w:rsidR="00B92C36">
        <w:t>, but it helps Berkeley’s immaterialism from collapsing into scepticism. At the same time,</w:t>
      </w:r>
      <w:r w:rsidR="00715ACC">
        <w:t xml:space="preserve"> the reliance he has on God does </w:t>
      </w:r>
      <w:r w:rsidR="00EC11F9">
        <w:t>open</w:t>
      </w:r>
      <w:r w:rsidR="00715ACC">
        <w:t xml:space="preserve"> masses of criticisms</w:t>
      </w:r>
      <w:r w:rsidR="00E943B6">
        <w:t xml:space="preserve"> for his philosophy. One of these is that Berkeley risks replacing the mysteries of matter with equally </w:t>
      </w:r>
      <w:r w:rsidR="0087673A">
        <w:t xml:space="preserve">contentious theological assumptions. Hume and Reid are </w:t>
      </w:r>
      <w:r w:rsidR="00BD76E6">
        <w:t>heavy</w:t>
      </w:r>
      <w:r w:rsidR="0087673A">
        <w:t xml:space="preserve"> critics throughout </w:t>
      </w:r>
      <w:r w:rsidR="00FE361B">
        <w:t xml:space="preserve">argue that Berkeley’s solution to scepticism may be question-begging, and it supposes the existence and attributes that God </w:t>
      </w:r>
      <w:r w:rsidR="00BD76E6">
        <w:t>has attempted to secure objectivity of experiences.</w:t>
      </w:r>
      <w:r w:rsidR="004E6149">
        <w:t xml:space="preserve"> Nevertheless, when assessed on its own terms, Berkeley’s appeal to God is philosophically consistent</w:t>
      </w:r>
      <w:r w:rsidR="00C81933">
        <w:t xml:space="preserve"> and therefore stands or falls with God as a fundamental explanatory principle</w:t>
      </w:r>
      <w:r w:rsidR="004A3C53">
        <w:t>. Thus, the role of God within Berkeley’s philosophy is both its greatest strength and its most persistent vulnerability.</w:t>
      </w:r>
    </w:p>
    <w:p w14:paraId="318E57E9" w14:textId="77777777" w:rsidR="00EC1460" w:rsidRDefault="00EC1460" w:rsidP="00E27563"/>
    <w:p w14:paraId="6FFD77A9" w14:textId="0CDFE32F" w:rsidR="000C029B" w:rsidRPr="00EC1460" w:rsidRDefault="000C029B" w:rsidP="00E27563">
      <w:pPr>
        <w:rPr>
          <w:b/>
          <w:bCs/>
          <w:u w:val="single"/>
        </w:rPr>
      </w:pPr>
      <w:r w:rsidRPr="00EC1460">
        <w:rPr>
          <w:b/>
          <w:bCs/>
          <w:u w:val="single"/>
        </w:rPr>
        <w:t>Bibliography:</w:t>
      </w:r>
    </w:p>
    <w:p w14:paraId="28A63317" w14:textId="77777777" w:rsidR="00EC1460" w:rsidRPr="00EC1460" w:rsidRDefault="00EC1460" w:rsidP="00EC1460">
      <w:pPr>
        <w:rPr>
          <w:i/>
          <w:iCs/>
        </w:rPr>
      </w:pPr>
      <w:r w:rsidRPr="00EC1460">
        <w:rPr>
          <w:i/>
          <w:iCs/>
        </w:rPr>
        <w:lastRenderedPageBreak/>
        <w:t>Berkeley, George. A Treatise Concerning the Principles of Human Knowledge. 1710. Edited by Jonathan Dancy. Oxford: Oxford University Press, 1998.</w:t>
      </w:r>
    </w:p>
    <w:p w14:paraId="0B02D05A" w14:textId="77777777" w:rsidR="00EC1460" w:rsidRPr="00EC1460" w:rsidRDefault="00EC1460" w:rsidP="00EC1460">
      <w:pPr>
        <w:rPr>
          <w:i/>
          <w:iCs/>
        </w:rPr>
      </w:pPr>
      <w:r w:rsidRPr="00EC1460">
        <w:rPr>
          <w:i/>
          <w:iCs/>
        </w:rPr>
        <w:t xml:space="preserve">Berkeley, George. Three Dialogues between Hylas and </w:t>
      </w:r>
      <w:proofErr w:type="spellStart"/>
      <w:r w:rsidRPr="00EC1460">
        <w:rPr>
          <w:i/>
          <w:iCs/>
        </w:rPr>
        <w:t>Philonous</w:t>
      </w:r>
      <w:proofErr w:type="spellEnd"/>
      <w:r w:rsidRPr="00EC1460">
        <w:rPr>
          <w:i/>
          <w:iCs/>
        </w:rPr>
        <w:t>. 1713. Edited by Jonathan Dancy. Oxford: Oxford University Press, 1998.</w:t>
      </w:r>
    </w:p>
    <w:p w14:paraId="05FFBBC1" w14:textId="77777777" w:rsidR="00EC1460" w:rsidRPr="00EC1460" w:rsidRDefault="00EC1460" w:rsidP="00EC1460">
      <w:pPr>
        <w:rPr>
          <w:i/>
          <w:iCs/>
        </w:rPr>
      </w:pPr>
      <w:r w:rsidRPr="00EC1460">
        <w:rPr>
          <w:i/>
          <w:iCs/>
        </w:rPr>
        <w:t>Hume, David. An Enquiry Concerning Human Understanding. 1748. Edited by Tom L. Beauchamp. Oxford: Oxford University Press, 2000.</w:t>
      </w:r>
    </w:p>
    <w:p w14:paraId="2249DAC0" w14:textId="77777777" w:rsidR="000C029B" w:rsidRDefault="000C029B" w:rsidP="00E27563"/>
    <w:p w14:paraId="082E33B1" w14:textId="77777777" w:rsidR="004A17A5" w:rsidRPr="00BB15DD" w:rsidRDefault="004A17A5" w:rsidP="00E27563"/>
    <w:sectPr w:rsidR="004A17A5" w:rsidRPr="00BB15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4B630" w14:textId="77777777" w:rsidR="00C65753" w:rsidRDefault="00C65753" w:rsidP="00C65753">
      <w:pPr>
        <w:spacing w:after="0" w:line="240" w:lineRule="auto"/>
      </w:pPr>
      <w:r>
        <w:separator/>
      </w:r>
    </w:p>
  </w:endnote>
  <w:endnote w:type="continuationSeparator" w:id="0">
    <w:p w14:paraId="4A5F05F3" w14:textId="77777777" w:rsidR="00C65753" w:rsidRDefault="00C65753" w:rsidP="00C657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49B2A" w14:textId="77777777" w:rsidR="00C65753" w:rsidRDefault="00C65753" w:rsidP="00C65753">
      <w:pPr>
        <w:spacing w:after="0" w:line="240" w:lineRule="auto"/>
      </w:pPr>
      <w:r>
        <w:separator/>
      </w:r>
    </w:p>
  </w:footnote>
  <w:footnote w:type="continuationSeparator" w:id="0">
    <w:p w14:paraId="3BB821F8" w14:textId="77777777" w:rsidR="00C65753" w:rsidRDefault="00C65753" w:rsidP="00C65753">
      <w:pPr>
        <w:spacing w:after="0" w:line="240" w:lineRule="auto"/>
      </w:pPr>
      <w:r>
        <w:continuationSeparator/>
      </w:r>
    </w:p>
  </w:footnote>
  <w:footnote w:id="1">
    <w:p w14:paraId="43EC4642" w14:textId="426CD50C" w:rsidR="00C65753" w:rsidRDefault="00C65753">
      <w:pPr>
        <w:pStyle w:val="FootnoteText"/>
      </w:pPr>
      <w:r>
        <w:rPr>
          <w:rStyle w:val="FootnoteReference"/>
        </w:rPr>
        <w:footnoteRef/>
      </w:r>
      <w:r>
        <w:t xml:space="preserve"> </w:t>
      </w:r>
      <w:r>
        <w:rPr>
          <w:color w:val="000000"/>
        </w:rPr>
        <w:t>Berkeley,</w:t>
      </w:r>
      <w:r>
        <w:rPr>
          <w:rStyle w:val="apple-converted-space"/>
          <w:color w:val="000000"/>
        </w:rPr>
        <w:t> </w:t>
      </w:r>
      <w:r>
        <w:rPr>
          <w:rStyle w:val="Emphasis"/>
          <w:color w:val="000000"/>
        </w:rPr>
        <w:t>Treatise</w:t>
      </w:r>
      <w:r>
        <w:rPr>
          <w:color w:val="000000"/>
        </w:rPr>
        <w:t>, §6; Berkeley 1998, p. 26</w:t>
      </w:r>
    </w:p>
  </w:footnote>
  <w:footnote w:id="2">
    <w:p w14:paraId="3CDED029" w14:textId="04A4C5EE" w:rsidR="009E67CE" w:rsidRDefault="009E67CE">
      <w:pPr>
        <w:pStyle w:val="FootnoteText"/>
      </w:pPr>
      <w:r>
        <w:rPr>
          <w:rStyle w:val="FootnoteReference"/>
        </w:rPr>
        <w:footnoteRef/>
      </w:r>
      <w:r>
        <w:t xml:space="preserve"> </w:t>
      </w:r>
      <w:r>
        <w:rPr>
          <w:rStyle w:val="Emphasis"/>
          <w:color w:val="000000"/>
        </w:rPr>
        <w:t>Treatise</w:t>
      </w:r>
      <w:r>
        <w:rPr>
          <w:color w:val="000000"/>
        </w:rPr>
        <w:t>, §17; Berkeley 1998, p. 44</w:t>
      </w:r>
    </w:p>
  </w:footnote>
  <w:footnote w:id="3">
    <w:p w14:paraId="49B19680" w14:textId="0C5128AA" w:rsidR="004C39CB" w:rsidRDefault="004C39CB">
      <w:pPr>
        <w:pStyle w:val="FootnoteText"/>
      </w:pPr>
      <w:r>
        <w:rPr>
          <w:rStyle w:val="FootnoteReference"/>
        </w:rPr>
        <w:footnoteRef/>
      </w:r>
      <w:r>
        <w:t xml:space="preserve"> </w:t>
      </w:r>
      <w:r>
        <w:rPr>
          <w:color w:val="000000"/>
        </w:rPr>
        <w:t>Berkeley,</w:t>
      </w:r>
      <w:r>
        <w:rPr>
          <w:rStyle w:val="apple-converted-space"/>
          <w:color w:val="000000"/>
        </w:rPr>
        <w:t> </w:t>
      </w:r>
      <w:r>
        <w:rPr>
          <w:rStyle w:val="Emphasis"/>
          <w:color w:val="000000"/>
        </w:rPr>
        <w:t>Dialogues</w:t>
      </w:r>
      <w:r>
        <w:rPr>
          <w:color w:val="000000"/>
        </w:rPr>
        <w:t>, First Dialogue; Berkeley 1998, p. 171</w:t>
      </w:r>
    </w:p>
  </w:footnote>
  <w:footnote w:id="4">
    <w:p w14:paraId="076A3B5A" w14:textId="4ED0C517" w:rsidR="001629EE" w:rsidRDefault="001629EE">
      <w:pPr>
        <w:pStyle w:val="FootnoteText"/>
      </w:pPr>
      <w:r>
        <w:rPr>
          <w:rStyle w:val="FootnoteReference"/>
        </w:rPr>
        <w:footnoteRef/>
      </w:r>
      <w:r>
        <w:t xml:space="preserve"> </w:t>
      </w:r>
      <w:r>
        <w:rPr>
          <w:rStyle w:val="Emphasis"/>
          <w:color w:val="000000"/>
        </w:rPr>
        <w:t>Treatise</w:t>
      </w:r>
      <w:r>
        <w:rPr>
          <w:color w:val="000000"/>
        </w:rPr>
        <w:t>, §3; Berkeley 1998, p. 24)</w:t>
      </w:r>
    </w:p>
  </w:footnote>
  <w:footnote w:id="5">
    <w:p w14:paraId="4D7275E2" w14:textId="368B6C81" w:rsidR="00EA781B" w:rsidRDefault="00EA781B">
      <w:pPr>
        <w:pStyle w:val="FootnoteText"/>
      </w:pPr>
      <w:r>
        <w:rPr>
          <w:rStyle w:val="FootnoteReference"/>
        </w:rPr>
        <w:footnoteRef/>
      </w:r>
      <w:r>
        <w:t xml:space="preserve"> </w:t>
      </w:r>
      <w:r w:rsidRPr="00EA781B">
        <w:t>Treatise, §33; Berkeley 1998, p. 63</w:t>
      </w:r>
    </w:p>
  </w:footnote>
  <w:footnote w:id="6">
    <w:p w14:paraId="3AC062A5" w14:textId="4A477F2D" w:rsidR="00633752" w:rsidRDefault="00633752">
      <w:pPr>
        <w:pStyle w:val="FootnoteText"/>
      </w:pPr>
      <w:r>
        <w:rPr>
          <w:rStyle w:val="FootnoteReference"/>
        </w:rPr>
        <w:footnoteRef/>
      </w:r>
      <w:r>
        <w:t xml:space="preserve"> </w:t>
      </w:r>
      <w:r>
        <w:rPr>
          <w:rStyle w:val="Emphasis"/>
          <w:color w:val="000000"/>
        </w:rPr>
        <w:t>Treatise</w:t>
      </w:r>
      <w:r>
        <w:rPr>
          <w:color w:val="000000"/>
        </w:rPr>
        <w:t>, §33; Berkeley 1998, p. 63</w:t>
      </w:r>
    </w:p>
  </w:footnote>
  <w:footnote w:id="7">
    <w:p w14:paraId="6F53520B" w14:textId="4186190C" w:rsidR="00303D35" w:rsidRDefault="00303D35">
      <w:pPr>
        <w:pStyle w:val="FootnoteText"/>
      </w:pPr>
      <w:r>
        <w:rPr>
          <w:rStyle w:val="FootnoteReference"/>
        </w:rPr>
        <w:footnoteRef/>
      </w:r>
      <w:r>
        <w:t xml:space="preserve"> </w:t>
      </w:r>
      <w:r>
        <w:rPr>
          <w:rStyle w:val="Emphasis"/>
          <w:color w:val="000000"/>
        </w:rPr>
        <w:t>Treatise</w:t>
      </w:r>
      <w:r>
        <w:rPr>
          <w:color w:val="000000"/>
        </w:rPr>
        <w:t>, §25; Berkeley 1998, p. 51</w:t>
      </w:r>
    </w:p>
  </w:footnote>
  <w:footnote w:id="8">
    <w:p w14:paraId="55CD5E88" w14:textId="5C804DAE" w:rsidR="00F942C6" w:rsidRDefault="00F942C6">
      <w:pPr>
        <w:pStyle w:val="FootnoteText"/>
      </w:pPr>
      <w:r>
        <w:rPr>
          <w:rStyle w:val="FootnoteReference"/>
        </w:rPr>
        <w:footnoteRef/>
      </w:r>
      <w:r>
        <w:t xml:space="preserve"> </w:t>
      </w:r>
      <w:r>
        <w:rPr>
          <w:rStyle w:val="Emphasis"/>
          <w:color w:val="000000"/>
        </w:rPr>
        <w:t>Treatise</w:t>
      </w:r>
      <w:r>
        <w:rPr>
          <w:color w:val="000000"/>
        </w:rPr>
        <w:t>, §30; Berkeley 1998, p. 58</w:t>
      </w:r>
    </w:p>
  </w:footnote>
  <w:footnote w:id="9">
    <w:p w14:paraId="50F48D2B" w14:textId="40CB439F" w:rsidR="004C1C81" w:rsidRDefault="004C1C81">
      <w:pPr>
        <w:pStyle w:val="FootnoteText"/>
      </w:pPr>
      <w:r>
        <w:rPr>
          <w:rStyle w:val="FootnoteReference"/>
        </w:rPr>
        <w:footnoteRef/>
      </w:r>
      <w:r>
        <w:t xml:space="preserve"> </w:t>
      </w:r>
      <w:r w:rsidRPr="004C1C81">
        <w:t>Hume 2000, p. 63</w:t>
      </w:r>
    </w:p>
  </w:footnote>
  <w:footnote w:id="10">
    <w:p w14:paraId="00BDC8B7" w14:textId="37763CBC" w:rsidR="004C13CD" w:rsidRDefault="004C13CD" w:rsidP="006F5128">
      <w:pPr>
        <w:pStyle w:val="FootnoteText"/>
        <w:tabs>
          <w:tab w:val="right" w:pos="9026"/>
        </w:tabs>
      </w:pPr>
      <w:r>
        <w:rPr>
          <w:rStyle w:val="FootnoteReference"/>
        </w:rPr>
        <w:footnoteRef/>
      </w:r>
      <w:r>
        <w:t xml:space="preserve"> </w:t>
      </w:r>
      <w:r w:rsidRPr="004C13CD">
        <w:t>Treatise, §86; Berkeley 1998, p. 100</w:t>
      </w:r>
      <w:r w:rsidR="006F5128">
        <w:tab/>
      </w:r>
    </w:p>
  </w:footnote>
  <w:footnote w:id="11">
    <w:p w14:paraId="197DD55C" w14:textId="79BF2F75" w:rsidR="00066BDF" w:rsidRDefault="00066BDF">
      <w:pPr>
        <w:pStyle w:val="FootnoteText"/>
      </w:pPr>
      <w:r>
        <w:rPr>
          <w:rStyle w:val="FootnoteReference"/>
        </w:rPr>
        <w:footnoteRef/>
      </w:r>
      <w:r>
        <w:t xml:space="preserve"> </w:t>
      </w:r>
      <w:r w:rsidRPr="00066BDF">
        <w:t>Treatise, §38; Berkeley 1998, p. 67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563"/>
    <w:rsid w:val="00006979"/>
    <w:rsid w:val="000135CD"/>
    <w:rsid w:val="0001469E"/>
    <w:rsid w:val="00034FB5"/>
    <w:rsid w:val="000352E0"/>
    <w:rsid w:val="00050006"/>
    <w:rsid w:val="000527EC"/>
    <w:rsid w:val="00055103"/>
    <w:rsid w:val="00066BDF"/>
    <w:rsid w:val="00096A7B"/>
    <w:rsid w:val="000C029B"/>
    <w:rsid w:val="000D25BB"/>
    <w:rsid w:val="000F4324"/>
    <w:rsid w:val="001038A0"/>
    <w:rsid w:val="00120D6A"/>
    <w:rsid w:val="001629EE"/>
    <w:rsid w:val="001926F0"/>
    <w:rsid w:val="001B1DBF"/>
    <w:rsid w:val="001D5FB9"/>
    <w:rsid w:val="001F677A"/>
    <w:rsid w:val="00203AD8"/>
    <w:rsid w:val="00215957"/>
    <w:rsid w:val="00225CA3"/>
    <w:rsid w:val="00225FE6"/>
    <w:rsid w:val="002446C8"/>
    <w:rsid w:val="00257D27"/>
    <w:rsid w:val="00281C84"/>
    <w:rsid w:val="00291457"/>
    <w:rsid w:val="00293B76"/>
    <w:rsid w:val="00296DA0"/>
    <w:rsid w:val="002B334F"/>
    <w:rsid w:val="002D23BC"/>
    <w:rsid w:val="002D4AE1"/>
    <w:rsid w:val="002E1A6B"/>
    <w:rsid w:val="00303D35"/>
    <w:rsid w:val="00305DC4"/>
    <w:rsid w:val="0030627D"/>
    <w:rsid w:val="00347C40"/>
    <w:rsid w:val="00350EF0"/>
    <w:rsid w:val="00362428"/>
    <w:rsid w:val="00366A6B"/>
    <w:rsid w:val="003710CD"/>
    <w:rsid w:val="00396096"/>
    <w:rsid w:val="003A722A"/>
    <w:rsid w:val="003E6BC5"/>
    <w:rsid w:val="00414E25"/>
    <w:rsid w:val="004468E2"/>
    <w:rsid w:val="004905F4"/>
    <w:rsid w:val="004A17A5"/>
    <w:rsid w:val="004A3C53"/>
    <w:rsid w:val="004C0CDD"/>
    <w:rsid w:val="004C13CD"/>
    <w:rsid w:val="004C1C81"/>
    <w:rsid w:val="004C35AD"/>
    <w:rsid w:val="004C39CB"/>
    <w:rsid w:val="004D3A26"/>
    <w:rsid w:val="004E6149"/>
    <w:rsid w:val="004F5811"/>
    <w:rsid w:val="005015B9"/>
    <w:rsid w:val="00513EAB"/>
    <w:rsid w:val="005304DC"/>
    <w:rsid w:val="00541FDF"/>
    <w:rsid w:val="00547AAB"/>
    <w:rsid w:val="00566F03"/>
    <w:rsid w:val="005C4A15"/>
    <w:rsid w:val="005D142B"/>
    <w:rsid w:val="005E00D1"/>
    <w:rsid w:val="005F4847"/>
    <w:rsid w:val="00612241"/>
    <w:rsid w:val="0062075E"/>
    <w:rsid w:val="00633752"/>
    <w:rsid w:val="0065116F"/>
    <w:rsid w:val="00682BFB"/>
    <w:rsid w:val="00690CC2"/>
    <w:rsid w:val="00691D3F"/>
    <w:rsid w:val="006A3E02"/>
    <w:rsid w:val="006A7392"/>
    <w:rsid w:val="006B5428"/>
    <w:rsid w:val="006C0943"/>
    <w:rsid w:val="006C39C5"/>
    <w:rsid w:val="006F5128"/>
    <w:rsid w:val="0070046E"/>
    <w:rsid w:val="00715ACC"/>
    <w:rsid w:val="00735F90"/>
    <w:rsid w:val="00754870"/>
    <w:rsid w:val="0076148F"/>
    <w:rsid w:val="007870A8"/>
    <w:rsid w:val="00794B8C"/>
    <w:rsid w:val="007D34A8"/>
    <w:rsid w:val="007D536E"/>
    <w:rsid w:val="007E3269"/>
    <w:rsid w:val="007F31AA"/>
    <w:rsid w:val="00800D9B"/>
    <w:rsid w:val="00803575"/>
    <w:rsid w:val="008068D9"/>
    <w:rsid w:val="00811714"/>
    <w:rsid w:val="008139BB"/>
    <w:rsid w:val="00850292"/>
    <w:rsid w:val="00860F82"/>
    <w:rsid w:val="0087673A"/>
    <w:rsid w:val="00880008"/>
    <w:rsid w:val="008957C0"/>
    <w:rsid w:val="008A61FC"/>
    <w:rsid w:val="008E0453"/>
    <w:rsid w:val="0090340D"/>
    <w:rsid w:val="00903B63"/>
    <w:rsid w:val="00923274"/>
    <w:rsid w:val="00924EAE"/>
    <w:rsid w:val="009260BB"/>
    <w:rsid w:val="00956736"/>
    <w:rsid w:val="00984345"/>
    <w:rsid w:val="00991963"/>
    <w:rsid w:val="00992D9B"/>
    <w:rsid w:val="009A4277"/>
    <w:rsid w:val="009E045D"/>
    <w:rsid w:val="009E67CE"/>
    <w:rsid w:val="009F37D9"/>
    <w:rsid w:val="00A21E09"/>
    <w:rsid w:val="00A434E7"/>
    <w:rsid w:val="00A60AB9"/>
    <w:rsid w:val="00A81EC5"/>
    <w:rsid w:val="00A832BD"/>
    <w:rsid w:val="00A9100B"/>
    <w:rsid w:val="00AA4FE8"/>
    <w:rsid w:val="00AB01DE"/>
    <w:rsid w:val="00AB625F"/>
    <w:rsid w:val="00AC2FED"/>
    <w:rsid w:val="00AC5251"/>
    <w:rsid w:val="00AD1701"/>
    <w:rsid w:val="00AD730F"/>
    <w:rsid w:val="00B05454"/>
    <w:rsid w:val="00B138F0"/>
    <w:rsid w:val="00B315F0"/>
    <w:rsid w:val="00B44FCC"/>
    <w:rsid w:val="00B47129"/>
    <w:rsid w:val="00B639BE"/>
    <w:rsid w:val="00B63FFA"/>
    <w:rsid w:val="00B7628F"/>
    <w:rsid w:val="00B8073B"/>
    <w:rsid w:val="00B82919"/>
    <w:rsid w:val="00B84169"/>
    <w:rsid w:val="00B92C36"/>
    <w:rsid w:val="00BA2668"/>
    <w:rsid w:val="00BA2F1A"/>
    <w:rsid w:val="00BA616E"/>
    <w:rsid w:val="00BB15DD"/>
    <w:rsid w:val="00BD04A2"/>
    <w:rsid w:val="00BD739B"/>
    <w:rsid w:val="00BD76E6"/>
    <w:rsid w:val="00BE4A2C"/>
    <w:rsid w:val="00BF33B5"/>
    <w:rsid w:val="00C049DB"/>
    <w:rsid w:val="00C313C1"/>
    <w:rsid w:val="00C40056"/>
    <w:rsid w:val="00C65753"/>
    <w:rsid w:val="00C778FE"/>
    <w:rsid w:val="00C81933"/>
    <w:rsid w:val="00CC3D9D"/>
    <w:rsid w:val="00CE4FFC"/>
    <w:rsid w:val="00D032B1"/>
    <w:rsid w:val="00D13D90"/>
    <w:rsid w:val="00D146E0"/>
    <w:rsid w:val="00D2269A"/>
    <w:rsid w:val="00D2790D"/>
    <w:rsid w:val="00D334D1"/>
    <w:rsid w:val="00D42EE1"/>
    <w:rsid w:val="00D529B5"/>
    <w:rsid w:val="00D57C28"/>
    <w:rsid w:val="00D6397F"/>
    <w:rsid w:val="00D658DB"/>
    <w:rsid w:val="00D70E18"/>
    <w:rsid w:val="00D71FFB"/>
    <w:rsid w:val="00D85C0B"/>
    <w:rsid w:val="00DA5CD7"/>
    <w:rsid w:val="00DA795D"/>
    <w:rsid w:val="00DB3D9E"/>
    <w:rsid w:val="00DF6B51"/>
    <w:rsid w:val="00E05BCC"/>
    <w:rsid w:val="00E27563"/>
    <w:rsid w:val="00E551F0"/>
    <w:rsid w:val="00E7271F"/>
    <w:rsid w:val="00E943B6"/>
    <w:rsid w:val="00EA60F1"/>
    <w:rsid w:val="00EA781B"/>
    <w:rsid w:val="00EB128C"/>
    <w:rsid w:val="00EC0ABE"/>
    <w:rsid w:val="00EC11F9"/>
    <w:rsid w:val="00EC1460"/>
    <w:rsid w:val="00ED4A2C"/>
    <w:rsid w:val="00EE0B38"/>
    <w:rsid w:val="00EE59AF"/>
    <w:rsid w:val="00F0375A"/>
    <w:rsid w:val="00F12BA8"/>
    <w:rsid w:val="00F150E5"/>
    <w:rsid w:val="00F36A17"/>
    <w:rsid w:val="00F62BB0"/>
    <w:rsid w:val="00F65D9D"/>
    <w:rsid w:val="00F84E50"/>
    <w:rsid w:val="00F86720"/>
    <w:rsid w:val="00F939C9"/>
    <w:rsid w:val="00F942C6"/>
    <w:rsid w:val="00FA6075"/>
    <w:rsid w:val="00FB14EE"/>
    <w:rsid w:val="00FD7779"/>
    <w:rsid w:val="00FE361B"/>
    <w:rsid w:val="00FF1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E2C7AD"/>
  <w15:chartTrackingRefBased/>
  <w15:docId w15:val="{9DBD7727-9845-9845-AAEA-DEE36B496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75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75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75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75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75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75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75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75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75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75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75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75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75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75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75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75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75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7563"/>
    <w:rPr>
      <w:rFonts w:eastAsiaTheme="majorEastAsia" w:cstheme="majorBidi"/>
      <w:color w:val="272727" w:themeColor="text1" w:themeTint="D8"/>
    </w:rPr>
  </w:style>
  <w:style w:type="paragraph" w:styleId="Title">
    <w:name w:val="Title"/>
    <w:basedOn w:val="Normal"/>
    <w:next w:val="Normal"/>
    <w:link w:val="TitleChar"/>
    <w:uiPriority w:val="10"/>
    <w:qFormat/>
    <w:rsid w:val="00E275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5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75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75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7563"/>
    <w:pPr>
      <w:spacing w:before="160"/>
      <w:jc w:val="center"/>
    </w:pPr>
    <w:rPr>
      <w:i/>
      <w:iCs/>
      <w:color w:val="404040" w:themeColor="text1" w:themeTint="BF"/>
    </w:rPr>
  </w:style>
  <w:style w:type="character" w:customStyle="1" w:styleId="QuoteChar">
    <w:name w:val="Quote Char"/>
    <w:basedOn w:val="DefaultParagraphFont"/>
    <w:link w:val="Quote"/>
    <w:uiPriority w:val="29"/>
    <w:rsid w:val="00E27563"/>
    <w:rPr>
      <w:i/>
      <w:iCs/>
      <w:color w:val="404040" w:themeColor="text1" w:themeTint="BF"/>
    </w:rPr>
  </w:style>
  <w:style w:type="paragraph" w:styleId="ListParagraph">
    <w:name w:val="List Paragraph"/>
    <w:basedOn w:val="Normal"/>
    <w:uiPriority w:val="34"/>
    <w:qFormat/>
    <w:rsid w:val="00E27563"/>
    <w:pPr>
      <w:ind w:left="720"/>
      <w:contextualSpacing/>
    </w:pPr>
  </w:style>
  <w:style w:type="character" w:styleId="IntenseEmphasis">
    <w:name w:val="Intense Emphasis"/>
    <w:basedOn w:val="DefaultParagraphFont"/>
    <w:uiPriority w:val="21"/>
    <w:qFormat/>
    <w:rsid w:val="00E27563"/>
    <w:rPr>
      <w:i/>
      <w:iCs/>
      <w:color w:val="0F4761" w:themeColor="accent1" w:themeShade="BF"/>
    </w:rPr>
  </w:style>
  <w:style w:type="paragraph" w:styleId="IntenseQuote">
    <w:name w:val="Intense Quote"/>
    <w:basedOn w:val="Normal"/>
    <w:next w:val="Normal"/>
    <w:link w:val="IntenseQuoteChar"/>
    <w:uiPriority w:val="30"/>
    <w:qFormat/>
    <w:rsid w:val="00E275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7563"/>
    <w:rPr>
      <w:i/>
      <w:iCs/>
      <w:color w:val="0F4761" w:themeColor="accent1" w:themeShade="BF"/>
    </w:rPr>
  </w:style>
  <w:style w:type="character" w:styleId="IntenseReference">
    <w:name w:val="Intense Reference"/>
    <w:basedOn w:val="DefaultParagraphFont"/>
    <w:uiPriority w:val="32"/>
    <w:qFormat/>
    <w:rsid w:val="00E27563"/>
    <w:rPr>
      <w:b/>
      <w:bCs/>
      <w:smallCaps/>
      <w:color w:val="0F4761" w:themeColor="accent1" w:themeShade="BF"/>
      <w:spacing w:val="5"/>
    </w:rPr>
  </w:style>
  <w:style w:type="paragraph" w:styleId="FootnoteText">
    <w:name w:val="footnote text"/>
    <w:basedOn w:val="Normal"/>
    <w:link w:val="FootnoteTextChar"/>
    <w:uiPriority w:val="99"/>
    <w:semiHidden/>
    <w:unhideWhenUsed/>
    <w:rsid w:val="00C657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5753"/>
    <w:rPr>
      <w:sz w:val="20"/>
      <w:szCs w:val="20"/>
    </w:rPr>
  </w:style>
  <w:style w:type="character" w:styleId="FootnoteReference">
    <w:name w:val="footnote reference"/>
    <w:basedOn w:val="DefaultParagraphFont"/>
    <w:uiPriority w:val="99"/>
    <w:semiHidden/>
    <w:unhideWhenUsed/>
    <w:rsid w:val="00C65753"/>
    <w:rPr>
      <w:vertAlign w:val="superscript"/>
    </w:rPr>
  </w:style>
  <w:style w:type="character" w:customStyle="1" w:styleId="apple-converted-space">
    <w:name w:val="apple-converted-space"/>
    <w:basedOn w:val="DefaultParagraphFont"/>
    <w:rsid w:val="00C65753"/>
  </w:style>
  <w:style w:type="character" w:styleId="Emphasis">
    <w:name w:val="Emphasis"/>
    <w:basedOn w:val="DefaultParagraphFont"/>
    <w:uiPriority w:val="20"/>
    <w:qFormat/>
    <w:rsid w:val="00C65753"/>
    <w:rPr>
      <w:i/>
      <w:iCs/>
    </w:rPr>
  </w:style>
  <w:style w:type="paragraph" w:styleId="Header">
    <w:name w:val="header"/>
    <w:basedOn w:val="Normal"/>
    <w:link w:val="HeaderChar"/>
    <w:uiPriority w:val="99"/>
    <w:unhideWhenUsed/>
    <w:rsid w:val="004F58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811"/>
  </w:style>
  <w:style w:type="paragraph" w:styleId="Footer">
    <w:name w:val="footer"/>
    <w:basedOn w:val="Normal"/>
    <w:link w:val="FooterChar"/>
    <w:uiPriority w:val="99"/>
    <w:unhideWhenUsed/>
    <w:rsid w:val="004F58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811"/>
  </w:style>
  <w:style w:type="paragraph" w:styleId="NormalWeb">
    <w:name w:val="Normal (Web)"/>
    <w:basedOn w:val="Normal"/>
    <w:uiPriority w:val="99"/>
    <w:semiHidden/>
    <w:unhideWhenUsed/>
    <w:rsid w:val="00EC1460"/>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AB229-5738-1048-B4E2-2E9B66907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2253</Words>
  <Characters>12844</Characters>
  <Application>Microsoft Office Word</Application>
  <DocSecurity>0</DocSecurity>
  <Lines>107</Lines>
  <Paragraphs>30</Paragraphs>
  <ScaleCrop>false</ScaleCrop>
  <Company/>
  <LinksUpToDate>false</LinksUpToDate>
  <CharactersWithSpaces>15067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Stephens-Hockridge (2405276)</dc:creator>
  <cp:keywords/>
  <dc:description/>
  <cp:lastModifiedBy>Kelsey Stephens-Hockridge (2405276)</cp:lastModifiedBy>
  <cp:revision>2</cp:revision>
  <dcterms:created xsi:type="dcterms:W3CDTF">2026-01-14T10:22:00Z</dcterms:created>
  <dcterms:modified xsi:type="dcterms:W3CDTF">2026-01-14T10:22:00Z</dcterms:modified>
</cp:coreProperties>
</file>