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798FB0" w14:textId="6C70661B" w:rsidR="00D63BF8" w:rsidRDefault="00D91DB9" w:rsidP="005F53AC">
      <w:pPr>
        <w:jc w:val="center"/>
        <w:rPr>
          <w:rFonts w:ascii="Arial" w:hAnsi="Arial" w:cs="Arial"/>
          <w:sz w:val="48"/>
          <w:szCs w:val="4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2F0A14EB" wp14:editId="43488DE9">
            <wp:simplePos x="0" y="0"/>
            <wp:positionH relativeFrom="column">
              <wp:posOffset>-616688</wp:posOffset>
            </wp:positionH>
            <wp:positionV relativeFrom="paragraph">
              <wp:posOffset>265</wp:posOffset>
            </wp:positionV>
            <wp:extent cx="2860675" cy="141859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141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72532E" w14:textId="77777777" w:rsidR="00D63BF8" w:rsidRDefault="00D63BF8" w:rsidP="005F53AC">
      <w:pPr>
        <w:jc w:val="center"/>
        <w:rPr>
          <w:rFonts w:ascii="Arial" w:hAnsi="Arial" w:cs="Arial"/>
          <w:sz w:val="48"/>
          <w:szCs w:val="48"/>
        </w:rPr>
      </w:pPr>
    </w:p>
    <w:p w14:paraId="2AD48331" w14:textId="77777777" w:rsidR="00D63BF8" w:rsidRDefault="00D63BF8" w:rsidP="005F53AC">
      <w:pPr>
        <w:jc w:val="center"/>
        <w:rPr>
          <w:rFonts w:ascii="Arial" w:hAnsi="Arial" w:cs="Arial"/>
          <w:sz w:val="48"/>
          <w:szCs w:val="48"/>
        </w:rPr>
      </w:pPr>
    </w:p>
    <w:p w14:paraId="333C0E49" w14:textId="77777777" w:rsidR="00D63BF8" w:rsidRDefault="00D63BF8" w:rsidP="005F53AC">
      <w:pPr>
        <w:jc w:val="center"/>
        <w:rPr>
          <w:rFonts w:ascii="Arial" w:hAnsi="Arial" w:cs="Arial"/>
          <w:sz w:val="48"/>
          <w:szCs w:val="48"/>
        </w:rPr>
      </w:pPr>
    </w:p>
    <w:p w14:paraId="7C57C52E" w14:textId="77777777" w:rsidR="00D63BF8" w:rsidRDefault="00D63BF8" w:rsidP="005F53AC">
      <w:pPr>
        <w:jc w:val="center"/>
        <w:rPr>
          <w:rFonts w:ascii="Arial" w:hAnsi="Arial" w:cs="Arial"/>
          <w:sz w:val="48"/>
          <w:szCs w:val="48"/>
        </w:rPr>
      </w:pPr>
    </w:p>
    <w:p w14:paraId="49F90DA8" w14:textId="77777777" w:rsidR="00D63BF8" w:rsidRDefault="00D63BF8" w:rsidP="005F53AC">
      <w:pPr>
        <w:jc w:val="center"/>
        <w:rPr>
          <w:rFonts w:ascii="Arial" w:hAnsi="Arial" w:cs="Arial"/>
          <w:sz w:val="48"/>
          <w:szCs w:val="48"/>
        </w:rPr>
      </w:pPr>
    </w:p>
    <w:p w14:paraId="075C7178" w14:textId="4E345DA3" w:rsidR="002205AE" w:rsidRPr="00F308DA" w:rsidRDefault="002205AE" w:rsidP="005F53AC">
      <w:pPr>
        <w:jc w:val="center"/>
        <w:rPr>
          <w:rFonts w:ascii="Arial" w:hAnsi="Arial" w:cs="Arial"/>
          <w:sz w:val="48"/>
          <w:szCs w:val="48"/>
        </w:rPr>
      </w:pPr>
      <w:r w:rsidRPr="00F308DA">
        <w:rPr>
          <w:rFonts w:ascii="Arial" w:hAnsi="Arial" w:cs="Arial"/>
          <w:sz w:val="48"/>
          <w:szCs w:val="48"/>
        </w:rPr>
        <w:t>BSc (Hons) Health and Social Care Module: Independent Project (BMHP6020)</w:t>
      </w:r>
    </w:p>
    <w:p w14:paraId="0F99E8A7" w14:textId="29A25441" w:rsidR="002205AE" w:rsidRPr="00F308DA" w:rsidRDefault="002205AE" w:rsidP="005F53AC">
      <w:pPr>
        <w:jc w:val="center"/>
        <w:rPr>
          <w:rFonts w:ascii="Arial" w:hAnsi="Arial" w:cs="Arial"/>
          <w:sz w:val="48"/>
          <w:szCs w:val="48"/>
        </w:rPr>
      </w:pPr>
      <w:r w:rsidRPr="00F308DA">
        <w:rPr>
          <w:rFonts w:ascii="Arial" w:hAnsi="Arial" w:cs="Arial"/>
          <w:sz w:val="48"/>
          <w:szCs w:val="48"/>
        </w:rPr>
        <w:t>Component 1 Element 1 Project Proposal</w:t>
      </w:r>
    </w:p>
    <w:p w14:paraId="0C567687" w14:textId="77777777" w:rsidR="002205AE" w:rsidRPr="00F308DA" w:rsidRDefault="002205AE" w:rsidP="005F53AC">
      <w:pPr>
        <w:jc w:val="center"/>
        <w:rPr>
          <w:rFonts w:ascii="Arial" w:hAnsi="Arial" w:cs="Arial"/>
          <w:sz w:val="48"/>
          <w:szCs w:val="48"/>
        </w:rPr>
      </w:pPr>
    </w:p>
    <w:p w14:paraId="3BC94F7E" w14:textId="1C352DD2" w:rsidR="007B0FF0" w:rsidRPr="00F308DA" w:rsidRDefault="002205AE" w:rsidP="005F53AC">
      <w:pPr>
        <w:jc w:val="center"/>
        <w:rPr>
          <w:rFonts w:ascii="Arial" w:hAnsi="Arial" w:cs="Arial"/>
          <w:sz w:val="48"/>
          <w:szCs w:val="48"/>
        </w:rPr>
      </w:pPr>
      <w:r w:rsidRPr="00F308DA">
        <w:rPr>
          <w:rFonts w:ascii="Arial" w:hAnsi="Arial" w:cs="Arial"/>
          <w:sz w:val="48"/>
          <w:szCs w:val="48"/>
        </w:rPr>
        <w:t>Student ID Student Name BAIDAR BEGUM</w:t>
      </w:r>
    </w:p>
    <w:p w14:paraId="681D9810" w14:textId="09012975" w:rsidR="004824DF" w:rsidRDefault="005E341A" w:rsidP="005F53AC">
      <w:pPr>
        <w:jc w:val="center"/>
        <w:rPr>
          <w:rFonts w:ascii="Arial" w:hAnsi="Arial" w:cs="Arial"/>
          <w:sz w:val="48"/>
          <w:szCs w:val="48"/>
        </w:rPr>
      </w:pPr>
      <w:r w:rsidRPr="00F308DA">
        <w:rPr>
          <w:rFonts w:ascii="Arial" w:hAnsi="Arial" w:cs="Arial"/>
          <w:sz w:val="48"/>
          <w:szCs w:val="48"/>
        </w:rPr>
        <w:t xml:space="preserve">Lecturer name </w:t>
      </w:r>
    </w:p>
    <w:p w14:paraId="54D841F5" w14:textId="0767289A" w:rsidR="00E15574" w:rsidRPr="00E15574" w:rsidRDefault="00E15574" w:rsidP="005F53AC">
      <w:pPr>
        <w:jc w:val="center"/>
        <w:rPr>
          <w:rFonts w:ascii="Arial" w:hAnsi="Arial" w:cs="Arial"/>
          <w:sz w:val="48"/>
          <w:szCs w:val="48"/>
        </w:rPr>
      </w:pPr>
      <w:r w:rsidRPr="00E15574">
        <w:rPr>
          <w:rFonts w:ascii="Arial" w:hAnsi="Arial" w:cs="Arial"/>
          <w:sz w:val="56"/>
          <w:szCs w:val="56"/>
          <w:lang w:val="en-US"/>
        </w:rPr>
        <w:t>Joanne Davies</w:t>
      </w:r>
    </w:p>
    <w:p w14:paraId="03F8A039" w14:textId="77777777" w:rsidR="002205AE" w:rsidRDefault="002205AE" w:rsidP="005F53AC">
      <w:pPr>
        <w:jc w:val="center"/>
        <w:rPr>
          <w:rFonts w:ascii="Arial" w:hAnsi="Arial" w:cs="Arial"/>
          <w:sz w:val="40"/>
          <w:szCs w:val="40"/>
        </w:rPr>
      </w:pPr>
    </w:p>
    <w:p w14:paraId="26073ABB" w14:textId="77777777" w:rsidR="002205AE" w:rsidRDefault="002205AE">
      <w:pPr>
        <w:rPr>
          <w:rFonts w:ascii="Arial" w:hAnsi="Arial" w:cs="Arial"/>
          <w:sz w:val="40"/>
          <w:szCs w:val="40"/>
        </w:rPr>
      </w:pPr>
    </w:p>
    <w:p w14:paraId="7DBF3716" w14:textId="77777777" w:rsidR="002205AE" w:rsidRDefault="002205AE">
      <w:pPr>
        <w:rPr>
          <w:rFonts w:ascii="Arial" w:hAnsi="Arial" w:cs="Arial"/>
          <w:sz w:val="40"/>
          <w:szCs w:val="40"/>
        </w:rPr>
      </w:pPr>
    </w:p>
    <w:p w14:paraId="4AB49E88" w14:textId="77777777" w:rsidR="002205AE" w:rsidRDefault="002205AE">
      <w:pPr>
        <w:rPr>
          <w:rFonts w:ascii="Arial" w:hAnsi="Arial" w:cs="Arial"/>
          <w:sz w:val="40"/>
          <w:szCs w:val="40"/>
        </w:rPr>
      </w:pPr>
    </w:p>
    <w:p w14:paraId="486653CA" w14:textId="77777777" w:rsidR="002205AE" w:rsidRDefault="002205AE">
      <w:pPr>
        <w:rPr>
          <w:rFonts w:ascii="Arial" w:hAnsi="Arial" w:cs="Arial"/>
          <w:sz w:val="40"/>
          <w:szCs w:val="40"/>
        </w:rPr>
      </w:pPr>
    </w:p>
    <w:p w14:paraId="0B40469B" w14:textId="77777777" w:rsidR="00B377A2" w:rsidRPr="00B377A2" w:rsidRDefault="006F3C79" w:rsidP="00B377A2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T</w:t>
      </w:r>
      <w:r w:rsidR="002205AE" w:rsidRPr="002205AE">
        <w:rPr>
          <w:rFonts w:ascii="Arial" w:hAnsi="Arial" w:cs="Arial"/>
          <w:b/>
          <w:bCs/>
        </w:rPr>
        <w:t>itle</w:t>
      </w:r>
      <w:r w:rsidR="002205AE" w:rsidRPr="002205AE">
        <w:rPr>
          <w:rFonts w:ascii="Arial" w:hAnsi="Arial" w:cs="Arial"/>
        </w:rPr>
        <w:br/>
      </w:r>
      <w:r w:rsidR="00B377A2" w:rsidRPr="00B377A2">
        <w:rPr>
          <w:rFonts w:ascii="Arial" w:hAnsi="Arial" w:cs="Arial"/>
        </w:rPr>
        <w:t>An Exploration of Barriers to Delivering Dignified End-of-Life Care in UK Residential Care Homes</w:t>
      </w:r>
    </w:p>
    <w:p w14:paraId="7F67A84E" w14:textId="3BE16EBE" w:rsidR="002205AE" w:rsidRPr="002205AE" w:rsidRDefault="002205AE" w:rsidP="00B377A2">
      <w:pPr>
        <w:rPr>
          <w:rFonts w:ascii="Arial" w:hAnsi="Arial" w:cs="Arial"/>
          <w:b/>
          <w:bCs/>
        </w:rPr>
      </w:pPr>
      <w:r w:rsidRPr="002205AE">
        <w:rPr>
          <w:rFonts w:ascii="Arial" w:hAnsi="Arial" w:cs="Arial"/>
          <w:b/>
          <w:bCs/>
        </w:rPr>
        <w:t>Aim</w:t>
      </w:r>
    </w:p>
    <w:p w14:paraId="46B0B132" w14:textId="77777777" w:rsidR="002205AE" w:rsidRPr="002205AE" w:rsidRDefault="002205AE" w:rsidP="00664718">
      <w:pPr>
        <w:spacing w:line="360" w:lineRule="auto"/>
        <w:jc w:val="both"/>
        <w:rPr>
          <w:rFonts w:ascii="Arial" w:hAnsi="Arial" w:cs="Arial"/>
        </w:rPr>
      </w:pPr>
      <w:r w:rsidRPr="002205AE">
        <w:rPr>
          <w:rFonts w:ascii="Arial" w:hAnsi="Arial" w:cs="Arial"/>
        </w:rPr>
        <w:t>To explore the barriers affecting the delivery of dignified end-of-life care within UK residential care homes and to synthesise evidence-based recommendations for improving care practices to enhance resident wellbeing and quality of care.</w:t>
      </w:r>
    </w:p>
    <w:p w14:paraId="7E21F8FF" w14:textId="77777777" w:rsidR="002205AE" w:rsidRPr="002205AE" w:rsidRDefault="002205AE" w:rsidP="00664718">
      <w:pPr>
        <w:spacing w:line="360" w:lineRule="auto"/>
        <w:jc w:val="both"/>
        <w:rPr>
          <w:rFonts w:ascii="Arial" w:hAnsi="Arial" w:cs="Arial"/>
          <w:b/>
          <w:bCs/>
        </w:rPr>
      </w:pPr>
      <w:r w:rsidRPr="002205AE">
        <w:rPr>
          <w:rFonts w:ascii="Arial" w:hAnsi="Arial" w:cs="Arial"/>
          <w:b/>
          <w:bCs/>
        </w:rPr>
        <w:t> Objectives</w:t>
      </w:r>
    </w:p>
    <w:p w14:paraId="785A5415" w14:textId="77777777" w:rsidR="002205AE" w:rsidRPr="002205AE" w:rsidRDefault="002205AE" w:rsidP="00664718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205AE">
        <w:rPr>
          <w:rFonts w:ascii="Arial" w:hAnsi="Arial" w:cs="Arial"/>
        </w:rPr>
        <w:t>To examine the meaning and principles of end-of-life care within residential care settings.</w:t>
      </w:r>
    </w:p>
    <w:p w14:paraId="3C5896CD" w14:textId="77777777" w:rsidR="002205AE" w:rsidRPr="002205AE" w:rsidRDefault="002205AE" w:rsidP="00664718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205AE">
        <w:rPr>
          <w:rFonts w:ascii="Arial" w:hAnsi="Arial" w:cs="Arial"/>
        </w:rPr>
        <w:t>To analyse current literature regarding barriers affecting end-of-life care in UK residential care homes.</w:t>
      </w:r>
    </w:p>
    <w:p w14:paraId="2D9E02FA" w14:textId="77777777" w:rsidR="002205AE" w:rsidRPr="002205AE" w:rsidRDefault="002205AE" w:rsidP="00664718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205AE">
        <w:rPr>
          <w:rFonts w:ascii="Arial" w:hAnsi="Arial" w:cs="Arial"/>
        </w:rPr>
        <w:t>To evaluate themes identified within existing research relating to communication, staffing, training, emotional support, and person-centred care.</w:t>
      </w:r>
    </w:p>
    <w:p w14:paraId="21E4F5C2" w14:textId="77777777" w:rsidR="002205AE" w:rsidRPr="002205AE" w:rsidRDefault="002205AE" w:rsidP="00664718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205AE">
        <w:rPr>
          <w:rFonts w:ascii="Arial" w:hAnsi="Arial" w:cs="Arial"/>
        </w:rPr>
        <w:t>To provide recommendations for improving end-of-life care practices for residents, families, and healthcare professionals.</w:t>
      </w:r>
    </w:p>
    <w:p w14:paraId="34D21CD9" w14:textId="77777777" w:rsidR="002205AE" w:rsidRPr="002205AE" w:rsidRDefault="002205AE" w:rsidP="002205AE">
      <w:pPr>
        <w:rPr>
          <w:rFonts w:ascii="Arial" w:hAnsi="Arial" w:cs="Arial"/>
          <w:b/>
          <w:bCs/>
        </w:rPr>
      </w:pPr>
      <w:r w:rsidRPr="002205AE">
        <w:rPr>
          <w:rFonts w:ascii="Arial" w:hAnsi="Arial" w:cs="Arial"/>
          <w:b/>
          <w:bCs/>
        </w:rPr>
        <w:t xml:space="preserve"> Background/Rationale</w:t>
      </w:r>
    </w:p>
    <w:p w14:paraId="3CE0276F" w14:textId="78CC7BCE" w:rsidR="00255DD4" w:rsidRDefault="00255DD4" w:rsidP="00664718">
      <w:pPr>
        <w:spacing w:line="360" w:lineRule="auto"/>
        <w:jc w:val="both"/>
        <w:rPr>
          <w:rFonts w:ascii="Arial" w:hAnsi="Arial" w:cs="Arial"/>
        </w:rPr>
      </w:pPr>
      <w:r w:rsidRPr="00255DD4">
        <w:rPr>
          <w:rFonts w:ascii="Arial" w:hAnsi="Arial" w:cs="Arial"/>
        </w:rPr>
        <w:t>End-of-life care is a critical aspect of UK health and social care, as many older adults spend their final months in residential care homes (Seymour et al., 2021). High-quality care promotes dignity, comfort, and person-centred support (NICE, 2015). However, persistent barriers undermine this ideal. Common issues include staff shortages, limited palliative training, poor inter-professional communication, and emotional strain on care workers (Livingston et al., 2020; CQC, 2022). The COVID-19 pandemic exacerbated these challenges, disrupting palliative care provision</w:t>
      </w:r>
      <w:r w:rsidR="00696576">
        <w:rPr>
          <w:rFonts w:ascii="Arial" w:hAnsi="Arial" w:cs="Arial"/>
        </w:rPr>
        <w:t>s</w:t>
      </w:r>
      <w:r w:rsidRPr="00255DD4">
        <w:rPr>
          <w:rFonts w:ascii="Arial" w:hAnsi="Arial" w:cs="Arial"/>
        </w:rPr>
        <w:t xml:space="preserve"> in care homes (Bradshaw et al., 2023). Additionally, residents with dementia face particular difficulties in receiving dignified end-of-life care due to communication barriers and uncertainty around prognosis (Goodman et al., 2017). Family involvement is often inconsistent, yet crucial for person-centred decisions. With an ageing UK population and increasing pressure on care homes (ONS, 2023), understanding these barriers is both timely and professionally relevant. This research addresses a gap in </w:t>
      </w:r>
      <w:r w:rsidR="000C3A0A">
        <w:rPr>
          <w:rFonts w:ascii="Arial" w:hAnsi="Arial" w:cs="Arial"/>
        </w:rPr>
        <w:t>the synthesis of</w:t>
      </w:r>
      <w:r w:rsidRPr="00255DD4">
        <w:rPr>
          <w:rFonts w:ascii="Arial" w:hAnsi="Arial" w:cs="Arial"/>
        </w:rPr>
        <w:t xml:space="preserve"> current UK evidence to infor</w:t>
      </w:r>
      <w:r w:rsidR="00696576">
        <w:rPr>
          <w:rFonts w:ascii="Arial" w:hAnsi="Arial" w:cs="Arial"/>
        </w:rPr>
        <w:t>m</w:t>
      </w:r>
      <w:r w:rsidRPr="00255DD4">
        <w:rPr>
          <w:rFonts w:ascii="Arial" w:hAnsi="Arial" w:cs="Arial"/>
        </w:rPr>
        <w:t xml:space="preserve"> practic</w:t>
      </w:r>
      <w:r w:rsidR="00696576">
        <w:rPr>
          <w:rFonts w:ascii="Arial" w:hAnsi="Arial" w:cs="Arial"/>
        </w:rPr>
        <w:t>al</w:t>
      </w:r>
      <w:r w:rsidRPr="00255DD4">
        <w:rPr>
          <w:rFonts w:ascii="Arial" w:hAnsi="Arial" w:cs="Arial"/>
        </w:rPr>
        <w:t xml:space="preserve"> improvements.</w:t>
      </w:r>
    </w:p>
    <w:p w14:paraId="6358E2E0" w14:textId="77777777" w:rsidR="005C038C" w:rsidRDefault="005C038C" w:rsidP="002205AE">
      <w:pPr>
        <w:rPr>
          <w:rFonts w:ascii="Arial" w:hAnsi="Arial" w:cs="Arial"/>
          <w:b/>
          <w:bCs/>
        </w:rPr>
      </w:pPr>
    </w:p>
    <w:p w14:paraId="1F404095" w14:textId="77777777" w:rsidR="005C038C" w:rsidRDefault="005C038C" w:rsidP="002205AE">
      <w:pPr>
        <w:rPr>
          <w:rFonts w:ascii="Arial" w:hAnsi="Arial" w:cs="Arial"/>
          <w:b/>
          <w:bCs/>
        </w:rPr>
      </w:pPr>
    </w:p>
    <w:p w14:paraId="099DF39B" w14:textId="77777777" w:rsidR="002F5917" w:rsidRPr="002F5917" w:rsidRDefault="002F5917" w:rsidP="002F5917">
      <w:pPr>
        <w:spacing w:line="360" w:lineRule="auto"/>
        <w:jc w:val="both"/>
        <w:rPr>
          <w:rFonts w:ascii="Arial" w:hAnsi="Arial" w:cs="Arial"/>
          <w:b/>
          <w:bCs/>
        </w:rPr>
      </w:pPr>
      <w:r w:rsidRPr="002F5917">
        <w:rPr>
          <w:rFonts w:ascii="Arial" w:hAnsi="Arial" w:cs="Arial"/>
          <w:b/>
          <w:bCs/>
        </w:rPr>
        <w:lastRenderedPageBreak/>
        <w:t>Methods</w:t>
      </w:r>
    </w:p>
    <w:p w14:paraId="3E435031" w14:textId="77777777" w:rsidR="00C6612C" w:rsidRDefault="002F5917" w:rsidP="00EE425F">
      <w:pPr>
        <w:spacing w:line="360" w:lineRule="auto"/>
        <w:jc w:val="both"/>
        <w:rPr>
          <w:rFonts w:ascii="Arial" w:hAnsi="Arial" w:cs="Arial"/>
        </w:rPr>
      </w:pPr>
      <w:r w:rsidRPr="00EE425F">
        <w:rPr>
          <w:rFonts w:ascii="Arial" w:hAnsi="Arial" w:cs="Arial"/>
        </w:rPr>
        <w:t>This qualitative literature review will source secondary data from PubMed, CINAHL, and Google Scholar.</w:t>
      </w:r>
    </w:p>
    <w:p w14:paraId="75318762" w14:textId="3AF0ADAB" w:rsidR="00EE425F" w:rsidRDefault="002F5917" w:rsidP="00EE425F">
      <w:pPr>
        <w:spacing w:line="360" w:lineRule="auto"/>
        <w:jc w:val="both"/>
        <w:rPr>
          <w:rFonts w:ascii="Arial" w:hAnsi="Arial" w:cs="Arial"/>
        </w:rPr>
      </w:pPr>
      <w:r w:rsidRPr="00EE425F">
        <w:rPr>
          <w:rFonts w:ascii="Arial" w:hAnsi="Arial" w:cs="Arial"/>
        </w:rPr>
        <w:t>Inclusion criteria: UK studies (2014–2026) focused on barriers to dignified end-of-life care in residential care homes.</w:t>
      </w:r>
    </w:p>
    <w:p w14:paraId="70A817A3" w14:textId="402F461C" w:rsidR="00EE425F" w:rsidRDefault="002F5917" w:rsidP="00EE425F">
      <w:pPr>
        <w:spacing w:line="360" w:lineRule="auto"/>
        <w:jc w:val="both"/>
        <w:rPr>
          <w:rFonts w:ascii="Arial" w:hAnsi="Arial" w:cs="Arial"/>
        </w:rPr>
      </w:pPr>
      <w:r w:rsidRPr="00EE425F">
        <w:rPr>
          <w:rFonts w:ascii="Arial" w:hAnsi="Arial" w:cs="Arial"/>
        </w:rPr>
        <w:t xml:space="preserve">Exclusion criteria: </w:t>
      </w:r>
      <w:r w:rsidR="00BA3002">
        <w:rPr>
          <w:rFonts w:ascii="Arial" w:hAnsi="Arial" w:cs="Arial"/>
        </w:rPr>
        <w:t>non-UK</w:t>
      </w:r>
      <w:r w:rsidRPr="00EE425F">
        <w:rPr>
          <w:rFonts w:ascii="Arial" w:hAnsi="Arial" w:cs="Arial"/>
        </w:rPr>
        <w:t xml:space="preserve"> studies, pre</w:t>
      </w:r>
      <w:r w:rsidR="00BA3002">
        <w:rPr>
          <w:rFonts w:ascii="Arial" w:hAnsi="Arial" w:cs="Arial"/>
        </w:rPr>
        <w:t xml:space="preserve"> </w:t>
      </w:r>
      <w:r w:rsidRPr="00EE425F">
        <w:rPr>
          <w:rFonts w:ascii="Arial" w:hAnsi="Arial" w:cs="Arial"/>
        </w:rPr>
        <w:t>2014 publications, non-peer-reviewed sources, and studies focused on hospice or hospital settings.</w:t>
      </w:r>
    </w:p>
    <w:p w14:paraId="0BC365B8" w14:textId="6593C2E1" w:rsidR="002F5917" w:rsidRPr="00EE425F" w:rsidRDefault="002F5917" w:rsidP="00EE425F">
      <w:pPr>
        <w:spacing w:line="360" w:lineRule="auto"/>
        <w:jc w:val="both"/>
        <w:rPr>
          <w:rFonts w:ascii="Arial" w:hAnsi="Arial" w:cs="Arial"/>
        </w:rPr>
      </w:pPr>
      <w:r w:rsidRPr="00EE425F">
        <w:rPr>
          <w:rFonts w:ascii="Arial" w:hAnsi="Arial" w:cs="Arial"/>
        </w:rPr>
        <w:t>Search strategy: Terms include "end-of-life care", "residential care homes", "dignity", "palliative care", "person-centred care", and "barriers to care" combined with AND/OR.</w:t>
      </w:r>
    </w:p>
    <w:p w14:paraId="244F44E1" w14:textId="77777777" w:rsidR="002F5917" w:rsidRPr="00EE425F" w:rsidRDefault="002F5917" w:rsidP="00EE425F">
      <w:pPr>
        <w:spacing w:line="360" w:lineRule="auto"/>
        <w:jc w:val="both"/>
        <w:rPr>
          <w:rFonts w:ascii="Arial" w:hAnsi="Arial" w:cs="Arial"/>
        </w:rPr>
      </w:pPr>
      <w:r w:rsidRPr="00EE425F">
        <w:rPr>
          <w:rFonts w:ascii="Arial" w:hAnsi="Arial" w:cs="Arial"/>
        </w:rPr>
        <w:t>Thematic analysis (Braun &amp; Clarke, 2006) will identify patterns. Ethical considerations include accurate referencing and avoiding plagiarism.</w:t>
      </w:r>
    </w:p>
    <w:p w14:paraId="1BCA8D66" w14:textId="11EA7729" w:rsidR="002205AE" w:rsidRPr="002205AE" w:rsidRDefault="00F0678E" w:rsidP="002F5917">
      <w:pPr>
        <w:spacing w:line="360" w:lineRule="auto"/>
        <w:jc w:val="both"/>
        <w:rPr>
          <w:rFonts w:ascii="Arial" w:hAnsi="Arial" w:cs="Arial"/>
          <w:b/>
          <w:bCs/>
        </w:rPr>
      </w:pPr>
      <w:r w:rsidRPr="00F0678E">
        <w:rPr>
          <w:rFonts w:ascii="Arial" w:hAnsi="Arial" w:cs="Arial"/>
        </w:rPr>
        <w:t>.</w:t>
      </w:r>
      <w:r w:rsidR="002205AE" w:rsidRPr="002205AE">
        <w:rPr>
          <w:rFonts w:ascii="Arial" w:hAnsi="Arial" w:cs="Arial"/>
          <w:b/>
          <w:bCs/>
        </w:rPr>
        <w:t> Resources</w:t>
      </w:r>
    </w:p>
    <w:p w14:paraId="6931E137" w14:textId="77777777" w:rsidR="007670F4" w:rsidRPr="007670F4" w:rsidRDefault="007670F4" w:rsidP="006807B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7670F4">
        <w:rPr>
          <w:rFonts w:ascii="Arial" w:hAnsi="Arial" w:cs="Arial"/>
        </w:rPr>
        <w:t>University online library (e.g., UWTSD or Birmingham)</w:t>
      </w:r>
    </w:p>
    <w:p w14:paraId="3999ED06" w14:textId="77777777" w:rsidR="007670F4" w:rsidRPr="007670F4" w:rsidRDefault="007670F4" w:rsidP="006807B0">
      <w:pPr>
        <w:numPr>
          <w:ilvl w:val="0"/>
          <w:numId w:val="3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7670F4">
        <w:rPr>
          <w:rFonts w:ascii="Arial" w:hAnsi="Arial" w:cs="Arial"/>
        </w:rPr>
        <w:t>PubMed, CINAHL, Google Scholar</w:t>
      </w:r>
    </w:p>
    <w:p w14:paraId="2519A44F" w14:textId="585E6061" w:rsidR="006F3C79" w:rsidRDefault="007670F4" w:rsidP="006807B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6F3C79">
        <w:rPr>
          <w:rFonts w:ascii="Arial" w:hAnsi="Arial" w:cs="Arial"/>
        </w:rPr>
        <w:t xml:space="preserve">Microsoft Word for writing and manual referencing (Harvard </w:t>
      </w:r>
      <w:r w:rsidR="006F3C79">
        <w:rPr>
          <w:rFonts w:ascii="Arial" w:hAnsi="Arial" w:cs="Arial"/>
        </w:rPr>
        <w:t>style)</w:t>
      </w:r>
    </w:p>
    <w:p w14:paraId="62EB4924" w14:textId="15F31F6C" w:rsidR="00EE425F" w:rsidRPr="00A74EE2" w:rsidRDefault="00EE425F" w:rsidP="00EE425F">
      <w:pPr>
        <w:numPr>
          <w:ilvl w:val="0"/>
          <w:numId w:val="3"/>
        </w:numPr>
        <w:spacing w:line="360" w:lineRule="auto"/>
        <w:ind w:left="714" w:hanging="357"/>
        <w:jc w:val="both"/>
        <w:rPr>
          <w:rFonts w:ascii="Arial" w:hAnsi="Arial" w:cs="Arial"/>
        </w:rPr>
      </w:pPr>
      <w:r w:rsidRPr="007670F4">
        <w:rPr>
          <w:rFonts w:ascii="Arial" w:hAnsi="Arial" w:cs="Arial"/>
        </w:rPr>
        <w:t>Grey literature: CQC, NICE, SCIE, NHS Englan</w:t>
      </w:r>
      <w:r>
        <w:rPr>
          <w:rFonts w:ascii="Arial" w:hAnsi="Arial" w:cs="Arial"/>
        </w:rPr>
        <w:t>d</w:t>
      </w:r>
    </w:p>
    <w:p w14:paraId="71D9DC5D" w14:textId="2B4C9E40" w:rsidR="00A74EE2" w:rsidRPr="00A74EE2" w:rsidRDefault="00CA2F9F" w:rsidP="00EE425F">
      <w:pPr>
        <w:spacing w:line="360" w:lineRule="auto"/>
        <w:jc w:val="both"/>
        <w:rPr>
          <w:rFonts w:ascii="Arial" w:hAnsi="Arial" w:cs="Arial"/>
        </w:rPr>
      </w:pPr>
      <w:r w:rsidRPr="00CA2F9F">
        <w:rPr>
          <w:rFonts w:ascii="Arial" w:hAnsi="Arial" w:cs="Arial"/>
        </w:rPr>
        <w:lastRenderedPageBreak/>
        <w:drawing>
          <wp:anchor distT="0" distB="0" distL="114300" distR="114300" simplePos="0" relativeHeight="251661312" behindDoc="0" locked="0" layoutInCell="1" allowOverlap="1" wp14:anchorId="355FD9CA" wp14:editId="0A44DD33">
            <wp:simplePos x="0" y="0"/>
            <wp:positionH relativeFrom="column">
              <wp:posOffset>-680720</wp:posOffset>
            </wp:positionH>
            <wp:positionV relativeFrom="margin">
              <wp:align>top</wp:align>
            </wp:positionV>
            <wp:extent cx="7158355" cy="5231130"/>
            <wp:effectExtent l="0" t="0" r="4445" b="7620"/>
            <wp:wrapTopAndBottom/>
            <wp:docPr id="265352028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352028" name="Picture 1" descr="A white sheet with black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0000" cy="52324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EB707F" w14:textId="77777777" w:rsidR="006807B0" w:rsidRDefault="006807B0" w:rsidP="006807B0">
      <w:pPr>
        <w:rPr>
          <w:rFonts w:ascii="Arial" w:hAnsi="Arial" w:cs="Arial"/>
        </w:rPr>
      </w:pPr>
    </w:p>
    <w:p w14:paraId="7F8F01EE" w14:textId="22404B82" w:rsidR="007670F4" w:rsidRPr="007670F4" w:rsidRDefault="007670F4" w:rsidP="007670F4">
      <w:pPr>
        <w:rPr>
          <w:rFonts w:ascii="Arial" w:hAnsi="Arial" w:cs="Arial"/>
          <w:b/>
          <w:bCs/>
        </w:rPr>
      </w:pPr>
      <w:r w:rsidRPr="007670F4">
        <w:rPr>
          <w:rFonts w:ascii="Arial" w:hAnsi="Arial" w:cs="Arial"/>
          <w:b/>
          <w:bCs/>
        </w:rPr>
        <w:t xml:space="preserve"> Self-reflection as </w:t>
      </w:r>
      <w:r>
        <w:rPr>
          <w:rFonts w:ascii="Arial" w:hAnsi="Arial" w:cs="Arial"/>
          <w:b/>
          <w:bCs/>
        </w:rPr>
        <w:t xml:space="preserve">a </w:t>
      </w:r>
      <w:r w:rsidRPr="007670F4">
        <w:rPr>
          <w:rFonts w:ascii="Arial" w:hAnsi="Arial" w:cs="Arial"/>
          <w:b/>
          <w:bCs/>
        </w:rPr>
        <w:t>researcher</w:t>
      </w:r>
    </w:p>
    <w:p w14:paraId="4C247B57" w14:textId="6FD5AD93" w:rsidR="00CD4DAB" w:rsidRDefault="00FD44D9" w:rsidP="006807B0">
      <w:pPr>
        <w:spacing w:line="360" w:lineRule="auto"/>
        <w:jc w:val="both"/>
        <w:rPr>
          <w:rFonts w:ascii="Arial" w:hAnsi="Arial" w:cs="Arial"/>
        </w:rPr>
      </w:pPr>
      <w:r w:rsidRPr="00FD44D9">
        <w:rPr>
          <w:rFonts w:ascii="Arial" w:hAnsi="Arial" w:cs="Arial"/>
        </w:rPr>
        <w:t xml:space="preserve">Using Gibbs' Reflective Cycle (1988), I acknowledge that my prior experience in residential care provides valuable contextual insight. However, I feel anxious about managing bias, as familiarity may influence my interpretation of studies. While my background is a strength, it risks compromising objectivity if I do not remain systematic. I therefore aim to develop skills in thematic synthesis, critical appraisal, and academic writing. I may need support with data extraction and </w:t>
      </w:r>
      <w:r w:rsidR="00BB6383">
        <w:rPr>
          <w:rFonts w:ascii="Arial" w:hAnsi="Arial" w:cs="Arial"/>
        </w:rPr>
        <w:t>the synthesis of</w:t>
      </w:r>
      <w:r w:rsidRPr="00FD44D9">
        <w:rPr>
          <w:rFonts w:ascii="Arial" w:hAnsi="Arial" w:cs="Arial"/>
        </w:rPr>
        <w:t xml:space="preserve"> conflicting evidence. Seeking regular feedback from my lecturer will help me address these challenges and ensure my findings are grounded in evidence rather than assumptions.</w:t>
      </w:r>
    </w:p>
    <w:p w14:paraId="6E4C68B2" w14:textId="77777777" w:rsidR="00BA7EF3" w:rsidRDefault="00BA7EF3" w:rsidP="00150149">
      <w:pPr>
        <w:spacing w:line="360" w:lineRule="auto"/>
        <w:jc w:val="both"/>
        <w:rPr>
          <w:rFonts w:ascii="Arial" w:hAnsi="Arial" w:cs="Arial"/>
        </w:rPr>
      </w:pPr>
    </w:p>
    <w:p w14:paraId="577F5CE6" w14:textId="77777777" w:rsidR="00D63BF8" w:rsidRDefault="00D63BF8" w:rsidP="0015014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8FB0AEF" w14:textId="77777777" w:rsidR="00D63BF8" w:rsidRDefault="00D63BF8" w:rsidP="0015014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46F756" w14:textId="4225E352" w:rsidR="003112C9" w:rsidRPr="003112C9" w:rsidRDefault="003112C9" w:rsidP="003112C9">
      <w:pPr>
        <w:spacing w:line="360" w:lineRule="auto"/>
        <w:jc w:val="both"/>
        <w:rPr>
          <w:rFonts w:ascii="Arial" w:hAnsi="Arial" w:cs="Arial"/>
          <w:b/>
          <w:bCs/>
        </w:rPr>
      </w:pPr>
      <w:r w:rsidRPr="003112C9">
        <w:rPr>
          <w:rFonts w:ascii="Arial" w:hAnsi="Arial" w:cs="Arial"/>
          <w:b/>
          <w:bCs/>
        </w:rPr>
        <w:t>REFERENCE</w:t>
      </w:r>
    </w:p>
    <w:p w14:paraId="3B5E06E0" w14:textId="58C606DD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Bradshaw, A., Dunleavy, L., Garner, I., Preston, N. and Walshe, C. (2023) 'The impact of COVID-19 on palliative and end-of-life care in care homes: A systematic review', </w:t>
      </w:r>
      <w:r w:rsidRPr="007C6B37">
        <w:rPr>
          <w:rFonts w:ascii="Arial" w:hAnsi="Arial" w:cs="Arial"/>
          <w:i/>
          <w:iCs/>
        </w:rPr>
        <w:t>Palliative Medicine</w:t>
      </w:r>
      <w:r w:rsidRPr="007C6B37">
        <w:rPr>
          <w:rFonts w:ascii="Arial" w:hAnsi="Arial" w:cs="Arial"/>
        </w:rPr>
        <w:t>, 37(2), pp. 234-250.</w:t>
      </w:r>
    </w:p>
    <w:p w14:paraId="213A982B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Care Quality Commission (CQC) (2022) *The state of health care and adult social care in England 2021/22*. Newcastle upon Tyne: Care Quality Commission.</w:t>
      </w:r>
    </w:p>
    <w:p w14:paraId="5FEC6676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Gibbs, G. (1988) </w:t>
      </w:r>
      <w:r w:rsidRPr="007C6B37">
        <w:rPr>
          <w:rFonts w:ascii="Arial" w:hAnsi="Arial" w:cs="Arial"/>
          <w:i/>
          <w:iCs/>
        </w:rPr>
        <w:t>Learning by doing: A guide to teaching and learning methods</w:t>
      </w:r>
      <w:r w:rsidRPr="007C6B37">
        <w:rPr>
          <w:rFonts w:ascii="Arial" w:hAnsi="Arial" w:cs="Arial"/>
        </w:rPr>
        <w:t>. Oxford: Further Education Unit, Oxford Polytechnic.</w:t>
      </w:r>
    </w:p>
    <w:p w14:paraId="0B23A997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Goodman, C., Baron, N., Machen, I., Stevenson, C., Evans, C. and Davies, S. (2017) 'End-of-life care for people with dementia in care homes', </w:t>
      </w:r>
      <w:r w:rsidRPr="007C6B37">
        <w:rPr>
          <w:rFonts w:ascii="Arial" w:hAnsi="Arial" w:cs="Arial"/>
          <w:i/>
          <w:iCs/>
        </w:rPr>
        <w:t>Journal of the American Geriatrics Society</w:t>
      </w:r>
      <w:r w:rsidRPr="007C6B37">
        <w:rPr>
          <w:rFonts w:ascii="Arial" w:hAnsi="Arial" w:cs="Arial"/>
        </w:rPr>
        <w:t>, 65(6), pp. 1189-1195.</w:t>
      </w:r>
    </w:p>
    <w:p w14:paraId="722DCED5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Livingston, G., Huntley, J., Sommerlad, A. et al. (2020) 'The impact of COVID-19 on mortality in care homes and community settings', </w:t>
      </w:r>
      <w:r w:rsidRPr="007C6B37">
        <w:rPr>
          <w:rFonts w:ascii="Arial" w:hAnsi="Arial" w:cs="Arial"/>
          <w:i/>
          <w:iCs/>
        </w:rPr>
        <w:t>The Lancet Public Health</w:t>
      </w:r>
      <w:r w:rsidRPr="007C6B37">
        <w:rPr>
          <w:rFonts w:ascii="Arial" w:hAnsi="Arial" w:cs="Arial"/>
        </w:rPr>
        <w:t>, 5(8), pp. e416-e422.</w:t>
      </w:r>
    </w:p>
    <w:p w14:paraId="6264BE6F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National Institute for Health and Care Excellence (NICE) (2015) </w:t>
      </w:r>
      <w:r w:rsidRPr="007C6B37">
        <w:rPr>
          <w:rFonts w:ascii="Arial" w:hAnsi="Arial" w:cs="Arial"/>
          <w:i/>
          <w:iCs/>
        </w:rPr>
        <w:t>Care of dying adults in the last days of life</w:t>
      </w:r>
      <w:r w:rsidRPr="007C6B37">
        <w:rPr>
          <w:rFonts w:ascii="Arial" w:hAnsi="Arial" w:cs="Arial"/>
        </w:rPr>
        <w:t>. NICE Guideline NG31. Available at: </w:t>
      </w:r>
      <w:hyperlink r:id="rId10" w:tgtFrame="_blank" w:history="1">
        <w:r w:rsidRPr="007C6B37">
          <w:rPr>
            <w:rStyle w:val="Hyperlink"/>
            <w:rFonts w:ascii="Arial" w:hAnsi="Arial" w:cs="Arial"/>
          </w:rPr>
          <w:t>https://www.nice.org.uk/guidance/ng31</w:t>
        </w:r>
      </w:hyperlink>
      <w:r w:rsidRPr="007C6B37">
        <w:rPr>
          <w:rFonts w:ascii="Arial" w:hAnsi="Arial" w:cs="Arial"/>
        </w:rPr>
        <w:t> (Accessed: 1 June 2026).</w:t>
      </w:r>
    </w:p>
    <w:p w14:paraId="4DEA884F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Office for National Statistics (ONS) (2023) </w:t>
      </w:r>
      <w:r w:rsidRPr="007C6B37">
        <w:rPr>
          <w:rFonts w:ascii="Arial" w:hAnsi="Arial" w:cs="Arial"/>
          <w:i/>
          <w:iCs/>
        </w:rPr>
        <w:t>Living longer: Implications of an ageing population in the UK</w:t>
      </w:r>
      <w:r w:rsidRPr="007C6B37">
        <w:rPr>
          <w:rFonts w:ascii="Arial" w:hAnsi="Arial" w:cs="Arial"/>
        </w:rPr>
        <w:t>. Newport: Office for National Statistics.</w:t>
      </w:r>
    </w:p>
    <w:p w14:paraId="397C0C53" w14:textId="77777777" w:rsidR="007C6B37" w:rsidRPr="007C6B37" w:rsidRDefault="007C6B37" w:rsidP="007C6B37">
      <w:pPr>
        <w:spacing w:line="360" w:lineRule="auto"/>
        <w:rPr>
          <w:rFonts w:ascii="Arial" w:hAnsi="Arial" w:cs="Arial"/>
        </w:rPr>
      </w:pPr>
      <w:r w:rsidRPr="007C6B37">
        <w:rPr>
          <w:rFonts w:ascii="Arial" w:hAnsi="Arial" w:cs="Arial"/>
        </w:rPr>
        <w:t>Seymour, J., Cassel, J. and Hockley, J. (2021) 'End-of-life care in care homes: A scoping review of the evidence', </w:t>
      </w:r>
      <w:r w:rsidRPr="007C6B37">
        <w:rPr>
          <w:rFonts w:ascii="Arial" w:hAnsi="Arial" w:cs="Arial"/>
          <w:i/>
          <w:iCs/>
        </w:rPr>
        <w:t>Palliative Medicine</w:t>
      </w:r>
      <w:r w:rsidRPr="007C6B37">
        <w:rPr>
          <w:rFonts w:ascii="Arial" w:hAnsi="Arial" w:cs="Arial"/>
        </w:rPr>
        <w:t>, 35(4), pp. 456-470.</w:t>
      </w:r>
    </w:p>
    <w:p w14:paraId="085ACB37" w14:textId="77777777" w:rsidR="00A66141" w:rsidRPr="002205AE" w:rsidRDefault="00A66141" w:rsidP="00623EE4">
      <w:pPr>
        <w:spacing w:line="360" w:lineRule="auto"/>
        <w:jc w:val="both"/>
        <w:rPr>
          <w:rFonts w:ascii="Arial" w:hAnsi="Arial" w:cs="Arial"/>
        </w:rPr>
      </w:pPr>
    </w:p>
    <w:sectPr w:rsidR="00A66141" w:rsidRPr="002205AE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F54A1" w14:textId="77777777" w:rsidR="005737EE" w:rsidRDefault="005737EE" w:rsidP="004D6D0D">
      <w:pPr>
        <w:spacing w:after="0" w:line="240" w:lineRule="auto"/>
      </w:pPr>
      <w:r>
        <w:separator/>
      </w:r>
    </w:p>
  </w:endnote>
  <w:endnote w:type="continuationSeparator" w:id="0">
    <w:p w14:paraId="3C3605BA" w14:textId="77777777" w:rsidR="005737EE" w:rsidRDefault="005737EE" w:rsidP="004D6D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A0DAF6" w14:textId="77777777" w:rsidR="004D6D0D" w:rsidRDefault="004D6D0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96773762"/>
      <w:docPartObj>
        <w:docPartGallery w:val="Page Numbers (Bottom of Page)"/>
        <w:docPartUnique/>
      </w:docPartObj>
    </w:sdtPr>
    <w:sdtContent>
      <w:p w14:paraId="1E59D48A" w14:textId="371AE44C" w:rsidR="004D6D0D" w:rsidRDefault="004D6D0D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1D37035" w14:textId="77777777" w:rsidR="004D6D0D" w:rsidRDefault="004D6D0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380D0F" w14:textId="77777777" w:rsidR="004D6D0D" w:rsidRDefault="004D6D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07F587" w14:textId="77777777" w:rsidR="005737EE" w:rsidRDefault="005737EE" w:rsidP="004D6D0D">
      <w:pPr>
        <w:spacing w:after="0" w:line="240" w:lineRule="auto"/>
      </w:pPr>
      <w:r>
        <w:separator/>
      </w:r>
    </w:p>
  </w:footnote>
  <w:footnote w:type="continuationSeparator" w:id="0">
    <w:p w14:paraId="4F986AC0" w14:textId="77777777" w:rsidR="005737EE" w:rsidRDefault="005737EE" w:rsidP="004D6D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29C3BC" w14:textId="77777777" w:rsidR="004D6D0D" w:rsidRDefault="004D6D0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5655E80" w14:textId="77777777" w:rsidR="004D6D0D" w:rsidRDefault="004D6D0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EA24A9" w14:textId="77777777" w:rsidR="004D6D0D" w:rsidRDefault="004D6D0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494175"/>
    <w:multiLevelType w:val="multilevel"/>
    <w:tmpl w:val="CEE0E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E351F1"/>
    <w:multiLevelType w:val="multilevel"/>
    <w:tmpl w:val="8F786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EB84107"/>
    <w:multiLevelType w:val="multilevel"/>
    <w:tmpl w:val="C66CB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6D1F08"/>
    <w:multiLevelType w:val="multilevel"/>
    <w:tmpl w:val="73AAE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75008465">
    <w:abstractNumId w:val="3"/>
  </w:num>
  <w:num w:numId="2" w16cid:durableId="548615256">
    <w:abstractNumId w:val="1"/>
  </w:num>
  <w:num w:numId="3" w16cid:durableId="42873858">
    <w:abstractNumId w:val="2"/>
  </w:num>
  <w:num w:numId="4" w16cid:durableId="8555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5AE"/>
    <w:rsid w:val="00025E4E"/>
    <w:rsid w:val="000C3A0A"/>
    <w:rsid w:val="00113870"/>
    <w:rsid w:val="00133E0B"/>
    <w:rsid w:val="00150149"/>
    <w:rsid w:val="00190B26"/>
    <w:rsid w:val="001B28D4"/>
    <w:rsid w:val="002205AE"/>
    <w:rsid w:val="002450A2"/>
    <w:rsid w:val="00255DD4"/>
    <w:rsid w:val="00271ADB"/>
    <w:rsid w:val="00275ECA"/>
    <w:rsid w:val="00292531"/>
    <w:rsid w:val="002B5120"/>
    <w:rsid w:val="002F4AC0"/>
    <w:rsid w:val="002F5917"/>
    <w:rsid w:val="003112C9"/>
    <w:rsid w:val="0035182B"/>
    <w:rsid w:val="004266AA"/>
    <w:rsid w:val="0046477E"/>
    <w:rsid w:val="004824DF"/>
    <w:rsid w:val="004D6D0D"/>
    <w:rsid w:val="005737EE"/>
    <w:rsid w:val="005C038C"/>
    <w:rsid w:val="005E341A"/>
    <w:rsid w:val="005F075A"/>
    <w:rsid w:val="005F53AC"/>
    <w:rsid w:val="00600421"/>
    <w:rsid w:val="00623EE4"/>
    <w:rsid w:val="00664718"/>
    <w:rsid w:val="006807B0"/>
    <w:rsid w:val="00696576"/>
    <w:rsid w:val="006D0693"/>
    <w:rsid w:val="006E4ACB"/>
    <w:rsid w:val="006F3C79"/>
    <w:rsid w:val="0072298B"/>
    <w:rsid w:val="00745300"/>
    <w:rsid w:val="0076235D"/>
    <w:rsid w:val="007670F4"/>
    <w:rsid w:val="007B0FF0"/>
    <w:rsid w:val="007C6B37"/>
    <w:rsid w:val="0085520A"/>
    <w:rsid w:val="008E7E0E"/>
    <w:rsid w:val="00972E91"/>
    <w:rsid w:val="00A33524"/>
    <w:rsid w:val="00A66141"/>
    <w:rsid w:val="00A74EE2"/>
    <w:rsid w:val="00AB3AA2"/>
    <w:rsid w:val="00B167B3"/>
    <w:rsid w:val="00B377A2"/>
    <w:rsid w:val="00B63A29"/>
    <w:rsid w:val="00BA3002"/>
    <w:rsid w:val="00BA7EF3"/>
    <w:rsid w:val="00BB6383"/>
    <w:rsid w:val="00BE22D1"/>
    <w:rsid w:val="00C055C4"/>
    <w:rsid w:val="00C6612C"/>
    <w:rsid w:val="00CA2F9F"/>
    <w:rsid w:val="00CB03C8"/>
    <w:rsid w:val="00CD4DAB"/>
    <w:rsid w:val="00D63BF8"/>
    <w:rsid w:val="00D91DB9"/>
    <w:rsid w:val="00DE0B60"/>
    <w:rsid w:val="00E15574"/>
    <w:rsid w:val="00E833E6"/>
    <w:rsid w:val="00EE425F"/>
    <w:rsid w:val="00F0678E"/>
    <w:rsid w:val="00F308DA"/>
    <w:rsid w:val="00F67917"/>
    <w:rsid w:val="00FD44D9"/>
    <w:rsid w:val="00FE5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84894"/>
  <w15:chartTrackingRefBased/>
  <w15:docId w15:val="{5F0672BF-4F32-4B16-96C1-AA091518F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05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05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05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05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05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05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05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05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05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05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205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05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05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05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05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05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05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05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05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05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05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05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05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05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05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05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05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05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05A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E0B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501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14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377A2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D6D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6D0D"/>
  </w:style>
  <w:style w:type="paragraph" w:styleId="Footer">
    <w:name w:val="footer"/>
    <w:basedOn w:val="Normal"/>
    <w:link w:val="FooterChar"/>
    <w:uiPriority w:val="99"/>
    <w:unhideWhenUsed/>
    <w:rsid w:val="004D6D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6D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nice.org.uk/guidance/ng3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5</Pages>
  <Words>785</Words>
  <Characters>4481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Baidar Begum</dc:creator>
  <cp:keywords/>
  <dc:description/>
  <cp:lastModifiedBy>Baidar Begum</cp:lastModifiedBy>
  <cp:revision>39</cp:revision>
  <dcterms:created xsi:type="dcterms:W3CDTF">2026-06-05T11:32:00Z</dcterms:created>
  <dcterms:modified xsi:type="dcterms:W3CDTF">2026-06-16T21:25:00Z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e5e73c37-7e85-496a-97b7-b686bc88c2f1</vt:lpwstr>
  </property>
</Properties>
</file>