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8155E17" w14:textId="77777777" w:rsidR="00232882" w:rsidRPr="0090605D" w:rsidRDefault="00232882" w:rsidP="00232882">
      <w:pPr>
        <w:pStyle w:val="NormalWeb"/>
        <w:spacing w:before="0" w:beforeAutospacing="0" w:after="0" w:afterAutospacing="0" w:line="276" w:lineRule="auto"/>
        <w:ind w:left="-180" w:right="-334"/>
        <w:rPr>
          <w:rFonts w:ascii="Times" w:hAnsi="Times"/>
        </w:rPr>
      </w:pPr>
      <w:r w:rsidRPr="0090605D">
        <w:rPr>
          <w:rFonts w:ascii="Times" w:hAnsi="Times"/>
          <w:noProof/>
        </w:rPr>
        <w:drawing>
          <wp:inline distT="0" distB="0" distL="0" distR="0" wp14:anchorId="34D100F6" wp14:editId="553AE9D8">
            <wp:extent cx="1908810" cy="634365"/>
            <wp:effectExtent l="25400" t="25400" r="8890" b="13335"/>
            <wp:docPr id="1" name="Picture 1" descr="A black and white logo&#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Picture 1" descr="A black and white logo&#10;&#10;Description automatically generated"/>
                    <pic:cNvPicPr>
                      <a:picLocks/>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08810" cy="634365"/>
                    </a:xfrm>
                    <a:prstGeom prst="rect">
                      <a:avLst/>
                    </a:prstGeom>
                    <a:noFill/>
                    <a:ln w="19050" cmpd="sng">
                      <a:solidFill>
                        <a:srgbClr val="000000"/>
                      </a:solidFill>
                      <a:miter lim="800000"/>
                      <a:headEnd/>
                      <a:tailEnd/>
                    </a:ln>
                    <a:effectLst/>
                  </pic:spPr>
                </pic:pic>
              </a:graphicData>
            </a:graphic>
          </wp:inline>
        </w:drawing>
      </w:r>
    </w:p>
    <w:p w14:paraId="76C763BB" w14:textId="77777777" w:rsidR="00232882" w:rsidRPr="0090605D" w:rsidRDefault="00232882" w:rsidP="00232882">
      <w:pPr>
        <w:pStyle w:val="NormalWeb"/>
        <w:spacing w:before="0" w:beforeAutospacing="0" w:after="0" w:afterAutospacing="0" w:line="276" w:lineRule="auto"/>
        <w:ind w:left="-180" w:right="-334"/>
        <w:rPr>
          <w:rFonts w:ascii="Times" w:hAnsi="Times"/>
        </w:rPr>
      </w:pPr>
    </w:p>
    <w:p w14:paraId="5A49F2CB" w14:textId="77777777" w:rsidR="00232882" w:rsidRPr="0090605D" w:rsidRDefault="00232882" w:rsidP="00232882">
      <w:pPr>
        <w:pStyle w:val="NormalWeb"/>
        <w:spacing w:before="0" w:beforeAutospacing="0" w:after="0" w:afterAutospacing="0" w:line="276" w:lineRule="auto"/>
        <w:ind w:left="-180" w:right="-334"/>
        <w:rPr>
          <w:rFonts w:ascii="Times" w:hAnsi="Times"/>
        </w:rPr>
      </w:pPr>
    </w:p>
    <w:p w14:paraId="61F44B4F" w14:textId="77777777" w:rsidR="00232882" w:rsidRPr="0090605D" w:rsidRDefault="00232882" w:rsidP="00232882">
      <w:pPr>
        <w:pStyle w:val="NormalWeb"/>
        <w:spacing w:before="0" w:beforeAutospacing="0" w:after="0" w:afterAutospacing="0" w:line="276" w:lineRule="auto"/>
        <w:ind w:left="-180" w:right="-334"/>
        <w:jc w:val="center"/>
        <w:rPr>
          <w:rFonts w:ascii="Times" w:hAnsi="Times" w:cs="Arial"/>
          <w:b/>
          <w:lang w:val="cy-GB"/>
        </w:rPr>
      </w:pPr>
      <w:r w:rsidRPr="0090605D">
        <w:rPr>
          <w:rFonts w:ascii="Times" w:hAnsi="Times" w:cs="Arial"/>
          <w:b/>
          <w:lang w:val="cy-GB"/>
        </w:rPr>
        <w:t xml:space="preserve">Postgraduate/Distance Learning </w:t>
      </w:r>
    </w:p>
    <w:p w14:paraId="73F9EF50" w14:textId="77777777" w:rsidR="00232882" w:rsidRPr="0090605D" w:rsidRDefault="00232882" w:rsidP="00232882">
      <w:pPr>
        <w:pStyle w:val="NormalWeb"/>
        <w:spacing w:before="0" w:beforeAutospacing="0" w:after="0" w:afterAutospacing="0" w:line="276" w:lineRule="auto"/>
        <w:ind w:left="-180" w:right="-334"/>
        <w:jc w:val="center"/>
        <w:rPr>
          <w:rFonts w:ascii="Times" w:hAnsi="Times" w:cs="Arial"/>
          <w:b/>
        </w:rPr>
      </w:pPr>
      <w:r w:rsidRPr="0090605D">
        <w:rPr>
          <w:rFonts w:ascii="Times" w:hAnsi="Times" w:cs="Arial"/>
          <w:b/>
          <w:lang w:val="cy-GB"/>
        </w:rPr>
        <w:t>Assignment coversheet &amp; feedback form</w:t>
      </w:r>
    </w:p>
    <w:p w14:paraId="565EB331" w14:textId="77777777" w:rsidR="00232882" w:rsidRPr="0090605D" w:rsidRDefault="00232882" w:rsidP="00232882">
      <w:pPr>
        <w:spacing w:line="276" w:lineRule="auto"/>
        <w:rPr>
          <w:rFonts w:ascii="Times" w:hAnsi="Times" w:cs="Arial"/>
          <w:lang w:val="cy-GB"/>
        </w:rPr>
      </w:pPr>
    </w:p>
    <w:p w14:paraId="0A0D44A2" w14:textId="77777777" w:rsidR="00232882" w:rsidRPr="0090605D" w:rsidRDefault="00232882" w:rsidP="00232882">
      <w:pPr>
        <w:pStyle w:val="Heading3"/>
        <w:spacing w:line="276" w:lineRule="auto"/>
        <w:jc w:val="center"/>
        <w:rPr>
          <w:rFonts w:ascii="Times" w:hAnsi="Times"/>
          <w:sz w:val="24"/>
          <w:szCs w:val="24"/>
          <w:lang w:val="cy-GB"/>
        </w:rPr>
      </w:pPr>
      <w:r w:rsidRPr="0090605D">
        <w:rPr>
          <w:rFonts w:ascii="Times" w:hAnsi="Times"/>
          <w:sz w:val="24"/>
          <w:szCs w:val="24"/>
          <w:lang w:val="cy-GB"/>
        </w:rPr>
        <w:t>THIS SHEET MUST BE THE FIRST PAGE OF THE ASSIGNMENT YOU ARE SUBMITTING  (DO NOT SEND AS A SEPARATE FILE)</w:t>
      </w:r>
    </w:p>
    <w:p w14:paraId="3A0EA88F" w14:textId="77777777" w:rsidR="00232882" w:rsidRPr="0090605D" w:rsidRDefault="00232882" w:rsidP="00232882">
      <w:pPr>
        <w:pStyle w:val="Heading3"/>
        <w:spacing w:line="276" w:lineRule="auto"/>
        <w:jc w:val="center"/>
        <w:rPr>
          <w:rFonts w:ascii="Times" w:hAnsi="Times"/>
          <w:sz w:val="24"/>
          <w:szCs w:val="24"/>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88"/>
        <w:gridCol w:w="2266"/>
        <w:gridCol w:w="1802"/>
      </w:tblGrid>
      <w:tr w:rsidR="00232882" w:rsidRPr="0090605D" w14:paraId="4B8D973F" w14:textId="77777777" w:rsidTr="00DE3795">
        <w:trPr>
          <w:trHeight w:val="614"/>
        </w:trPr>
        <w:tc>
          <w:tcPr>
            <w:tcW w:w="8856" w:type="dxa"/>
            <w:gridSpan w:val="3"/>
          </w:tcPr>
          <w:p w14:paraId="5F654825" w14:textId="77777777" w:rsidR="00232882" w:rsidRPr="0090605D" w:rsidRDefault="00232882" w:rsidP="00DE3795">
            <w:pPr>
              <w:pStyle w:val="NormalWeb"/>
              <w:spacing w:before="0" w:beforeAutospacing="0" w:after="0" w:afterAutospacing="0" w:line="276" w:lineRule="auto"/>
              <w:ind w:right="34"/>
              <w:rPr>
                <w:rFonts w:ascii="Times" w:hAnsi="Times" w:cs="Arial"/>
              </w:rPr>
            </w:pPr>
            <w:r w:rsidRPr="0090605D">
              <w:rPr>
                <w:rFonts w:ascii="Times" w:hAnsi="Times" w:cs="Arial"/>
                <w:b/>
              </w:rPr>
              <w:t>For completion by the student</w:t>
            </w:r>
            <w:r w:rsidRPr="0090605D">
              <w:rPr>
                <w:rFonts w:ascii="Times" w:hAnsi="Times" w:cs="Arial"/>
              </w:rPr>
              <w:t>:</w:t>
            </w:r>
          </w:p>
        </w:tc>
      </w:tr>
      <w:tr w:rsidR="00232882" w:rsidRPr="0090605D" w14:paraId="414C828E" w14:textId="77777777" w:rsidTr="00DE3795">
        <w:trPr>
          <w:trHeight w:val="718"/>
        </w:trPr>
        <w:tc>
          <w:tcPr>
            <w:tcW w:w="8856" w:type="dxa"/>
            <w:gridSpan w:val="3"/>
          </w:tcPr>
          <w:p w14:paraId="11F023A2" w14:textId="77777777" w:rsidR="00232882" w:rsidRPr="0090605D" w:rsidRDefault="00232882" w:rsidP="00DE3795">
            <w:pPr>
              <w:pStyle w:val="NormalWeb"/>
              <w:spacing w:before="0" w:beforeAutospacing="0" w:after="0" w:afterAutospacing="0" w:line="276" w:lineRule="auto"/>
              <w:ind w:right="34"/>
              <w:rPr>
                <w:rFonts w:ascii="Times" w:hAnsi="Times" w:cs="Arial"/>
              </w:rPr>
            </w:pPr>
            <w:r w:rsidRPr="0090605D">
              <w:rPr>
                <w:rFonts w:ascii="Times" w:hAnsi="Times" w:cs="Arial"/>
              </w:rPr>
              <w:t>Student Name: Ron William</w:t>
            </w:r>
          </w:p>
          <w:p w14:paraId="4493A5DD" w14:textId="77777777" w:rsidR="00232882" w:rsidRPr="0090605D" w:rsidRDefault="00232882" w:rsidP="00DE3795">
            <w:pPr>
              <w:pStyle w:val="NormalWeb"/>
              <w:spacing w:before="0" w:beforeAutospacing="0" w:after="0" w:afterAutospacing="0" w:line="276" w:lineRule="auto"/>
              <w:ind w:right="34"/>
              <w:rPr>
                <w:rFonts w:ascii="Times" w:hAnsi="Times" w:cs="Arial"/>
              </w:rPr>
            </w:pPr>
          </w:p>
          <w:p w14:paraId="6F4EE8F9" w14:textId="77777777" w:rsidR="00232882" w:rsidRPr="0090605D" w:rsidRDefault="00232882" w:rsidP="00DE3795">
            <w:pPr>
              <w:pStyle w:val="NormalWeb"/>
              <w:spacing w:before="0" w:beforeAutospacing="0" w:after="0" w:afterAutospacing="0" w:line="276" w:lineRule="auto"/>
              <w:ind w:right="34"/>
              <w:rPr>
                <w:rFonts w:ascii="Times" w:hAnsi="Times" w:cs="Arial"/>
              </w:rPr>
            </w:pPr>
            <w:r w:rsidRPr="0090605D">
              <w:rPr>
                <w:rFonts w:ascii="Times" w:hAnsi="Times" w:cs="Arial"/>
              </w:rPr>
              <w:t xml:space="preserve">Student </w:t>
            </w:r>
            <w:r w:rsidRPr="0090605D">
              <w:rPr>
                <w:rFonts w:ascii="Times" w:hAnsi="Times" w:cs="Arial"/>
                <w:b/>
                <w:bCs/>
                <w:u w:val="single"/>
              </w:rPr>
              <w:t>University</w:t>
            </w:r>
            <w:r w:rsidRPr="0090605D">
              <w:rPr>
                <w:rFonts w:ascii="Times" w:hAnsi="Times" w:cs="Arial"/>
                <w:u w:val="single"/>
              </w:rPr>
              <w:t xml:space="preserve"> </w:t>
            </w:r>
            <w:r w:rsidRPr="0090605D">
              <w:rPr>
                <w:rFonts w:ascii="Times" w:hAnsi="Times" w:cs="Arial"/>
              </w:rPr>
              <w:t>Email: 2305117@student.uwtsd.ac.uk</w:t>
            </w:r>
          </w:p>
        </w:tc>
      </w:tr>
      <w:tr w:rsidR="00232882" w:rsidRPr="0090605D" w14:paraId="67E676D1" w14:textId="77777777" w:rsidTr="00DE3795">
        <w:trPr>
          <w:trHeight w:val="849"/>
        </w:trPr>
        <w:tc>
          <w:tcPr>
            <w:tcW w:w="4788" w:type="dxa"/>
          </w:tcPr>
          <w:p w14:paraId="2F396338" w14:textId="77777777" w:rsidR="00232882" w:rsidRPr="0090605D" w:rsidRDefault="00232882" w:rsidP="00DE3795">
            <w:pPr>
              <w:pStyle w:val="NormalWeb"/>
              <w:spacing w:before="0" w:beforeAutospacing="0" w:after="0" w:afterAutospacing="0" w:line="276" w:lineRule="auto"/>
              <w:ind w:right="34"/>
              <w:rPr>
                <w:rFonts w:ascii="Times" w:hAnsi="Times" w:cs="Arial"/>
              </w:rPr>
            </w:pPr>
            <w:r w:rsidRPr="0090605D">
              <w:rPr>
                <w:rFonts w:ascii="Times" w:hAnsi="Times" w:cs="Arial"/>
              </w:rPr>
              <w:t xml:space="preserve">Module code: </w:t>
            </w:r>
            <w:r w:rsidRPr="0090605D">
              <w:rPr>
                <w:rFonts w:ascii="Times" w:hAnsi="Times" w:cs="Arial"/>
                <w:b/>
                <w:bCs/>
              </w:rPr>
              <w:t>HPCA7016</w:t>
            </w:r>
          </w:p>
          <w:p w14:paraId="47A028D2" w14:textId="77777777" w:rsidR="00232882" w:rsidRPr="0090605D" w:rsidRDefault="00232882" w:rsidP="00DE3795">
            <w:pPr>
              <w:pStyle w:val="NormalWeb"/>
              <w:spacing w:before="0" w:beforeAutospacing="0" w:after="0" w:afterAutospacing="0" w:line="276" w:lineRule="auto"/>
              <w:ind w:right="34"/>
              <w:rPr>
                <w:rFonts w:ascii="Times" w:hAnsi="Times" w:cs="Arial"/>
              </w:rPr>
            </w:pPr>
          </w:p>
          <w:p w14:paraId="664AD315" w14:textId="77777777" w:rsidR="00232882" w:rsidRPr="0090605D" w:rsidRDefault="00232882" w:rsidP="00DE3795">
            <w:pPr>
              <w:pStyle w:val="NormalWeb"/>
              <w:spacing w:before="0" w:beforeAutospacing="0" w:after="0" w:afterAutospacing="0" w:line="276" w:lineRule="auto"/>
              <w:ind w:right="34"/>
              <w:rPr>
                <w:rFonts w:ascii="Times" w:hAnsi="Times" w:cs="Arial"/>
              </w:rPr>
            </w:pPr>
            <w:r w:rsidRPr="0090605D">
              <w:rPr>
                <w:rFonts w:ascii="Times" w:hAnsi="Times" w:cs="Arial"/>
              </w:rPr>
              <w:t xml:space="preserve">Module title: </w:t>
            </w:r>
            <w:r w:rsidRPr="0090605D">
              <w:rPr>
                <w:rFonts w:ascii="Times" w:hAnsi="Times" w:cs="Arial"/>
                <w:b/>
                <w:bCs/>
              </w:rPr>
              <w:t>Research Contemporary Cosmologies</w:t>
            </w:r>
          </w:p>
          <w:p w14:paraId="5F90C1D1" w14:textId="77777777" w:rsidR="00232882" w:rsidRPr="0090605D" w:rsidRDefault="00232882" w:rsidP="00DE3795">
            <w:pPr>
              <w:pStyle w:val="NormalWeb"/>
              <w:spacing w:before="0" w:beforeAutospacing="0" w:after="0" w:afterAutospacing="0" w:line="276" w:lineRule="auto"/>
              <w:ind w:right="34"/>
              <w:rPr>
                <w:rFonts w:ascii="Times" w:hAnsi="Times" w:cs="Arial"/>
              </w:rPr>
            </w:pPr>
          </w:p>
          <w:p w14:paraId="4F684C10" w14:textId="77777777" w:rsidR="00232882" w:rsidRPr="0090605D" w:rsidRDefault="00232882" w:rsidP="00DE3795">
            <w:pPr>
              <w:pStyle w:val="NormalWeb"/>
              <w:spacing w:before="0" w:beforeAutospacing="0" w:after="0" w:afterAutospacing="0" w:line="276" w:lineRule="auto"/>
              <w:ind w:right="34"/>
              <w:rPr>
                <w:rFonts w:ascii="Times" w:hAnsi="Times" w:cs="Arial"/>
              </w:rPr>
            </w:pPr>
          </w:p>
        </w:tc>
        <w:tc>
          <w:tcPr>
            <w:tcW w:w="2266" w:type="dxa"/>
          </w:tcPr>
          <w:p w14:paraId="6F3AD32F" w14:textId="77777777" w:rsidR="00232882" w:rsidRPr="0090605D" w:rsidRDefault="00232882" w:rsidP="00DE3795">
            <w:pPr>
              <w:pStyle w:val="NormalWeb"/>
              <w:spacing w:before="0" w:beforeAutospacing="0" w:after="0" w:afterAutospacing="0" w:line="276" w:lineRule="auto"/>
              <w:ind w:right="34"/>
              <w:rPr>
                <w:rFonts w:ascii="Times" w:hAnsi="Times" w:cs="Arial"/>
              </w:rPr>
            </w:pPr>
            <w:r w:rsidRPr="0090605D">
              <w:rPr>
                <w:rFonts w:ascii="Times" w:hAnsi="Times" w:cs="Arial"/>
              </w:rPr>
              <w:t>Student ID number:</w:t>
            </w:r>
            <w:r w:rsidRPr="0090605D">
              <w:rPr>
                <w:rFonts w:ascii="Times" w:hAnsi="Times" w:cs="Arial"/>
              </w:rPr>
              <w:br/>
            </w:r>
            <w:r w:rsidRPr="0090605D">
              <w:rPr>
                <w:rFonts w:ascii="Times" w:hAnsi="Times" w:cs="Arial"/>
              </w:rPr>
              <w:br/>
            </w:r>
            <w:r w:rsidRPr="0090605D">
              <w:rPr>
                <w:rFonts w:ascii="Times" w:hAnsi="Times" w:cs="Arial"/>
                <w:b/>
                <w:bCs/>
              </w:rPr>
              <w:t>2305117</w:t>
            </w:r>
          </w:p>
        </w:tc>
        <w:tc>
          <w:tcPr>
            <w:tcW w:w="1802" w:type="dxa"/>
          </w:tcPr>
          <w:p w14:paraId="3EC495F4" w14:textId="77777777" w:rsidR="00232882" w:rsidRPr="0090605D" w:rsidRDefault="00232882" w:rsidP="00DE3795">
            <w:pPr>
              <w:pStyle w:val="NormalWeb"/>
              <w:spacing w:before="0" w:beforeAutospacing="0" w:after="0" w:afterAutospacing="0" w:line="276" w:lineRule="auto"/>
              <w:ind w:right="34"/>
              <w:rPr>
                <w:rFonts w:ascii="Times" w:hAnsi="Times" w:cs="Arial"/>
              </w:rPr>
            </w:pPr>
            <w:r w:rsidRPr="0090605D">
              <w:rPr>
                <w:rFonts w:ascii="Times" w:hAnsi="Times" w:cs="Arial"/>
              </w:rPr>
              <w:t>Educational support needs:</w:t>
            </w:r>
          </w:p>
          <w:p w14:paraId="16B9906E" w14:textId="77777777" w:rsidR="00232882" w:rsidRPr="0090605D" w:rsidRDefault="00232882" w:rsidP="00DE3795">
            <w:pPr>
              <w:pStyle w:val="NormalWeb"/>
              <w:spacing w:before="0" w:beforeAutospacing="0" w:after="0" w:afterAutospacing="0" w:line="276" w:lineRule="auto"/>
              <w:ind w:right="34"/>
              <w:rPr>
                <w:rFonts w:ascii="Times" w:hAnsi="Times" w:cs="Arial"/>
              </w:rPr>
            </w:pPr>
            <w:r w:rsidRPr="0090605D">
              <w:rPr>
                <w:rFonts w:ascii="Times" w:hAnsi="Times" w:cs="Arial"/>
              </w:rPr>
              <w:t>Yes/No</w:t>
            </w:r>
          </w:p>
        </w:tc>
      </w:tr>
      <w:tr w:rsidR="00232882" w:rsidRPr="0090605D" w14:paraId="5B862173" w14:textId="77777777" w:rsidTr="00DE3795">
        <w:trPr>
          <w:trHeight w:val="1139"/>
        </w:trPr>
        <w:tc>
          <w:tcPr>
            <w:tcW w:w="8856" w:type="dxa"/>
            <w:gridSpan w:val="3"/>
          </w:tcPr>
          <w:p w14:paraId="50D2BA62" w14:textId="0B85E33B" w:rsidR="00232882" w:rsidRPr="00232882" w:rsidRDefault="00232882" w:rsidP="00232882">
            <w:pPr>
              <w:pStyle w:val="NormalWeb"/>
              <w:shd w:val="clear" w:color="auto" w:fill="FFFFFF"/>
              <w:jc w:val="both"/>
              <w:rPr>
                <w:b/>
                <w:bCs/>
                <w:sz w:val="22"/>
                <w:szCs w:val="22"/>
              </w:rPr>
            </w:pPr>
            <w:r w:rsidRPr="0090605D">
              <w:rPr>
                <w:rFonts w:ascii="Times" w:hAnsi="Times" w:cs="Arial"/>
              </w:rPr>
              <w:t xml:space="preserve">Assignment title: </w:t>
            </w:r>
            <w:r>
              <w:rPr>
                <w:b/>
                <w:bCs/>
              </w:rPr>
              <w:t xml:space="preserve">A Critical Comparison of the Secondary Sources. </w:t>
            </w:r>
            <w:r w:rsidRPr="00B40AB1">
              <w:rPr>
                <w:b/>
                <w:bCs/>
              </w:rPr>
              <w:t xml:space="preserve">This essay critically </w:t>
            </w:r>
            <w:proofErr w:type="gramStart"/>
            <w:r w:rsidRPr="00B40AB1">
              <w:rPr>
                <w:b/>
                <w:bCs/>
              </w:rPr>
              <w:t>compares and contrasts</w:t>
            </w:r>
            <w:proofErr w:type="gramEnd"/>
            <w:r w:rsidRPr="00B40AB1">
              <w:rPr>
                <w:b/>
                <w:bCs/>
              </w:rPr>
              <w:t xml:space="preserve"> two papers, </w:t>
            </w:r>
            <w:r w:rsidRPr="00B40AB1">
              <w:rPr>
                <w:b/>
                <w:bCs/>
                <w:sz w:val="22"/>
                <w:szCs w:val="22"/>
              </w:rPr>
              <w:t xml:space="preserve">Blain, J. 2000. ‘Speaking </w:t>
            </w:r>
            <w:proofErr w:type="spellStart"/>
            <w:r w:rsidRPr="00B40AB1">
              <w:rPr>
                <w:b/>
                <w:bCs/>
                <w:sz w:val="22"/>
                <w:szCs w:val="22"/>
              </w:rPr>
              <w:t>Shamanistically</w:t>
            </w:r>
            <w:proofErr w:type="spellEnd"/>
            <w:r w:rsidRPr="00B40AB1">
              <w:rPr>
                <w:b/>
                <w:bCs/>
                <w:sz w:val="22"/>
                <w:szCs w:val="22"/>
              </w:rPr>
              <w:t xml:space="preserve">: </w:t>
            </w:r>
            <w:proofErr w:type="spellStart"/>
            <w:r w:rsidRPr="00B40AB1">
              <w:rPr>
                <w:b/>
                <w:bCs/>
                <w:sz w:val="22"/>
                <w:szCs w:val="22"/>
              </w:rPr>
              <w:t>Seidr</w:t>
            </w:r>
            <w:proofErr w:type="spellEnd"/>
            <w:r w:rsidRPr="00B40AB1">
              <w:rPr>
                <w:b/>
                <w:bCs/>
                <w:sz w:val="22"/>
                <w:szCs w:val="22"/>
              </w:rPr>
              <w:t xml:space="preserve">, Academia and Rationality’. In DISKUS Volume 6 (2000) and Walter, T. &amp; Waterhouse, H. 1999. ‘A Very Private Belief: Reincarnation in Contemporary England’. Sociology of Religion, 60, 187-197. </w:t>
            </w:r>
          </w:p>
          <w:p w14:paraId="3F453178" w14:textId="77777777" w:rsidR="00232882" w:rsidRPr="0090605D" w:rsidRDefault="00232882" w:rsidP="00DE3795">
            <w:pPr>
              <w:pStyle w:val="NormalWeb"/>
              <w:spacing w:before="0" w:beforeAutospacing="0" w:after="0" w:afterAutospacing="0" w:line="276" w:lineRule="auto"/>
              <w:ind w:right="34"/>
              <w:rPr>
                <w:rFonts w:ascii="Times" w:hAnsi="Times" w:cs="Arial"/>
              </w:rPr>
            </w:pPr>
          </w:p>
          <w:p w14:paraId="5C87A9B3" w14:textId="74890193" w:rsidR="00232882" w:rsidRPr="0090605D" w:rsidRDefault="00232882" w:rsidP="00DE3795">
            <w:pPr>
              <w:pStyle w:val="NormalWeb"/>
              <w:spacing w:before="0" w:beforeAutospacing="0" w:after="0" w:afterAutospacing="0" w:line="276" w:lineRule="auto"/>
              <w:ind w:right="34"/>
              <w:rPr>
                <w:rFonts w:ascii="Times" w:hAnsi="Times" w:cs="Arial"/>
              </w:rPr>
            </w:pPr>
            <w:r w:rsidRPr="0090605D">
              <w:rPr>
                <w:rFonts w:ascii="Times" w:hAnsi="Times" w:cs="Arial"/>
              </w:rPr>
              <w:t xml:space="preserve">Assignment due date: </w:t>
            </w:r>
            <w:r>
              <w:rPr>
                <w:rFonts w:ascii="Times" w:hAnsi="Times" w:cs="Arial"/>
                <w:b/>
                <w:bCs/>
              </w:rPr>
              <w:t>29</w:t>
            </w:r>
            <w:r>
              <w:rPr>
                <w:rFonts w:ascii="Times" w:hAnsi="Times" w:cs="Arial"/>
                <w:b/>
                <w:bCs/>
                <w:vertAlign w:val="superscript"/>
              </w:rPr>
              <w:t>th</w:t>
            </w:r>
            <w:r w:rsidRPr="0090605D">
              <w:rPr>
                <w:rFonts w:ascii="Times" w:hAnsi="Times" w:cs="Arial"/>
                <w:b/>
                <w:bCs/>
              </w:rPr>
              <w:t xml:space="preserve"> </w:t>
            </w:r>
            <w:r>
              <w:rPr>
                <w:rFonts w:ascii="Times" w:hAnsi="Times" w:cs="Arial"/>
                <w:b/>
                <w:bCs/>
              </w:rPr>
              <w:t>July</w:t>
            </w:r>
            <w:r w:rsidRPr="0090605D">
              <w:rPr>
                <w:rFonts w:ascii="Times" w:hAnsi="Times" w:cs="Arial"/>
                <w:b/>
                <w:bCs/>
              </w:rPr>
              <w:t xml:space="preserve"> 2024</w:t>
            </w:r>
          </w:p>
        </w:tc>
      </w:tr>
      <w:tr w:rsidR="00232882" w:rsidRPr="0090605D" w14:paraId="7121836F" w14:textId="77777777" w:rsidTr="00DE3795">
        <w:trPr>
          <w:trHeight w:val="978"/>
        </w:trPr>
        <w:tc>
          <w:tcPr>
            <w:tcW w:w="8856" w:type="dxa"/>
            <w:gridSpan w:val="3"/>
            <w:tcBorders>
              <w:bottom w:val="single" w:sz="4" w:space="0" w:color="000000"/>
            </w:tcBorders>
          </w:tcPr>
          <w:p w14:paraId="43BE286C" w14:textId="77777777" w:rsidR="00232882" w:rsidRPr="0090605D" w:rsidRDefault="00232882" w:rsidP="00DE3795">
            <w:pPr>
              <w:spacing w:line="276" w:lineRule="auto"/>
              <w:rPr>
                <w:rFonts w:ascii="Times" w:hAnsi="Times" w:cs="Arial"/>
              </w:rPr>
            </w:pPr>
            <w:r w:rsidRPr="0090605D">
              <w:rPr>
                <w:rFonts w:ascii="Times" w:hAnsi="Times" w:cs="Arial"/>
              </w:rPr>
              <w:t>This assignment is for the       1</w:t>
            </w:r>
            <w:r w:rsidRPr="0090605D">
              <w:rPr>
                <w:rFonts w:ascii="Times" w:hAnsi="Times" w:cs="Arial"/>
                <w:vertAlign w:val="superscript"/>
              </w:rPr>
              <w:t xml:space="preserve">st </w:t>
            </w:r>
            <w:r w:rsidRPr="0090605D">
              <w:rPr>
                <w:rFonts w:ascii="Times" w:hAnsi="Times" w:cs="Arial"/>
              </w:rPr>
              <w:fldChar w:fldCharType="begin">
                <w:ffData>
                  <w:name w:val="Check13"/>
                  <w:enabled/>
                  <w:calcOnExit w:val="0"/>
                  <w:checkBox>
                    <w:sizeAuto/>
                    <w:default w:val="1"/>
                  </w:checkBox>
                </w:ffData>
              </w:fldChar>
            </w:r>
            <w:bookmarkStart w:id="0" w:name="Check13"/>
            <w:r w:rsidRPr="0090605D">
              <w:rPr>
                <w:rFonts w:ascii="Times" w:hAnsi="Times" w:cs="Arial"/>
              </w:rPr>
              <w:instrText xml:space="preserve"> FORMCHECKBOX </w:instrText>
            </w:r>
            <w:r>
              <w:rPr>
                <w:rFonts w:ascii="Times" w:hAnsi="Times" w:cs="Arial"/>
              </w:rPr>
            </w:r>
            <w:r>
              <w:rPr>
                <w:rFonts w:ascii="Times" w:hAnsi="Times" w:cs="Arial"/>
              </w:rPr>
              <w:fldChar w:fldCharType="separate"/>
            </w:r>
            <w:r w:rsidRPr="0090605D">
              <w:rPr>
                <w:rFonts w:ascii="Times" w:hAnsi="Times" w:cs="Arial"/>
              </w:rPr>
              <w:fldChar w:fldCharType="end"/>
            </w:r>
            <w:bookmarkEnd w:id="0"/>
            <w:r w:rsidRPr="0090605D">
              <w:rPr>
                <w:rFonts w:ascii="Times" w:hAnsi="Times" w:cs="Arial"/>
              </w:rPr>
              <w:t xml:space="preserve">    2</w:t>
            </w:r>
            <w:r w:rsidRPr="0090605D">
              <w:rPr>
                <w:rFonts w:ascii="Times" w:hAnsi="Times" w:cs="Arial"/>
                <w:vertAlign w:val="superscript"/>
              </w:rPr>
              <w:t>nd</w:t>
            </w:r>
            <w:r w:rsidRPr="0090605D">
              <w:rPr>
                <w:rFonts w:ascii="Times" w:hAnsi="Times" w:cs="Arial"/>
              </w:rPr>
              <w:t xml:space="preserve">  </w:t>
            </w:r>
            <w:r w:rsidRPr="0090605D">
              <w:rPr>
                <w:rFonts w:ascii="Times" w:hAnsi="Times" w:cs="Arial"/>
              </w:rPr>
              <w:fldChar w:fldCharType="begin">
                <w:ffData>
                  <w:name w:val="Check14"/>
                  <w:enabled/>
                  <w:calcOnExit w:val="0"/>
                  <w:checkBox>
                    <w:sizeAuto/>
                    <w:default w:val="0"/>
                  </w:checkBox>
                </w:ffData>
              </w:fldChar>
            </w:r>
            <w:bookmarkStart w:id="1" w:name="Check14"/>
            <w:r w:rsidRPr="0090605D">
              <w:rPr>
                <w:rFonts w:ascii="Times" w:hAnsi="Times" w:cs="Arial"/>
              </w:rPr>
              <w:instrText xml:space="preserve"> FORMCHECKBOX </w:instrText>
            </w:r>
            <w:r>
              <w:rPr>
                <w:rFonts w:ascii="Times" w:hAnsi="Times" w:cs="Arial"/>
              </w:rPr>
            </w:r>
            <w:r>
              <w:rPr>
                <w:rFonts w:ascii="Times" w:hAnsi="Times" w:cs="Arial"/>
              </w:rPr>
              <w:fldChar w:fldCharType="separate"/>
            </w:r>
            <w:r w:rsidRPr="0090605D">
              <w:rPr>
                <w:rFonts w:ascii="Times" w:hAnsi="Times" w:cs="Arial"/>
              </w:rPr>
              <w:fldChar w:fldCharType="end"/>
            </w:r>
            <w:bookmarkEnd w:id="1"/>
            <w:r w:rsidRPr="0090605D">
              <w:rPr>
                <w:rFonts w:ascii="Times" w:hAnsi="Times" w:cs="Arial"/>
              </w:rPr>
              <w:t xml:space="preserve">     3</w:t>
            </w:r>
            <w:r w:rsidRPr="0090605D">
              <w:rPr>
                <w:rFonts w:ascii="Times" w:hAnsi="Times" w:cs="Arial"/>
                <w:vertAlign w:val="superscript"/>
              </w:rPr>
              <w:t>rd</w:t>
            </w:r>
            <w:r w:rsidRPr="0090605D">
              <w:rPr>
                <w:rFonts w:ascii="Times" w:hAnsi="Times" w:cs="Arial"/>
              </w:rPr>
              <w:t xml:space="preserve">  </w:t>
            </w:r>
            <w:r w:rsidRPr="0090605D">
              <w:rPr>
                <w:rFonts w:ascii="Times" w:hAnsi="Times" w:cs="Arial"/>
              </w:rPr>
              <w:fldChar w:fldCharType="begin">
                <w:ffData>
                  <w:name w:val="Check15"/>
                  <w:enabled/>
                  <w:calcOnExit w:val="0"/>
                  <w:checkBox>
                    <w:sizeAuto/>
                    <w:default w:val="0"/>
                  </w:checkBox>
                </w:ffData>
              </w:fldChar>
            </w:r>
            <w:bookmarkStart w:id="2" w:name="Check15"/>
            <w:r w:rsidRPr="0090605D">
              <w:rPr>
                <w:rFonts w:ascii="Times" w:hAnsi="Times" w:cs="Arial"/>
              </w:rPr>
              <w:instrText xml:space="preserve"> FORMCHECKBOX </w:instrText>
            </w:r>
            <w:r>
              <w:rPr>
                <w:rFonts w:ascii="Times" w:hAnsi="Times" w:cs="Arial"/>
              </w:rPr>
            </w:r>
            <w:r>
              <w:rPr>
                <w:rFonts w:ascii="Times" w:hAnsi="Times" w:cs="Arial"/>
              </w:rPr>
              <w:fldChar w:fldCharType="separate"/>
            </w:r>
            <w:r w:rsidRPr="0090605D">
              <w:rPr>
                <w:rFonts w:ascii="Times" w:hAnsi="Times" w:cs="Arial"/>
              </w:rPr>
              <w:fldChar w:fldCharType="end"/>
            </w:r>
            <w:bookmarkEnd w:id="2"/>
            <w:r w:rsidRPr="0090605D">
              <w:rPr>
                <w:rFonts w:ascii="Times" w:hAnsi="Times" w:cs="Arial"/>
              </w:rPr>
              <w:t xml:space="preserve">      4</w:t>
            </w:r>
            <w:r w:rsidRPr="0090605D">
              <w:rPr>
                <w:rFonts w:ascii="Times" w:hAnsi="Times" w:cs="Arial"/>
                <w:vertAlign w:val="superscript"/>
              </w:rPr>
              <w:t>th</w:t>
            </w:r>
            <w:r w:rsidRPr="0090605D">
              <w:rPr>
                <w:rFonts w:ascii="Times" w:hAnsi="Times" w:cs="Arial"/>
              </w:rPr>
              <w:t xml:space="preserve"> </w:t>
            </w:r>
            <w:r w:rsidRPr="0090605D">
              <w:rPr>
                <w:rFonts w:ascii="Times" w:hAnsi="Times" w:cs="Arial"/>
              </w:rPr>
              <w:fldChar w:fldCharType="begin">
                <w:ffData>
                  <w:name w:val="Check16"/>
                  <w:enabled/>
                  <w:calcOnExit w:val="0"/>
                  <w:checkBox>
                    <w:sizeAuto/>
                    <w:default w:val="0"/>
                  </w:checkBox>
                </w:ffData>
              </w:fldChar>
            </w:r>
            <w:bookmarkStart w:id="3" w:name="Check16"/>
            <w:r w:rsidRPr="0090605D">
              <w:rPr>
                <w:rFonts w:ascii="Times" w:hAnsi="Times" w:cs="Arial"/>
              </w:rPr>
              <w:instrText xml:space="preserve"> FORMCHECKBOX </w:instrText>
            </w:r>
            <w:r>
              <w:rPr>
                <w:rFonts w:ascii="Times" w:hAnsi="Times" w:cs="Arial"/>
              </w:rPr>
            </w:r>
            <w:r>
              <w:rPr>
                <w:rFonts w:ascii="Times" w:hAnsi="Times" w:cs="Arial"/>
              </w:rPr>
              <w:fldChar w:fldCharType="separate"/>
            </w:r>
            <w:r w:rsidRPr="0090605D">
              <w:rPr>
                <w:rFonts w:ascii="Times" w:hAnsi="Times" w:cs="Arial"/>
              </w:rPr>
              <w:fldChar w:fldCharType="end"/>
            </w:r>
            <w:bookmarkEnd w:id="3"/>
            <w:r w:rsidRPr="0090605D">
              <w:rPr>
                <w:rFonts w:ascii="Times" w:hAnsi="Times" w:cs="Arial"/>
              </w:rPr>
              <w:t xml:space="preserve">      5</w:t>
            </w:r>
            <w:r w:rsidRPr="0090605D">
              <w:rPr>
                <w:rFonts w:ascii="Times" w:hAnsi="Times" w:cs="Arial"/>
                <w:vertAlign w:val="superscript"/>
              </w:rPr>
              <w:t>th</w:t>
            </w:r>
            <w:r w:rsidRPr="0090605D">
              <w:rPr>
                <w:rFonts w:ascii="Times" w:hAnsi="Times" w:cs="Arial"/>
              </w:rPr>
              <w:t xml:space="preserve"> </w:t>
            </w:r>
            <w:r w:rsidRPr="0090605D">
              <w:rPr>
                <w:rFonts w:ascii="Times" w:hAnsi="Times" w:cs="Arial"/>
              </w:rPr>
              <w:fldChar w:fldCharType="begin">
                <w:ffData>
                  <w:name w:val="Check17"/>
                  <w:enabled/>
                  <w:calcOnExit w:val="0"/>
                  <w:checkBox>
                    <w:sizeAuto/>
                    <w:default w:val="0"/>
                  </w:checkBox>
                </w:ffData>
              </w:fldChar>
            </w:r>
            <w:bookmarkStart w:id="4" w:name="Check17"/>
            <w:r w:rsidRPr="0090605D">
              <w:rPr>
                <w:rFonts w:ascii="Times" w:hAnsi="Times" w:cs="Arial"/>
              </w:rPr>
              <w:instrText xml:space="preserve"> FORMCHECKBOX </w:instrText>
            </w:r>
            <w:r>
              <w:rPr>
                <w:rFonts w:ascii="Times" w:hAnsi="Times" w:cs="Arial"/>
              </w:rPr>
            </w:r>
            <w:r>
              <w:rPr>
                <w:rFonts w:ascii="Times" w:hAnsi="Times" w:cs="Arial"/>
              </w:rPr>
              <w:fldChar w:fldCharType="separate"/>
            </w:r>
            <w:r w:rsidRPr="0090605D">
              <w:rPr>
                <w:rFonts w:ascii="Times" w:hAnsi="Times" w:cs="Arial"/>
              </w:rPr>
              <w:fldChar w:fldCharType="end"/>
            </w:r>
            <w:bookmarkEnd w:id="4"/>
            <w:r w:rsidRPr="0090605D">
              <w:rPr>
                <w:rFonts w:ascii="Times" w:hAnsi="Times" w:cs="Arial"/>
              </w:rPr>
              <w:t xml:space="preserve">      6</w:t>
            </w:r>
            <w:r w:rsidRPr="0090605D">
              <w:rPr>
                <w:rFonts w:ascii="Times" w:hAnsi="Times" w:cs="Arial"/>
                <w:vertAlign w:val="superscript"/>
              </w:rPr>
              <w:t>th</w:t>
            </w:r>
            <w:r w:rsidRPr="0090605D">
              <w:rPr>
                <w:rFonts w:ascii="Times" w:hAnsi="Times" w:cs="Arial"/>
              </w:rPr>
              <w:t xml:space="preserve"> </w:t>
            </w:r>
            <w:r w:rsidRPr="0090605D">
              <w:rPr>
                <w:rFonts w:ascii="Times" w:hAnsi="Times" w:cs="Arial"/>
              </w:rPr>
              <w:fldChar w:fldCharType="begin">
                <w:ffData>
                  <w:name w:val="Check18"/>
                  <w:enabled/>
                  <w:calcOnExit w:val="0"/>
                  <w:checkBox>
                    <w:sizeAuto/>
                    <w:default w:val="0"/>
                  </w:checkBox>
                </w:ffData>
              </w:fldChar>
            </w:r>
            <w:bookmarkStart w:id="5" w:name="Check18"/>
            <w:r w:rsidRPr="0090605D">
              <w:rPr>
                <w:rFonts w:ascii="Times" w:hAnsi="Times" w:cs="Arial"/>
              </w:rPr>
              <w:instrText xml:space="preserve"> FORMCHECKBOX </w:instrText>
            </w:r>
            <w:r>
              <w:rPr>
                <w:rFonts w:ascii="Times" w:hAnsi="Times" w:cs="Arial"/>
              </w:rPr>
            </w:r>
            <w:r>
              <w:rPr>
                <w:rFonts w:ascii="Times" w:hAnsi="Times" w:cs="Arial"/>
              </w:rPr>
              <w:fldChar w:fldCharType="separate"/>
            </w:r>
            <w:r w:rsidRPr="0090605D">
              <w:rPr>
                <w:rFonts w:ascii="Times" w:hAnsi="Times" w:cs="Arial"/>
              </w:rPr>
              <w:fldChar w:fldCharType="end"/>
            </w:r>
            <w:bookmarkEnd w:id="5"/>
            <w:r w:rsidRPr="0090605D">
              <w:rPr>
                <w:rFonts w:ascii="Times" w:hAnsi="Times" w:cs="Arial"/>
                <w:b/>
              </w:rPr>
              <w:t xml:space="preserve">   </w:t>
            </w:r>
            <w:r w:rsidRPr="0090605D">
              <w:rPr>
                <w:rFonts w:ascii="Times" w:hAnsi="Times" w:cs="Arial"/>
              </w:rPr>
              <w:t>module of the degree</w:t>
            </w:r>
          </w:p>
        </w:tc>
      </w:tr>
      <w:tr w:rsidR="00232882" w:rsidRPr="0090605D" w14:paraId="352FA6A0" w14:textId="77777777" w:rsidTr="00DE3795">
        <w:trPr>
          <w:trHeight w:val="978"/>
        </w:trPr>
        <w:tc>
          <w:tcPr>
            <w:tcW w:w="8856" w:type="dxa"/>
            <w:gridSpan w:val="3"/>
            <w:shd w:val="clear" w:color="auto" w:fill="D9D9D9"/>
          </w:tcPr>
          <w:p w14:paraId="2DBC2F1D" w14:textId="77777777" w:rsidR="00232882" w:rsidRPr="0090605D" w:rsidRDefault="00232882" w:rsidP="00DE3795">
            <w:pPr>
              <w:pStyle w:val="NormalWeb"/>
              <w:spacing w:before="0" w:beforeAutospacing="0" w:after="0" w:afterAutospacing="0" w:line="276" w:lineRule="auto"/>
              <w:ind w:right="34"/>
              <w:rPr>
                <w:rFonts w:ascii="Times" w:hAnsi="Times" w:cs="Arial"/>
              </w:rPr>
            </w:pPr>
            <w:r w:rsidRPr="0090605D">
              <w:rPr>
                <w:rFonts w:ascii="Times" w:hAnsi="Times" w:cs="Arial"/>
                <w:noProof/>
              </w:rPr>
              <w:drawing>
                <wp:anchor distT="0" distB="0" distL="114300" distR="114300" simplePos="0" relativeHeight="251659264" behindDoc="0" locked="0" layoutInCell="1" allowOverlap="1" wp14:anchorId="20732211" wp14:editId="7BEEB5F9">
                  <wp:simplePos x="0" y="0"/>
                  <wp:positionH relativeFrom="column">
                    <wp:posOffset>787910</wp:posOffset>
                  </wp:positionH>
                  <wp:positionV relativeFrom="paragraph">
                    <wp:posOffset>209749</wp:posOffset>
                  </wp:positionV>
                  <wp:extent cx="1125855" cy="285115"/>
                  <wp:effectExtent l="12700" t="12700" r="17145" b="6985"/>
                  <wp:wrapNone/>
                  <wp:docPr id="1417398629" name="Picture 1" descr="A close-up of a signatu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7398629" name="Picture 1" descr="A close-up of a signature&#10;&#10;Description automatically generated"/>
                          <pic:cNvPicPr/>
                        </pic:nvPicPr>
                        <pic:blipFill rotWithShape="1">
                          <a:blip r:embed="rId8" cstate="print">
                            <a:extLst>
                              <a:ext uri="{28A0092B-C50C-407E-A947-70E740481C1C}">
                                <a14:useLocalDpi xmlns:a14="http://schemas.microsoft.com/office/drawing/2010/main" val="0"/>
                              </a:ext>
                            </a:extLst>
                          </a:blip>
                          <a:srcRect t="18935"/>
                          <a:stretch/>
                        </pic:blipFill>
                        <pic:spPr bwMode="auto">
                          <a:xfrm>
                            <a:off x="0" y="0"/>
                            <a:ext cx="1125855" cy="285115"/>
                          </a:xfrm>
                          <a:prstGeom prst="rect">
                            <a:avLst/>
                          </a:prstGeom>
                          <a:ln>
                            <a:solidFill>
                              <a:schemeClr val="bg1">
                                <a:lumMod val="75000"/>
                              </a:schemeClr>
                            </a:solid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90605D">
              <w:rPr>
                <w:rFonts w:ascii="Times" w:hAnsi="Times" w:cs="Arial"/>
              </w:rPr>
              <w:t>I confirm that this is my original work and that I have adhered to the University policy on plagiarism.</w:t>
            </w:r>
          </w:p>
          <w:p w14:paraId="276833B1" w14:textId="77777777" w:rsidR="00232882" w:rsidRPr="0090605D" w:rsidRDefault="00232882" w:rsidP="00DE3795">
            <w:pPr>
              <w:pStyle w:val="NormalWeb"/>
              <w:spacing w:before="0" w:beforeAutospacing="0" w:after="0" w:afterAutospacing="0" w:line="276" w:lineRule="auto"/>
              <w:ind w:right="34"/>
              <w:rPr>
                <w:rFonts w:ascii="Times" w:hAnsi="Times" w:cs="Arial"/>
              </w:rPr>
            </w:pPr>
            <w:r w:rsidRPr="0090605D">
              <w:rPr>
                <w:rFonts w:ascii="Times" w:hAnsi="Times" w:cs="Arial"/>
              </w:rPr>
              <w:t>Signed ……………………………………………………………</w:t>
            </w:r>
          </w:p>
          <w:p w14:paraId="6393E411" w14:textId="77777777" w:rsidR="00232882" w:rsidRPr="0090605D" w:rsidRDefault="00232882" w:rsidP="00DE3795">
            <w:pPr>
              <w:pStyle w:val="NormalWeb"/>
              <w:spacing w:before="0" w:beforeAutospacing="0" w:after="0" w:afterAutospacing="0" w:line="276" w:lineRule="auto"/>
              <w:ind w:right="34"/>
              <w:rPr>
                <w:rFonts w:ascii="Times" w:hAnsi="Times" w:cs="Calibri"/>
                <w:b/>
              </w:rPr>
            </w:pPr>
            <w:r w:rsidRPr="0090605D">
              <w:rPr>
                <w:rFonts w:ascii="Times" w:hAnsi="Times" w:cs="Tahoma"/>
                <w:b/>
              </w:rPr>
              <w:t xml:space="preserve">Email </w:t>
            </w:r>
            <w:proofErr w:type="spellStart"/>
            <w:proofErr w:type="gramStart"/>
            <w:r w:rsidRPr="0090605D">
              <w:rPr>
                <w:rFonts w:ascii="Times" w:hAnsi="Times" w:cs="Tahoma"/>
                <w:b/>
              </w:rPr>
              <w:t>submission:if</w:t>
            </w:r>
            <w:proofErr w:type="spellEnd"/>
            <w:proofErr w:type="gramEnd"/>
            <w:r w:rsidRPr="0090605D">
              <w:rPr>
                <w:rFonts w:ascii="Times" w:hAnsi="Times" w:cs="Tahoma"/>
                <w:b/>
              </w:rPr>
              <w:t xml:space="preserve"> you are submitting this form via email, please tick this box </w:t>
            </w:r>
            <w:r w:rsidRPr="0090605D">
              <w:rPr>
                <w:b/>
              </w:rPr>
              <w:t>□</w:t>
            </w:r>
          </w:p>
          <w:p w14:paraId="3BA1470E" w14:textId="77777777" w:rsidR="00232882" w:rsidRPr="0090605D" w:rsidRDefault="00232882" w:rsidP="00DE3795">
            <w:pPr>
              <w:pStyle w:val="NormalWeb"/>
              <w:spacing w:before="0" w:beforeAutospacing="0" w:after="0" w:afterAutospacing="0" w:line="276" w:lineRule="auto"/>
              <w:ind w:right="34"/>
              <w:rPr>
                <w:rFonts w:ascii="Times" w:hAnsi="Times" w:cs="Arial"/>
              </w:rPr>
            </w:pPr>
            <w:r w:rsidRPr="0090605D">
              <w:rPr>
                <w:rFonts w:ascii="Times" w:hAnsi="Times" w:cs="Tahoma"/>
                <w:b/>
              </w:rPr>
              <w:t>(as a substitute for your signature) to confirm that you agree to the above declaration.</w:t>
            </w:r>
          </w:p>
        </w:tc>
      </w:tr>
    </w:tbl>
    <w:p w14:paraId="001806FE" w14:textId="77777777" w:rsidR="00232882" w:rsidRDefault="00232882" w:rsidP="00232882">
      <w:pPr>
        <w:rPr>
          <w:rFonts w:ascii="Times New Roman" w:eastAsia="Times New Roman" w:hAnsi="Times New Roman" w:cs="Times New Roman"/>
          <w:b/>
          <w:bCs/>
          <w:kern w:val="0"/>
          <w14:ligatures w14:val="none"/>
        </w:rPr>
      </w:pPr>
      <w:r>
        <w:rPr>
          <w:b/>
          <w:bCs/>
        </w:rPr>
        <w:br w:type="page"/>
      </w:r>
    </w:p>
    <w:p w14:paraId="63809F5B" w14:textId="1F05FF46" w:rsidR="00232882" w:rsidRDefault="00232882">
      <w:pPr>
        <w:spacing w:line="259" w:lineRule="auto"/>
        <w:rPr>
          <w:rFonts w:ascii="Times New Roman" w:hAnsi="Times New Roman" w:cs="Times New Roman"/>
          <w:sz w:val="22"/>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211"/>
        <w:gridCol w:w="1557"/>
        <w:gridCol w:w="2088"/>
      </w:tblGrid>
      <w:tr w:rsidR="00232882" w:rsidRPr="0090605D" w14:paraId="4FFD7C5E" w14:textId="77777777" w:rsidTr="00DE3795">
        <w:trPr>
          <w:trHeight w:val="3972"/>
        </w:trPr>
        <w:tc>
          <w:tcPr>
            <w:tcW w:w="8856" w:type="dxa"/>
            <w:gridSpan w:val="3"/>
          </w:tcPr>
          <w:p w14:paraId="586E62E3" w14:textId="77777777" w:rsidR="00232882" w:rsidRPr="0090605D" w:rsidRDefault="00232882" w:rsidP="00DE3795">
            <w:pPr>
              <w:spacing w:line="276" w:lineRule="auto"/>
              <w:rPr>
                <w:rFonts w:ascii="Times" w:hAnsi="Times"/>
                <w:b/>
              </w:rPr>
            </w:pPr>
          </w:p>
          <w:p w14:paraId="1DD48FD5" w14:textId="77777777" w:rsidR="00232882" w:rsidRPr="0090605D" w:rsidRDefault="00232882" w:rsidP="00DE3795">
            <w:pPr>
              <w:spacing w:line="276" w:lineRule="auto"/>
              <w:rPr>
                <w:rFonts w:ascii="Times" w:hAnsi="Times"/>
              </w:rPr>
            </w:pPr>
            <w:r w:rsidRPr="0090605D">
              <w:rPr>
                <w:rFonts w:ascii="Times" w:hAnsi="Times"/>
                <w:b/>
              </w:rPr>
              <w:t>Assignment Mark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70"/>
              <w:gridCol w:w="1660"/>
            </w:tblGrid>
            <w:tr w:rsidR="00232882" w:rsidRPr="0090605D" w14:paraId="193CF21E" w14:textId="77777777" w:rsidTr="00DE3795">
              <w:tc>
                <w:tcPr>
                  <w:tcW w:w="6970" w:type="dxa"/>
                </w:tcPr>
                <w:p w14:paraId="7E9EB165" w14:textId="77777777" w:rsidR="00232882" w:rsidRPr="0090605D" w:rsidRDefault="00232882" w:rsidP="00DE3795">
                  <w:pPr>
                    <w:spacing w:line="276" w:lineRule="auto"/>
                    <w:rPr>
                      <w:rFonts w:ascii="Times" w:hAnsi="Times"/>
                    </w:rPr>
                  </w:pPr>
                </w:p>
                <w:p w14:paraId="290879C9" w14:textId="77777777" w:rsidR="00232882" w:rsidRPr="0090605D" w:rsidRDefault="00232882" w:rsidP="00DE3795">
                  <w:pPr>
                    <w:spacing w:line="276" w:lineRule="auto"/>
                    <w:rPr>
                      <w:rFonts w:ascii="Times" w:hAnsi="Times"/>
                    </w:rPr>
                  </w:pPr>
                  <w:r w:rsidRPr="0090605D">
                    <w:rPr>
                      <w:rFonts w:ascii="Times" w:hAnsi="Times"/>
                    </w:rPr>
                    <w:t>1</w:t>
                  </w:r>
                  <w:r w:rsidRPr="0090605D">
                    <w:rPr>
                      <w:rFonts w:ascii="Times" w:hAnsi="Times"/>
                      <w:vertAlign w:val="superscript"/>
                    </w:rPr>
                    <w:t>st</w:t>
                  </w:r>
                  <w:r w:rsidRPr="0090605D">
                    <w:rPr>
                      <w:rFonts w:ascii="Times" w:hAnsi="Times"/>
                    </w:rPr>
                    <w:t xml:space="preserve"> Marker’s Provisional mark</w:t>
                  </w:r>
                </w:p>
              </w:tc>
              <w:tc>
                <w:tcPr>
                  <w:tcW w:w="1660" w:type="dxa"/>
                </w:tcPr>
                <w:p w14:paraId="4534E4DE" w14:textId="77777777" w:rsidR="00232882" w:rsidRPr="0090605D" w:rsidRDefault="00232882" w:rsidP="00DE3795">
                  <w:pPr>
                    <w:spacing w:line="276" w:lineRule="auto"/>
                    <w:rPr>
                      <w:rFonts w:ascii="Times" w:hAnsi="Times"/>
                    </w:rPr>
                  </w:pPr>
                </w:p>
              </w:tc>
            </w:tr>
            <w:tr w:rsidR="00232882" w:rsidRPr="0090605D" w14:paraId="65A25CE7" w14:textId="77777777" w:rsidTr="00DE3795">
              <w:tc>
                <w:tcPr>
                  <w:tcW w:w="6970" w:type="dxa"/>
                </w:tcPr>
                <w:p w14:paraId="522117BA" w14:textId="77777777" w:rsidR="00232882" w:rsidRPr="0090605D" w:rsidRDefault="00232882" w:rsidP="00DE3795">
                  <w:pPr>
                    <w:spacing w:line="276" w:lineRule="auto"/>
                    <w:rPr>
                      <w:rFonts w:ascii="Times" w:hAnsi="Times"/>
                    </w:rPr>
                  </w:pPr>
                </w:p>
                <w:p w14:paraId="5A982890" w14:textId="77777777" w:rsidR="00232882" w:rsidRPr="0090605D" w:rsidRDefault="00232882" w:rsidP="00DE3795">
                  <w:pPr>
                    <w:spacing w:line="276" w:lineRule="auto"/>
                    <w:rPr>
                      <w:rFonts w:ascii="Times" w:hAnsi="Times"/>
                    </w:rPr>
                  </w:pPr>
                  <w:r w:rsidRPr="0090605D">
                    <w:rPr>
                      <w:rFonts w:ascii="Times" w:hAnsi="Times"/>
                    </w:rPr>
                    <w:t>2</w:t>
                  </w:r>
                  <w:r w:rsidRPr="0090605D">
                    <w:rPr>
                      <w:rFonts w:ascii="Times" w:hAnsi="Times"/>
                      <w:vertAlign w:val="superscript"/>
                    </w:rPr>
                    <w:t>nd</w:t>
                  </w:r>
                  <w:r w:rsidRPr="0090605D">
                    <w:rPr>
                      <w:rFonts w:ascii="Times" w:hAnsi="Times"/>
                    </w:rPr>
                    <w:t xml:space="preserve"> Marker’s/Moderator’s provisional mark</w:t>
                  </w:r>
                </w:p>
              </w:tc>
              <w:tc>
                <w:tcPr>
                  <w:tcW w:w="1660" w:type="dxa"/>
                </w:tcPr>
                <w:p w14:paraId="1A590F08" w14:textId="77777777" w:rsidR="00232882" w:rsidRPr="0090605D" w:rsidRDefault="00232882" w:rsidP="00DE3795">
                  <w:pPr>
                    <w:spacing w:line="276" w:lineRule="auto"/>
                    <w:rPr>
                      <w:rFonts w:ascii="Times" w:hAnsi="Times"/>
                    </w:rPr>
                  </w:pPr>
                </w:p>
              </w:tc>
            </w:tr>
            <w:tr w:rsidR="00232882" w:rsidRPr="0090605D" w14:paraId="309D400D" w14:textId="77777777" w:rsidTr="00DE3795">
              <w:tc>
                <w:tcPr>
                  <w:tcW w:w="6970" w:type="dxa"/>
                </w:tcPr>
                <w:p w14:paraId="20D2F033" w14:textId="77777777" w:rsidR="00232882" w:rsidRPr="0090605D" w:rsidRDefault="00232882" w:rsidP="00DE3795">
                  <w:pPr>
                    <w:spacing w:line="276" w:lineRule="auto"/>
                    <w:rPr>
                      <w:rFonts w:ascii="Times" w:hAnsi="Times"/>
                    </w:rPr>
                  </w:pPr>
                </w:p>
                <w:p w14:paraId="575585AE" w14:textId="77777777" w:rsidR="00232882" w:rsidRPr="0090605D" w:rsidRDefault="00232882" w:rsidP="00DE3795">
                  <w:pPr>
                    <w:spacing w:line="276" w:lineRule="auto"/>
                    <w:rPr>
                      <w:rFonts w:ascii="Times" w:hAnsi="Times"/>
                    </w:rPr>
                  </w:pPr>
                  <w:r w:rsidRPr="0090605D">
                    <w:rPr>
                      <w:rFonts w:ascii="Times" w:hAnsi="Times"/>
                    </w:rPr>
                    <w:t>External Examiner’s mark (if relevant)</w:t>
                  </w:r>
                </w:p>
              </w:tc>
              <w:tc>
                <w:tcPr>
                  <w:tcW w:w="1660" w:type="dxa"/>
                </w:tcPr>
                <w:p w14:paraId="06F6440C" w14:textId="77777777" w:rsidR="00232882" w:rsidRPr="0090605D" w:rsidRDefault="00232882" w:rsidP="00DE3795">
                  <w:pPr>
                    <w:spacing w:line="276" w:lineRule="auto"/>
                    <w:rPr>
                      <w:rFonts w:ascii="Times" w:hAnsi="Times"/>
                    </w:rPr>
                  </w:pPr>
                </w:p>
              </w:tc>
            </w:tr>
            <w:tr w:rsidR="00232882" w:rsidRPr="0090605D" w14:paraId="7B86B3DE" w14:textId="77777777" w:rsidTr="00DE3795">
              <w:tc>
                <w:tcPr>
                  <w:tcW w:w="6970" w:type="dxa"/>
                </w:tcPr>
                <w:p w14:paraId="1BAEF556" w14:textId="77777777" w:rsidR="00232882" w:rsidRPr="0090605D" w:rsidRDefault="00232882" w:rsidP="00DE3795">
                  <w:pPr>
                    <w:spacing w:line="276" w:lineRule="auto"/>
                    <w:rPr>
                      <w:rFonts w:ascii="Times" w:hAnsi="Times"/>
                    </w:rPr>
                  </w:pPr>
                </w:p>
                <w:p w14:paraId="2206AA14" w14:textId="77777777" w:rsidR="00232882" w:rsidRPr="0090605D" w:rsidRDefault="00232882" w:rsidP="00DE3795">
                  <w:pPr>
                    <w:spacing w:line="276" w:lineRule="auto"/>
                    <w:rPr>
                      <w:rFonts w:ascii="Times" w:hAnsi="Times"/>
                      <w:b/>
                    </w:rPr>
                  </w:pPr>
                  <w:r w:rsidRPr="0090605D">
                    <w:rPr>
                      <w:rFonts w:ascii="Times" w:hAnsi="Times"/>
                      <w:b/>
                    </w:rPr>
                    <w:t>Final Mark</w:t>
                  </w:r>
                </w:p>
                <w:p w14:paraId="74B77FD4" w14:textId="77777777" w:rsidR="00232882" w:rsidRPr="0090605D" w:rsidRDefault="00232882" w:rsidP="00DE3795">
                  <w:pPr>
                    <w:spacing w:line="276" w:lineRule="auto"/>
                    <w:rPr>
                      <w:rFonts w:ascii="Times" w:hAnsi="Times"/>
                    </w:rPr>
                  </w:pPr>
                </w:p>
              </w:tc>
              <w:tc>
                <w:tcPr>
                  <w:tcW w:w="1660" w:type="dxa"/>
                </w:tcPr>
                <w:p w14:paraId="3EAFDB8E" w14:textId="77777777" w:rsidR="00232882" w:rsidRPr="0090605D" w:rsidRDefault="00232882" w:rsidP="00DE3795">
                  <w:pPr>
                    <w:spacing w:line="276" w:lineRule="auto"/>
                    <w:rPr>
                      <w:rFonts w:ascii="Times" w:hAnsi="Times"/>
                    </w:rPr>
                  </w:pPr>
                </w:p>
              </w:tc>
            </w:tr>
          </w:tbl>
          <w:p w14:paraId="79AF5151" w14:textId="77777777" w:rsidR="00232882" w:rsidRPr="0090605D" w:rsidRDefault="00232882" w:rsidP="00DE3795">
            <w:pPr>
              <w:pStyle w:val="NormalWeb"/>
              <w:spacing w:before="0" w:beforeAutospacing="0" w:after="0" w:afterAutospacing="0" w:line="276" w:lineRule="auto"/>
              <w:ind w:left="142" w:right="34"/>
              <w:rPr>
                <w:rFonts w:ascii="Times" w:hAnsi="Times" w:cs="Arial"/>
                <w:b/>
              </w:rPr>
            </w:pPr>
          </w:p>
          <w:p w14:paraId="55CF926D" w14:textId="77777777" w:rsidR="00232882" w:rsidRPr="0090605D" w:rsidRDefault="00232882" w:rsidP="00DE3795">
            <w:pPr>
              <w:pStyle w:val="NormalWeb"/>
              <w:spacing w:before="0" w:beforeAutospacing="0" w:after="0" w:afterAutospacing="0" w:line="276" w:lineRule="auto"/>
              <w:ind w:left="142" w:right="34"/>
              <w:rPr>
                <w:rFonts w:ascii="Times" w:hAnsi="Times" w:cs="Arial"/>
              </w:rPr>
            </w:pPr>
            <w:r w:rsidRPr="0090605D">
              <w:rPr>
                <w:rFonts w:ascii="Times" w:hAnsi="Times" w:cs="Arial"/>
                <w:b/>
              </w:rPr>
              <w:t>NB.</w:t>
            </w:r>
            <w:r w:rsidRPr="0090605D">
              <w:rPr>
                <w:rFonts w:ascii="Times" w:hAnsi="Times" w:cs="Arial"/>
              </w:rPr>
              <w:t xml:space="preserve">  All marks are provisional until confirmed by the Final Examination Board.</w:t>
            </w:r>
          </w:p>
          <w:p w14:paraId="17313F22" w14:textId="77777777" w:rsidR="00232882" w:rsidRPr="0090605D" w:rsidRDefault="00232882" w:rsidP="00DE3795">
            <w:pPr>
              <w:pStyle w:val="NormalWeb"/>
              <w:spacing w:before="0" w:beforeAutospacing="0" w:after="0" w:afterAutospacing="0" w:line="276" w:lineRule="auto"/>
              <w:rPr>
                <w:rFonts w:ascii="Times" w:hAnsi="Times" w:cs="Arial"/>
                <w:b/>
              </w:rPr>
            </w:pPr>
          </w:p>
          <w:p w14:paraId="574FC588" w14:textId="77777777" w:rsidR="00232882" w:rsidRPr="0090605D" w:rsidRDefault="00232882" w:rsidP="00DE3795">
            <w:pPr>
              <w:pStyle w:val="NormalWeb"/>
              <w:spacing w:before="0" w:beforeAutospacing="0" w:after="0" w:afterAutospacing="0" w:line="276" w:lineRule="auto"/>
              <w:rPr>
                <w:rFonts w:ascii="Times" w:hAnsi="Times" w:cs="Arial"/>
                <w:b/>
              </w:rPr>
            </w:pPr>
          </w:p>
          <w:p w14:paraId="2A59C581" w14:textId="77777777" w:rsidR="00232882" w:rsidRPr="0090605D" w:rsidRDefault="00232882" w:rsidP="00DE3795">
            <w:pPr>
              <w:pStyle w:val="NormalWeb"/>
              <w:spacing w:before="0" w:beforeAutospacing="0" w:after="0" w:afterAutospacing="0" w:line="276" w:lineRule="auto"/>
              <w:rPr>
                <w:rFonts w:ascii="Times" w:hAnsi="Times" w:cs="Arial"/>
                <w:b/>
              </w:rPr>
            </w:pPr>
          </w:p>
          <w:p w14:paraId="50FAAA32" w14:textId="77777777" w:rsidR="00232882" w:rsidRPr="0090605D" w:rsidRDefault="00232882" w:rsidP="00DE3795">
            <w:pPr>
              <w:pStyle w:val="NormalWeb"/>
              <w:spacing w:before="0" w:beforeAutospacing="0" w:after="0" w:afterAutospacing="0" w:line="276" w:lineRule="auto"/>
              <w:rPr>
                <w:rFonts w:ascii="Times" w:hAnsi="Times" w:cs="Arial"/>
                <w:b/>
              </w:rPr>
            </w:pPr>
          </w:p>
          <w:p w14:paraId="3B60332E" w14:textId="77777777" w:rsidR="00232882" w:rsidRPr="0090605D" w:rsidRDefault="00232882" w:rsidP="00DE3795">
            <w:pPr>
              <w:pStyle w:val="NormalWeb"/>
              <w:spacing w:before="0" w:beforeAutospacing="0" w:after="0" w:afterAutospacing="0" w:line="276" w:lineRule="auto"/>
              <w:rPr>
                <w:rFonts w:ascii="Times" w:hAnsi="Times" w:cs="Arial"/>
                <w:b/>
              </w:rPr>
            </w:pPr>
          </w:p>
          <w:p w14:paraId="74983E94" w14:textId="77777777" w:rsidR="00232882" w:rsidRPr="0090605D" w:rsidRDefault="00232882" w:rsidP="00DE3795">
            <w:pPr>
              <w:pStyle w:val="NormalWeb"/>
              <w:spacing w:before="0" w:beforeAutospacing="0" w:after="0" w:afterAutospacing="0" w:line="276" w:lineRule="auto"/>
              <w:rPr>
                <w:rFonts w:ascii="Times" w:hAnsi="Times" w:cs="Arial"/>
                <w:b/>
              </w:rPr>
            </w:pPr>
            <w:r w:rsidRPr="0090605D">
              <w:rPr>
                <w:rFonts w:ascii="Times" w:hAnsi="Times" w:cs="Arial"/>
                <w:b/>
              </w:rPr>
              <w:t xml:space="preserve">For completion by Marker </w:t>
            </w:r>
            <w:proofErr w:type="gramStart"/>
            <w:r w:rsidRPr="0090605D">
              <w:rPr>
                <w:rFonts w:ascii="Times" w:hAnsi="Times" w:cs="Arial"/>
                <w:b/>
              </w:rPr>
              <w:t>1 :</w:t>
            </w:r>
            <w:proofErr w:type="gramEnd"/>
          </w:p>
          <w:p w14:paraId="0FA5AFED" w14:textId="77777777" w:rsidR="00232882" w:rsidRPr="0090605D" w:rsidRDefault="00232882" w:rsidP="00DE3795">
            <w:pPr>
              <w:pStyle w:val="NormalWeb"/>
              <w:spacing w:line="276" w:lineRule="auto"/>
              <w:rPr>
                <w:rFonts w:ascii="Times" w:hAnsi="Times" w:cs="Arial"/>
              </w:rPr>
            </w:pPr>
            <w:r w:rsidRPr="0090605D">
              <w:rPr>
                <w:rFonts w:ascii="Times" w:hAnsi="Times" w:cs="Arial"/>
              </w:rPr>
              <w:t>Comments:</w:t>
            </w:r>
          </w:p>
          <w:p w14:paraId="625AC9D3" w14:textId="77777777" w:rsidR="00232882" w:rsidRPr="0090605D" w:rsidRDefault="00232882" w:rsidP="00DE3795">
            <w:pPr>
              <w:pStyle w:val="NormalWeb"/>
              <w:spacing w:line="276" w:lineRule="auto"/>
              <w:rPr>
                <w:rFonts w:ascii="Times" w:hAnsi="Times" w:cs="Arial"/>
              </w:rPr>
            </w:pPr>
          </w:p>
        </w:tc>
      </w:tr>
      <w:tr w:rsidR="00232882" w:rsidRPr="0090605D" w14:paraId="158C6C06" w14:textId="77777777" w:rsidTr="00DE3795">
        <w:trPr>
          <w:trHeight w:val="492"/>
        </w:trPr>
        <w:tc>
          <w:tcPr>
            <w:tcW w:w="6768" w:type="dxa"/>
            <w:gridSpan w:val="2"/>
          </w:tcPr>
          <w:p w14:paraId="4A98FE63" w14:textId="77777777" w:rsidR="00232882" w:rsidRPr="0090605D" w:rsidRDefault="00232882" w:rsidP="00DE3795">
            <w:pPr>
              <w:pStyle w:val="NormalWeb"/>
              <w:spacing w:line="276" w:lineRule="auto"/>
              <w:ind w:left="142" w:right="34"/>
              <w:rPr>
                <w:rFonts w:ascii="Times" w:hAnsi="Times" w:cs="Arial"/>
              </w:rPr>
            </w:pPr>
            <w:r w:rsidRPr="0090605D">
              <w:rPr>
                <w:rFonts w:ascii="Times" w:hAnsi="Times" w:cs="Arial"/>
              </w:rPr>
              <w:t>Marker’s signature:</w:t>
            </w:r>
          </w:p>
        </w:tc>
        <w:tc>
          <w:tcPr>
            <w:tcW w:w="2088" w:type="dxa"/>
          </w:tcPr>
          <w:p w14:paraId="6A63E671" w14:textId="77777777" w:rsidR="00232882" w:rsidRPr="0090605D" w:rsidRDefault="00232882" w:rsidP="00DE3795">
            <w:pPr>
              <w:pStyle w:val="NormalWeb"/>
              <w:spacing w:after="0" w:line="276" w:lineRule="auto"/>
              <w:ind w:left="142" w:right="34"/>
              <w:rPr>
                <w:rFonts w:ascii="Times" w:hAnsi="Times" w:cs="Arial"/>
              </w:rPr>
            </w:pPr>
            <w:r w:rsidRPr="0090605D">
              <w:rPr>
                <w:rFonts w:ascii="Times" w:hAnsi="Times" w:cs="Arial"/>
              </w:rPr>
              <w:t>Date:</w:t>
            </w:r>
          </w:p>
        </w:tc>
      </w:tr>
      <w:tr w:rsidR="00232882" w:rsidRPr="0090605D" w14:paraId="08EDACB7" w14:textId="77777777" w:rsidTr="00DE3795">
        <w:tc>
          <w:tcPr>
            <w:tcW w:w="8856" w:type="dxa"/>
            <w:gridSpan w:val="3"/>
          </w:tcPr>
          <w:p w14:paraId="4718D608" w14:textId="77777777" w:rsidR="00232882" w:rsidRPr="0090605D" w:rsidRDefault="00232882" w:rsidP="00DE3795">
            <w:pPr>
              <w:pStyle w:val="NormalWeb"/>
              <w:spacing w:before="0" w:beforeAutospacing="0" w:after="0" w:afterAutospacing="0" w:line="276" w:lineRule="auto"/>
              <w:ind w:right="-334"/>
              <w:rPr>
                <w:rFonts w:ascii="Times" w:hAnsi="Times" w:cs="Arial"/>
                <w:bCs/>
                <w:i/>
              </w:rPr>
            </w:pPr>
          </w:p>
          <w:p w14:paraId="1ED7BF0F" w14:textId="77777777" w:rsidR="00232882" w:rsidRPr="0090605D" w:rsidRDefault="00232882" w:rsidP="00DE3795">
            <w:pPr>
              <w:pStyle w:val="NormalWeb"/>
              <w:spacing w:before="0" w:beforeAutospacing="0" w:after="0" w:afterAutospacing="0" w:line="276" w:lineRule="auto"/>
              <w:ind w:right="-334"/>
              <w:rPr>
                <w:rFonts w:ascii="Times" w:hAnsi="Times" w:cs="Arial"/>
                <w:b/>
                <w:bCs/>
              </w:rPr>
            </w:pPr>
            <w:r w:rsidRPr="0090605D">
              <w:rPr>
                <w:rFonts w:ascii="Times" w:hAnsi="Times" w:cs="Arial"/>
                <w:b/>
                <w:bCs/>
              </w:rPr>
              <w:t>For completion by Marker 2/Moderator:</w:t>
            </w:r>
          </w:p>
          <w:p w14:paraId="55C9673B" w14:textId="77777777" w:rsidR="00232882" w:rsidRPr="0090605D" w:rsidRDefault="00232882" w:rsidP="00DE3795">
            <w:pPr>
              <w:pStyle w:val="NormalWeb"/>
              <w:spacing w:before="0" w:beforeAutospacing="0" w:after="0" w:afterAutospacing="0" w:line="276" w:lineRule="auto"/>
              <w:ind w:right="-334"/>
              <w:rPr>
                <w:rFonts w:ascii="Times" w:hAnsi="Times" w:cs="Arial"/>
                <w:b/>
                <w:bCs/>
              </w:rPr>
            </w:pPr>
          </w:p>
          <w:p w14:paraId="2A8A38E6" w14:textId="77777777" w:rsidR="00232882" w:rsidRPr="0090605D" w:rsidRDefault="00232882" w:rsidP="00DE3795">
            <w:pPr>
              <w:pStyle w:val="NormalWeb"/>
              <w:spacing w:before="0" w:beforeAutospacing="0" w:after="0" w:afterAutospacing="0" w:line="276" w:lineRule="auto"/>
              <w:ind w:right="-334"/>
              <w:rPr>
                <w:rFonts w:ascii="Times" w:hAnsi="Times" w:cs="Arial"/>
                <w:bCs/>
              </w:rPr>
            </w:pPr>
            <w:r w:rsidRPr="0090605D">
              <w:rPr>
                <w:rFonts w:ascii="Times" w:hAnsi="Times" w:cs="Arial"/>
                <w:bCs/>
              </w:rPr>
              <w:t>Comments:</w:t>
            </w:r>
          </w:p>
          <w:p w14:paraId="13B589B4" w14:textId="77777777" w:rsidR="00232882" w:rsidRPr="0090605D" w:rsidRDefault="00232882" w:rsidP="00DE3795">
            <w:pPr>
              <w:pStyle w:val="NormalWeb"/>
              <w:spacing w:before="0" w:beforeAutospacing="0" w:after="0" w:afterAutospacing="0" w:line="276" w:lineRule="auto"/>
              <w:ind w:right="-334"/>
              <w:rPr>
                <w:rFonts w:ascii="Times" w:hAnsi="Times" w:cs="Arial"/>
                <w:bCs/>
              </w:rPr>
            </w:pPr>
          </w:p>
          <w:p w14:paraId="36707012" w14:textId="77777777" w:rsidR="00232882" w:rsidRPr="0090605D" w:rsidRDefault="00232882" w:rsidP="00DE3795">
            <w:pPr>
              <w:pStyle w:val="NormalWeb"/>
              <w:spacing w:before="0" w:beforeAutospacing="0" w:after="0" w:afterAutospacing="0" w:line="276" w:lineRule="auto"/>
              <w:ind w:right="-334"/>
              <w:rPr>
                <w:rFonts w:ascii="Times" w:hAnsi="Times" w:cs="Arial"/>
                <w:bCs/>
              </w:rPr>
            </w:pPr>
          </w:p>
          <w:p w14:paraId="1288266D" w14:textId="77777777" w:rsidR="00232882" w:rsidRPr="0090605D" w:rsidRDefault="00232882" w:rsidP="00DE3795">
            <w:pPr>
              <w:pStyle w:val="NormalWeb"/>
              <w:spacing w:before="0" w:beforeAutospacing="0" w:after="0" w:afterAutospacing="0" w:line="276" w:lineRule="auto"/>
              <w:ind w:right="-334"/>
              <w:rPr>
                <w:rFonts w:ascii="Times" w:hAnsi="Times" w:cs="Arial"/>
                <w:bCs/>
              </w:rPr>
            </w:pPr>
          </w:p>
          <w:p w14:paraId="0C36ECCE" w14:textId="77777777" w:rsidR="00232882" w:rsidRPr="0090605D" w:rsidRDefault="00232882" w:rsidP="00DE3795">
            <w:pPr>
              <w:pStyle w:val="NormalWeb"/>
              <w:spacing w:before="0" w:beforeAutospacing="0" w:after="0" w:afterAutospacing="0" w:line="276" w:lineRule="auto"/>
              <w:ind w:right="-334"/>
              <w:rPr>
                <w:rFonts w:ascii="Times" w:hAnsi="Times" w:cs="Arial"/>
                <w:bCs/>
              </w:rPr>
            </w:pPr>
          </w:p>
          <w:p w14:paraId="32276012" w14:textId="77777777" w:rsidR="00232882" w:rsidRPr="0090605D" w:rsidRDefault="00232882" w:rsidP="00DE3795">
            <w:pPr>
              <w:pStyle w:val="NormalWeb"/>
              <w:spacing w:before="0" w:beforeAutospacing="0" w:after="0" w:afterAutospacing="0" w:line="276" w:lineRule="auto"/>
              <w:ind w:right="-334"/>
              <w:rPr>
                <w:rFonts w:ascii="Times" w:hAnsi="Times" w:cs="Arial"/>
                <w:bCs/>
              </w:rPr>
            </w:pPr>
          </w:p>
          <w:p w14:paraId="2B9D6616" w14:textId="77777777" w:rsidR="00232882" w:rsidRPr="0090605D" w:rsidRDefault="00232882" w:rsidP="00DE3795">
            <w:pPr>
              <w:pStyle w:val="NormalWeb"/>
              <w:spacing w:before="0" w:beforeAutospacing="0" w:after="0" w:afterAutospacing="0" w:line="276" w:lineRule="auto"/>
              <w:ind w:right="-334"/>
              <w:rPr>
                <w:rFonts w:ascii="Times" w:hAnsi="Times" w:cs="Arial"/>
                <w:bCs/>
              </w:rPr>
            </w:pPr>
          </w:p>
          <w:p w14:paraId="506221C6" w14:textId="77777777" w:rsidR="00232882" w:rsidRPr="0090605D" w:rsidRDefault="00232882" w:rsidP="00DE3795">
            <w:pPr>
              <w:pStyle w:val="NormalWeb"/>
              <w:spacing w:before="0" w:beforeAutospacing="0" w:after="0" w:afterAutospacing="0" w:line="276" w:lineRule="auto"/>
              <w:ind w:right="-334"/>
              <w:rPr>
                <w:rFonts w:ascii="Times" w:hAnsi="Times" w:cs="Arial"/>
                <w:bCs/>
              </w:rPr>
            </w:pPr>
          </w:p>
          <w:p w14:paraId="5FB68337" w14:textId="77777777" w:rsidR="00232882" w:rsidRPr="0090605D" w:rsidRDefault="00232882" w:rsidP="00DE3795">
            <w:pPr>
              <w:pStyle w:val="NormalWeb"/>
              <w:spacing w:before="0" w:beforeAutospacing="0" w:after="0" w:afterAutospacing="0" w:line="276" w:lineRule="auto"/>
              <w:ind w:right="-334"/>
              <w:rPr>
                <w:rFonts w:ascii="Times" w:hAnsi="Times" w:cs="Arial"/>
                <w:bCs/>
              </w:rPr>
            </w:pPr>
          </w:p>
          <w:p w14:paraId="77D4D076" w14:textId="77777777" w:rsidR="00232882" w:rsidRPr="0090605D" w:rsidRDefault="00232882" w:rsidP="00DE3795">
            <w:pPr>
              <w:pStyle w:val="NormalWeb"/>
              <w:spacing w:before="0" w:beforeAutospacing="0" w:after="0" w:afterAutospacing="0" w:line="276" w:lineRule="auto"/>
              <w:ind w:right="-334"/>
              <w:rPr>
                <w:rFonts w:ascii="Times" w:hAnsi="Times" w:cs="Arial"/>
                <w:bCs/>
              </w:rPr>
            </w:pPr>
          </w:p>
          <w:p w14:paraId="3A4E25E5" w14:textId="77777777" w:rsidR="00232882" w:rsidRPr="0090605D" w:rsidRDefault="00232882" w:rsidP="00DE3795">
            <w:pPr>
              <w:pStyle w:val="NormalWeb"/>
              <w:spacing w:before="0" w:beforeAutospacing="0" w:after="0" w:afterAutospacing="0" w:line="276" w:lineRule="auto"/>
              <w:ind w:right="-334"/>
              <w:rPr>
                <w:rFonts w:ascii="Times" w:hAnsi="Times" w:cs="Arial"/>
                <w:bCs/>
              </w:rPr>
            </w:pPr>
          </w:p>
          <w:p w14:paraId="631092BD" w14:textId="77777777" w:rsidR="00232882" w:rsidRPr="0090605D" w:rsidRDefault="00232882" w:rsidP="00DE3795">
            <w:pPr>
              <w:pStyle w:val="NormalWeb"/>
              <w:spacing w:before="0" w:beforeAutospacing="0" w:after="0" w:afterAutospacing="0" w:line="276" w:lineRule="auto"/>
              <w:ind w:right="-334"/>
              <w:rPr>
                <w:rFonts w:ascii="Times" w:hAnsi="Times" w:cs="Arial"/>
                <w:bCs/>
              </w:rPr>
            </w:pPr>
          </w:p>
          <w:p w14:paraId="0DDA409E" w14:textId="77777777" w:rsidR="00232882" w:rsidRPr="0090605D" w:rsidRDefault="00232882" w:rsidP="00DE3795">
            <w:pPr>
              <w:pStyle w:val="NormalWeb"/>
              <w:spacing w:before="0" w:beforeAutospacing="0" w:after="0" w:afterAutospacing="0" w:line="276" w:lineRule="auto"/>
              <w:ind w:right="-334"/>
              <w:rPr>
                <w:rFonts w:ascii="Times" w:hAnsi="Times" w:cs="Arial"/>
                <w:bCs/>
              </w:rPr>
            </w:pPr>
          </w:p>
        </w:tc>
      </w:tr>
      <w:tr w:rsidR="00232882" w:rsidRPr="0090605D" w14:paraId="4A39E003" w14:textId="77777777" w:rsidTr="00DE3795">
        <w:trPr>
          <w:trHeight w:val="720"/>
        </w:trPr>
        <w:tc>
          <w:tcPr>
            <w:tcW w:w="5211" w:type="dxa"/>
          </w:tcPr>
          <w:p w14:paraId="2107AE9E" w14:textId="77777777" w:rsidR="00232882" w:rsidRPr="0090605D" w:rsidRDefault="00232882" w:rsidP="00DE3795">
            <w:pPr>
              <w:pStyle w:val="NormalWeb"/>
              <w:spacing w:before="0" w:beforeAutospacing="0" w:after="0" w:afterAutospacing="0" w:line="276" w:lineRule="auto"/>
              <w:ind w:right="-334"/>
              <w:rPr>
                <w:rFonts w:ascii="Times" w:hAnsi="Times" w:cs="Arial"/>
                <w:bCs/>
              </w:rPr>
            </w:pPr>
            <w:r w:rsidRPr="0090605D">
              <w:rPr>
                <w:rFonts w:ascii="Times" w:hAnsi="Times" w:cs="Arial"/>
                <w:bCs/>
              </w:rPr>
              <w:t>Marker’s Signature:</w:t>
            </w:r>
          </w:p>
        </w:tc>
        <w:tc>
          <w:tcPr>
            <w:tcW w:w="3645" w:type="dxa"/>
            <w:gridSpan w:val="2"/>
          </w:tcPr>
          <w:p w14:paraId="3EC29779" w14:textId="77777777" w:rsidR="00232882" w:rsidRPr="0090605D" w:rsidRDefault="00232882" w:rsidP="00DE3795">
            <w:pPr>
              <w:pStyle w:val="NormalWeb"/>
              <w:spacing w:before="0" w:beforeAutospacing="0" w:after="0" w:afterAutospacing="0" w:line="276" w:lineRule="auto"/>
              <w:ind w:right="-334"/>
              <w:rPr>
                <w:rFonts w:ascii="Times" w:hAnsi="Times" w:cs="Arial"/>
                <w:bCs/>
              </w:rPr>
            </w:pPr>
            <w:r w:rsidRPr="0090605D">
              <w:rPr>
                <w:rFonts w:ascii="Times" w:hAnsi="Times" w:cs="Arial"/>
                <w:bCs/>
              </w:rPr>
              <w:t>Date:</w:t>
            </w:r>
          </w:p>
        </w:tc>
      </w:tr>
      <w:tr w:rsidR="00232882" w:rsidRPr="0090605D" w14:paraId="70672104" w14:textId="77777777" w:rsidTr="00DE3795">
        <w:trPr>
          <w:trHeight w:val="720"/>
        </w:trPr>
        <w:tc>
          <w:tcPr>
            <w:tcW w:w="8856" w:type="dxa"/>
            <w:gridSpan w:val="3"/>
          </w:tcPr>
          <w:p w14:paraId="2953B1E0" w14:textId="77777777" w:rsidR="00232882" w:rsidRPr="0090605D" w:rsidRDefault="00232882" w:rsidP="00DE3795">
            <w:pPr>
              <w:spacing w:line="276" w:lineRule="auto"/>
              <w:rPr>
                <w:rFonts w:ascii="Times" w:hAnsi="Times" w:cs="Arial"/>
                <w:b/>
              </w:rPr>
            </w:pPr>
            <w:r w:rsidRPr="0090605D">
              <w:rPr>
                <w:rFonts w:ascii="Times" w:hAnsi="Times" w:cs="Arial"/>
                <w:b/>
              </w:rPr>
              <w:t>External Examiner’s comments (if relevant)</w:t>
            </w:r>
          </w:p>
          <w:p w14:paraId="0ADBAF9A" w14:textId="77777777" w:rsidR="00232882" w:rsidRPr="0090605D" w:rsidRDefault="00232882" w:rsidP="00DE3795">
            <w:pPr>
              <w:pStyle w:val="NormalWeb"/>
              <w:spacing w:before="0" w:beforeAutospacing="0" w:after="0" w:afterAutospacing="0" w:line="276" w:lineRule="auto"/>
              <w:ind w:right="-334"/>
              <w:rPr>
                <w:rFonts w:ascii="Times" w:hAnsi="Times" w:cs="Arial"/>
                <w:bCs/>
              </w:rPr>
            </w:pPr>
          </w:p>
          <w:p w14:paraId="28EC5687" w14:textId="77777777" w:rsidR="00232882" w:rsidRPr="0090605D" w:rsidRDefault="00232882" w:rsidP="00DE3795">
            <w:pPr>
              <w:pStyle w:val="NormalWeb"/>
              <w:spacing w:before="0" w:beforeAutospacing="0" w:after="0" w:afterAutospacing="0" w:line="276" w:lineRule="auto"/>
              <w:ind w:right="-334"/>
              <w:rPr>
                <w:rFonts w:ascii="Times" w:hAnsi="Times" w:cs="Arial"/>
                <w:bCs/>
              </w:rPr>
            </w:pPr>
          </w:p>
          <w:p w14:paraId="0DC039A2" w14:textId="77777777" w:rsidR="00232882" w:rsidRPr="0090605D" w:rsidRDefault="00232882" w:rsidP="00DE3795">
            <w:pPr>
              <w:pStyle w:val="NormalWeb"/>
              <w:spacing w:before="0" w:beforeAutospacing="0" w:after="0" w:afterAutospacing="0" w:line="276" w:lineRule="auto"/>
              <w:ind w:right="-334"/>
              <w:rPr>
                <w:rFonts w:ascii="Times" w:hAnsi="Times" w:cs="Arial"/>
                <w:bCs/>
              </w:rPr>
            </w:pPr>
          </w:p>
          <w:p w14:paraId="226FC55C" w14:textId="77777777" w:rsidR="00232882" w:rsidRPr="0090605D" w:rsidRDefault="00232882" w:rsidP="00DE3795">
            <w:pPr>
              <w:pStyle w:val="NormalWeb"/>
              <w:spacing w:before="0" w:beforeAutospacing="0" w:after="0" w:afterAutospacing="0" w:line="276" w:lineRule="auto"/>
              <w:ind w:right="-334"/>
              <w:rPr>
                <w:rFonts w:ascii="Times" w:hAnsi="Times" w:cs="Arial"/>
                <w:bCs/>
              </w:rPr>
            </w:pPr>
          </w:p>
          <w:p w14:paraId="34F3152B" w14:textId="77777777" w:rsidR="00232882" w:rsidRPr="0090605D" w:rsidRDefault="00232882" w:rsidP="00DE3795">
            <w:pPr>
              <w:pStyle w:val="NormalWeb"/>
              <w:spacing w:before="0" w:beforeAutospacing="0" w:after="0" w:afterAutospacing="0" w:line="276" w:lineRule="auto"/>
              <w:ind w:right="-334"/>
              <w:rPr>
                <w:rFonts w:ascii="Times" w:hAnsi="Times" w:cs="Arial"/>
                <w:bCs/>
              </w:rPr>
            </w:pPr>
          </w:p>
          <w:p w14:paraId="6C7FD5AE" w14:textId="77777777" w:rsidR="00232882" w:rsidRPr="0090605D" w:rsidRDefault="00232882" w:rsidP="00DE3795">
            <w:pPr>
              <w:pStyle w:val="NormalWeb"/>
              <w:spacing w:before="0" w:beforeAutospacing="0" w:after="0" w:afterAutospacing="0" w:line="276" w:lineRule="auto"/>
              <w:ind w:right="-334"/>
              <w:rPr>
                <w:rFonts w:ascii="Times" w:hAnsi="Times" w:cs="Arial"/>
                <w:bCs/>
              </w:rPr>
            </w:pPr>
          </w:p>
          <w:p w14:paraId="7F3563DA" w14:textId="77777777" w:rsidR="00232882" w:rsidRPr="0090605D" w:rsidRDefault="00232882" w:rsidP="00DE3795">
            <w:pPr>
              <w:pStyle w:val="NormalWeb"/>
              <w:spacing w:before="0" w:beforeAutospacing="0" w:after="0" w:afterAutospacing="0" w:line="276" w:lineRule="auto"/>
              <w:ind w:right="-334"/>
              <w:rPr>
                <w:rFonts w:ascii="Times" w:hAnsi="Times" w:cs="Arial"/>
                <w:bCs/>
              </w:rPr>
            </w:pPr>
          </w:p>
          <w:p w14:paraId="3E4494C3" w14:textId="77777777" w:rsidR="00232882" w:rsidRPr="0090605D" w:rsidRDefault="00232882" w:rsidP="00DE3795">
            <w:pPr>
              <w:pStyle w:val="NormalWeb"/>
              <w:spacing w:before="0" w:beforeAutospacing="0" w:after="0" w:afterAutospacing="0" w:line="276" w:lineRule="auto"/>
              <w:ind w:right="-334"/>
              <w:rPr>
                <w:rFonts w:ascii="Times" w:hAnsi="Times" w:cs="Arial"/>
                <w:bCs/>
              </w:rPr>
            </w:pPr>
          </w:p>
          <w:p w14:paraId="680BCC56" w14:textId="77777777" w:rsidR="00232882" w:rsidRPr="0090605D" w:rsidRDefault="00232882" w:rsidP="00DE3795">
            <w:pPr>
              <w:pStyle w:val="NormalWeb"/>
              <w:spacing w:before="0" w:beforeAutospacing="0" w:after="0" w:afterAutospacing="0" w:line="276" w:lineRule="auto"/>
              <w:ind w:right="-334"/>
              <w:rPr>
                <w:rFonts w:ascii="Times" w:hAnsi="Times" w:cs="Arial"/>
                <w:bCs/>
              </w:rPr>
            </w:pPr>
          </w:p>
          <w:p w14:paraId="27AAF4BB" w14:textId="77777777" w:rsidR="00232882" w:rsidRPr="0090605D" w:rsidRDefault="00232882" w:rsidP="00DE3795">
            <w:pPr>
              <w:pStyle w:val="NormalWeb"/>
              <w:spacing w:before="0" w:beforeAutospacing="0" w:after="0" w:afterAutospacing="0" w:line="276" w:lineRule="auto"/>
              <w:ind w:right="-334"/>
              <w:rPr>
                <w:rFonts w:ascii="Times" w:hAnsi="Times" w:cs="Arial"/>
                <w:bCs/>
              </w:rPr>
            </w:pPr>
          </w:p>
          <w:p w14:paraId="647B7C94" w14:textId="77777777" w:rsidR="00232882" w:rsidRPr="0090605D" w:rsidRDefault="00232882" w:rsidP="00DE3795">
            <w:pPr>
              <w:pStyle w:val="NormalWeb"/>
              <w:spacing w:before="0" w:beforeAutospacing="0" w:after="0" w:afterAutospacing="0" w:line="276" w:lineRule="auto"/>
              <w:ind w:right="-334"/>
              <w:rPr>
                <w:rFonts w:ascii="Times" w:hAnsi="Times" w:cs="Arial"/>
                <w:bCs/>
              </w:rPr>
            </w:pPr>
          </w:p>
        </w:tc>
      </w:tr>
      <w:tr w:rsidR="00232882" w:rsidRPr="0090605D" w14:paraId="4AA1A9CB" w14:textId="77777777" w:rsidTr="00DE3795">
        <w:trPr>
          <w:trHeight w:val="720"/>
        </w:trPr>
        <w:tc>
          <w:tcPr>
            <w:tcW w:w="5211" w:type="dxa"/>
          </w:tcPr>
          <w:p w14:paraId="3F6A7BD5" w14:textId="77777777" w:rsidR="00232882" w:rsidRPr="0090605D" w:rsidRDefault="00232882" w:rsidP="00DE3795">
            <w:pPr>
              <w:spacing w:line="276" w:lineRule="auto"/>
              <w:rPr>
                <w:rFonts w:ascii="Times" w:hAnsi="Times" w:cs="Arial"/>
              </w:rPr>
            </w:pPr>
            <w:r w:rsidRPr="0090605D">
              <w:rPr>
                <w:rFonts w:ascii="Times" w:hAnsi="Times" w:cs="Arial"/>
              </w:rPr>
              <w:t>External Examiner’s Signature:</w:t>
            </w:r>
          </w:p>
        </w:tc>
        <w:tc>
          <w:tcPr>
            <w:tcW w:w="3645" w:type="dxa"/>
            <w:gridSpan w:val="2"/>
          </w:tcPr>
          <w:p w14:paraId="731D6B13" w14:textId="77777777" w:rsidR="00232882" w:rsidRPr="0090605D" w:rsidRDefault="00232882" w:rsidP="00DE3795">
            <w:pPr>
              <w:spacing w:line="276" w:lineRule="auto"/>
              <w:rPr>
                <w:rFonts w:ascii="Times" w:hAnsi="Times" w:cs="Arial"/>
              </w:rPr>
            </w:pPr>
            <w:r w:rsidRPr="0090605D">
              <w:rPr>
                <w:rFonts w:ascii="Times" w:hAnsi="Times" w:cs="Arial"/>
              </w:rPr>
              <w:t>Date:</w:t>
            </w:r>
          </w:p>
        </w:tc>
      </w:tr>
    </w:tbl>
    <w:p w14:paraId="36FBAE2F" w14:textId="77777777" w:rsidR="00232882" w:rsidRPr="0090605D" w:rsidRDefault="00232882" w:rsidP="00232882">
      <w:pPr>
        <w:pStyle w:val="NormalWeb"/>
        <w:shd w:val="clear" w:color="auto" w:fill="FFFFFF"/>
        <w:spacing w:line="276" w:lineRule="auto"/>
        <w:rPr>
          <w:rFonts w:ascii="Times" w:hAnsi="Times" w:cs="Arial"/>
        </w:rPr>
      </w:pPr>
      <w:r w:rsidRPr="0090605D">
        <w:rPr>
          <w:rFonts w:ascii="Times" w:hAnsi="Times" w:cs="Arial"/>
          <w:b/>
          <w:bCs/>
        </w:rPr>
        <w:t xml:space="preserve"> </w:t>
      </w:r>
    </w:p>
    <w:p w14:paraId="65CEC2D5" w14:textId="464DCA56" w:rsidR="00232882" w:rsidRDefault="00232882">
      <w:pPr>
        <w:spacing w:line="259" w:lineRule="auto"/>
        <w:rPr>
          <w:rFonts w:ascii="Times New Roman" w:hAnsi="Times New Roman" w:cs="Times New Roman"/>
          <w:sz w:val="22"/>
          <w:szCs w:val="22"/>
        </w:rPr>
      </w:pPr>
      <w:r>
        <w:rPr>
          <w:rFonts w:ascii="Times New Roman" w:hAnsi="Times New Roman" w:cs="Times New Roman"/>
          <w:sz w:val="22"/>
          <w:szCs w:val="22"/>
        </w:rPr>
        <w:br w:type="page"/>
      </w:r>
    </w:p>
    <w:p w14:paraId="31582EBE" w14:textId="609F2AD4" w:rsidR="00232882" w:rsidRPr="00232882" w:rsidRDefault="00232882" w:rsidP="00232882">
      <w:pPr>
        <w:pStyle w:val="NormalWeb"/>
        <w:shd w:val="clear" w:color="auto" w:fill="FFFFFF"/>
        <w:jc w:val="both"/>
        <w:rPr>
          <w:b/>
          <w:bCs/>
          <w:sz w:val="22"/>
          <w:szCs w:val="22"/>
        </w:rPr>
      </w:pPr>
      <w:r>
        <w:rPr>
          <w:b/>
          <w:bCs/>
        </w:rPr>
        <w:lastRenderedPageBreak/>
        <w:t xml:space="preserve">A Critical Comparison of the Secondary Sources. </w:t>
      </w:r>
      <w:r w:rsidRPr="00B40AB1">
        <w:rPr>
          <w:b/>
          <w:bCs/>
        </w:rPr>
        <w:t xml:space="preserve">This essay critically </w:t>
      </w:r>
      <w:proofErr w:type="gramStart"/>
      <w:r w:rsidRPr="00B40AB1">
        <w:rPr>
          <w:b/>
          <w:bCs/>
        </w:rPr>
        <w:t>compares and contrasts</w:t>
      </w:r>
      <w:proofErr w:type="gramEnd"/>
      <w:r w:rsidRPr="00B40AB1">
        <w:rPr>
          <w:b/>
          <w:bCs/>
        </w:rPr>
        <w:t xml:space="preserve"> two papers, </w:t>
      </w:r>
      <w:r w:rsidRPr="00B40AB1">
        <w:rPr>
          <w:b/>
          <w:bCs/>
          <w:sz w:val="22"/>
          <w:szCs w:val="22"/>
        </w:rPr>
        <w:t xml:space="preserve">Blain, J. 2000. ‘Speaking </w:t>
      </w:r>
      <w:proofErr w:type="spellStart"/>
      <w:r w:rsidRPr="00B40AB1">
        <w:rPr>
          <w:b/>
          <w:bCs/>
          <w:sz w:val="22"/>
          <w:szCs w:val="22"/>
        </w:rPr>
        <w:t>Shamanistically</w:t>
      </w:r>
      <w:proofErr w:type="spellEnd"/>
      <w:r w:rsidRPr="00B40AB1">
        <w:rPr>
          <w:b/>
          <w:bCs/>
          <w:sz w:val="22"/>
          <w:szCs w:val="22"/>
        </w:rPr>
        <w:t xml:space="preserve">: </w:t>
      </w:r>
      <w:proofErr w:type="spellStart"/>
      <w:r w:rsidRPr="00B40AB1">
        <w:rPr>
          <w:b/>
          <w:bCs/>
          <w:sz w:val="22"/>
          <w:szCs w:val="22"/>
        </w:rPr>
        <w:t>Seidr</w:t>
      </w:r>
      <w:proofErr w:type="spellEnd"/>
      <w:r w:rsidRPr="00B40AB1">
        <w:rPr>
          <w:b/>
          <w:bCs/>
          <w:sz w:val="22"/>
          <w:szCs w:val="22"/>
        </w:rPr>
        <w:t xml:space="preserve">, Academia and Rationality’. In DISKUS Volume 6 (2000) and Walter, T. &amp; Waterhouse, H. 1999. ‘A Very Private Belief: Reincarnation in Contemporary England’. Sociology of Religion, 60, 187-197. </w:t>
      </w:r>
    </w:p>
    <w:p w14:paraId="264F57A2" w14:textId="23509772" w:rsidR="008F58F0" w:rsidRPr="004E0ACF" w:rsidRDefault="008F58F0" w:rsidP="004E0ACF">
      <w:pPr>
        <w:spacing w:line="360" w:lineRule="auto"/>
        <w:jc w:val="both"/>
        <w:rPr>
          <w:rFonts w:ascii="Times New Roman" w:hAnsi="Times New Roman" w:cs="Times New Roman"/>
          <w:sz w:val="22"/>
          <w:szCs w:val="22"/>
        </w:rPr>
      </w:pPr>
      <w:r w:rsidRPr="004E0ACF">
        <w:rPr>
          <w:rFonts w:ascii="Times New Roman" w:hAnsi="Times New Roman" w:cs="Times New Roman"/>
          <w:sz w:val="22"/>
          <w:szCs w:val="22"/>
        </w:rPr>
        <w:t xml:space="preserve">This essay will begin with an overview of each of papers by Jenny Blain, Tony Walters and Helen Waterhouse, followed by a critical comparison and contrast. This will also include an exploration of their readership audiences, based upon highlighted practices and discourses. Thereafter, there will be analysis of their writing styles and literature review, based on primary and secondary sources. This will be followed by a review of each paper’s methodology, coupled with a section on findings and discussion that can help build conclusive insights.   </w:t>
      </w:r>
    </w:p>
    <w:p w14:paraId="4CE1A2B4" w14:textId="77777777" w:rsidR="008F58F0" w:rsidRPr="004E0ACF" w:rsidRDefault="008F58F0" w:rsidP="004E0ACF">
      <w:pPr>
        <w:spacing w:line="360" w:lineRule="auto"/>
        <w:jc w:val="both"/>
        <w:rPr>
          <w:rFonts w:ascii="Times New Roman" w:hAnsi="Times New Roman" w:cs="Times New Roman"/>
          <w:sz w:val="22"/>
          <w:szCs w:val="22"/>
        </w:rPr>
      </w:pPr>
      <w:r w:rsidRPr="004E0ACF">
        <w:rPr>
          <w:rFonts w:ascii="Times New Roman" w:hAnsi="Times New Roman" w:cs="Times New Roman"/>
          <w:b/>
          <w:bCs/>
          <w:sz w:val="22"/>
          <w:szCs w:val="22"/>
        </w:rPr>
        <w:t>Overview of both papers</w:t>
      </w:r>
    </w:p>
    <w:p w14:paraId="072BA21B" w14:textId="2E79AABB" w:rsidR="008F58F0" w:rsidRPr="004E0ACF" w:rsidRDefault="008F58F0" w:rsidP="004E0ACF">
      <w:pPr>
        <w:spacing w:line="360" w:lineRule="auto"/>
        <w:jc w:val="both"/>
        <w:rPr>
          <w:rFonts w:ascii="Times New Roman" w:hAnsi="Times New Roman" w:cs="Times New Roman"/>
          <w:b/>
          <w:bCs/>
          <w:sz w:val="22"/>
          <w:szCs w:val="22"/>
        </w:rPr>
      </w:pPr>
      <w:r w:rsidRPr="004E0ACF">
        <w:rPr>
          <w:rFonts w:ascii="Times New Roman" w:hAnsi="Times New Roman" w:cs="Times New Roman"/>
          <w:sz w:val="22"/>
          <w:szCs w:val="22"/>
        </w:rPr>
        <w:t xml:space="preserve">‘Speaking </w:t>
      </w:r>
      <w:proofErr w:type="spellStart"/>
      <w:r w:rsidRPr="004E0ACF">
        <w:rPr>
          <w:rFonts w:ascii="Times New Roman" w:hAnsi="Times New Roman" w:cs="Times New Roman"/>
          <w:sz w:val="22"/>
          <w:szCs w:val="22"/>
        </w:rPr>
        <w:t>Shamanistically</w:t>
      </w:r>
      <w:proofErr w:type="spellEnd"/>
      <w:r w:rsidRPr="004E0ACF">
        <w:rPr>
          <w:rFonts w:ascii="Times New Roman" w:hAnsi="Times New Roman" w:cs="Times New Roman"/>
          <w:sz w:val="22"/>
          <w:szCs w:val="22"/>
        </w:rPr>
        <w:t>’, (</w:t>
      </w:r>
      <w:r w:rsidRPr="004E0ACF">
        <w:rPr>
          <w:rFonts w:ascii="Times New Roman" w:hAnsi="Times New Roman" w:cs="Times New Roman"/>
          <w:i/>
          <w:iCs/>
          <w:sz w:val="22"/>
          <w:szCs w:val="22"/>
        </w:rPr>
        <w:t>which will be referred to as “Paper 1”</w:t>
      </w:r>
      <w:r w:rsidRPr="004E0ACF">
        <w:rPr>
          <w:rFonts w:ascii="Times New Roman" w:hAnsi="Times New Roman" w:cs="Times New Roman"/>
          <w:sz w:val="22"/>
          <w:szCs w:val="22"/>
        </w:rPr>
        <w:t>), shares the experiential research of the practice of ‘</w:t>
      </w:r>
      <w:proofErr w:type="spellStart"/>
      <w:r w:rsidRPr="004E0ACF">
        <w:rPr>
          <w:rFonts w:ascii="Times New Roman" w:hAnsi="Times New Roman" w:cs="Times New Roman"/>
          <w:sz w:val="22"/>
          <w:szCs w:val="22"/>
        </w:rPr>
        <w:t>seider</w:t>
      </w:r>
      <w:proofErr w:type="spellEnd"/>
      <w:r w:rsidRPr="004E0ACF">
        <w:rPr>
          <w:rFonts w:ascii="Times New Roman" w:hAnsi="Times New Roman" w:cs="Times New Roman"/>
          <w:sz w:val="22"/>
          <w:szCs w:val="22"/>
        </w:rPr>
        <w:t xml:space="preserve">’, a shamanic tradition.  While reflecting on what ‘insiders’ do; the people who are believers or practitioners. The paper also looks beyond the technique to consider the role of the shaman in the community and its interaction with academic frameworks and rationality. </w:t>
      </w:r>
    </w:p>
    <w:p w14:paraId="2FF6A559" w14:textId="14AF2119" w:rsidR="008F58F0" w:rsidRPr="004E0ACF" w:rsidRDefault="008F58F0" w:rsidP="004E0ACF">
      <w:pPr>
        <w:spacing w:line="360" w:lineRule="auto"/>
        <w:jc w:val="both"/>
        <w:rPr>
          <w:rFonts w:ascii="Times New Roman" w:hAnsi="Times New Roman" w:cs="Times New Roman"/>
          <w:sz w:val="22"/>
          <w:szCs w:val="22"/>
        </w:rPr>
      </w:pPr>
      <w:r w:rsidRPr="004E0ACF">
        <w:rPr>
          <w:rFonts w:ascii="Times New Roman" w:hAnsi="Times New Roman" w:cs="Times New Roman"/>
          <w:sz w:val="22"/>
          <w:szCs w:val="22"/>
        </w:rPr>
        <w:t xml:space="preserve">However, the intended readership of this paper is somewhat unclear. There seems to be an effort to broaden the audience, to include both academics and mainstream thinking. In terms of academia, this is in terms of development of their practises and discourses. This observation is based upon two factors: 1. The adoption of an ‘insider’ approach in the author’s writing and the benefits of ‘going native’ which is likely aligned for academia. 2. The informal style, offering increased engagement to a broader mainstream readership. </w:t>
      </w:r>
    </w:p>
    <w:p w14:paraId="2432225F" w14:textId="77777777" w:rsidR="008F58F0" w:rsidRPr="004E0ACF" w:rsidRDefault="008F58F0" w:rsidP="004E0ACF">
      <w:pPr>
        <w:spacing w:line="360" w:lineRule="auto"/>
        <w:jc w:val="both"/>
        <w:rPr>
          <w:rFonts w:ascii="Times New Roman" w:hAnsi="Times New Roman" w:cs="Times New Roman"/>
          <w:color w:val="333333"/>
          <w:sz w:val="22"/>
          <w:szCs w:val="22"/>
        </w:rPr>
      </w:pPr>
      <w:r w:rsidRPr="004E0ACF">
        <w:rPr>
          <w:rFonts w:ascii="Times New Roman" w:hAnsi="Times New Roman" w:cs="Times New Roman"/>
          <w:sz w:val="22"/>
          <w:szCs w:val="22"/>
        </w:rPr>
        <w:t xml:space="preserve">The author of this piece is Jenny Blain, heralding from </w:t>
      </w:r>
      <w:proofErr w:type="spellStart"/>
      <w:r w:rsidRPr="004E0ACF">
        <w:rPr>
          <w:rFonts w:ascii="Times New Roman" w:hAnsi="Times New Roman" w:cs="Times New Roman"/>
          <w:color w:val="333333"/>
          <w:sz w:val="22"/>
          <w:szCs w:val="22"/>
          <w:shd w:val="clear" w:color="auto" w:fill="FFFFFF"/>
        </w:rPr>
        <w:t>Totley</w:t>
      </w:r>
      <w:proofErr w:type="spellEnd"/>
      <w:r w:rsidRPr="004E0ACF">
        <w:rPr>
          <w:rFonts w:ascii="Times New Roman" w:hAnsi="Times New Roman" w:cs="Times New Roman"/>
          <w:color w:val="333333"/>
          <w:sz w:val="22"/>
          <w:szCs w:val="22"/>
          <w:shd w:val="clear" w:color="auto" w:fill="FFFFFF"/>
        </w:rPr>
        <w:t xml:space="preserve"> South Yorkshire, England. </w:t>
      </w:r>
      <w:r w:rsidRPr="004E0ACF">
        <w:rPr>
          <w:rFonts w:ascii="Times New Roman" w:hAnsi="Times New Roman" w:cs="Times New Roman"/>
          <w:color w:val="333333"/>
          <w:sz w:val="22"/>
          <w:szCs w:val="22"/>
        </w:rPr>
        <w:t>Blain has been a lecturer, in social research methods and social sciences at Sheffield Hallam University for over eleven years. Several related works include topics on paganism, sacred sites, archaeological monuments, alternative spirituality, and shamanism practices, with a particular focus on shamanism and the practice of ‘</w:t>
      </w:r>
      <w:proofErr w:type="spellStart"/>
      <w:r w:rsidRPr="004E0ACF">
        <w:rPr>
          <w:rFonts w:ascii="Times New Roman" w:hAnsi="Times New Roman" w:cs="Times New Roman"/>
          <w:color w:val="333333"/>
          <w:sz w:val="22"/>
          <w:szCs w:val="22"/>
        </w:rPr>
        <w:t>seidr</w:t>
      </w:r>
      <w:proofErr w:type="spellEnd"/>
      <w:r w:rsidRPr="004E0ACF">
        <w:rPr>
          <w:rFonts w:ascii="Times New Roman" w:hAnsi="Times New Roman" w:cs="Times New Roman"/>
          <w:color w:val="333333"/>
          <w:sz w:val="22"/>
          <w:szCs w:val="22"/>
        </w:rPr>
        <w:t xml:space="preserve">’, which is further discussed in her book ‘Blain, 2021 - Nine Worlds of </w:t>
      </w:r>
      <w:proofErr w:type="spellStart"/>
      <w:r w:rsidRPr="004E0ACF">
        <w:rPr>
          <w:rFonts w:ascii="Times New Roman" w:hAnsi="Times New Roman" w:cs="Times New Roman"/>
          <w:color w:val="333333"/>
          <w:sz w:val="22"/>
          <w:szCs w:val="22"/>
        </w:rPr>
        <w:t>Seid</w:t>
      </w:r>
      <w:proofErr w:type="spellEnd"/>
      <w:r w:rsidRPr="004E0ACF">
        <w:rPr>
          <w:rFonts w:ascii="Times New Roman" w:hAnsi="Times New Roman" w:cs="Times New Roman"/>
          <w:color w:val="333333"/>
          <w:sz w:val="22"/>
          <w:szCs w:val="22"/>
        </w:rPr>
        <w:t>-Magic,</w:t>
      </w:r>
      <w:r w:rsidRPr="004E0ACF">
        <w:rPr>
          <w:rFonts w:ascii="Times New Roman" w:hAnsi="Times New Roman" w:cs="Times New Roman"/>
          <w:color w:val="212529"/>
          <w:sz w:val="22"/>
          <w:szCs w:val="22"/>
          <w:shd w:val="clear" w:color="auto" w:fill="FFFFFF"/>
        </w:rPr>
        <w:t xml:space="preserve"> </w:t>
      </w:r>
      <w:r w:rsidRPr="004E0ACF">
        <w:rPr>
          <w:rFonts w:ascii="Times New Roman" w:hAnsi="Times New Roman" w:cs="Times New Roman"/>
          <w:color w:val="333333"/>
          <w:sz w:val="22"/>
          <w:szCs w:val="22"/>
        </w:rPr>
        <w:t>Ecstasy and Neo-Shamanism in North European Paganism</w:t>
      </w:r>
      <w:r w:rsidRPr="004E0ACF">
        <w:rPr>
          <w:rStyle w:val="FootnoteReference"/>
          <w:rFonts w:ascii="Times New Roman" w:hAnsi="Times New Roman" w:cs="Times New Roman"/>
          <w:color w:val="333333"/>
          <w:sz w:val="22"/>
          <w:szCs w:val="22"/>
        </w:rPr>
        <w:footnoteReference w:id="1"/>
      </w:r>
      <w:r w:rsidRPr="004E0ACF">
        <w:rPr>
          <w:rFonts w:ascii="Times New Roman" w:hAnsi="Times New Roman" w:cs="Times New Roman"/>
          <w:color w:val="333333"/>
          <w:sz w:val="22"/>
          <w:szCs w:val="22"/>
        </w:rPr>
        <w:t>’.</w:t>
      </w:r>
    </w:p>
    <w:p w14:paraId="325D6497" w14:textId="77777777" w:rsidR="008F58F0" w:rsidRPr="004E0ACF" w:rsidRDefault="008F58F0" w:rsidP="004E0ACF">
      <w:pPr>
        <w:spacing w:line="360" w:lineRule="auto"/>
        <w:jc w:val="both"/>
        <w:rPr>
          <w:rFonts w:ascii="Times New Roman" w:hAnsi="Times New Roman" w:cs="Times New Roman"/>
          <w:b/>
          <w:bCs/>
          <w:sz w:val="22"/>
          <w:szCs w:val="22"/>
        </w:rPr>
      </w:pPr>
      <w:r w:rsidRPr="004E0ACF">
        <w:rPr>
          <w:rFonts w:ascii="Times New Roman" w:hAnsi="Times New Roman" w:cs="Times New Roman"/>
          <w:sz w:val="22"/>
          <w:szCs w:val="22"/>
        </w:rPr>
        <w:t xml:space="preserve">The main argument is centred around the juxtaposition between shamanism and academia, offering insights on how to best bridge these two worlds. It is worth noting that the arguments and claims made in the paper are predominantly based upon Blain’s own personal experiences, coupled with academic research on the field.  </w:t>
      </w:r>
    </w:p>
    <w:p w14:paraId="43E8B2AC" w14:textId="23E168DC" w:rsidR="008F58F0" w:rsidRPr="004E0ACF" w:rsidRDefault="008F58F0" w:rsidP="004E0ACF">
      <w:pPr>
        <w:spacing w:line="360" w:lineRule="auto"/>
        <w:jc w:val="both"/>
        <w:rPr>
          <w:rFonts w:ascii="Times New Roman" w:hAnsi="Times New Roman" w:cs="Times New Roman"/>
          <w:sz w:val="22"/>
          <w:szCs w:val="22"/>
        </w:rPr>
      </w:pPr>
      <w:r w:rsidRPr="004E0ACF">
        <w:rPr>
          <w:rFonts w:ascii="Times New Roman" w:hAnsi="Times New Roman" w:cs="Times New Roman"/>
          <w:sz w:val="22"/>
          <w:szCs w:val="22"/>
        </w:rPr>
        <w:lastRenderedPageBreak/>
        <w:t>‘A Very Private Belief: Reincarnation in Contemporary England’ (</w:t>
      </w:r>
      <w:r w:rsidRPr="004E0ACF">
        <w:rPr>
          <w:rFonts w:ascii="Times New Roman" w:hAnsi="Times New Roman" w:cs="Times New Roman"/>
          <w:i/>
          <w:iCs/>
          <w:sz w:val="22"/>
          <w:szCs w:val="22"/>
        </w:rPr>
        <w:t>which will be referred to as “Paper 2”</w:t>
      </w:r>
      <w:r w:rsidRPr="004E0ACF">
        <w:rPr>
          <w:rFonts w:ascii="Times New Roman" w:hAnsi="Times New Roman" w:cs="Times New Roman"/>
          <w:sz w:val="22"/>
          <w:szCs w:val="22"/>
        </w:rPr>
        <w:t xml:space="preserve">), primarily uses survey data to capture a ‘substantial minority of Westerners’ belief in reincarnation, in a very general way, which isn’t tied to any Eastern or New Age tradition. </w:t>
      </w:r>
      <w:r w:rsidRPr="004E0ACF">
        <w:rPr>
          <w:rFonts w:ascii="Times New Roman" w:hAnsi="Times New Roman" w:cs="Times New Roman"/>
          <w:b/>
          <w:bCs/>
          <w:color w:val="000000" w:themeColor="text1"/>
          <w:sz w:val="22"/>
          <w:szCs w:val="22"/>
        </w:rPr>
        <w:br/>
      </w:r>
      <w:r w:rsidRPr="004E0ACF">
        <w:rPr>
          <w:rFonts w:ascii="Times New Roman" w:hAnsi="Times New Roman" w:cs="Times New Roman"/>
          <w:sz w:val="22"/>
          <w:szCs w:val="22"/>
        </w:rPr>
        <w:t xml:space="preserve">Findings include that many hold a belief in reincarnation alongside their Christian belief. Most are less dogmatic. Some entertain the possibility of reincarnation because of experience (first or second hand) and for others, it solves intellectual problems, such as theodicy.  </w:t>
      </w:r>
    </w:p>
    <w:p w14:paraId="511B44B4" w14:textId="77777777" w:rsidR="008F58F0" w:rsidRPr="004E0ACF" w:rsidRDefault="008F58F0" w:rsidP="004E0ACF">
      <w:pPr>
        <w:spacing w:line="360" w:lineRule="auto"/>
        <w:jc w:val="both"/>
        <w:rPr>
          <w:rFonts w:ascii="Times New Roman" w:hAnsi="Times New Roman" w:cs="Times New Roman"/>
          <w:sz w:val="22"/>
          <w:szCs w:val="22"/>
        </w:rPr>
      </w:pPr>
      <w:r w:rsidRPr="004E0ACF">
        <w:rPr>
          <w:rFonts w:ascii="Times New Roman" w:hAnsi="Times New Roman" w:cs="Times New Roman"/>
          <w:sz w:val="22"/>
          <w:szCs w:val="22"/>
        </w:rPr>
        <w:t xml:space="preserve">Additional views include the long-term spiritual progress, valuing spirit over body and finally that belief in reincarnation has little effect on the test of their lives. It concludes that a rising belief in reincarnation aligns with the ‘privatized religion’ that characterises modern western societies, notably England.  Moreover, it is not a sign of spiritual or moral revolution and ultimately a detached ‘private belief’. In contrast, it can be inferred from the traditional and formal writing style and structure that this paper is targeted to scholars. </w:t>
      </w:r>
    </w:p>
    <w:p w14:paraId="1E278D87" w14:textId="73EB52C7" w:rsidR="008F58F0" w:rsidRPr="004E0ACF" w:rsidRDefault="008F58F0" w:rsidP="004E0ACF">
      <w:pPr>
        <w:spacing w:line="360" w:lineRule="auto"/>
        <w:jc w:val="both"/>
        <w:rPr>
          <w:rFonts w:ascii="Times New Roman" w:hAnsi="Times New Roman" w:cs="Times New Roman"/>
          <w:sz w:val="22"/>
          <w:szCs w:val="22"/>
        </w:rPr>
      </w:pPr>
      <w:r w:rsidRPr="004E0ACF">
        <w:rPr>
          <w:rFonts w:ascii="Times New Roman" w:hAnsi="Times New Roman" w:cs="Times New Roman"/>
          <w:sz w:val="22"/>
          <w:szCs w:val="22"/>
        </w:rPr>
        <w:t>The co-author of this paper Tony Walter, began his work as a freelance scholar from 1975-1994, writing on topics of the treatment of young offenders, religion and society, landscape, unemployment, social security, basic income and the concept of need. Walter re-entered academia in 1994, working as a Lecturer, then Reader, in Sociology at the University of Reading. Since 2006, he has assumed the role of Professor of Death Studies at the University of Bath, along with director of the Centre for Death &amp; Society (2011-2015). Since the early nineties, his writing and lecturing have focused on developing a sociological understanding of death in modern society.</w:t>
      </w:r>
    </w:p>
    <w:p w14:paraId="6E6D293D" w14:textId="76E82E0D" w:rsidR="008F58F0" w:rsidRPr="00BA4912" w:rsidRDefault="008F58F0" w:rsidP="004E0ACF">
      <w:pPr>
        <w:pStyle w:val="NormalWeb"/>
        <w:shd w:val="clear" w:color="auto" w:fill="FFFFFF"/>
        <w:spacing w:line="360" w:lineRule="auto"/>
        <w:jc w:val="both"/>
      </w:pPr>
      <w:r w:rsidRPr="004E0ACF">
        <w:rPr>
          <w:sz w:val="22"/>
          <w:szCs w:val="22"/>
        </w:rPr>
        <w:t>Co-author Helen Waterhouse is a lecturer in Religious Studies at the Open University. Waterhouse specialises in the Buddhist teachings, as evidenced in her other writings</w:t>
      </w:r>
      <w:r w:rsidRPr="004E0ACF">
        <w:rPr>
          <w:rStyle w:val="FootnoteReference"/>
          <w:sz w:val="22"/>
          <w:szCs w:val="22"/>
        </w:rPr>
        <w:footnoteReference w:id="2"/>
      </w:r>
      <w:r w:rsidRPr="004E0ACF">
        <w:rPr>
          <w:sz w:val="22"/>
          <w:szCs w:val="22"/>
        </w:rPr>
        <w:t xml:space="preserve">. </w:t>
      </w:r>
      <w:r w:rsidRPr="00BA4912">
        <w:t>The purpose of the paper is to developing survey data on “how those who entertain the idea of reincarnation”</w:t>
      </w:r>
      <w:r w:rsidRPr="004E0ACF">
        <w:rPr>
          <w:rStyle w:val="FootnoteReference"/>
          <w:sz w:val="22"/>
          <w:szCs w:val="22"/>
        </w:rPr>
        <w:footnoteReference w:id="3"/>
      </w:r>
      <w:r w:rsidRPr="00BA4912">
        <w:t xml:space="preserve"> and moreover, better understand how this community can “actually think and talk”</w:t>
      </w:r>
      <w:r w:rsidRPr="004E0ACF">
        <w:rPr>
          <w:rStyle w:val="FootnoteReference"/>
          <w:sz w:val="22"/>
          <w:szCs w:val="22"/>
        </w:rPr>
        <w:footnoteReference w:id="4"/>
      </w:r>
      <w:r w:rsidRPr="00BA4912">
        <w:t xml:space="preserve">. </w:t>
      </w:r>
    </w:p>
    <w:p w14:paraId="6CD40803" w14:textId="5C44F9A6" w:rsidR="008F58F0" w:rsidRPr="004E0ACF" w:rsidRDefault="008F58F0" w:rsidP="004E0ACF">
      <w:pPr>
        <w:pStyle w:val="NormalWeb"/>
        <w:shd w:val="clear" w:color="auto" w:fill="FFFFFF"/>
        <w:spacing w:line="360" w:lineRule="auto"/>
        <w:jc w:val="both"/>
        <w:rPr>
          <w:b/>
          <w:bCs/>
          <w:sz w:val="22"/>
          <w:szCs w:val="22"/>
        </w:rPr>
      </w:pPr>
      <w:r w:rsidRPr="004E0ACF">
        <w:rPr>
          <w:b/>
          <w:bCs/>
          <w:sz w:val="22"/>
          <w:szCs w:val="22"/>
        </w:rPr>
        <w:t>Writing styles</w:t>
      </w:r>
    </w:p>
    <w:p w14:paraId="1D4448DD" w14:textId="4A718527" w:rsidR="008F58F0" w:rsidRPr="004E0ACF" w:rsidRDefault="008F58F0" w:rsidP="004E0ACF">
      <w:pPr>
        <w:pStyle w:val="NormalWeb"/>
        <w:shd w:val="clear" w:color="auto" w:fill="FFFFFF"/>
        <w:spacing w:line="360" w:lineRule="auto"/>
        <w:jc w:val="both"/>
        <w:rPr>
          <w:color w:val="FF0000"/>
          <w:sz w:val="22"/>
          <w:szCs w:val="22"/>
        </w:rPr>
      </w:pPr>
      <w:r w:rsidRPr="004E0ACF">
        <w:rPr>
          <w:sz w:val="22"/>
          <w:szCs w:val="22"/>
        </w:rPr>
        <w:t xml:space="preserve">The writing styles of each essay are fundamentally different – Paper 1 uses experiential research, as part of an insider approach. The narrative is akin to a live discourse, given the personalised oration style and most of her research on this theme was already published. The focus is on the lived experience of </w:t>
      </w:r>
      <w:r w:rsidRPr="004E0ACF">
        <w:rPr>
          <w:sz w:val="22"/>
          <w:szCs w:val="22"/>
        </w:rPr>
        <w:lastRenderedPageBreak/>
        <w:t xml:space="preserve">the participants who are engaged in the Shamanic ceremony. As the subject matter was originally presented at the “Going Native” Conference in 1999, it’s possible that this paper is based off a speech. The style appears more poetic and descriptive, following a non-traditional structure. This contrasts with Paper 2 which follows a more formal tone and academic structure, with use of subheadings. Paper 1 also makes use of analogies and metaphors, to present arguments. However, both are absent in Paper 2. These differences create a contrast, with the style of Paper 1 allowing for greater connectivity between the author and reader.   </w:t>
      </w:r>
    </w:p>
    <w:p w14:paraId="5FABFDCE" w14:textId="77777777" w:rsidR="008F58F0" w:rsidRPr="004E0ACF" w:rsidRDefault="008F58F0" w:rsidP="004E0ACF">
      <w:pPr>
        <w:spacing w:line="360" w:lineRule="auto"/>
        <w:jc w:val="both"/>
        <w:rPr>
          <w:rFonts w:ascii="Times New Roman" w:hAnsi="Times New Roman" w:cs="Times New Roman"/>
          <w:b/>
          <w:bCs/>
          <w:sz w:val="22"/>
          <w:szCs w:val="22"/>
        </w:rPr>
      </w:pPr>
      <w:r w:rsidRPr="004E0ACF">
        <w:rPr>
          <w:rFonts w:ascii="Times New Roman" w:hAnsi="Times New Roman" w:cs="Times New Roman"/>
          <w:b/>
          <w:bCs/>
          <w:sz w:val="22"/>
          <w:szCs w:val="22"/>
        </w:rPr>
        <w:t xml:space="preserve">Literature review </w:t>
      </w:r>
      <w:r w:rsidRPr="004E0ACF">
        <w:rPr>
          <w:rFonts w:ascii="Times New Roman" w:hAnsi="Times New Roman" w:cs="Times New Roman"/>
          <w:b/>
          <w:bCs/>
          <w:sz w:val="22"/>
          <w:szCs w:val="22"/>
        </w:rPr>
        <w:tab/>
      </w:r>
    </w:p>
    <w:p w14:paraId="6434B887" w14:textId="66303BE8" w:rsidR="008F58F0" w:rsidRPr="004E0ACF" w:rsidRDefault="008F58F0" w:rsidP="004E0ACF">
      <w:pPr>
        <w:pStyle w:val="NormalWeb"/>
        <w:shd w:val="clear" w:color="auto" w:fill="FFFFFF"/>
        <w:spacing w:line="360" w:lineRule="auto"/>
        <w:jc w:val="both"/>
        <w:rPr>
          <w:sz w:val="22"/>
          <w:szCs w:val="22"/>
        </w:rPr>
      </w:pPr>
      <w:r w:rsidRPr="004E0ACF">
        <w:rPr>
          <w:sz w:val="22"/>
          <w:szCs w:val="22"/>
        </w:rPr>
        <w:t xml:space="preserve">The literature reviewed by the authors varies. Whilst Blain uses literature on broader topics such as psychology and ethnography, not limiting solely to the topic of Shamanism, it should be noted that there is a heavy reliance on her own work (with use of five self-published sources). However, Blain’s practical awareness of the use of the insider approach was apparent. Blain actively highlights complementary literature in the paper. Example references </w:t>
      </w:r>
      <w:proofErr w:type="gramStart"/>
      <w:r w:rsidRPr="004E0ACF">
        <w:rPr>
          <w:sz w:val="22"/>
          <w:szCs w:val="22"/>
        </w:rPr>
        <w:t>being;</w:t>
      </w:r>
      <w:proofErr w:type="gramEnd"/>
      <w:r w:rsidRPr="004E0ACF">
        <w:rPr>
          <w:sz w:val="22"/>
          <w:szCs w:val="22"/>
        </w:rPr>
        <w:t xml:space="preserve"> a ‘sense of shock and disbelief’'(Goulet, 1994:20)</w:t>
      </w:r>
      <w:r w:rsidRPr="004E0ACF">
        <w:rPr>
          <w:rStyle w:val="FootnoteReference"/>
          <w:sz w:val="22"/>
          <w:szCs w:val="22"/>
        </w:rPr>
        <w:footnoteReference w:id="5"/>
      </w:r>
      <w:r w:rsidRPr="004E0ACF">
        <w:rPr>
          <w:sz w:val="22"/>
          <w:szCs w:val="22"/>
        </w:rPr>
        <w:t>, a curious ‘double-standard’ - native informants, but not academics (Blain, 1998a, Wilson 1994)</w:t>
      </w:r>
      <w:r w:rsidRPr="004E0ACF">
        <w:rPr>
          <w:rStyle w:val="FootnoteReference"/>
          <w:sz w:val="22"/>
          <w:szCs w:val="22"/>
        </w:rPr>
        <w:footnoteReference w:id="6"/>
      </w:r>
      <w:r w:rsidRPr="004E0ACF">
        <w:rPr>
          <w:sz w:val="22"/>
          <w:szCs w:val="22"/>
        </w:rPr>
        <w:t xml:space="preserve"> </w:t>
      </w:r>
      <w:r w:rsidRPr="004E0ACF">
        <w:rPr>
          <w:rStyle w:val="FootnoteReference"/>
          <w:sz w:val="22"/>
          <w:szCs w:val="22"/>
        </w:rPr>
        <w:footnoteReference w:id="7"/>
      </w:r>
      <w:r w:rsidRPr="004E0ACF">
        <w:rPr>
          <w:sz w:val="22"/>
          <w:szCs w:val="22"/>
        </w:rPr>
        <w:t xml:space="preserve"> and ‘alternative theories, body postures, sound stimulation and reported trance images’ (Felicitas Goodman (1990, 1999)</w:t>
      </w:r>
      <w:r w:rsidRPr="004E0ACF">
        <w:rPr>
          <w:rStyle w:val="FootnoteReference"/>
          <w:sz w:val="22"/>
          <w:szCs w:val="22"/>
        </w:rPr>
        <w:footnoteReference w:id="8"/>
      </w:r>
      <w:r w:rsidRPr="004E0ACF">
        <w:rPr>
          <w:sz w:val="22"/>
          <w:szCs w:val="22"/>
        </w:rPr>
        <w:t xml:space="preserve">.  </w:t>
      </w:r>
    </w:p>
    <w:p w14:paraId="5597F413" w14:textId="0AE73A08" w:rsidR="008F58F0" w:rsidRPr="004E0ACF" w:rsidRDefault="008F58F0" w:rsidP="004E0ACF">
      <w:pPr>
        <w:pStyle w:val="NormalWeb"/>
        <w:shd w:val="clear" w:color="auto" w:fill="FFFFFF"/>
        <w:spacing w:line="360" w:lineRule="auto"/>
        <w:jc w:val="both"/>
        <w:rPr>
          <w:b/>
          <w:bCs/>
          <w:sz w:val="22"/>
          <w:szCs w:val="22"/>
        </w:rPr>
      </w:pPr>
      <w:r w:rsidRPr="004E0ACF">
        <w:rPr>
          <w:sz w:val="22"/>
          <w:szCs w:val="22"/>
        </w:rPr>
        <w:t>Conversely, Paper 2 is predicated on the inverse – primarily an external input. Quantitative data is used as a reference to build with their latest survey results to analyse historical changes in beliefs of reincarnation. Examples include, Mass Observation, 1947: 29-32</w:t>
      </w:r>
      <w:r w:rsidRPr="004E0ACF">
        <w:rPr>
          <w:rStyle w:val="FootnoteReference"/>
          <w:sz w:val="22"/>
          <w:szCs w:val="22"/>
        </w:rPr>
        <w:footnoteReference w:id="9"/>
      </w:r>
      <w:r w:rsidRPr="004E0ACF">
        <w:rPr>
          <w:sz w:val="22"/>
          <w:szCs w:val="22"/>
        </w:rPr>
        <w:t xml:space="preserve">, Geoffrey </w:t>
      </w:r>
      <w:proofErr w:type="spellStart"/>
      <w:r w:rsidRPr="004E0ACF">
        <w:rPr>
          <w:sz w:val="22"/>
          <w:szCs w:val="22"/>
        </w:rPr>
        <w:t>Gorer</w:t>
      </w:r>
      <w:proofErr w:type="spellEnd"/>
      <w:r w:rsidRPr="004E0ACF">
        <w:rPr>
          <w:sz w:val="22"/>
          <w:szCs w:val="22"/>
        </w:rPr>
        <w:t>, 1965: 165</w:t>
      </w:r>
      <w:r w:rsidRPr="004E0ACF">
        <w:rPr>
          <w:rStyle w:val="FootnoteReference"/>
          <w:sz w:val="22"/>
          <w:szCs w:val="22"/>
        </w:rPr>
        <w:footnoteReference w:id="10"/>
      </w:r>
      <w:r w:rsidRPr="004E0ACF">
        <w:rPr>
          <w:sz w:val="22"/>
          <w:szCs w:val="22"/>
        </w:rPr>
        <w:t>. Whilst this historical survey data is focused on UK sources, there was utilization of both European (Ashford, S., and N. Timms, 1992</w:t>
      </w:r>
      <w:r w:rsidRPr="004E0ACF">
        <w:rPr>
          <w:rStyle w:val="FootnoteReference"/>
          <w:sz w:val="22"/>
          <w:szCs w:val="22"/>
        </w:rPr>
        <w:footnoteReference w:id="11"/>
      </w:r>
      <w:r w:rsidRPr="004E0ACF">
        <w:rPr>
          <w:sz w:val="22"/>
          <w:szCs w:val="22"/>
        </w:rPr>
        <w:t>) and USA data (Gallup and Proctor 1982: 137-8</w:t>
      </w:r>
      <w:r w:rsidRPr="004E0ACF">
        <w:rPr>
          <w:rStyle w:val="FootnoteReference"/>
          <w:sz w:val="22"/>
          <w:szCs w:val="22"/>
        </w:rPr>
        <w:footnoteReference w:id="12"/>
      </w:r>
      <w:r w:rsidRPr="004E0ACF">
        <w:rPr>
          <w:sz w:val="22"/>
          <w:szCs w:val="22"/>
        </w:rPr>
        <w:t xml:space="preserve">), albeit the minority. In addition to the authors diversifying the survey data by geography, they also attempt to differentiate the </w:t>
      </w:r>
      <w:r w:rsidRPr="004E0ACF">
        <w:rPr>
          <w:sz w:val="22"/>
          <w:szCs w:val="22"/>
        </w:rPr>
        <w:lastRenderedPageBreak/>
        <w:t xml:space="preserve">nature of their qualitative survey by including a broad sample of thirty interviews. </w:t>
      </w:r>
      <w:r w:rsidRPr="004E0ACF">
        <w:rPr>
          <w:sz w:val="22"/>
          <w:szCs w:val="22"/>
          <w:highlight w:val="magenta"/>
        </w:rPr>
        <w:t xml:space="preserve"> </w:t>
      </w:r>
      <w:r w:rsidRPr="004E0ACF">
        <w:rPr>
          <w:sz w:val="22"/>
          <w:szCs w:val="22"/>
          <w:highlight w:val="magenta"/>
        </w:rPr>
        <w:br/>
      </w:r>
    </w:p>
    <w:p w14:paraId="417B5F5C" w14:textId="77777777" w:rsidR="008F58F0" w:rsidRPr="004E0ACF" w:rsidRDefault="008F58F0" w:rsidP="004E0ACF">
      <w:pPr>
        <w:pStyle w:val="NormalWeb"/>
        <w:shd w:val="clear" w:color="auto" w:fill="FFFFFF"/>
        <w:spacing w:line="360" w:lineRule="auto"/>
        <w:jc w:val="both"/>
        <w:rPr>
          <w:b/>
          <w:bCs/>
          <w:sz w:val="22"/>
          <w:szCs w:val="22"/>
        </w:rPr>
      </w:pPr>
      <w:r w:rsidRPr="004E0ACF">
        <w:rPr>
          <w:b/>
          <w:bCs/>
          <w:sz w:val="22"/>
          <w:szCs w:val="22"/>
        </w:rPr>
        <w:t>Methodological approaches</w:t>
      </w:r>
    </w:p>
    <w:p w14:paraId="4556F572" w14:textId="0F9D3B0E" w:rsidR="00227A36" w:rsidRPr="004E0ACF" w:rsidRDefault="008F58F0">
      <w:pPr>
        <w:pStyle w:val="NormalWeb"/>
        <w:shd w:val="clear" w:color="auto" w:fill="FFFFFF"/>
        <w:spacing w:line="360" w:lineRule="auto"/>
        <w:jc w:val="both"/>
        <w:rPr>
          <w:sz w:val="22"/>
          <w:szCs w:val="22"/>
        </w:rPr>
      </w:pPr>
      <w:r w:rsidRPr="004E0ACF">
        <w:rPr>
          <w:sz w:val="22"/>
          <w:szCs w:val="22"/>
        </w:rPr>
        <w:t xml:space="preserve">The methodological approaches differ across the papers. Blain adopts the insider approach based on their own personal experiences (“My knowledge of </w:t>
      </w:r>
      <w:proofErr w:type="spellStart"/>
      <w:r w:rsidRPr="004E0ACF">
        <w:rPr>
          <w:sz w:val="22"/>
          <w:szCs w:val="22"/>
        </w:rPr>
        <w:t>seidr</w:t>
      </w:r>
      <w:proofErr w:type="spellEnd"/>
      <w:r w:rsidRPr="004E0ACF">
        <w:rPr>
          <w:sz w:val="22"/>
          <w:szCs w:val="22"/>
        </w:rPr>
        <w:t xml:space="preserve"> results from personal experience perceived / interpreted within the discourse of </w:t>
      </w:r>
      <w:proofErr w:type="spellStart"/>
      <w:r w:rsidRPr="004E0ACF">
        <w:rPr>
          <w:sz w:val="22"/>
          <w:szCs w:val="22"/>
        </w:rPr>
        <w:t>seid</w:t>
      </w:r>
      <w:proofErr w:type="spellEnd"/>
      <w:r w:rsidRPr="004E0ACF">
        <w:rPr>
          <w:sz w:val="22"/>
          <w:szCs w:val="22"/>
        </w:rPr>
        <w:t xml:space="preserve"> workers and dialogues with these ‘others’”</w:t>
      </w:r>
      <w:r w:rsidRPr="004E0ACF">
        <w:rPr>
          <w:rStyle w:val="FootnoteReference"/>
          <w:sz w:val="22"/>
          <w:szCs w:val="22"/>
        </w:rPr>
        <w:footnoteReference w:id="13"/>
      </w:r>
      <w:r w:rsidRPr="004E0ACF">
        <w:rPr>
          <w:sz w:val="22"/>
          <w:szCs w:val="22"/>
        </w:rPr>
        <w:t>), Phenomenology – which may be characterized as “the unprejudiced, descriptive study of whatever appears to consciousness, precisely in the manner in which it so appears” and case study findings.  Whilst Paper 2 is based on the outsider approach, reliant on survey results and interviews, using a blend of quantitative and qualitative data.</w:t>
      </w:r>
    </w:p>
    <w:p w14:paraId="46197F7B" w14:textId="77777777" w:rsidR="008F58F0" w:rsidRPr="004E0ACF" w:rsidRDefault="008F58F0" w:rsidP="004E0ACF">
      <w:pPr>
        <w:spacing w:line="360" w:lineRule="auto"/>
        <w:jc w:val="both"/>
        <w:rPr>
          <w:rFonts w:ascii="Times New Roman" w:hAnsi="Times New Roman" w:cs="Times New Roman"/>
          <w:b/>
          <w:bCs/>
          <w:sz w:val="22"/>
          <w:szCs w:val="22"/>
        </w:rPr>
      </w:pPr>
      <w:r w:rsidRPr="004E0ACF">
        <w:rPr>
          <w:rFonts w:ascii="Times New Roman" w:hAnsi="Times New Roman" w:cs="Times New Roman"/>
          <w:b/>
          <w:bCs/>
          <w:sz w:val="22"/>
          <w:szCs w:val="22"/>
        </w:rPr>
        <w:t>Findings &amp; Discussion</w:t>
      </w:r>
    </w:p>
    <w:p w14:paraId="5B3C64A1" w14:textId="63AA0472" w:rsidR="008F58F0" w:rsidRPr="004E0ACF" w:rsidRDefault="008F58F0">
      <w:pPr>
        <w:spacing w:line="360" w:lineRule="auto"/>
        <w:jc w:val="both"/>
        <w:rPr>
          <w:rFonts w:ascii="Times New Roman" w:hAnsi="Times New Roman" w:cs="Times New Roman"/>
          <w:sz w:val="22"/>
          <w:szCs w:val="22"/>
        </w:rPr>
      </w:pPr>
      <w:r w:rsidRPr="004E0ACF">
        <w:rPr>
          <w:rFonts w:ascii="Times New Roman" w:hAnsi="Times New Roman" w:cs="Times New Roman"/>
          <w:sz w:val="22"/>
          <w:szCs w:val="22"/>
        </w:rPr>
        <w:t xml:space="preserve">Key findings and discussion </w:t>
      </w:r>
      <w:proofErr w:type="gramStart"/>
      <w:r w:rsidRPr="004E0ACF">
        <w:rPr>
          <w:rFonts w:ascii="Times New Roman" w:hAnsi="Times New Roman" w:cs="Times New Roman"/>
          <w:sz w:val="22"/>
          <w:szCs w:val="22"/>
        </w:rPr>
        <w:t>leads</w:t>
      </w:r>
      <w:proofErr w:type="gramEnd"/>
      <w:r w:rsidRPr="004E0ACF">
        <w:rPr>
          <w:rFonts w:ascii="Times New Roman" w:hAnsi="Times New Roman" w:cs="Times New Roman"/>
          <w:sz w:val="22"/>
          <w:szCs w:val="22"/>
        </w:rPr>
        <w:t xml:space="preserve"> with the author of Paper 1’s non-reductive expression of another way of perceiving the world. Blain also does this without  </w:t>
      </w:r>
      <w:r w:rsidRPr="004E0ACF">
        <w:rPr>
          <w:rFonts w:ascii="Times New Roman" w:hAnsi="Times New Roman" w:cs="Times New Roman"/>
          <w:sz w:val="22"/>
          <w:szCs w:val="22"/>
        </w:rPr>
        <w:br/>
        <w:t xml:space="preserve">alienating communities. In contrast, this was witnessed in studies of anthropologist, </w:t>
      </w:r>
      <w:r w:rsidRPr="004E0ACF">
        <w:rPr>
          <w:rStyle w:val="a-size-extra-large"/>
          <w:rFonts w:ascii="Times New Roman" w:hAnsi="Times New Roman" w:cs="Times New Roman"/>
          <w:color w:val="0F1111"/>
          <w:sz w:val="22"/>
          <w:szCs w:val="22"/>
        </w:rPr>
        <w:t>Tanya Luhrmann, through her p</w:t>
      </w:r>
      <w:r w:rsidRPr="004E0ACF">
        <w:rPr>
          <w:rFonts w:ascii="Times New Roman" w:hAnsi="Times New Roman" w:cs="Times New Roman"/>
          <w:sz w:val="22"/>
          <w:szCs w:val="22"/>
        </w:rPr>
        <w:t>ersuasions of the witches’ craft</w:t>
      </w:r>
      <w:r w:rsidRPr="004E0ACF">
        <w:rPr>
          <w:rStyle w:val="FootnoteReference"/>
          <w:rFonts w:ascii="Times New Roman" w:hAnsi="Times New Roman" w:cs="Times New Roman"/>
          <w:sz w:val="22"/>
          <w:szCs w:val="22"/>
        </w:rPr>
        <w:footnoteReference w:id="14"/>
      </w:r>
      <w:r w:rsidRPr="004E0ACF">
        <w:rPr>
          <w:rFonts w:ascii="Times New Roman" w:hAnsi="Times New Roman" w:cs="Times New Roman"/>
          <w:sz w:val="22"/>
          <w:szCs w:val="22"/>
        </w:rPr>
        <w:t>. A critique question of Paper 1 is: how it can be possible to do both inside and outside observation? Does this give rise to reflexivity biases? Another concern is ‘the danger of reflexivity is that the researcher disappears into their own feelings, and there is nothing more than their own experience’</w:t>
      </w:r>
      <w:r w:rsidRPr="004E0ACF">
        <w:rPr>
          <w:rStyle w:val="FootnoteReference"/>
          <w:rFonts w:ascii="Times New Roman" w:hAnsi="Times New Roman" w:cs="Times New Roman"/>
          <w:sz w:val="22"/>
          <w:szCs w:val="22"/>
        </w:rPr>
        <w:footnoteReference w:id="15"/>
      </w:r>
      <w:r w:rsidRPr="004E0ACF">
        <w:rPr>
          <w:rFonts w:ascii="Times New Roman" w:hAnsi="Times New Roman" w:cs="Times New Roman"/>
          <w:sz w:val="22"/>
          <w:szCs w:val="22"/>
        </w:rPr>
        <w:t xml:space="preserve">. Moreover, the chronology of events is of consideration. Did Bain first participate in the mentioned Shamanic practises, before academia research on the topic? If so, how does this impact the research? </w:t>
      </w:r>
      <w:proofErr w:type="spellStart"/>
      <w:r w:rsidRPr="004E0ACF">
        <w:rPr>
          <w:rFonts w:ascii="Times New Roman" w:hAnsi="Times New Roman" w:cs="Times New Roman"/>
          <w:sz w:val="22"/>
          <w:szCs w:val="22"/>
        </w:rPr>
        <w:t>Hennink</w:t>
      </w:r>
      <w:proofErr w:type="spellEnd"/>
      <w:r w:rsidRPr="004E0ACF">
        <w:rPr>
          <w:rFonts w:ascii="Times New Roman" w:hAnsi="Times New Roman" w:cs="Times New Roman"/>
          <w:sz w:val="22"/>
          <w:szCs w:val="22"/>
        </w:rPr>
        <w:t xml:space="preserve">, </w:t>
      </w:r>
      <w:proofErr w:type="spellStart"/>
      <w:r w:rsidRPr="004E0ACF">
        <w:rPr>
          <w:rFonts w:ascii="Times New Roman" w:hAnsi="Times New Roman" w:cs="Times New Roman"/>
          <w:sz w:val="22"/>
          <w:szCs w:val="22"/>
        </w:rPr>
        <w:t>Hutter</w:t>
      </w:r>
      <w:proofErr w:type="spellEnd"/>
      <w:r w:rsidRPr="004E0ACF">
        <w:rPr>
          <w:rFonts w:ascii="Times New Roman" w:hAnsi="Times New Roman" w:cs="Times New Roman"/>
          <w:sz w:val="22"/>
          <w:szCs w:val="22"/>
        </w:rPr>
        <w:t xml:space="preserve"> and Bailey imply it should be participation first, then observe, not the other way around</w:t>
      </w:r>
      <w:r w:rsidRPr="004E0ACF">
        <w:rPr>
          <w:rStyle w:val="FootnoteReference"/>
          <w:rFonts w:ascii="Times New Roman" w:hAnsi="Times New Roman" w:cs="Times New Roman"/>
          <w:sz w:val="22"/>
          <w:szCs w:val="22"/>
        </w:rPr>
        <w:footnoteReference w:id="16"/>
      </w:r>
      <w:r w:rsidRPr="004E0ACF">
        <w:rPr>
          <w:rFonts w:ascii="Times New Roman" w:hAnsi="Times New Roman" w:cs="Times New Roman"/>
          <w:sz w:val="22"/>
          <w:szCs w:val="22"/>
        </w:rPr>
        <w:t xml:space="preserve">.  </w:t>
      </w:r>
    </w:p>
    <w:p w14:paraId="36ED5140" w14:textId="0C796475" w:rsidR="008F58F0" w:rsidRPr="004E0ACF" w:rsidRDefault="008F58F0" w:rsidP="004E0ACF">
      <w:pPr>
        <w:pStyle w:val="NormalWeb"/>
        <w:shd w:val="clear" w:color="auto" w:fill="FFFFFF"/>
        <w:spacing w:line="360" w:lineRule="auto"/>
        <w:jc w:val="both"/>
        <w:rPr>
          <w:color w:val="0070C0"/>
          <w:sz w:val="22"/>
          <w:szCs w:val="22"/>
        </w:rPr>
      </w:pPr>
      <w:r w:rsidRPr="004E0ACF">
        <w:rPr>
          <w:color w:val="000000" w:themeColor="text1"/>
          <w:sz w:val="22"/>
          <w:szCs w:val="22"/>
        </w:rPr>
        <w:t xml:space="preserve">Paper 2 employs a reasonable use of quantitative research protocols, set criteria and referenced historical surveys on the same topics. The authors employed a blend of both quantitative and qualitative survey inputs, with no reliance of one over the other. This allows for greater comprehension and understanding. Examples of each being statistical trend analysis and recorded audio interviews. A second area of strength is their contrast to studies of spiritualism, whilst historical surveys were referenced and used as a base to their work. The authors highlighted the necessity for a revised and differentiated approach, </w:t>
      </w:r>
      <w:r w:rsidRPr="004E0ACF">
        <w:rPr>
          <w:color w:val="000000" w:themeColor="text1"/>
          <w:sz w:val="22"/>
          <w:szCs w:val="22"/>
        </w:rPr>
        <w:lastRenderedPageBreak/>
        <w:t>noting that most historical surveys were conducted ‘in the UK that are now somewhat dated’</w:t>
      </w:r>
      <w:r w:rsidRPr="004E0ACF">
        <w:rPr>
          <w:rStyle w:val="FootnoteReference"/>
          <w:color w:val="000000" w:themeColor="text1"/>
          <w:sz w:val="22"/>
          <w:szCs w:val="22"/>
        </w:rPr>
        <w:footnoteReference w:id="17"/>
      </w:r>
      <w:r w:rsidRPr="004E0ACF">
        <w:rPr>
          <w:color w:val="000000" w:themeColor="text1"/>
          <w:sz w:val="22"/>
          <w:szCs w:val="22"/>
        </w:rPr>
        <w:t>.  A final strength is the authors’ practical acknowledgement and active attempt to resolve the challenges in clearly capturing the nature of a person’s belief. They note</w:t>
      </w:r>
      <w:r w:rsidRPr="004E0ACF">
        <w:rPr>
          <w:color w:val="0070C0"/>
          <w:sz w:val="22"/>
          <w:szCs w:val="22"/>
        </w:rPr>
        <w:t xml:space="preserve">: </w:t>
      </w:r>
      <w:r w:rsidRPr="004E0ACF">
        <w:rPr>
          <w:color w:val="000000" w:themeColor="text1"/>
          <w:sz w:val="22"/>
          <w:szCs w:val="22"/>
        </w:rPr>
        <w:t>‘yes-don’t know-no answers, but the problem is particularly acute with a belief such as reincarnation for which contemporary culture and official religion provide little legitimation.’ It was good to see their response to this observation, which resulted in them broadening the survey criteria to ‘seriously entertain the idea of reincarnation’.</w:t>
      </w:r>
      <w:r w:rsidRPr="004E0ACF">
        <w:rPr>
          <w:b/>
          <w:bCs/>
          <w:color w:val="0070C0"/>
          <w:sz w:val="22"/>
          <w:szCs w:val="22"/>
        </w:rPr>
        <w:br/>
      </w:r>
    </w:p>
    <w:p w14:paraId="4952D925" w14:textId="395BB76F" w:rsidR="008F58F0" w:rsidRPr="004E0ACF" w:rsidRDefault="008F58F0" w:rsidP="004E0ACF">
      <w:pPr>
        <w:pStyle w:val="NormalWeb"/>
        <w:shd w:val="clear" w:color="auto" w:fill="FFFFFF"/>
        <w:spacing w:line="360" w:lineRule="auto"/>
        <w:jc w:val="both"/>
        <w:rPr>
          <w:sz w:val="22"/>
          <w:szCs w:val="22"/>
        </w:rPr>
      </w:pPr>
      <w:r w:rsidRPr="004E0ACF">
        <w:rPr>
          <w:sz w:val="22"/>
          <w:szCs w:val="22"/>
        </w:rPr>
        <w:t xml:space="preserve">Despite the strength in the survey approaches, there is a notably lack of depth in the analysis of the concept of reincarnation. Limited clarification is given on what they mean by reincarnation, or what it means for the various traditions that do believe in it and what they think people are saying. Moreover, it is not clear whether they entertain the idea, or how it functions just in a generalised sense of the idea, in terms of shifting from one life to another. They don’t even distinguish between the idea of a human reincarnation being a progressive series of human reincarnations, or whether the idea it is one in which a human can reincarnate across other species. There is a focus on the sociological context, but </w:t>
      </w:r>
      <w:proofErr w:type="gramStart"/>
      <w:r w:rsidRPr="004E0ACF">
        <w:rPr>
          <w:sz w:val="22"/>
          <w:szCs w:val="22"/>
        </w:rPr>
        <w:t>little  background</w:t>
      </w:r>
      <w:proofErr w:type="gramEnd"/>
      <w:r w:rsidRPr="004E0ACF">
        <w:rPr>
          <w:sz w:val="22"/>
          <w:szCs w:val="22"/>
        </w:rPr>
        <w:t xml:space="preserve"> in the subject of reincarnation.  </w:t>
      </w:r>
    </w:p>
    <w:p w14:paraId="0A613291" w14:textId="3E276CE3" w:rsidR="008F58F0" w:rsidRPr="004E0ACF" w:rsidRDefault="008F58F0" w:rsidP="004E0ACF">
      <w:pPr>
        <w:pStyle w:val="NormalWeb"/>
        <w:shd w:val="clear" w:color="auto" w:fill="FFFFFF"/>
        <w:spacing w:line="360" w:lineRule="auto"/>
        <w:jc w:val="both"/>
        <w:rPr>
          <w:sz w:val="22"/>
          <w:szCs w:val="22"/>
        </w:rPr>
      </w:pPr>
      <w:r w:rsidRPr="004E0ACF">
        <w:rPr>
          <w:sz w:val="22"/>
          <w:szCs w:val="22"/>
        </w:rPr>
        <w:t xml:space="preserve">An additional critique area to highlight is on the topic of </w:t>
      </w:r>
      <w:proofErr w:type="gramStart"/>
      <w:r w:rsidRPr="004E0ACF">
        <w:rPr>
          <w:sz w:val="22"/>
          <w:szCs w:val="22"/>
        </w:rPr>
        <w:t>Ethics</w:t>
      </w:r>
      <w:proofErr w:type="gramEnd"/>
      <w:r w:rsidRPr="004E0ACF">
        <w:rPr>
          <w:sz w:val="22"/>
          <w:szCs w:val="22"/>
        </w:rPr>
        <w:t xml:space="preserve"> across a spectrum of areas. First, participant recruitment, second confidentiality concerns and lastly, minimisation of harm. A key component of any survey is not only the questions and end results, but arguably of greater importance, is that of the survey respondents. The authors did not provide the reader with an explanation to the section criteria nor the demographic of the respondents (with only mention of the participants being of ‘UK origin and of Christian religion’. </w:t>
      </w:r>
    </w:p>
    <w:p w14:paraId="4DDD9B26" w14:textId="553A1525" w:rsidR="008F58F0" w:rsidRPr="004E0ACF" w:rsidRDefault="008F58F0" w:rsidP="004E0ACF">
      <w:pPr>
        <w:pStyle w:val="NormalWeb"/>
        <w:shd w:val="clear" w:color="auto" w:fill="FFFFFF"/>
        <w:spacing w:line="360" w:lineRule="auto"/>
        <w:jc w:val="both"/>
        <w:rPr>
          <w:sz w:val="22"/>
          <w:szCs w:val="22"/>
        </w:rPr>
      </w:pPr>
      <w:r w:rsidRPr="004E0ACF">
        <w:rPr>
          <w:sz w:val="22"/>
          <w:szCs w:val="22"/>
        </w:rPr>
        <w:t xml:space="preserve">Further background would have been appreciated and eased potential concerns around ethics. Examples include the selection method of said respondents, voluntary inclusion, etc. Another key point of note is around confidentiality. There was no mention of the privacy protocols employed. A final consideration is around the minimization of harm. The authors mention the interviews were conducted in groups. This naturally opens to issues of peer </w:t>
      </w:r>
      <w:proofErr w:type="gramStart"/>
      <w:r w:rsidRPr="004E0ACF">
        <w:rPr>
          <w:sz w:val="22"/>
          <w:szCs w:val="22"/>
        </w:rPr>
        <w:t>pressure,</w:t>
      </w:r>
      <w:proofErr w:type="gramEnd"/>
      <w:r w:rsidRPr="004E0ACF">
        <w:rPr>
          <w:sz w:val="22"/>
          <w:szCs w:val="22"/>
        </w:rPr>
        <w:t xml:space="preserve"> group think and stigmatization. </w:t>
      </w:r>
    </w:p>
    <w:p w14:paraId="4995DCAB" w14:textId="24301AB3" w:rsidR="008F58F0" w:rsidRPr="004E0ACF" w:rsidRDefault="008F58F0" w:rsidP="004E0ACF">
      <w:pPr>
        <w:pStyle w:val="NormalWeb"/>
        <w:shd w:val="clear" w:color="auto" w:fill="FFFFFF"/>
        <w:spacing w:line="360" w:lineRule="auto"/>
        <w:jc w:val="both"/>
        <w:rPr>
          <w:sz w:val="22"/>
          <w:szCs w:val="22"/>
        </w:rPr>
      </w:pPr>
      <w:r w:rsidRPr="004E0ACF">
        <w:rPr>
          <w:sz w:val="22"/>
          <w:szCs w:val="22"/>
        </w:rPr>
        <w:t xml:space="preserve">Lastly, there were indications of potential reflexivity or bias issues.  For example, the selection process for the survey was as mentioned above, focused on UK and Christians – excluding other nationalities and religions. Despite their noted rationale for this decision, their filter process was suboptimal and subjective. There was also an exclusion of those of Indian and African decent: ‘We deliberately </w:t>
      </w:r>
      <w:r w:rsidRPr="004E0ACF">
        <w:rPr>
          <w:sz w:val="22"/>
          <w:szCs w:val="22"/>
        </w:rPr>
        <w:lastRenderedPageBreak/>
        <w:t>excluded Hindus, Buddhists, Sikhs. For the same reason we did not seek out Obvious New Agers.’ ‘Obvious adherents of the New Age’. This exclusion leads to very generalist assumptions given both India and Africa have large demographics and diverse in culture and religious beliefs. To conclude,</w:t>
      </w:r>
      <w:r w:rsidRPr="004E0ACF">
        <w:rPr>
          <w:color w:val="0070C0"/>
          <w:sz w:val="22"/>
          <w:szCs w:val="22"/>
          <w:highlight w:val="green"/>
        </w:rPr>
        <w:t xml:space="preserve"> </w:t>
      </w:r>
      <w:r w:rsidRPr="004E0ACF">
        <w:rPr>
          <w:color w:val="000000" w:themeColor="text1"/>
          <w:sz w:val="22"/>
          <w:szCs w:val="22"/>
        </w:rPr>
        <w:t xml:space="preserve">further </w:t>
      </w:r>
      <w:r w:rsidRPr="004E0ACF">
        <w:rPr>
          <w:sz w:val="22"/>
          <w:szCs w:val="22"/>
        </w:rPr>
        <w:t xml:space="preserve">clarification and justification would help address some of the potential reflexivity, or bias issues, while also avoiding generalisations. </w:t>
      </w:r>
    </w:p>
    <w:p w14:paraId="153F5A20" w14:textId="77777777" w:rsidR="008F58F0" w:rsidRPr="004E0ACF" w:rsidRDefault="008F58F0" w:rsidP="004E0ACF">
      <w:pPr>
        <w:pStyle w:val="NormalWeb"/>
        <w:shd w:val="clear" w:color="auto" w:fill="FFFFFF"/>
        <w:spacing w:line="360" w:lineRule="auto"/>
        <w:jc w:val="both"/>
        <w:rPr>
          <w:sz w:val="22"/>
          <w:szCs w:val="22"/>
        </w:rPr>
      </w:pPr>
      <w:r w:rsidRPr="004E0ACF">
        <w:rPr>
          <w:sz w:val="22"/>
          <w:szCs w:val="22"/>
        </w:rPr>
        <w:t xml:space="preserve">While they develop reasonable survey data on people that ‘entertain the idea of reincarnation’, it would have also been more useful to include more research on definitions of the belief of reincarnation. With regards to reflexivity, which ‘involves conscious self-reflection on the part of researchers to make explicit their potential influence on the research process’ 2015, p. 19, </w:t>
      </w:r>
      <w:proofErr w:type="spellStart"/>
      <w:r w:rsidRPr="004E0ACF">
        <w:rPr>
          <w:sz w:val="22"/>
          <w:szCs w:val="22"/>
        </w:rPr>
        <w:t>Hennink</w:t>
      </w:r>
      <w:proofErr w:type="spellEnd"/>
      <w:r w:rsidRPr="004E0ACF">
        <w:rPr>
          <w:sz w:val="22"/>
          <w:szCs w:val="22"/>
        </w:rPr>
        <w:t xml:space="preserve">, </w:t>
      </w:r>
      <w:proofErr w:type="spellStart"/>
      <w:r w:rsidRPr="004E0ACF">
        <w:rPr>
          <w:sz w:val="22"/>
          <w:szCs w:val="22"/>
        </w:rPr>
        <w:t>Hutter</w:t>
      </w:r>
      <w:proofErr w:type="spellEnd"/>
      <w:r w:rsidRPr="004E0ACF">
        <w:rPr>
          <w:sz w:val="22"/>
          <w:szCs w:val="22"/>
        </w:rPr>
        <w:t xml:space="preserve"> and Bailey</w:t>
      </w:r>
      <w:r w:rsidRPr="004E0ACF">
        <w:rPr>
          <w:rStyle w:val="FootnoteReference"/>
          <w:sz w:val="22"/>
          <w:szCs w:val="22"/>
        </w:rPr>
        <w:footnoteReference w:id="18"/>
      </w:r>
      <w:r w:rsidRPr="004E0ACF">
        <w:rPr>
          <w:sz w:val="22"/>
          <w:szCs w:val="22"/>
        </w:rPr>
        <w:t xml:space="preserve">, perhaps if the authors intention is clarified, then it can improve application and ethical responsibility? </w:t>
      </w:r>
    </w:p>
    <w:p w14:paraId="3A713479" w14:textId="77777777" w:rsidR="008F58F0" w:rsidRPr="004E0ACF" w:rsidRDefault="008F58F0" w:rsidP="004E0ACF">
      <w:pPr>
        <w:pStyle w:val="NormalWeb"/>
        <w:shd w:val="clear" w:color="auto" w:fill="FFFFFF"/>
        <w:spacing w:line="360" w:lineRule="auto"/>
        <w:jc w:val="both"/>
        <w:rPr>
          <w:sz w:val="22"/>
          <w:szCs w:val="22"/>
        </w:rPr>
      </w:pPr>
      <w:r w:rsidRPr="004E0ACF">
        <w:rPr>
          <w:sz w:val="22"/>
          <w:szCs w:val="22"/>
        </w:rPr>
        <w:t xml:space="preserve">On a constructive point, Blain displays an intention to shift methods: with the example of the dance at the wedding metaphor, about her research constructs reality and knowledge. An important question is if we are reinforcing existing forms or knowledge or are we really changing it? Blain is an example of someone trying to shift established methods of knowing. The teaching of this experience is likely through first-hand experience. </w:t>
      </w:r>
    </w:p>
    <w:p w14:paraId="23F6DE4D" w14:textId="280F8438" w:rsidR="008F58F0" w:rsidRPr="00BA4912" w:rsidRDefault="008F58F0" w:rsidP="004E0ACF">
      <w:pPr>
        <w:pStyle w:val="NormalWeb"/>
        <w:shd w:val="clear" w:color="auto" w:fill="FFFFFF"/>
        <w:spacing w:line="360" w:lineRule="auto"/>
        <w:jc w:val="both"/>
        <w:rPr>
          <w:sz w:val="22"/>
          <w:szCs w:val="22"/>
        </w:rPr>
      </w:pPr>
      <w:r w:rsidRPr="004E0ACF">
        <w:rPr>
          <w:sz w:val="22"/>
          <w:szCs w:val="22"/>
        </w:rPr>
        <w:t>Finally, on the insider-outsider debate, which both papers contrasted, Elizabeth Puttick has an eloquent quote that shares the balance between the two: ‘the insider perspective is as least as valuable as that of the outsider’ ‘which denies the value of neither the religious community, nor the academy’ can only enrich scholarship</w:t>
      </w:r>
      <w:r w:rsidRPr="004E0ACF">
        <w:rPr>
          <w:rStyle w:val="FootnoteReference"/>
          <w:sz w:val="22"/>
          <w:szCs w:val="22"/>
        </w:rPr>
        <w:footnoteReference w:id="19"/>
      </w:r>
      <w:r w:rsidRPr="004E0ACF">
        <w:rPr>
          <w:sz w:val="22"/>
          <w:szCs w:val="22"/>
        </w:rPr>
        <w:t xml:space="preserve"> </w:t>
      </w:r>
      <w:r w:rsidRPr="004E0ACF">
        <w:rPr>
          <w:rStyle w:val="FootnoteReference"/>
          <w:sz w:val="22"/>
          <w:szCs w:val="22"/>
        </w:rPr>
        <w:footnoteReference w:id="20"/>
      </w:r>
      <w:r w:rsidRPr="004E0ACF">
        <w:rPr>
          <w:sz w:val="22"/>
          <w:szCs w:val="22"/>
        </w:rPr>
        <w:t xml:space="preserve">. This offers a more nuanced and balanced interpretation of the application of either the insider or outsider approach.   </w:t>
      </w:r>
    </w:p>
    <w:p w14:paraId="7DEDF676" w14:textId="76501628" w:rsidR="00C77B4D" w:rsidRPr="004E0ACF" w:rsidRDefault="00C77B4D" w:rsidP="00BA4912">
      <w:pPr>
        <w:jc w:val="both"/>
        <w:rPr>
          <w:rFonts w:ascii="Times New Roman" w:hAnsi="Times New Roman" w:cs="Times New Roman"/>
          <w:sz w:val="22"/>
          <w:szCs w:val="22"/>
        </w:rPr>
      </w:pPr>
    </w:p>
    <w:p w14:paraId="60A2714A" w14:textId="238129C1" w:rsidR="00C0103B" w:rsidRPr="00BA4912" w:rsidRDefault="00C0103B" w:rsidP="00BA4912"/>
    <w:sectPr w:rsidR="00C0103B" w:rsidRPr="00BA49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3C20214" w14:textId="77777777" w:rsidR="00C75CC5" w:rsidRDefault="00C75CC5" w:rsidP="008F58F0">
      <w:pPr>
        <w:spacing w:after="0" w:line="240" w:lineRule="auto"/>
      </w:pPr>
      <w:r>
        <w:separator/>
      </w:r>
    </w:p>
  </w:endnote>
  <w:endnote w:type="continuationSeparator" w:id="0">
    <w:p w14:paraId="1291F5A1" w14:textId="77777777" w:rsidR="00C75CC5" w:rsidRDefault="00C75CC5" w:rsidP="008F58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Aptos Display">
    <w:panose1 w:val="020B0004020202020204"/>
    <w:charset w:val="00"/>
    <w:family w:val="swiss"/>
    <w:pitch w:val="variable"/>
    <w:sig w:usb0="20000287" w:usb1="00000003" w:usb2="00000000" w:usb3="00000000" w:csb0="0000019F" w:csb1="00000000"/>
  </w:font>
  <w:font w:name="Times">
    <w:altName w:val="Times New Roman"/>
    <w:panose1 w:val="00000500000000020000"/>
    <w:charset w:val="00"/>
    <w:family w:val="auto"/>
    <w:pitch w:val="variable"/>
    <w:sig w:usb0="E00002FF" w:usb1="5000205A" w:usb2="00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3014325" w14:textId="77777777" w:rsidR="00C75CC5" w:rsidRDefault="00C75CC5" w:rsidP="008F58F0">
      <w:pPr>
        <w:spacing w:after="0" w:line="240" w:lineRule="auto"/>
      </w:pPr>
      <w:r>
        <w:separator/>
      </w:r>
    </w:p>
  </w:footnote>
  <w:footnote w:type="continuationSeparator" w:id="0">
    <w:p w14:paraId="211100A9" w14:textId="77777777" w:rsidR="00C75CC5" w:rsidRDefault="00C75CC5" w:rsidP="008F58F0">
      <w:pPr>
        <w:spacing w:after="0" w:line="240" w:lineRule="auto"/>
      </w:pPr>
      <w:r>
        <w:continuationSeparator/>
      </w:r>
    </w:p>
  </w:footnote>
  <w:footnote w:id="1">
    <w:p w14:paraId="4BDB44DD" w14:textId="77777777" w:rsidR="008F58F0" w:rsidRDefault="008F58F0" w:rsidP="008F58F0">
      <w:pPr>
        <w:pStyle w:val="FootnoteText"/>
      </w:pPr>
      <w:r>
        <w:rPr>
          <w:rStyle w:val="FootnoteReference"/>
        </w:rPr>
        <w:footnoteRef/>
      </w:r>
      <w:r>
        <w:t xml:space="preserve"> </w:t>
      </w:r>
      <w:r w:rsidRPr="00F61EEC">
        <w:rPr>
          <w:rFonts w:ascii="Times New Roman" w:hAnsi="Times New Roman" w:cs="Times New Roman"/>
          <w:i/>
          <w:iCs/>
          <w:sz w:val="22"/>
          <w:szCs w:val="22"/>
        </w:rPr>
        <w:t>Blain, 2021 ‘Nine Worlds of Seid-Magic, Ecstasy and Neo-Shamanism in North European Paganism’</w:t>
      </w:r>
      <w:r w:rsidRPr="00F61EEC">
        <w:rPr>
          <w:rFonts w:ascii="Times New Roman" w:hAnsi="Times New Roman" w:cs="Times New Roman"/>
          <w:i/>
          <w:iCs/>
          <w:color w:val="333333"/>
          <w:sz w:val="22"/>
          <w:szCs w:val="22"/>
        </w:rPr>
        <w:t>.</w:t>
      </w:r>
    </w:p>
  </w:footnote>
  <w:footnote w:id="2">
    <w:p w14:paraId="35EDBABC" w14:textId="77777777" w:rsidR="008F58F0" w:rsidRPr="00F61EEC" w:rsidRDefault="008F58F0" w:rsidP="008F58F0">
      <w:pPr>
        <w:pStyle w:val="EndnoteText"/>
        <w:spacing w:before="100" w:beforeAutospacing="1" w:after="100" w:afterAutospacing="1"/>
        <w:rPr>
          <w:rFonts w:ascii="Times New Roman" w:hAnsi="Times New Roman" w:cs="Times New Roman"/>
          <w:sz w:val="22"/>
          <w:szCs w:val="22"/>
          <w:u w:val="single"/>
        </w:rPr>
      </w:pPr>
      <w:r>
        <w:rPr>
          <w:rStyle w:val="FootnoteReference"/>
        </w:rPr>
        <w:footnoteRef/>
      </w:r>
      <w:r>
        <w:t xml:space="preserve"> </w:t>
      </w:r>
      <w:r w:rsidRPr="00B56571">
        <w:rPr>
          <w:rFonts w:ascii="Times New Roman" w:hAnsi="Times New Roman" w:cs="Times New Roman"/>
          <w:sz w:val="22"/>
          <w:szCs w:val="22"/>
        </w:rPr>
        <w:t>Waterhouse, H. 199</w:t>
      </w:r>
      <w:r>
        <w:rPr>
          <w:rFonts w:ascii="Times New Roman" w:hAnsi="Times New Roman" w:cs="Times New Roman"/>
          <w:sz w:val="22"/>
          <w:szCs w:val="22"/>
        </w:rPr>
        <w:t>7. ‘</w:t>
      </w:r>
      <w:r w:rsidRPr="00B56571">
        <w:rPr>
          <w:rFonts w:ascii="Times New Roman" w:hAnsi="Times New Roman" w:cs="Times New Roman"/>
          <w:sz w:val="22"/>
          <w:szCs w:val="22"/>
        </w:rPr>
        <w:t>A</w:t>
      </w:r>
      <w:r>
        <w:rPr>
          <w:rFonts w:ascii="Times New Roman" w:hAnsi="Times New Roman" w:cs="Times New Roman"/>
          <w:sz w:val="22"/>
          <w:szCs w:val="22"/>
        </w:rPr>
        <w:t xml:space="preserve">uthority and Adaptation; A Case Study in British Buddhism’ </w:t>
      </w:r>
      <w:r w:rsidRPr="007F545D">
        <w:rPr>
          <w:rFonts w:ascii="Times New Roman" w:hAnsi="Times New Roman" w:cs="Times New Roman"/>
          <w:sz w:val="22"/>
          <w:szCs w:val="22"/>
        </w:rPr>
        <w:t>https://researchspace.bathspa.ac.uk/1437/1/Helen%20Waterhouse%20-%201997.pdf</w:t>
      </w:r>
    </w:p>
  </w:footnote>
  <w:footnote w:id="3">
    <w:p w14:paraId="7C21A013" w14:textId="77777777" w:rsidR="008F58F0" w:rsidRDefault="008F58F0" w:rsidP="008F58F0">
      <w:pPr>
        <w:pStyle w:val="FootnoteText"/>
      </w:pPr>
      <w:r>
        <w:rPr>
          <w:rStyle w:val="FootnoteReference"/>
        </w:rPr>
        <w:footnoteRef/>
      </w:r>
      <w:r>
        <w:t xml:space="preserve"> </w:t>
      </w:r>
      <w:r w:rsidRPr="00B56571">
        <w:rPr>
          <w:rFonts w:ascii="Times New Roman" w:hAnsi="Times New Roman" w:cs="Times New Roman"/>
          <w:sz w:val="22"/>
          <w:szCs w:val="22"/>
        </w:rPr>
        <w:t>Walter, T. &amp; Waterhouse, H. 1999. ‘A Very Private Belief: Reincarnation in Contemporary England’. Sociology of Religion, 60, 187-197</w:t>
      </w:r>
    </w:p>
  </w:footnote>
  <w:footnote w:id="4">
    <w:p w14:paraId="3106FAAE" w14:textId="77777777" w:rsidR="008F58F0" w:rsidRDefault="008F58F0" w:rsidP="008F58F0">
      <w:pPr>
        <w:pStyle w:val="FootnoteText"/>
      </w:pPr>
      <w:r>
        <w:rPr>
          <w:rStyle w:val="FootnoteReference"/>
        </w:rPr>
        <w:footnoteRef/>
      </w:r>
      <w:r>
        <w:t xml:space="preserve"> </w:t>
      </w:r>
      <w:r w:rsidRPr="00B56571">
        <w:rPr>
          <w:rFonts w:ascii="Times New Roman" w:hAnsi="Times New Roman" w:cs="Times New Roman"/>
          <w:sz w:val="22"/>
          <w:szCs w:val="22"/>
        </w:rPr>
        <w:t>Walter, T. &amp; Waterhouse, H. 1999. ‘A Very Private Belief: Reincarnation in Contemporary England’. Sociology of Religion, 60, 187-197</w:t>
      </w:r>
    </w:p>
  </w:footnote>
  <w:footnote w:id="5">
    <w:p w14:paraId="73CBAFC3" w14:textId="77777777" w:rsidR="008F58F0" w:rsidRDefault="008F58F0" w:rsidP="008F58F0">
      <w:pPr>
        <w:pStyle w:val="FootnoteText"/>
        <w:jc w:val="both"/>
      </w:pPr>
      <w:r>
        <w:rPr>
          <w:rStyle w:val="FootnoteReference"/>
        </w:rPr>
        <w:footnoteRef/>
      </w:r>
      <w:r>
        <w:t xml:space="preserve"> </w:t>
      </w:r>
      <w:r w:rsidRPr="007F545D">
        <w:rPr>
          <w:rFonts w:ascii="Times New Roman" w:hAnsi="Times New Roman" w:cs="Times New Roman"/>
          <w:sz w:val="22"/>
          <w:szCs w:val="22"/>
        </w:rPr>
        <w:t>Goulet, Jean Guy, 1994. 'Dreams and visions in other life-worlds.' in Being Changed by Cross-Cultural Encounters: the anthropology of extraordinary experience. David E. Young and Jean Guy Goulet. Peterborough, Ontario: Broadview Press. 16-38.</w:t>
      </w:r>
    </w:p>
  </w:footnote>
  <w:footnote w:id="6">
    <w:p w14:paraId="6822C1C6" w14:textId="77777777" w:rsidR="008F58F0" w:rsidRDefault="008F58F0" w:rsidP="008F58F0">
      <w:pPr>
        <w:pStyle w:val="FootnoteText"/>
        <w:jc w:val="both"/>
      </w:pPr>
      <w:r>
        <w:rPr>
          <w:rStyle w:val="FootnoteReference"/>
        </w:rPr>
        <w:footnoteRef/>
      </w:r>
      <w:r>
        <w:t xml:space="preserve"> </w:t>
      </w:r>
      <w:r w:rsidRPr="007F545D">
        <w:rPr>
          <w:rFonts w:ascii="Times New Roman" w:hAnsi="Times New Roman" w:cs="Times New Roman"/>
          <w:sz w:val="22"/>
          <w:szCs w:val="22"/>
        </w:rPr>
        <w:t>Wilson, C. Roderick, 1994. 'Seeing they see not.' in Being Changed by Cross-Cultural Encounters: the anthropology of extraordinary experience. David E. Young</w:t>
      </w:r>
      <w:r w:rsidRPr="00AF22C7">
        <w:rPr>
          <w:rFonts w:ascii="Courier New" w:eastAsia="Times New Roman" w:hAnsi="Courier New" w:cs="Courier New"/>
          <w:color w:val="000000"/>
          <w:kern w:val="0"/>
          <w14:ligatures w14:val="none"/>
        </w:rPr>
        <w:t xml:space="preserve"> </w:t>
      </w:r>
      <w:r w:rsidRPr="007F545D">
        <w:rPr>
          <w:rFonts w:ascii="Times New Roman" w:hAnsi="Times New Roman" w:cs="Times New Roman"/>
          <w:sz w:val="22"/>
          <w:szCs w:val="22"/>
        </w:rPr>
        <w:t>and Jean Guy Goulet. Peterborough, Ontario: Broadview Press. 197-209.</w:t>
      </w:r>
    </w:p>
  </w:footnote>
  <w:footnote w:id="7">
    <w:p w14:paraId="1870C58A" w14:textId="77777777" w:rsidR="008F58F0" w:rsidRDefault="008F58F0" w:rsidP="008F58F0">
      <w:pPr>
        <w:pStyle w:val="FootnoteText"/>
        <w:jc w:val="both"/>
      </w:pPr>
      <w:r>
        <w:rPr>
          <w:rStyle w:val="FootnoteReference"/>
        </w:rPr>
        <w:footnoteRef/>
      </w:r>
      <w:r>
        <w:t xml:space="preserve"> </w:t>
      </w:r>
      <w:r w:rsidRPr="007F545D">
        <w:rPr>
          <w:rFonts w:ascii="Times New Roman" w:hAnsi="Times New Roman" w:cs="Times New Roman"/>
          <w:sz w:val="22"/>
          <w:szCs w:val="22"/>
        </w:rPr>
        <w:t xml:space="preserve">Blain, Jenny. 1998a. 'Presenting constructions of identity and divinity: Asatru and Oracular </w:t>
      </w:r>
      <w:proofErr w:type="spellStart"/>
      <w:r w:rsidRPr="007F545D">
        <w:rPr>
          <w:rFonts w:ascii="Times New Roman" w:hAnsi="Times New Roman" w:cs="Times New Roman"/>
          <w:sz w:val="22"/>
          <w:szCs w:val="22"/>
        </w:rPr>
        <w:t>Seidhr</w:t>
      </w:r>
      <w:proofErr w:type="spellEnd"/>
      <w:r w:rsidRPr="007F545D">
        <w:rPr>
          <w:rFonts w:ascii="Times New Roman" w:hAnsi="Times New Roman" w:cs="Times New Roman"/>
          <w:sz w:val="22"/>
          <w:szCs w:val="22"/>
        </w:rPr>
        <w:t>' in Doing Ethnographic Research: Fieldwork Settings. Ed. Scott Grills. Thousand Oaks, CA: Sage. 203-227.</w:t>
      </w:r>
    </w:p>
  </w:footnote>
  <w:footnote w:id="8">
    <w:p w14:paraId="3956F53B" w14:textId="77777777" w:rsidR="008F58F0" w:rsidRDefault="008F58F0" w:rsidP="008F58F0">
      <w:pPr>
        <w:pStyle w:val="FootnoteText"/>
        <w:jc w:val="both"/>
      </w:pPr>
      <w:r>
        <w:rPr>
          <w:rStyle w:val="FootnoteReference"/>
        </w:rPr>
        <w:footnoteRef/>
      </w:r>
      <w:r>
        <w:t xml:space="preserve"> </w:t>
      </w:r>
      <w:r w:rsidRPr="007F545D">
        <w:rPr>
          <w:rFonts w:ascii="Times New Roman" w:hAnsi="Times New Roman" w:cs="Times New Roman"/>
          <w:sz w:val="22"/>
          <w:szCs w:val="22"/>
        </w:rPr>
        <w:t>Goodman, Felicitas D., 1990. Where the Spirits Ride the Wind: Trance Journeys and Other Ecstatic Experiences. Bloomington: Indiana University Press.</w:t>
      </w:r>
    </w:p>
  </w:footnote>
  <w:footnote w:id="9">
    <w:p w14:paraId="580AB7D1" w14:textId="77777777" w:rsidR="008F58F0" w:rsidRDefault="008F58F0" w:rsidP="008F58F0">
      <w:pPr>
        <w:pStyle w:val="FootnoteText"/>
        <w:jc w:val="both"/>
      </w:pPr>
      <w:r>
        <w:rPr>
          <w:rStyle w:val="FootnoteReference"/>
        </w:rPr>
        <w:footnoteRef/>
      </w:r>
      <w:r>
        <w:t xml:space="preserve"> </w:t>
      </w:r>
      <w:r w:rsidRPr="007F545D">
        <w:rPr>
          <w:rFonts w:ascii="Times New Roman" w:hAnsi="Times New Roman" w:cs="Times New Roman"/>
          <w:sz w:val="22"/>
          <w:szCs w:val="22"/>
        </w:rPr>
        <w:t>Mass Observation 1947</w:t>
      </w:r>
      <w:r>
        <w:rPr>
          <w:rFonts w:ascii="Times New Roman" w:hAnsi="Times New Roman" w:cs="Times New Roman"/>
          <w:sz w:val="22"/>
          <w:szCs w:val="22"/>
        </w:rPr>
        <w:t>. ‘</w:t>
      </w:r>
      <w:r w:rsidRPr="007F545D">
        <w:rPr>
          <w:rFonts w:ascii="Times New Roman" w:hAnsi="Times New Roman" w:cs="Times New Roman"/>
          <w:sz w:val="22"/>
          <w:szCs w:val="22"/>
        </w:rPr>
        <w:t>Puzzled peop</w:t>
      </w:r>
      <w:r>
        <w:rPr>
          <w:rFonts w:ascii="Times New Roman" w:hAnsi="Times New Roman" w:cs="Times New Roman"/>
          <w:sz w:val="22"/>
          <w:szCs w:val="22"/>
        </w:rPr>
        <w:t>l</w:t>
      </w:r>
      <w:r w:rsidRPr="007F545D">
        <w:rPr>
          <w:rFonts w:ascii="Times New Roman" w:hAnsi="Times New Roman" w:cs="Times New Roman"/>
          <w:sz w:val="22"/>
          <w:szCs w:val="22"/>
        </w:rPr>
        <w:t>e: A study in popular attitudes to religion, ethics, progress, and politics in a London borough</w:t>
      </w:r>
      <w:r>
        <w:rPr>
          <w:rFonts w:ascii="Times New Roman" w:hAnsi="Times New Roman" w:cs="Times New Roman"/>
          <w:sz w:val="22"/>
          <w:szCs w:val="22"/>
        </w:rPr>
        <w:t>’</w:t>
      </w:r>
      <w:r w:rsidRPr="007F545D">
        <w:rPr>
          <w:rFonts w:ascii="Times New Roman" w:hAnsi="Times New Roman" w:cs="Times New Roman"/>
          <w:sz w:val="22"/>
          <w:szCs w:val="22"/>
        </w:rPr>
        <w:t>. London: Gollancz.</w:t>
      </w:r>
    </w:p>
  </w:footnote>
  <w:footnote w:id="10">
    <w:p w14:paraId="2E3AAF88" w14:textId="77777777" w:rsidR="008F58F0" w:rsidRDefault="008F58F0" w:rsidP="008F58F0">
      <w:pPr>
        <w:pStyle w:val="FootnoteText"/>
        <w:jc w:val="both"/>
      </w:pPr>
      <w:r>
        <w:rPr>
          <w:rStyle w:val="FootnoteReference"/>
        </w:rPr>
        <w:footnoteRef/>
      </w:r>
      <w:r>
        <w:t xml:space="preserve"> </w:t>
      </w:r>
      <w:r w:rsidRPr="007F545D">
        <w:rPr>
          <w:rFonts w:ascii="Times New Roman" w:hAnsi="Times New Roman" w:cs="Times New Roman"/>
          <w:sz w:val="22"/>
          <w:szCs w:val="22"/>
        </w:rPr>
        <w:t xml:space="preserve">Gorer, G. 1965. </w:t>
      </w:r>
      <w:r>
        <w:rPr>
          <w:rFonts w:ascii="Times New Roman" w:hAnsi="Times New Roman" w:cs="Times New Roman"/>
          <w:sz w:val="22"/>
          <w:szCs w:val="22"/>
        </w:rPr>
        <w:t>‘</w:t>
      </w:r>
      <w:r w:rsidRPr="007F545D">
        <w:rPr>
          <w:rFonts w:ascii="Times New Roman" w:hAnsi="Times New Roman" w:cs="Times New Roman"/>
          <w:sz w:val="22"/>
          <w:szCs w:val="22"/>
        </w:rPr>
        <w:t xml:space="preserve">Death, </w:t>
      </w:r>
      <w:r>
        <w:rPr>
          <w:rFonts w:ascii="Times New Roman" w:hAnsi="Times New Roman" w:cs="Times New Roman"/>
          <w:sz w:val="22"/>
          <w:szCs w:val="22"/>
        </w:rPr>
        <w:t>G</w:t>
      </w:r>
      <w:r w:rsidRPr="007F545D">
        <w:rPr>
          <w:rFonts w:ascii="Times New Roman" w:hAnsi="Times New Roman" w:cs="Times New Roman"/>
          <w:sz w:val="22"/>
          <w:szCs w:val="22"/>
        </w:rPr>
        <w:t xml:space="preserve">rief, and </w:t>
      </w:r>
      <w:r>
        <w:rPr>
          <w:rFonts w:ascii="Times New Roman" w:hAnsi="Times New Roman" w:cs="Times New Roman"/>
          <w:sz w:val="22"/>
          <w:szCs w:val="22"/>
        </w:rPr>
        <w:t>M</w:t>
      </w:r>
      <w:r w:rsidRPr="007F545D">
        <w:rPr>
          <w:rFonts w:ascii="Times New Roman" w:hAnsi="Times New Roman" w:cs="Times New Roman"/>
          <w:sz w:val="22"/>
          <w:szCs w:val="22"/>
        </w:rPr>
        <w:t xml:space="preserve">ourning in </w:t>
      </w:r>
      <w:r>
        <w:rPr>
          <w:rFonts w:ascii="Times New Roman" w:hAnsi="Times New Roman" w:cs="Times New Roman"/>
          <w:sz w:val="22"/>
          <w:szCs w:val="22"/>
        </w:rPr>
        <w:t>C</w:t>
      </w:r>
      <w:r w:rsidRPr="007F545D">
        <w:rPr>
          <w:rFonts w:ascii="Times New Roman" w:hAnsi="Times New Roman" w:cs="Times New Roman"/>
          <w:sz w:val="22"/>
          <w:szCs w:val="22"/>
        </w:rPr>
        <w:t>ontemporary Britain</w:t>
      </w:r>
      <w:r>
        <w:rPr>
          <w:rFonts w:ascii="Times New Roman" w:hAnsi="Times New Roman" w:cs="Times New Roman"/>
          <w:sz w:val="22"/>
          <w:szCs w:val="22"/>
        </w:rPr>
        <w:t>’</w:t>
      </w:r>
      <w:r w:rsidRPr="007F545D">
        <w:rPr>
          <w:rFonts w:ascii="Times New Roman" w:hAnsi="Times New Roman" w:cs="Times New Roman"/>
          <w:sz w:val="22"/>
          <w:szCs w:val="22"/>
        </w:rPr>
        <w:t>. London: Cresset.</w:t>
      </w:r>
    </w:p>
  </w:footnote>
  <w:footnote w:id="11">
    <w:p w14:paraId="1C6CCFBF" w14:textId="77777777" w:rsidR="008F58F0" w:rsidRPr="00F61EEC" w:rsidRDefault="008F58F0" w:rsidP="008F58F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color w:val="000000"/>
          <w:kern w:val="0"/>
          <w14:ligatures w14:val="none"/>
        </w:rPr>
      </w:pPr>
      <w:r>
        <w:rPr>
          <w:rStyle w:val="FootnoteReference"/>
        </w:rPr>
        <w:footnoteRef/>
      </w:r>
      <w:r>
        <w:t xml:space="preserve"> </w:t>
      </w:r>
      <w:r w:rsidRPr="007F545D">
        <w:rPr>
          <w:rFonts w:ascii="Times New Roman" w:hAnsi="Times New Roman" w:cs="Times New Roman"/>
          <w:sz w:val="22"/>
          <w:szCs w:val="22"/>
        </w:rPr>
        <w:t xml:space="preserve">Ashford, S., and N. </w:t>
      </w:r>
      <w:proofErr w:type="spellStart"/>
      <w:r w:rsidRPr="007F545D">
        <w:rPr>
          <w:rFonts w:ascii="Times New Roman" w:hAnsi="Times New Roman" w:cs="Times New Roman"/>
          <w:sz w:val="22"/>
          <w:szCs w:val="22"/>
        </w:rPr>
        <w:t>Tiraras</w:t>
      </w:r>
      <w:proofErr w:type="spellEnd"/>
      <w:r w:rsidRPr="007F545D">
        <w:rPr>
          <w:rFonts w:ascii="Times New Roman" w:hAnsi="Times New Roman" w:cs="Times New Roman"/>
          <w:sz w:val="22"/>
          <w:szCs w:val="22"/>
        </w:rPr>
        <w:t xml:space="preserve">. 1992. </w:t>
      </w:r>
      <w:r>
        <w:rPr>
          <w:rFonts w:ascii="Times New Roman" w:hAnsi="Times New Roman" w:cs="Times New Roman"/>
          <w:sz w:val="22"/>
          <w:szCs w:val="22"/>
        </w:rPr>
        <w:t>‘</w:t>
      </w:r>
      <w:r w:rsidRPr="007F545D">
        <w:rPr>
          <w:rFonts w:ascii="Times New Roman" w:hAnsi="Times New Roman" w:cs="Times New Roman"/>
          <w:sz w:val="22"/>
          <w:szCs w:val="22"/>
        </w:rPr>
        <w:t>What Europe th</w:t>
      </w:r>
      <w:r>
        <w:rPr>
          <w:rFonts w:ascii="Times New Roman" w:hAnsi="Times New Roman" w:cs="Times New Roman"/>
          <w:sz w:val="22"/>
          <w:szCs w:val="22"/>
        </w:rPr>
        <w:t>i</w:t>
      </w:r>
      <w:r w:rsidRPr="007F545D">
        <w:rPr>
          <w:rFonts w:ascii="Times New Roman" w:hAnsi="Times New Roman" w:cs="Times New Roman"/>
          <w:sz w:val="22"/>
          <w:szCs w:val="22"/>
        </w:rPr>
        <w:t xml:space="preserve">nks: A study of </w:t>
      </w:r>
      <w:proofErr w:type="spellStart"/>
      <w:r w:rsidRPr="007F545D">
        <w:rPr>
          <w:rFonts w:ascii="Times New Roman" w:hAnsi="Times New Roman" w:cs="Times New Roman"/>
          <w:sz w:val="22"/>
          <w:szCs w:val="22"/>
        </w:rPr>
        <w:t>Westem</w:t>
      </w:r>
      <w:proofErr w:type="spellEnd"/>
      <w:r w:rsidRPr="007F545D">
        <w:rPr>
          <w:rFonts w:ascii="Times New Roman" w:hAnsi="Times New Roman" w:cs="Times New Roman"/>
          <w:sz w:val="22"/>
          <w:szCs w:val="22"/>
        </w:rPr>
        <w:t xml:space="preserve"> European va</w:t>
      </w:r>
      <w:r>
        <w:rPr>
          <w:rFonts w:ascii="Times New Roman" w:hAnsi="Times New Roman" w:cs="Times New Roman"/>
          <w:sz w:val="22"/>
          <w:szCs w:val="22"/>
        </w:rPr>
        <w:t>l</w:t>
      </w:r>
      <w:r w:rsidRPr="007F545D">
        <w:rPr>
          <w:rFonts w:ascii="Times New Roman" w:hAnsi="Times New Roman" w:cs="Times New Roman"/>
          <w:sz w:val="22"/>
          <w:szCs w:val="22"/>
        </w:rPr>
        <w:t>ues. Aldershot: Dartmouth</w:t>
      </w:r>
      <w:r>
        <w:rPr>
          <w:rFonts w:ascii="Times New Roman" w:hAnsi="Times New Roman" w:cs="Times New Roman"/>
          <w:sz w:val="22"/>
          <w:szCs w:val="22"/>
        </w:rPr>
        <w:t>’</w:t>
      </w:r>
      <w:r w:rsidRPr="007F545D">
        <w:rPr>
          <w:rFonts w:ascii="Times New Roman" w:hAnsi="Times New Roman" w:cs="Times New Roman"/>
          <w:sz w:val="22"/>
          <w:szCs w:val="22"/>
        </w:rPr>
        <w:t>.</w:t>
      </w:r>
    </w:p>
  </w:footnote>
  <w:footnote w:id="12">
    <w:p w14:paraId="156A95FA" w14:textId="77777777" w:rsidR="008F58F0" w:rsidRDefault="008F58F0" w:rsidP="008F58F0">
      <w:pPr>
        <w:pStyle w:val="FootnoteText"/>
        <w:jc w:val="both"/>
      </w:pPr>
      <w:r>
        <w:rPr>
          <w:rStyle w:val="FootnoteReference"/>
        </w:rPr>
        <w:footnoteRef/>
      </w:r>
      <w:r>
        <w:t xml:space="preserve"> </w:t>
      </w:r>
      <w:proofErr w:type="spellStart"/>
      <w:r w:rsidRPr="007F545D">
        <w:rPr>
          <w:rFonts w:ascii="Times New Roman" w:hAnsi="Times New Roman" w:cs="Times New Roman"/>
          <w:sz w:val="22"/>
          <w:szCs w:val="22"/>
        </w:rPr>
        <w:t>Galhp</w:t>
      </w:r>
      <w:proofErr w:type="spellEnd"/>
      <w:r w:rsidRPr="007F545D">
        <w:rPr>
          <w:rFonts w:ascii="Times New Roman" w:hAnsi="Times New Roman" w:cs="Times New Roman"/>
          <w:sz w:val="22"/>
          <w:szCs w:val="22"/>
        </w:rPr>
        <w:t xml:space="preserve">, G., and W. Proctor. 1982. </w:t>
      </w:r>
      <w:r>
        <w:rPr>
          <w:rFonts w:ascii="Times New Roman" w:hAnsi="Times New Roman" w:cs="Times New Roman"/>
          <w:sz w:val="22"/>
          <w:szCs w:val="22"/>
        </w:rPr>
        <w:t>‘</w:t>
      </w:r>
      <w:r w:rsidRPr="007F545D">
        <w:rPr>
          <w:rFonts w:ascii="Times New Roman" w:hAnsi="Times New Roman" w:cs="Times New Roman"/>
          <w:sz w:val="22"/>
          <w:szCs w:val="22"/>
        </w:rPr>
        <w:t>Adventures in immortality</w:t>
      </w:r>
      <w:r>
        <w:rPr>
          <w:rFonts w:ascii="Times New Roman" w:hAnsi="Times New Roman" w:cs="Times New Roman"/>
          <w:sz w:val="22"/>
          <w:szCs w:val="22"/>
        </w:rPr>
        <w:t>’</w:t>
      </w:r>
      <w:r w:rsidRPr="007F545D">
        <w:rPr>
          <w:rFonts w:ascii="Times New Roman" w:hAnsi="Times New Roman" w:cs="Times New Roman"/>
          <w:sz w:val="22"/>
          <w:szCs w:val="22"/>
        </w:rPr>
        <w:t>. New York: McGraw HiU</w:t>
      </w:r>
    </w:p>
  </w:footnote>
  <w:footnote w:id="13">
    <w:p w14:paraId="35084527" w14:textId="77777777" w:rsidR="008F58F0" w:rsidRDefault="008F58F0" w:rsidP="008F58F0">
      <w:pPr>
        <w:pStyle w:val="FootnoteText"/>
      </w:pPr>
      <w:r>
        <w:rPr>
          <w:rStyle w:val="FootnoteReference"/>
        </w:rPr>
        <w:footnoteRef/>
      </w:r>
      <w:r>
        <w:t xml:space="preserve"> </w:t>
      </w:r>
      <w:r w:rsidRPr="00B56571">
        <w:rPr>
          <w:rFonts w:ascii="Times New Roman" w:hAnsi="Times New Roman" w:cs="Times New Roman"/>
          <w:sz w:val="22"/>
          <w:szCs w:val="22"/>
        </w:rPr>
        <w:t xml:space="preserve">Blain, J. 2000. ‘Speaking </w:t>
      </w:r>
      <w:proofErr w:type="spellStart"/>
      <w:r w:rsidRPr="00B56571">
        <w:rPr>
          <w:rFonts w:ascii="Times New Roman" w:hAnsi="Times New Roman" w:cs="Times New Roman"/>
          <w:sz w:val="22"/>
          <w:szCs w:val="22"/>
        </w:rPr>
        <w:t>Shamanistically</w:t>
      </w:r>
      <w:proofErr w:type="spellEnd"/>
      <w:r w:rsidRPr="00B56571">
        <w:rPr>
          <w:rFonts w:ascii="Times New Roman" w:hAnsi="Times New Roman" w:cs="Times New Roman"/>
          <w:sz w:val="22"/>
          <w:szCs w:val="22"/>
        </w:rPr>
        <w:t xml:space="preserve">: </w:t>
      </w:r>
      <w:proofErr w:type="spellStart"/>
      <w:r w:rsidRPr="00B56571">
        <w:rPr>
          <w:rFonts w:ascii="Times New Roman" w:hAnsi="Times New Roman" w:cs="Times New Roman"/>
          <w:sz w:val="22"/>
          <w:szCs w:val="22"/>
        </w:rPr>
        <w:t>Seidr</w:t>
      </w:r>
      <w:proofErr w:type="spellEnd"/>
      <w:r w:rsidRPr="00B56571">
        <w:rPr>
          <w:rFonts w:ascii="Times New Roman" w:hAnsi="Times New Roman" w:cs="Times New Roman"/>
          <w:sz w:val="22"/>
          <w:szCs w:val="22"/>
        </w:rPr>
        <w:t xml:space="preserve">, Academia and Rationality’. In DISKUS Volume 6 (2000)  </w:t>
      </w:r>
    </w:p>
  </w:footnote>
  <w:footnote w:id="14">
    <w:p w14:paraId="1951BEE3" w14:textId="77777777" w:rsidR="008F58F0" w:rsidRDefault="008F58F0" w:rsidP="008F58F0">
      <w:pPr>
        <w:pStyle w:val="FootnoteText"/>
      </w:pPr>
      <w:r>
        <w:rPr>
          <w:rStyle w:val="FootnoteReference"/>
        </w:rPr>
        <w:footnoteRef/>
      </w:r>
      <w:r>
        <w:t xml:space="preserve"> </w:t>
      </w:r>
      <w:r w:rsidRPr="007F545D">
        <w:rPr>
          <w:rFonts w:ascii="Times New Roman" w:hAnsi="Times New Roman" w:cs="Times New Roman"/>
          <w:sz w:val="22"/>
          <w:szCs w:val="22"/>
        </w:rPr>
        <w:t xml:space="preserve">Campion, C. </w:t>
      </w:r>
      <w:r>
        <w:rPr>
          <w:rFonts w:ascii="Times New Roman" w:hAnsi="Times New Roman" w:cs="Times New Roman"/>
          <w:sz w:val="22"/>
          <w:szCs w:val="22"/>
        </w:rPr>
        <w:t>2024, ‘</w:t>
      </w:r>
      <w:r w:rsidRPr="007F545D">
        <w:rPr>
          <w:rFonts w:ascii="Times New Roman" w:hAnsi="Times New Roman" w:cs="Times New Roman"/>
          <w:sz w:val="22"/>
          <w:szCs w:val="22"/>
        </w:rPr>
        <w:t>The Insider-Outsider Debate</w:t>
      </w:r>
      <w:r>
        <w:rPr>
          <w:rFonts w:ascii="Times New Roman" w:hAnsi="Times New Roman" w:cs="Times New Roman"/>
          <w:sz w:val="22"/>
          <w:szCs w:val="22"/>
        </w:rPr>
        <w:t>’</w:t>
      </w:r>
      <w:r w:rsidRPr="007F545D">
        <w:rPr>
          <w:rFonts w:ascii="Times New Roman" w:hAnsi="Times New Roman" w:cs="Times New Roman"/>
          <w:sz w:val="22"/>
          <w:szCs w:val="22"/>
        </w:rPr>
        <w:t xml:space="preserve"> – MA Class Notes and </w:t>
      </w:r>
      <w:r w:rsidRPr="007F545D">
        <w:rPr>
          <w:rFonts w:ascii="Times New Roman" w:hAnsi="Times New Roman" w:cs="Times New Roman" w:hint="eastAsia"/>
          <w:sz w:val="22"/>
          <w:szCs w:val="22"/>
        </w:rPr>
        <w:t>Luhrmann,</w:t>
      </w:r>
      <w:r w:rsidRPr="00430D09">
        <w:rPr>
          <w:rFonts w:ascii="Times New Roman" w:hAnsi="Times New Roman" w:cs="Times New Roman" w:hint="eastAsia"/>
          <w:sz w:val="22"/>
          <w:szCs w:val="22"/>
        </w:rPr>
        <w:t xml:space="preserve"> </w:t>
      </w:r>
      <w:r w:rsidRPr="007F545D">
        <w:rPr>
          <w:rFonts w:ascii="Times New Roman" w:hAnsi="Times New Roman" w:cs="Times New Roman" w:hint="eastAsia"/>
          <w:sz w:val="22"/>
          <w:szCs w:val="22"/>
        </w:rPr>
        <w:t>Tanya</w:t>
      </w:r>
      <w:r>
        <w:rPr>
          <w:rFonts w:ascii="Times New Roman" w:hAnsi="Times New Roman" w:cs="Times New Roman"/>
          <w:sz w:val="22"/>
          <w:szCs w:val="22"/>
        </w:rPr>
        <w:t>, 1989</w:t>
      </w:r>
      <w:r w:rsidRPr="007F545D">
        <w:rPr>
          <w:rFonts w:ascii="Times New Roman" w:hAnsi="Times New Roman" w:cs="Times New Roman" w:hint="eastAsia"/>
          <w:sz w:val="22"/>
          <w:szCs w:val="22"/>
        </w:rPr>
        <w:t xml:space="preserve"> </w:t>
      </w:r>
      <w:r>
        <w:rPr>
          <w:rFonts w:ascii="Times New Roman" w:hAnsi="Times New Roman" w:cs="Times New Roman"/>
          <w:sz w:val="22"/>
          <w:szCs w:val="22"/>
        </w:rPr>
        <w:t>‘</w:t>
      </w:r>
      <w:r w:rsidRPr="007F545D">
        <w:rPr>
          <w:rFonts w:ascii="Times New Roman" w:hAnsi="Times New Roman" w:cs="Times New Roman" w:hint="eastAsia"/>
          <w:sz w:val="22"/>
          <w:szCs w:val="22"/>
        </w:rPr>
        <w:t xml:space="preserve">Persuasions </w:t>
      </w:r>
      <w:proofErr w:type="gramStart"/>
      <w:r w:rsidRPr="007F545D">
        <w:rPr>
          <w:rFonts w:ascii="Times New Roman" w:hAnsi="Times New Roman" w:cs="Times New Roman" w:hint="eastAsia"/>
          <w:sz w:val="22"/>
          <w:szCs w:val="22"/>
        </w:rPr>
        <w:t>Of</w:t>
      </w:r>
      <w:proofErr w:type="gramEnd"/>
      <w:r w:rsidRPr="007F545D">
        <w:rPr>
          <w:rFonts w:ascii="Times New Roman" w:hAnsi="Times New Roman" w:cs="Times New Roman" w:hint="eastAsia"/>
          <w:sz w:val="22"/>
          <w:szCs w:val="22"/>
        </w:rPr>
        <w:t xml:space="preserve"> The Witch</w:t>
      </w:r>
      <w:r>
        <w:rPr>
          <w:rFonts w:ascii="Times New Roman" w:hAnsi="Times New Roman" w:cs="Times New Roman" w:hint="eastAsia"/>
          <w:sz w:val="22"/>
          <w:szCs w:val="22"/>
        </w:rPr>
        <w:t>e</w:t>
      </w:r>
      <w:r w:rsidRPr="007F545D">
        <w:rPr>
          <w:rFonts w:ascii="Times New Roman" w:hAnsi="Times New Roman" w:cs="Times New Roman" w:hint="eastAsia"/>
          <w:sz w:val="22"/>
          <w:szCs w:val="22"/>
        </w:rPr>
        <w:t>s Craft: Ritual Magic and Witchcraft in Present day England</w:t>
      </w:r>
      <w:r>
        <w:rPr>
          <w:rFonts w:ascii="Times New Roman" w:hAnsi="Times New Roman" w:cs="Times New Roman"/>
          <w:sz w:val="22"/>
          <w:szCs w:val="22"/>
        </w:rPr>
        <w:t>’</w:t>
      </w:r>
    </w:p>
  </w:footnote>
  <w:footnote w:id="15">
    <w:p w14:paraId="7014DC82" w14:textId="77777777" w:rsidR="008F58F0" w:rsidRDefault="008F58F0" w:rsidP="008F58F0">
      <w:pPr>
        <w:pStyle w:val="FootnoteText"/>
      </w:pPr>
      <w:r>
        <w:rPr>
          <w:rStyle w:val="FootnoteReference"/>
        </w:rPr>
        <w:footnoteRef/>
      </w:r>
      <w:r>
        <w:t xml:space="preserve"> </w:t>
      </w:r>
      <w:r w:rsidRPr="007F545D">
        <w:rPr>
          <w:rFonts w:ascii="Times New Roman" w:hAnsi="Times New Roman" w:cs="Times New Roman"/>
          <w:sz w:val="22"/>
          <w:szCs w:val="22"/>
        </w:rPr>
        <w:t xml:space="preserve">Campion, C. </w:t>
      </w:r>
      <w:r>
        <w:rPr>
          <w:rFonts w:ascii="Times New Roman" w:hAnsi="Times New Roman" w:cs="Times New Roman"/>
          <w:sz w:val="22"/>
          <w:szCs w:val="22"/>
        </w:rPr>
        <w:t>2024, ‘</w:t>
      </w:r>
      <w:r w:rsidRPr="007F545D">
        <w:rPr>
          <w:rFonts w:ascii="Times New Roman" w:hAnsi="Times New Roman" w:cs="Times New Roman"/>
          <w:sz w:val="22"/>
          <w:szCs w:val="22"/>
        </w:rPr>
        <w:t>The Insider-Outsider Debate</w:t>
      </w:r>
      <w:r>
        <w:rPr>
          <w:rFonts w:ascii="Times New Roman" w:hAnsi="Times New Roman" w:cs="Times New Roman"/>
          <w:sz w:val="22"/>
          <w:szCs w:val="22"/>
        </w:rPr>
        <w:t>’</w:t>
      </w:r>
      <w:r w:rsidRPr="007F545D">
        <w:rPr>
          <w:rFonts w:ascii="Times New Roman" w:hAnsi="Times New Roman" w:cs="Times New Roman"/>
          <w:sz w:val="22"/>
          <w:szCs w:val="22"/>
        </w:rPr>
        <w:t xml:space="preserve"> – MA Class Notes</w:t>
      </w:r>
    </w:p>
  </w:footnote>
  <w:footnote w:id="16">
    <w:p w14:paraId="6B5C6375" w14:textId="77777777" w:rsidR="008F58F0" w:rsidRDefault="008F58F0" w:rsidP="008F58F0">
      <w:pPr>
        <w:pStyle w:val="FootnoteText"/>
      </w:pPr>
      <w:r>
        <w:rPr>
          <w:rStyle w:val="FootnoteReference"/>
        </w:rPr>
        <w:footnoteRef/>
      </w:r>
      <w:r>
        <w:t xml:space="preserve"> </w:t>
      </w:r>
      <w:proofErr w:type="spellStart"/>
      <w:r w:rsidRPr="007F545D">
        <w:rPr>
          <w:rFonts w:ascii="Times New Roman" w:hAnsi="Times New Roman" w:cs="Times New Roman"/>
          <w:sz w:val="22"/>
          <w:szCs w:val="22"/>
        </w:rPr>
        <w:t>Hennink</w:t>
      </w:r>
      <w:proofErr w:type="spellEnd"/>
      <w:r w:rsidRPr="007F545D">
        <w:rPr>
          <w:rFonts w:ascii="Times New Roman" w:hAnsi="Times New Roman" w:cs="Times New Roman"/>
          <w:sz w:val="22"/>
          <w:szCs w:val="22"/>
        </w:rPr>
        <w:t>, M., Hutter, I. and Bailey, A. (2015) Qualitative research methods. London: Sage.</w:t>
      </w:r>
    </w:p>
  </w:footnote>
  <w:footnote w:id="17">
    <w:p w14:paraId="52605FA3" w14:textId="77777777" w:rsidR="008F58F0" w:rsidRDefault="008F58F0" w:rsidP="008F58F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kern w:val="0"/>
          <w:sz w:val="20"/>
          <w:szCs w:val="20"/>
          <w14:ligatures w14:val="none"/>
        </w:rPr>
      </w:pPr>
      <w:r>
        <w:rPr>
          <w:rStyle w:val="FootnoteReference"/>
        </w:rPr>
        <w:footnoteRef/>
      </w:r>
      <w:r w:rsidRPr="007F545D">
        <w:rPr>
          <w:rFonts w:ascii="Times New Roman" w:hAnsi="Times New Roman" w:cs="Times New Roman"/>
          <w:sz w:val="22"/>
          <w:szCs w:val="22"/>
        </w:rPr>
        <w:t xml:space="preserve">Ashford, S., and N. </w:t>
      </w:r>
      <w:proofErr w:type="spellStart"/>
      <w:r w:rsidRPr="007F545D">
        <w:rPr>
          <w:rFonts w:ascii="Times New Roman" w:hAnsi="Times New Roman" w:cs="Times New Roman"/>
          <w:sz w:val="22"/>
          <w:szCs w:val="22"/>
        </w:rPr>
        <w:t>Tiraras</w:t>
      </w:r>
      <w:proofErr w:type="spellEnd"/>
      <w:r w:rsidRPr="007F545D">
        <w:rPr>
          <w:rFonts w:ascii="Times New Roman" w:hAnsi="Times New Roman" w:cs="Times New Roman"/>
          <w:sz w:val="22"/>
          <w:szCs w:val="22"/>
        </w:rPr>
        <w:t xml:space="preserve">. 1992. </w:t>
      </w:r>
      <w:r>
        <w:rPr>
          <w:rFonts w:ascii="Times New Roman" w:hAnsi="Times New Roman" w:cs="Times New Roman"/>
          <w:sz w:val="22"/>
          <w:szCs w:val="22"/>
        </w:rPr>
        <w:t>‘</w:t>
      </w:r>
      <w:r w:rsidRPr="007F545D">
        <w:rPr>
          <w:rFonts w:ascii="Times New Roman" w:hAnsi="Times New Roman" w:cs="Times New Roman"/>
          <w:sz w:val="22"/>
          <w:szCs w:val="22"/>
        </w:rPr>
        <w:t>What Europe th</w:t>
      </w:r>
      <w:r>
        <w:rPr>
          <w:rFonts w:ascii="Times New Roman" w:hAnsi="Times New Roman" w:cs="Times New Roman"/>
          <w:sz w:val="22"/>
          <w:szCs w:val="22"/>
        </w:rPr>
        <w:t>i</w:t>
      </w:r>
      <w:r w:rsidRPr="007F545D">
        <w:rPr>
          <w:rFonts w:ascii="Times New Roman" w:hAnsi="Times New Roman" w:cs="Times New Roman"/>
          <w:sz w:val="22"/>
          <w:szCs w:val="22"/>
        </w:rPr>
        <w:t xml:space="preserve">nks: A study of </w:t>
      </w:r>
      <w:proofErr w:type="spellStart"/>
      <w:r w:rsidRPr="007F545D">
        <w:rPr>
          <w:rFonts w:ascii="Times New Roman" w:hAnsi="Times New Roman" w:cs="Times New Roman"/>
          <w:sz w:val="22"/>
          <w:szCs w:val="22"/>
        </w:rPr>
        <w:t>Westem</w:t>
      </w:r>
      <w:proofErr w:type="spellEnd"/>
      <w:r w:rsidRPr="007F545D">
        <w:rPr>
          <w:rFonts w:ascii="Times New Roman" w:hAnsi="Times New Roman" w:cs="Times New Roman"/>
          <w:sz w:val="22"/>
          <w:szCs w:val="22"/>
        </w:rPr>
        <w:t xml:space="preserve"> European va</w:t>
      </w:r>
      <w:r>
        <w:rPr>
          <w:rFonts w:ascii="Times New Roman" w:hAnsi="Times New Roman" w:cs="Times New Roman"/>
          <w:sz w:val="22"/>
          <w:szCs w:val="22"/>
        </w:rPr>
        <w:t>l</w:t>
      </w:r>
      <w:r w:rsidRPr="007F545D">
        <w:rPr>
          <w:rFonts w:ascii="Times New Roman" w:hAnsi="Times New Roman" w:cs="Times New Roman"/>
          <w:sz w:val="22"/>
          <w:szCs w:val="22"/>
        </w:rPr>
        <w:t>ues. Aldershot: Dartmouth</w:t>
      </w:r>
      <w:r>
        <w:rPr>
          <w:rFonts w:ascii="Times New Roman" w:hAnsi="Times New Roman" w:cs="Times New Roman"/>
          <w:sz w:val="22"/>
          <w:szCs w:val="22"/>
        </w:rPr>
        <w:t>’</w:t>
      </w:r>
      <w:r w:rsidRPr="007F545D">
        <w:rPr>
          <w:rFonts w:ascii="Times New Roman" w:hAnsi="Times New Roman" w:cs="Times New Roman"/>
          <w:sz w:val="22"/>
          <w:szCs w:val="22"/>
        </w:rPr>
        <w:t>.</w:t>
      </w:r>
    </w:p>
    <w:p w14:paraId="5641CBDA" w14:textId="77777777" w:rsidR="008F58F0" w:rsidRDefault="008F58F0" w:rsidP="008F58F0">
      <w:pPr>
        <w:pStyle w:val="FootnoteText"/>
      </w:pPr>
    </w:p>
  </w:footnote>
  <w:footnote w:id="18">
    <w:p w14:paraId="353649A8" w14:textId="77777777" w:rsidR="008F58F0" w:rsidRDefault="008F58F0" w:rsidP="008F58F0">
      <w:pPr>
        <w:pStyle w:val="FootnoteText"/>
      </w:pPr>
      <w:r>
        <w:rPr>
          <w:rStyle w:val="FootnoteReference"/>
        </w:rPr>
        <w:footnoteRef/>
      </w:r>
      <w:r>
        <w:t xml:space="preserve"> </w:t>
      </w:r>
      <w:proofErr w:type="spellStart"/>
      <w:r w:rsidRPr="007F545D">
        <w:rPr>
          <w:rFonts w:ascii="Times New Roman" w:hAnsi="Times New Roman" w:cs="Times New Roman"/>
          <w:sz w:val="22"/>
          <w:szCs w:val="22"/>
        </w:rPr>
        <w:t>Galhp</w:t>
      </w:r>
      <w:proofErr w:type="spellEnd"/>
      <w:r w:rsidRPr="007F545D">
        <w:rPr>
          <w:rFonts w:ascii="Times New Roman" w:hAnsi="Times New Roman" w:cs="Times New Roman"/>
          <w:sz w:val="22"/>
          <w:szCs w:val="22"/>
        </w:rPr>
        <w:t xml:space="preserve">, G., and W. Proctor. 1982. </w:t>
      </w:r>
      <w:r>
        <w:rPr>
          <w:rFonts w:ascii="Times New Roman" w:hAnsi="Times New Roman" w:cs="Times New Roman"/>
          <w:sz w:val="22"/>
          <w:szCs w:val="22"/>
        </w:rPr>
        <w:t>‘</w:t>
      </w:r>
      <w:r w:rsidRPr="007F545D">
        <w:rPr>
          <w:rFonts w:ascii="Times New Roman" w:hAnsi="Times New Roman" w:cs="Times New Roman"/>
          <w:sz w:val="22"/>
          <w:szCs w:val="22"/>
        </w:rPr>
        <w:t>Adventures in immortality</w:t>
      </w:r>
      <w:r>
        <w:rPr>
          <w:rFonts w:ascii="Times New Roman" w:hAnsi="Times New Roman" w:cs="Times New Roman"/>
          <w:sz w:val="22"/>
          <w:szCs w:val="22"/>
        </w:rPr>
        <w:t>’</w:t>
      </w:r>
      <w:r w:rsidRPr="007F545D">
        <w:rPr>
          <w:rFonts w:ascii="Times New Roman" w:hAnsi="Times New Roman" w:cs="Times New Roman"/>
          <w:sz w:val="22"/>
          <w:szCs w:val="22"/>
        </w:rPr>
        <w:t>. New York: McGraw HiU</w:t>
      </w:r>
    </w:p>
  </w:footnote>
  <w:footnote w:id="19">
    <w:p w14:paraId="7EB4753D" w14:textId="77777777" w:rsidR="008F58F0" w:rsidRDefault="008F58F0" w:rsidP="008F58F0">
      <w:pPr>
        <w:pStyle w:val="FootnoteText"/>
      </w:pPr>
      <w:r>
        <w:rPr>
          <w:rStyle w:val="FootnoteReference"/>
        </w:rPr>
        <w:footnoteRef/>
      </w:r>
      <w:r>
        <w:t xml:space="preserve"> </w:t>
      </w:r>
      <w:r w:rsidRPr="007F545D">
        <w:rPr>
          <w:rFonts w:ascii="Times New Roman" w:hAnsi="Times New Roman" w:cs="Times New Roman"/>
          <w:sz w:val="22"/>
          <w:szCs w:val="22"/>
        </w:rPr>
        <w:t xml:space="preserve">Pearson, </w:t>
      </w:r>
      <w:r>
        <w:rPr>
          <w:rFonts w:ascii="Times New Roman" w:hAnsi="Times New Roman" w:cs="Times New Roman"/>
          <w:sz w:val="22"/>
          <w:szCs w:val="22"/>
        </w:rPr>
        <w:t xml:space="preserve">1921, </w:t>
      </w:r>
      <w:r w:rsidRPr="007F545D">
        <w:rPr>
          <w:rFonts w:ascii="Times New Roman" w:hAnsi="Times New Roman" w:cs="Times New Roman"/>
          <w:sz w:val="22"/>
          <w:szCs w:val="22"/>
        </w:rPr>
        <w:t>‘Wicca’, p. 103</w:t>
      </w:r>
    </w:p>
  </w:footnote>
  <w:footnote w:id="20">
    <w:p w14:paraId="6C02A2BD" w14:textId="77777777" w:rsidR="008F58F0" w:rsidRDefault="008F58F0" w:rsidP="008F58F0">
      <w:pPr>
        <w:pStyle w:val="FootnoteText"/>
      </w:pPr>
      <w:r>
        <w:rPr>
          <w:rStyle w:val="FootnoteReference"/>
        </w:rPr>
        <w:footnoteRef/>
      </w:r>
      <w:r>
        <w:t xml:space="preserve"> </w:t>
      </w:r>
      <w:r w:rsidRPr="007F545D">
        <w:rPr>
          <w:rFonts w:ascii="Times New Roman" w:hAnsi="Times New Roman" w:cs="Times New Roman"/>
          <w:sz w:val="22"/>
          <w:szCs w:val="22"/>
        </w:rPr>
        <w:t xml:space="preserve">Campion, C. </w:t>
      </w:r>
      <w:r>
        <w:rPr>
          <w:rFonts w:ascii="Times New Roman" w:hAnsi="Times New Roman" w:cs="Times New Roman"/>
          <w:sz w:val="22"/>
          <w:szCs w:val="22"/>
        </w:rPr>
        <w:t>2024, ‘</w:t>
      </w:r>
      <w:r w:rsidRPr="007F545D">
        <w:rPr>
          <w:rFonts w:ascii="Times New Roman" w:hAnsi="Times New Roman" w:cs="Times New Roman"/>
          <w:sz w:val="22"/>
          <w:szCs w:val="22"/>
        </w:rPr>
        <w:t>The Insider-Outsider Debate</w:t>
      </w:r>
      <w:r>
        <w:rPr>
          <w:rFonts w:ascii="Times New Roman" w:hAnsi="Times New Roman" w:cs="Times New Roman"/>
          <w:sz w:val="22"/>
          <w:szCs w:val="22"/>
        </w:rPr>
        <w:t>’</w:t>
      </w:r>
      <w:r w:rsidRPr="007F545D">
        <w:rPr>
          <w:rFonts w:ascii="Times New Roman" w:hAnsi="Times New Roman" w:cs="Times New Roman"/>
          <w:sz w:val="22"/>
          <w:szCs w:val="22"/>
        </w:rPr>
        <w:t xml:space="preserve"> – MA Class Notes</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6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F58F0"/>
    <w:rsid w:val="00066403"/>
    <w:rsid w:val="000E7E5A"/>
    <w:rsid w:val="00186EA0"/>
    <w:rsid w:val="001917AA"/>
    <w:rsid w:val="001C610A"/>
    <w:rsid w:val="001F25D3"/>
    <w:rsid w:val="00227A36"/>
    <w:rsid w:val="00232882"/>
    <w:rsid w:val="00290E31"/>
    <w:rsid w:val="003D02D8"/>
    <w:rsid w:val="004E0ACF"/>
    <w:rsid w:val="0064556E"/>
    <w:rsid w:val="006B3329"/>
    <w:rsid w:val="006F0235"/>
    <w:rsid w:val="006F5F8E"/>
    <w:rsid w:val="007B31E5"/>
    <w:rsid w:val="008D756A"/>
    <w:rsid w:val="008F58F0"/>
    <w:rsid w:val="0093786A"/>
    <w:rsid w:val="00976DE9"/>
    <w:rsid w:val="00A516E8"/>
    <w:rsid w:val="00AA56B1"/>
    <w:rsid w:val="00AB453B"/>
    <w:rsid w:val="00AD2CD1"/>
    <w:rsid w:val="00B01DA1"/>
    <w:rsid w:val="00BA4912"/>
    <w:rsid w:val="00BB681E"/>
    <w:rsid w:val="00BC7312"/>
    <w:rsid w:val="00BE646B"/>
    <w:rsid w:val="00BF61A8"/>
    <w:rsid w:val="00C0103B"/>
    <w:rsid w:val="00C0253F"/>
    <w:rsid w:val="00C65EB3"/>
    <w:rsid w:val="00C7319D"/>
    <w:rsid w:val="00C75CC5"/>
    <w:rsid w:val="00C77B4D"/>
    <w:rsid w:val="00F0580C"/>
    <w:rsid w:val="00F06DCE"/>
    <w:rsid w:val="00F14CD8"/>
    <w:rsid w:val="00FD3B16"/>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A531C0"/>
  <w15:chartTrackingRefBased/>
  <w15:docId w15:val="{8B9A559A-1F3C-476E-AD21-6838E1B8CC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F58F0"/>
    <w:pPr>
      <w:spacing w:line="278" w:lineRule="auto"/>
    </w:pPr>
    <w:rPr>
      <w:rFonts w:eastAsiaTheme="minorEastAsia"/>
      <w:sz w:val="24"/>
      <w:szCs w:val="24"/>
      <w:lang w:eastAsia="zh-TW"/>
    </w:rPr>
  </w:style>
  <w:style w:type="paragraph" w:styleId="Heading1">
    <w:name w:val="heading 1"/>
    <w:basedOn w:val="Normal"/>
    <w:next w:val="Normal"/>
    <w:link w:val="Heading1Char"/>
    <w:uiPriority w:val="9"/>
    <w:qFormat/>
    <w:rsid w:val="008F58F0"/>
    <w:pPr>
      <w:keepNext/>
      <w:keepLines/>
      <w:spacing w:before="360" w:after="80" w:line="259" w:lineRule="auto"/>
      <w:outlineLvl w:val="0"/>
    </w:pPr>
    <w:rPr>
      <w:rFonts w:asciiTheme="majorHAnsi" w:eastAsiaTheme="majorEastAsia" w:hAnsiTheme="majorHAnsi" w:cstheme="majorBidi"/>
      <w:color w:val="0F4761" w:themeColor="accent1" w:themeShade="BF"/>
      <w:sz w:val="40"/>
      <w:szCs w:val="40"/>
      <w:lang w:eastAsia="en-US"/>
    </w:rPr>
  </w:style>
  <w:style w:type="paragraph" w:styleId="Heading2">
    <w:name w:val="heading 2"/>
    <w:basedOn w:val="Normal"/>
    <w:next w:val="Normal"/>
    <w:link w:val="Heading2Char"/>
    <w:uiPriority w:val="9"/>
    <w:semiHidden/>
    <w:unhideWhenUsed/>
    <w:qFormat/>
    <w:rsid w:val="008F58F0"/>
    <w:pPr>
      <w:keepNext/>
      <w:keepLines/>
      <w:spacing w:before="160" w:after="80" w:line="259" w:lineRule="auto"/>
      <w:outlineLvl w:val="1"/>
    </w:pPr>
    <w:rPr>
      <w:rFonts w:asciiTheme="majorHAnsi" w:eastAsiaTheme="majorEastAsia" w:hAnsiTheme="majorHAnsi" w:cstheme="majorBidi"/>
      <w:color w:val="0F4761" w:themeColor="accent1" w:themeShade="BF"/>
      <w:sz w:val="32"/>
      <w:szCs w:val="32"/>
      <w:lang w:eastAsia="en-US"/>
    </w:rPr>
  </w:style>
  <w:style w:type="paragraph" w:styleId="Heading3">
    <w:name w:val="heading 3"/>
    <w:basedOn w:val="Normal"/>
    <w:next w:val="Normal"/>
    <w:link w:val="Heading3Char"/>
    <w:uiPriority w:val="9"/>
    <w:semiHidden/>
    <w:unhideWhenUsed/>
    <w:qFormat/>
    <w:rsid w:val="008F58F0"/>
    <w:pPr>
      <w:keepNext/>
      <w:keepLines/>
      <w:spacing w:before="160" w:after="80" w:line="259" w:lineRule="auto"/>
      <w:outlineLvl w:val="2"/>
    </w:pPr>
    <w:rPr>
      <w:rFonts w:eastAsiaTheme="majorEastAsia" w:cstheme="majorBidi"/>
      <w:color w:val="0F4761" w:themeColor="accent1" w:themeShade="BF"/>
      <w:sz w:val="28"/>
      <w:szCs w:val="28"/>
      <w:lang w:eastAsia="en-US"/>
    </w:rPr>
  </w:style>
  <w:style w:type="paragraph" w:styleId="Heading4">
    <w:name w:val="heading 4"/>
    <w:basedOn w:val="Normal"/>
    <w:next w:val="Normal"/>
    <w:link w:val="Heading4Char"/>
    <w:uiPriority w:val="9"/>
    <w:semiHidden/>
    <w:unhideWhenUsed/>
    <w:qFormat/>
    <w:rsid w:val="008F58F0"/>
    <w:pPr>
      <w:keepNext/>
      <w:keepLines/>
      <w:spacing w:before="80" w:after="40" w:line="259" w:lineRule="auto"/>
      <w:outlineLvl w:val="3"/>
    </w:pPr>
    <w:rPr>
      <w:rFonts w:eastAsiaTheme="majorEastAsia" w:cstheme="majorBidi"/>
      <w:i/>
      <w:iCs/>
      <w:color w:val="0F4761" w:themeColor="accent1" w:themeShade="BF"/>
      <w:sz w:val="22"/>
      <w:szCs w:val="22"/>
      <w:lang w:eastAsia="en-US"/>
    </w:rPr>
  </w:style>
  <w:style w:type="paragraph" w:styleId="Heading5">
    <w:name w:val="heading 5"/>
    <w:basedOn w:val="Normal"/>
    <w:next w:val="Normal"/>
    <w:link w:val="Heading5Char"/>
    <w:uiPriority w:val="9"/>
    <w:semiHidden/>
    <w:unhideWhenUsed/>
    <w:qFormat/>
    <w:rsid w:val="008F58F0"/>
    <w:pPr>
      <w:keepNext/>
      <w:keepLines/>
      <w:spacing w:before="80" w:after="40" w:line="259" w:lineRule="auto"/>
      <w:outlineLvl w:val="4"/>
    </w:pPr>
    <w:rPr>
      <w:rFonts w:eastAsiaTheme="majorEastAsia" w:cstheme="majorBidi"/>
      <w:color w:val="0F4761" w:themeColor="accent1" w:themeShade="BF"/>
      <w:sz w:val="22"/>
      <w:szCs w:val="22"/>
      <w:lang w:eastAsia="en-US"/>
    </w:rPr>
  </w:style>
  <w:style w:type="paragraph" w:styleId="Heading6">
    <w:name w:val="heading 6"/>
    <w:basedOn w:val="Normal"/>
    <w:next w:val="Normal"/>
    <w:link w:val="Heading6Char"/>
    <w:uiPriority w:val="9"/>
    <w:semiHidden/>
    <w:unhideWhenUsed/>
    <w:qFormat/>
    <w:rsid w:val="008F58F0"/>
    <w:pPr>
      <w:keepNext/>
      <w:keepLines/>
      <w:spacing w:before="40" w:after="0" w:line="259" w:lineRule="auto"/>
      <w:outlineLvl w:val="5"/>
    </w:pPr>
    <w:rPr>
      <w:rFonts w:eastAsiaTheme="majorEastAsia" w:cstheme="majorBidi"/>
      <w:i/>
      <w:iCs/>
      <w:color w:val="595959" w:themeColor="text1" w:themeTint="A6"/>
      <w:sz w:val="22"/>
      <w:szCs w:val="22"/>
      <w:lang w:eastAsia="en-US"/>
    </w:rPr>
  </w:style>
  <w:style w:type="paragraph" w:styleId="Heading7">
    <w:name w:val="heading 7"/>
    <w:basedOn w:val="Normal"/>
    <w:next w:val="Normal"/>
    <w:link w:val="Heading7Char"/>
    <w:uiPriority w:val="9"/>
    <w:semiHidden/>
    <w:unhideWhenUsed/>
    <w:qFormat/>
    <w:rsid w:val="008F58F0"/>
    <w:pPr>
      <w:keepNext/>
      <w:keepLines/>
      <w:spacing w:before="40" w:after="0" w:line="259" w:lineRule="auto"/>
      <w:outlineLvl w:val="6"/>
    </w:pPr>
    <w:rPr>
      <w:rFonts w:eastAsiaTheme="majorEastAsia" w:cstheme="majorBidi"/>
      <w:color w:val="595959" w:themeColor="text1" w:themeTint="A6"/>
      <w:sz w:val="22"/>
      <w:szCs w:val="22"/>
      <w:lang w:eastAsia="en-US"/>
    </w:rPr>
  </w:style>
  <w:style w:type="paragraph" w:styleId="Heading8">
    <w:name w:val="heading 8"/>
    <w:basedOn w:val="Normal"/>
    <w:next w:val="Normal"/>
    <w:link w:val="Heading8Char"/>
    <w:uiPriority w:val="9"/>
    <w:semiHidden/>
    <w:unhideWhenUsed/>
    <w:qFormat/>
    <w:rsid w:val="008F58F0"/>
    <w:pPr>
      <w:keepNext/>
      <w:keepLines/>
      <w:spacing w:after="0" w:line="259" w:lineRule="auto"/>
      <w:outlineLvl w:val="7"/>
    </w:pPr>
    <w:rPr>
      <w:rFonts w:eastAsiaTheme="majorEastAsia" w:cstheme="majorBidi"/>
      <w:i/>
      <w:iCs/>
      <w:color w:val="272727" w:themeColor="text1" w:themeTint="D8"/>
      <w:sz w:val="22"/>
      <w:szCs w:val="22"/>
      <w:lang w:eastAsia="en-US"/>
    </w:rPr>
  </w:style>
  <w:style w:type="paragraph" w:styleId="Heading9">
    <w:name w:val="heading 9"/>
    <w:basedOn w:val="Normal"/>
    <w:next w:val="Normal"/>
    <w:link w:val="Heading9Char"/>
    <w:uiPriority w:val="9"/>
    <w:semiHidden/>
    <w:unhideWhenUsed/>
    <w:qFormat/>
    <w:rsid w:val="008F58F0"/>
    <w:pPr>
      <w:keepNext/>
      <w:keepLines/>
      <w:spacing w:after="0" w:line="259" w:lineRule="auto"/>
      <w:outlineLvl w:val="8"/>
    </w:pPr>
    <w:rPr>
      <w:rFonts w:eastAsiaTheme="majorEastAsia" w:cstheme="majorBidi"/>
      <w:color w:val="272727" w:themeColor="text1" w:themeTint="D8"/>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F58F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F58F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F58F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F58F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F58F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F58F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F58F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F58F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F58F0"/>
    <w:rPr>
      <w:rFonts w:eastAsiaTheme="majorEastAsia" w:cstheme="majorBidi"/>
      <w:color w:val="272727" w:themeColor="text1" w:themeTint="D8"/>
    </w:rPr>
  </w:style>
  <w:style w:type="paragraph" w:styleId="Title">
    <w:name w:val="Title"/>
    <w:basedOn w:val="Normal"/>
    <w:next w:val="Normal"/>
    <w:link w:val="TitleChar"/>
    <w:uiPriority w:val="10"/>
    <w:qFormat/>
    <w:rsid w:val="008F58F0"/>
    <w:pPr>
      <w:spacing w:after="80" w:line="240" w:lineRule="auto"/>
      <w:contextualSpacing/>
    </w:pPr>
    <w:rPr>
      <w:rFonts w:asciiTheme="majorHAnsi" w:eastAsiaTheme="majorEastAsia" w:hAnsiTheme="majorHAnsi" w:cstheme="majorBidi"/>
      <w:spacing w:val="-10"/>
      <w:kern w:val="28"/>
      <w:sz w:val="56"/>
      <w:szCs w:val="56"/>
      <w:lang w:eastAsia="en-US"/>
    </w:rPr>
  </w:style>
  <w:style w:type="character" w:customStyle="1" w:styleId="TitleChar">
    <w:name w:val="Title Char"/>
    <w:basedOn w:val="DefaultParagraphFont"/>
    <w:link w:val="Title"/>
    <w:uiPriority w:val="10"/>
    <w:rsid w:val="008F58F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F58F0"/>
    <w:pPr>
      <w:numPr>
        <w:ilvl w:val="1"/>
      </w:numPr>
      <w:spacing w:line="259" w:lineRule="auto"/>
    </w:pPr>
    <w:rPr>
      <w:rFonts w:eastAsiaTheme="majorEastAsia" w:cstheme="majorBidi"/>
      <w:color w:val="595959" w:themeColor="text1" w:themeTint="A6"/>
      <w:spacing w:val="15"/>
      <w:sz w:val="28"/>
      <w:szCs w:val="28"/>
      <w:lang w:eastAsia="en-US"/>
    </w:rPr>
  </w:style>
  <w:style w:type="character" w:customStyle="1" w:styleId="SubtitleChar">
    <w:name w:val="Subtitle Char"/>
    <w:basedOn w:val="DefaultParagraphFont"/>
    <w:link w:val="Subtitle"/>
    <w:uiPriority w:val="11"/>
    <w:rsid w:val="008F58F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F58F0"/>
    <w:pPr>
      <w:spacing w:before="160" w:line="259" w:lineRule="auto"/>
      <w:jc w:val="center"/>
    </w:pPr>
    <w:rPr>
      <w:rFonts w:eastAsiaTheme="minorHAnsi"/>
      <w:i/>
      <w:iCs/>
      <w:color w:val="404040" w:themeColor="text1" w:themeTint="BF"/>
      <w:sz w:val="22"/>
      <w:szCs w:val="22"/>
      <w:lang w:eastAsia="en-US"/>
    </w:rPr>
  </w:style>
  <w:style w:type="character" w:customStyle="1" w:styleId="QuoteChar">
    <w:name w:val="Quote Char"/>
    <w:basedOn w:val="DefaultParagraphFont"/>
    <w:link w:val="Quote"/>
    <w:uiPriority w:val="29"/>
    <w:rsid w:val="008F58F0"/>
    <w:rPr>
      <w:i/>
      <w:iCs/>
      <w:color w:val="404040" w:themeColor="text1" w:themeTint="BF"/>
    </w:rPr>
  </w:style>
  <w:style w:type="paragraph" w:styleId="ListParagraph">
    <w:name w:val="List Paragraph"/>
    <w:basedOn w:val="Normal"/>
    <w:uiPriority w:val="34"/>
    <w:qFormat/>
    <w:rsid w:val="008F58F0"/>
    <w:pPr>
      <w:spacing w:line="259" w:lineRule="auto"/>
      <w:ind w:left="720"/>
      <w:contextualSpacing/>
    </w:pPr>
    <w:rPr>
      <w:rFonts w:eastAsiaTheme="minorHAnsi"/>
      <w:sz w:val="22"/>
      <w:szCs w:val="22"/>
      <w:lang w:eastAsia="en-US"/>
    </w:rPr>
  </w:style>
  <w:style w:type="character" w:styleId="IntenseEmphasis">
    <w:name w:val="Intense Emphasis"/>
    <w:basedOn w:val="DefaultParagraphFont"/>
    <w:uiPriority w:val="21"/>
    <w:qFormat/>
    <w:rsid w:val="008F58F0"/>
    <w:rPr>
      <w:i/>
      <w:iCs/>
      <w:color w:val="0F4761" w:themeColor="accent1" w:themeShade="BF"/>
    </w:rPr>
  </w:style>
  <w:style w:type="paragraph" w:styleId="IntenseQuote">
    <w:name w:val="Intense Quote"/>
    <w:basedOn w:val="Normal"/>
    <w:next w:val="Normal"/>
    <w:link w:val="IntenseQuoteChar"/>
    <w:uiPriority w:val="30"/>
    <w:qFormat/>
    <w:rsid w:val="008F58F0"/>
    <w:pPr>
      <w:pBdr>
        <w:top w:val="single" w:sz="4" w:space="10" w:color="0F4761" w:themeColor="accent1" w:themeShade="BF"/>
        <w:bottom w:val="single" w:sz="4" w:space="10" w:color="0F4761" w:themeColor="accent1" w:themeShade="BF"/>
      </w:pBdr>
      <w:spacing w:before="360" w:after="360" w:line="259" w:lineRule="auto"/>
      <w:ind w:left="864" w:right="864"/>
      <w:jc w:val="center"/>
    </w:pPr>
    <w:rPr>
      <w:rFonts w:eastAsiaTheme="minorHAnsi"/>
      <w:i/>
      <w:iCs/>
      <w:color w:val="0F4761" w:themeColor="accent1" w:themeShade="BF"/>
      <w:sz w:val="22"/>
      <w:szCs w:val="22"/>
      <w:lang w:eastAsia="en-US"/>
    </w:rPr>
  </w:style>
  <w:style w:type="character" w:customStyle="1" w:styleId="IntenseQuoteChar">
    <w:name w:val="Intense Quote Char"/>
    <w:basedOn w:val="DefaultParagraphFont"/>
    <w:link w:val="IntenseQuote"/>
    <w:uiPriority w:val="30"/>
    <w:rsid w:val="008F58F0"/>
    <w:rPr>
      <w:i/>
      <w:iCs/>
      <w:color w:val="0F4761" w:themeColor="accent1" w:themeShade="BF"/>
    </w:rPr>
  </w:style>
  <w:style w:type="character" w:styleId="IntenseReference">
    <w:name w:val="Intense Reference"/>
    <w:basedOn w:val="DefaultParagraphFont"/>
    <w:uiPriority w:val="32"/>
    <w:qFormat/>
    <w:rsid w:val="008F58F0"/>
    <w:rPr>
      <w:b/>
      <w:bCs/>
      <w:smallCaps/>
      <w:color w:val="0F4761" w:themeColor="accent1" w:themeShade="BF"/>
      <w:spacing w:val="5"/>
    </w:rPr>
  </w:style>
  <w:style w:type="paragraph" w:styleId="NormalWeb">
    <w:name w:val="Normal (Web)"/>
    <w:basedOn w:val="Normal"/>
    <w:uiPriority w:val="99"/>
    <w:unhideWhenUsed/>
    <w:rsid w:val="008F58F0"/>
    <w:pPr>
      <w:spacing w:before="100" w:beforeAutospacing="1" w:after="100" w:afterAutospacing="1" w:line="240" w:lineRule="auto"/>
    </w:pPr>
    <w:rPr>
      <w:rFonts w:ascii="Times New Roman" w:eastAsia="Times New Roman" w:hAnsi="Times New Roman" w:cs="Times New Roman"/>
      <w:kern w:val="0"/>
      <w14:ligatures w14:val="none"/>
    </w:rPr>
  </w:style>
  <w:style w:type="character" w:customStyle="1" w:styleId="a-size-extra-large">
    <w:name w:val="a-size-extra-large"/>
    <w:basedOn w:val="DefaultParagraphFont"/>
    <w:rsid w:val="008F58F0"/>
  </w:style>
  <w:style w:type="paragraph" w:styleId="EndnoteText">
    <w:name w:val="endnote text"/>
    <w:basedOn w:val="Normal"/>
    <w:link w:val="EndnoteTextChar"/>
    <w:uiPriority w:val="99"/>
    <w:unhideWhenUsed/>
    <w:rsid w:val="008F58F0"/>
    <w:pPr>
      <w:spacing w:after="0" w:line="240" w:lineRule="auto"/>
    </w:pPr>
    <w:rPr>
      <w:sz w:val="20"/>
      <w:szCs w:val="20"/>
    </w:rPr>
  </w:style>
  <w:style w:type="character" w:customStyle="1" w:styleId="EndnoteTextChar">
    <w:name w:val="Endnote Text Char"/>
    <w:basedOn w:val="DefaultParagraphFont"/>
    <w:link w:val="EndnoteText"/>
    <w:uiPriority w:val="99"/>
    <w:rsid w:val="008F58F0"/>
    <w:rPr>
      <w:rFonts w:eastAsiaTheme="minorEastAsia"/>
      <w:sz w:val="20"/>
      <w:szCs w:val="20"/>
      <w:lang w:eastAsia="zh-TW"/>
    </w:rPr>
  </w:style>
  <w:style w:type="character" w:styleId="CommentReference">
    <w:name w:val="annotation reference"/>
    <w:basedOn w:val="DefaultParagraphFont"/>
    <w:uiPriority w:val="99"/>
    <w:semiHidden/>
    <w:unhideWhenUsed/>
    <w:rsid w:val="008F58F0"/>
    <w:rPr>
      <w:sz w:val="16"/>
      <w:szCs w:val="16"/>
    </w:rPr>
  </w:style>
  <w:style w:type="paragraph" w:styleId="CommentText">
    <w:name w:val="annotation text"/>
    <w:basedOn w:val="Normal"/>
    <w:link w:val="CommentTextChar"/>
    <w:uiPriority w:val="99"/>
    <w:unhideWhenUsed/>
    <w:rsid w:val="008F58F0"/>
    <w:pPr>
      <w:spacing w:line="240" w:lineRule="auto"/>
    </w:pPr>
    <w:rPr>
      <w:sz w:val="20"/>
      <w:szCs w:val="20"/>
    </w:rPr>
  </w:style>
  <w:style w:type="character" w:customStyle="1" w:styleId="CommentTextChar">
    <w:name w:val="Comment Text Char"/>
    <w:basedOn w:val="DefaultParagraphFont"/>
    <w:link w:val="CommentText"/>
    <w:uiPriority w:val="99"/>
    <w:rsid w:val="008F58F0"/>
    <w:rPr>
      <w:rFonts w:eastAsiaTheme="minorEastAsia"/>
      <w:sz w:val="20"/>
      <w:szCs w:val="20"/>
      <w:lang w:eastAsia="zh-TW"/>
    </w:rPr>
  </w:style>
  <w:style w:type="paragraph" w:styleId="FootnoteText">
    <w:name w:val="footnote text"/>
    <w:basedOn w:val="Normal"/>
    <w:link w:val="FootnoteTextChar"/>
    <w:uiPriority w:val="99"/>
    <w:unhideWhenUsed/>
    <w:rsid w:val="008F58F0"/>
    <w:pPr>
      <w:spacing w:after="0" w:line="240" w:lineRule="auto"/>
    </w:pPr>
    <w:rPr>
      <w:sz w:val="20"/>
      <w:szCs w:val="20"/>
    </w:rPr>
  </w:style>
  <w:style w:type="character" w:customStyle="1" w:styleId="FootnoteTextChar">
    <w:name w:val="Footnote Text Char"/>
    <w:basedOn w:val="DefaultParagraphFont"/>
    <w:link w:val="FootnoteText"/>
    <w:uiPriority w:val="99"/>
    <w:rsid w:val="008F58F0"/>
    <w:rPr>
      <w:rFonts w:eastAsiaTheme="minorEastAsia"/>
      <w:sz w:val="20"/>
      <w:szCs w:val="20"/>
      <w:lang w:eastAsia="zh-TW"/>
    </w:rPr>
  </w:style>
  <w:style w:type="character" w:styleId="FootnoteReference">
    <w:name w:val="footnote reference"/>
    <w:basedOn w:val="DefaultParagraphFont"/>
    <w:uiPriority w:val="99"/>
    <w:semiHidden/>
    <w:unhideWhenUsed/>
    <w:rsid w:val="008F58F0"/>
    <w:rPr>
      <w:vertAlign w:val="superscript"/>
    </w:rPr>
  </w:style>
  <w:style w:type="paragraph" w:styleId="CommentSubject">
    <w:name w:val="annotation subject"/>
    <w:basedOn w:val="CommentText"/>
    <w:next w:val="CommentText"/>
    <w:link w:val="CommentSubjectChar"/>
    <w:uiPriority w:val="99"/>
    <w:semiHidden/>
    <w:unhideWhenUsed/>
    <w:rsid w:val="008F58F0"/>
    <w:rPr>
      <w:b/>
      <w:bCs/>
    </w:rPr>
  </w:style>
  <w:style w:type="character" w:customStyle="1" w:styleId="CommentSubjectChar">
    <w:name w:val="Comment Subject Char"/>
    <w:basedOn w:val="CommentTextChar"/>
    <w:link w:val="CommentSubject"/>
    <w:uiPriority w:val="99"/>
    <w:semiHidden/>
    <w:rsid w:val="008F58F0"/>
    <w:rPr>
      <w:rFonts w:eastAsiaTheme="minorEastAsia"/>
      <w:b/>
      <w:bCs/>
      <w:sz w:val="20"/>
      <w:szCs w:val="20"/>
      <w:lang w:eastAsia="zh-TW"/>
    </w:rPr>
  </w:style>
  <w:style w:type="paragraph" w:styleId="Revision">
    <w:name w:val="Revision"/>
    <w:hidden/>
    <w:uiPriority w:val="99"/>
    <w:semiHidden/>
    <w:rsid w:val="008F58F0"/>
    <w:pPr>
      <w:spacing w:after="0" w:line="240" w:lineRule="auto"/>
    </w:pPr>
    <w:rPr>
      <w:rFonts w:eastAsiaTheme="minorEastAsia"/>
      <w:sz w:val="24"/>
      <w:szCs w:val="24"/>
      <w:lang w:eastAsia="zh-TW"/>
    </w:rPr>
  </w:style>
  <w:style w:type="character" w:customStyle="1" w:styleId="apple-converted-space">
    <w:name w:val="apple-converted-space"/>
    <w:basedOn w:val="DefaultParagraphFont"/>
    <w:rsid w:val="00BE646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C61CA6E-128F-4EBF-855A-1561670DD0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9</Pages>
  <Words>2400</Words>
  <Characters>13682</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16050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Wendy Stacey</dc:creator>
  <cp:keywords/>
  <dc:description/>
  <cp:lastModifiedBy>Ron William</cp:lastModifiedBy>
  <cp:revision>2</cp:revision>
  <cp:lastPrinted>2024-07-24T11:52:00Z</cp:lastPrinted>
  <dcterms:created xsi:type="dcterms:W3CDTF">2024-08-07T07:57:00Z</dcterms:created>
  <dcterms:modified xsi:type="dcterms:W3CDTF">2024-08-07T07:57:00Z</dcterms:modified>
</cp:coreProperties>
</file>