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1C312B77"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391215">
        <w:rPr>
          <w:rFonts w:ascii="Arial" w:hAnsi="Arial" w:cs="Arial"/>
          <w:sz w:val="28"/>
          <w:szCs w:val="28"/>
          <w:lang w:val="nl-NL"/>
        </w:rPr>
        <w:t xml:space="preserve"> </w:t>
      </w:r>
      <w:proofErr w:type="spellStart"/>
      <w:r w:rsidR="00391215">
        <w:rPr>
          <w:rFonts w:ascii="Arial" w:hAnsi="Arial" w:cs="Arial"/>
          <w:sz w:val="28"/>
          <w:szCs w:val="28"/>
          <w:lang w:val="nl-NL"/>
        </w:rPr>
        <w:t>Dauri</w:t>
      </w:r>
      <w:proofErr w:type="spellEnd"/>
      <w:r w:rsidR="00391215">
        <w:rPr>
          <w:rFonts w:ascii="Arial" w:hAnsi="Arial" w:cs="Arial"/>
          <w:sz w:val="28"/>
          <w:szCs w:val="28"/>
          <w:lang w:val="nl-NL"/>
        </w:rPr>
        <w:t xml:space="preserve"> Miguel Marte </w:t>
      </w:r>
      <w:proofErr w:type="spellStart"/>
      <w:r w:rsidR="00391215">
        <w:rPr>
          <w:rFonts w:ascii="Arial" w:hAnsi="Arial" w:cs="Arial"/>
          <w:sz w:val="28"/>
          <w:szCs w:val="28"/>
          <w:lang w:val="nl-NL"/>
        </w:rPr>
        <w:t>Pujol</w:t>
      </w:r>
      <w:proofErr w:type="spellEnd"/>
    </w:p>
    <w:p w14:paraId="18D88AE2" w14:textId="2B72C1B2"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391215">
        <w:rPr>
          <w:rFonts w:ascii="Arial" w:hAnsi="Arial" w:cs="Arial"/>
          <w:sz w:val="28"/>
          <w:szCs w:val="28"/>
          <w:lang w:val="nl-NL"/>
        </w:rPr>
        <w:t xml:space="preserve"> 2415800</w:t>
      </w:r>
    </w:p>
    <w:p w14:paraId="4654C81C" w14:textId="77777777" w:rsidR="00C558B0" w:rsidRPr="006524ED" w:rsidRDefault="00C558B0" w:rsidP="00C558B0">
      <w:pPr>
        <w:tabs>
          <w:tab w:val="left" w:pos="6540"/>
        </w:tabs>
        <w:spacing w:line="360" w:lineRule="auto"/>
        <w:rPr>
          <w:rFonts w:ascii="Arial" w:hAnsi="Arial" w:cs="Arial"/>
          <w:sz w:val="28"/>
          <w:szCs w:val="28"/>
          <w:lang w:val="nl-NL"/>
        </w:rPr>
      </w:pPr>
    </w:p>
    <w:p w14:paraId="3D8DA301" w14:textId="7C6BCC70"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391215" w:rsidRPr="00391215">
        <w:rPr>
          <w:rFonts w:ascii="Arial" w:hAnsi="Arial" w:cs="Arial"/>
          <w:sz w:val="28"/>
          <w:szCs w:val="28"/>
        </w:rPr>
        <w:t>Principles of Health and Social Care Practice</w:t>
      </w:r>
    </w:p>
    <w:p w14:paraId="7DB3261D" w14:textId="5FEE4764"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391215">
        <w:rPr>
          <w:rFonts w:ascii="Arial" w:hAnsi="Arial" w:cs="Arial"/>
          <w:sz w:val="28"/>
          <w:szCs w:val="28"/>
        </w:rPr>
        <w:t xml:space="preserve"> </w:t>
      </w:r>
      <w:r w:rsidR="00391215" w:rsidRPr="00391215">
        <w:rPr>
          <w:rFonts w:ascii="Arial" w:hAnsi="Arial" w:cs="Arial"/>
          <w:sz w:val="28"/>
          <w:szCs w:val="28"/>
        </w:rPr>
        <w:t>BMHP5016</w:t>
      </w:r>
    </w:p>
    <w:p w14:paraId="5CCA350C" w14:textId="45C00FC4"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391215">
        <w:rPr>
          <w:rFonts w:ascii="Arial" w:hAnsi="Arial" w:cs="Arial"/>
          <w:sz w:val="28"/>
          <w:szCs w:val="28"/>
        </w:rPr>
        <w:t xml:space="preserve"> </w:t>
      </w:r>
      <w:proofErr w:type="spellStart"/>
      <w:r w:rsidR="00391215" w:rsidRPr="00391215">
        <w:rPr>
          <w:rFonts w:ascii="Arial" w:hAnsi="Arial" w:cs="Arial"/>
          <w:sz w:val="28"/>
          <w:szCs w:val="28"/>
        </w:rPr>
        <w:t>Itse</w:t>
      </w:r>
      <w:proofErr w:type="spellEnd"/>
      <w:r w:rsidR="00391215" w:rsidRPr="00391215">
        <w:rPr>
          <w:rFonts w:ascii="Arial" w:hAnsi="Arial" w:cs="Arial"/>
          <w:sz w:val="28"/>
          <w:szCs w:val="28"/>
        </w:rPr>
        <w:t xml:space="preserve"> Olaoye</w:t>
      </w:r>
    </w:p>
    <w:p w14:paraId="5461F9C8" w14:textId="77777777" w:rsidR="00C558B0" w:rsidRPr="00FD6594" w:rsidRDefault="00C558B0" w:rsidP="00C558B0">
      <w:pPr>
        <w:tabs>
          <w:tab w:val="left" w:pos="6540"/>
        </w:tabs>
        <w:spacing w:line="360" w:lineRule="auto"/>
        <w:rPr>
          <w:rFonts w:ascii="Arial" w:hAnsi="Arial" w:cs="Arial"/>
          <w:szCs w:val="24"/>
        </w:rPr>
      </w:pPr>
    </w:p>
    <w:p w14:paraId="72F7DE62" w14:textId="77777777" w:rsidR="00D15A6D" w:rsidRPr="00D15A6D" w:rsidRDefault="00D15A6D" w:rsidP="00D15A6D">
      <w:pPr>
        <w:rPr>
          <w:rFonts w:ascii="Arial" w:hAnsi="Arial" w:cs="Arial"/>
          <w:b/>
          <w:bCs/>
        </w:rPr>
      </w:pPr>
      <w:r w:rsidRPr="00D15A6D">
        <w:rPr>
          <w:rFonts w:ascii="Arial" w:hAnsi="Arial" w:cs="Arial"/>
          <w:b/>
          <w:bCs/>
        </w:rPr>
        <w:t>Introduction</w:t>
      </w:r>
    </w:p>
    <w:p w14:paraId="2A1B4BFD" w14:textId="77777777" w:rsidR="00D15A6D" w:rsidRPr="00D15A6D" w:rsidRDefault="00D15A6D" w:rsidP="00D15A6D">
      <w:pPr>
        <w:rPr>
          <w:rFonts w:ascii="Arial" w:hAnsi="Arial" w:cs="Arial"/>
        </w:rPr>
      </w:pPr>
    </w:p>
    <w:p w14:paraId="743F0272" w14:textId="69C2C1F5" w:rsidR="00D15A6D" w:rsidRPr="00D15A6D" w:rsidRDefault="00D15A6D" w:rsidP="00D15A6D">
      <w:pPr>
        <w:rPr>
          <w:rFonts w:ascii="Arial" w:hAnsi="Arial" w:cs="Arial"/>
        </w:rPr>
      </w:pPr>
      <w:r w:rsidRPr="00D15A6D">
        <w:rPr>
          <w:rFonts w:ascii="Arial" w:hAnsi="Arial" w:cs="Arial"/>
        </w:rPr>
        <w:t xml:space="preserve">Global chains of care </w:t>
      </w:r>
      <w:proofErr w:type="gramStart"/>
      <w:r w:rsidRPr="00D15A6D">
        <w:rPr>
          <w:rFonts w:ascii="Arial" w:hAnsi="Arial" w:cs="Arial"/>
        </w:rPr>
        <w:t>is</w:t>
      </w:r>
      <w:proofErr w:type="gramEnd"/>
      <w:r w:rsidRPr="00D15A6D">
        <w:rPr>
          <w:rFonts w:ascii="Arial" w:hAnsi="Arial" w:cs="Arial"/>
        </w:rPr>
        <w:t xml:space="preserve"> basically the idea that care work things like looking after children, elderly people, or doing domestic work gets passed along across countries, usually from poorer nations to richer ones (Hochschild, 2000). What tends to happen is that women from the Global South migrate to wealthier countries to do care work for other families, while leaving their own families back home. This is something that has grown a lot because of globalisation and because richer countries need </w:t>
      </w:r>
      <w:proofErr w:type="gramStart"/>
      <w:r w:rsidRPr="00D15A6D">
        <w:rPr>
          <w:rFonts w:ascii="Arial" w:hAnsi="Arial" w:cs="Arial"/>
        </w:rPr>
        <w:t>more and more</w:t>
      </w:r>
      <w:proofErr w:type="gramEnd"/>
      <w:r w:rsidRPr="00D15A6D">
        <w:rPr>
          <w:rFonts w:ascii="Arial" w:hAnsi="Arial" w:cs="Arial"/>
        </w:rPr>
        <w:t xml:space="preserve"> care workers but do not always have enough of their own.</w:t>
      </w:r>
      <w:r w:rsidRPr="00D15A6D">
        <w:rPr>
          <w:rFonts w:ascii="Arial" w:hAnsi="Arial" w:cs="Arial"/>
        </w:rPr>
        <w:br/>
        <w:t xml:space="preserve">This concept is </w:t>
      </w:r>
      <w:proofErr w:type="gramStart"/>
      <w:r w:rsidRPr="00D15A6D">
        <w:rPr>
          <w:rFonts w:ascii="Arial" w:hAnsi="Arial" w:cs="Arial"/>
        </w:rPr>
        <w:t>really important</w:t>
      </w:r>
      <w:proofErr w:type="gramEnd"/>
      <w:r w:rsidRPr="00D15A6D">
        <w:rPr>
          <w:rFonts w:ascii="Arial" w:hAnsi="Arial" w:cs="Arial"/>
        </w:rPr>
        <w:t xml:space="preserve"> for health and social care for a few reasons. To start with, it shows how care systems in wealthy countries </w:t>
      </w:r>
      <w:proofErr w:type="gramStart"/>
      <w:r w:rsidRPr="00D15A6D">
        <w:rPr>
          <w:rFonts w:ascii="Arial" w:hAnsi="Arial" w:cs="Arial"/>
        </w:rPr>
        <w:t>actually depend</w:t>
      </w:r>
      <w:proofErr w:type="gramEnd"/>
      <w:r w:rsidRPr="00D15A6D">
        <w:rPr>
          <w:rFonts w:ascii="Arial" w:hAnsi="Arial" w:cs="Arial"/>
        </w:rPr>
        <w:t xml:space="preserve"> quite heavily on workers who have come from abroad, and that this often comes at a cost to those workers in terms of their rights and working conditions (Yeates, 2012). It also highlights how care work is seen as something women do, and how it tends to be underpaid and undervalued even though it is so essential (ILO, 2011). On top of that, it shows how the global economic system basically allows some countries to bring in care while poorer countries lose their skilled workers (Parreñas, 2001). If policymakers do not understand this, they might build care systems that look fair on paper for the people receiving </w:t>
      </w:r>
      <w:proofErr w:type="gramStart"/>
      <w:r w:rsidRPr="00D15A6D">
        <w:rPr>
          <w:rFonts w:ascii="Arial" w:hAnsi="Arial" w:cs="Arial"/>
        </w:rPr>
        <w:t>care, but</w:t>
      </w:r>
      <w:proofErr w:type="gramEnd"/>
      <w:r w:rsidRPr="00D15A6D">
        <w:rPr>
          <w:rFonts w:ascii="Arial" w:hAnsi="Arial" w:cs="Arial"/>
        </w:rPr>
        <w:t xml:space="preserve"> are </w:t>
      </w:r>
      <w:proofErr w:type="gramStart"/>
      <w:r w:rsidRPr="00D15A6D">
        <w:rPr>
          <w:rFonts w:ascii="Arial" w:hAnsi="Arial" w:cs="Arial"/>
        </w:rPr>
        <w:t>actually quite</w:t>
      </w:r>
      <w:proofErr w:type="gramEnd"/>
      <w:r w:rsidRPr="00D15A6D">
        <w:rPr>
          <w:rFonts w:ascii="Arial" w:hAnsi="Arial" w:cs="Arial"/>
        </w:rPr>
        <w:t xml:space="preserve"> unfair for the people doing </w:t>
      </w:r>
      <w:r w:rsidRPr="00D15A6D">
        <w:rPr>
          <w:rFonts w:ascii="Arial" w:hAnsi="Arial" w:cs="Arial"/>
        </w:rPr>
        <w:lastRenderedPageBreak/>
        <w:t>the caring. This essay is going to look at where the concept came from, how it has developed over time, how it has been used in health and social care policy, and what needs to change.</w:t>
      </w:r>
    </w:p>
    <w:p w14:paraId="304DD1F1" w14:textId="77777777" w:rsidR="00D15A6D" w:rsidRPr="00D15A6D" w:rsidRDefault="00D15A6D" w:rsidP="00D15A6D">
      <w:pPr>
        <w:rPr>
          <w:rFonts w:ascii="Arial" w:hAnsi="Arial" w:cs="Arial"/>
        </w:rPr>
      </w:pPr>
    </w:p>
    <w:p w14:paraId="347BCE36" w14:textId="77777777" w:rsidR="00D15A6D" w:rsidRPr="00D15A6D" w:rsidRDefault="00D15A6D" w:rsidP="00D15A6D">
      <w:pPr>
        <w:rPr>
          <w:rFonts w:ascii="Arial" w:hAnsi="Arial" w:cs="Arial"/>
        </w:rPr>
      </w:pPr>
    </w:p>
    <w:p w14:paraId="0CA2C849" w14:textId="77777777" w:rsidR="00D15A6D" w:rsidRPr="00D15A6D" w:rsidRDefault="00D15A6D" w:rsidP="00D15A6D">
      <w:pPr>
        <w:rPr>
          <w:rFonts w:ascii="Arial" w:hAnsi="Arial" w:cs="Arial"/>
          <w:b/>
          <w:bCs/>
        </w:rPr>
      </w:pPr>
      <w:r w:rsidRPr="00D15A6D">
        <w:rPr>
          <w:rFonts w:ascii="Arial" w:hAnsi="Arial" w:cs="Arial"/>
          <w:b/>
          <w:bCs/>
        </w:rPr>
        <w:t>The Development of the Concept of Global Chains of Care</w:t>
      </w:r>
    </w:p>
    <w:p w14:paraId="5BEA43C0" w14:textId="128EE3D9" w:rsidR="00D15A6D" w:rsidRPr="00D15A6D" w:rsidRDefault="00D15A6D" w:rsidP="00D15A6D">
      <w:pPr>
        <w:rPr>
          <w:rFonts w:ascii="Arial" w:hAnsi="Arial" w:cs="Arial"/>
        </w:rPr>
      </w:pPr>
      <w:r w:rsidRPr="00D15A6D">
        <w:rPr>
          <w:rFonts w:ascii="Arial" w:hAnsi="Arial" w:cs="Arial"/>
        </w:rPr>
        <w:br/>
        <w:t xml:space="preserve">The concept itself was first put forward by a sociologist called Arlie Hochschild in 2000. She wrote about how care things like love, attention, and emotional </w:t>
      </w:r>
      <w:proofErr w:type="gramStart"/>
      <w:r w:rsidRPr="00D15A6D">
        <w:rPr>
          <w:rFonts w:ascii="Arial" w:hAnsi="Arial" w:cs="Arial"/>
        </w:rPr>
        <w:t>support  was</w:t>
      </w:r>
      <w:proofErr w:type="gramEnd"/>
      <w:r w:rsidRPr="00D15A6D">
        <w:rPr>
          <w:rFonts w:ascii="Arial" w:hAnsi="Arial" w:cs="Arial"/>
        </w:rPr>
        <w:t xml:space="preserve"> basically being transferred from poorer parts of the world to wealthier ones, and she called this an ‘emotional surplus value’ that richer countries were gaining at the expense of poorer ones (Hochschild, 2000). Her work was based partly on research into Filipina women who had moved to cities like Rome and Los Angeles to work as domestic workers and carers.</w:t>
      </w:r>
      <w:r w:rsidRPr="00D15A6D">
        <w:rPr>
          <w:rFonts w:ascii="Arial" w:hAnsi="Arial" w:cs="Arial"/>
        </w:rPr>
        <w:br/>
        <w:t xml:space="preserve">Building on this, Parreñas (2001) looked more closely at these migrant workers and found that their situation was really complicated. On one hand, they were doing </w:t>
      </w:r>
      <w:proofErr w:type="gramStart"/>
      <w:r w:rsidRPr="00D15A6D">
        <w:rPr>
          <w:rFonts w:ascii="Arial" w:hAnsi="Arial" w:cs="Arial"/>
        </w:rPr>
        <w:t>really skilled</w:t>
      </w:r>
      <w:proofErr w:type="gramEnd"/>
      <w:r w:rsidRPr="00D15A6D">
        <w:rPr>
          <w:rFonts w:ascii="Arial" w:hAnsi="Arial" w:cs="Arial"/>
        </w:rPr>
        <w:t xml:space="preserve"> and emotionally demanding work. On the other hand, they were being paid very little, often had no legal protections, and were treated as second-class workers in the countries where they lived. She argued that global care chains were not just an economic </w:t>
      </w:r>
      <w:proofErr w:type="gramStart"/>
      <w:r w:rsidRPr="00D15A6D">
        <w:rPr>
          <w:rFonts w:ascii="Arial" w:hAnsi="Arial" w:cs="Arial"/>
        </w:rPr>
        <w:t>issue  they</w:t>
      </w:r>
      <w:proofErr w:type="gramEnd"/>
      <w:r w:rsidRPr="00D15A6D">
        <w:rPr>
          <w:rFonts w:ascii="Arial" w:hAnsi="Arial" w:cs="Arial"/>
        </w:rPr>
        <w:t xml:space="preserve"> were tied up with racism and sexism too. Yeates (2004, 2005, 2012) then took the concept even further by looking at how it applied not just to domestic workers, but also to nurses, social workers, and other care professionals, and argued that you really need to look at the whole global political economy to understand what is going on.</w:t>
      </w:r>
      <w:r w:rsidRPr="00D15A6D">
        <w:rPr>
          <w:rFonts w:ascii="Arial" w:hAnsi="Arial" w:cs="Arial"/>
        </w:rPr>
        <w:br/>
        <w:t xml:space="preserve">Over time, the concept has been criticised in a few ways. One of the main issues people raised was that the idea of a ‘chain’ makes it sound like migrant women have no choice in the matter and are just passive victims of globalisation, which is not </w:t>
      </w:r>
      <w:proofErr w:type="gramStart"/>
      <w:r w:rsidRPr="00D15A6D">
        <w:rPr>
          <w:rFonts w:ascii="Arial" w:hAnsi="Arial" w:cs="Arial"/>
        </w:rPr>
        <w:t>really fair</w:t>
      </w:r>
      <w:proofErr w:type="gramEnd"/>
      <w:r w:rsidRPr="00D15A6D">
        <w:rPr>
          <w:rFonts w:ascii="Arial" w:hAnsi="Arial" w:cs="Arial"/>
        </w:rPr>
        <w:t xml:space="preserve"> or accurate (Williams, 2011). Many women make active choices to migrate for a whole range of </w:t>
      </w:r>
      <w:proofErr w:type="gramStart"/>
      <w:r w:rsidRPr="00D15A6D">
        <w:rPr>
          <w:rFonts w:ascii="Arial" w:hAnsi="Arial" w:cs="Arial"/>
        </w:rPr>
        <w:t>reasons  to</w:t>
      </w:r>
      <w:proofErr w:type="gramEnd"/>
      <w:r w:rsidRPr="00D15A6D">
        <w:rPr>
          <w:rFonts w:ascii="Arial" w:hAnsi="Arial" w:cs="Arial"/>
        </w:rPr>
        <w:t xml:space="preserve"> earn more money, to escape difficult situations at home, or to build a better life. Researchers responded to this by trying to include more of the migrants’ own perspectives and recognise their agency, while </w:t>
      </w:r>
      <w:proofErr w:type="gramStart"/>
      <w:r w:rsidRPr="00D15A6D">
        <w:rPr>
          <w:rFonts w:ascii="Arial" w:hAnsi="Arial" w:cs="Arial"/>
        </w:rPr>
        <w:t>still keeping</w:t>
      </w:r>
      <w:proofErr w:type="gramEnd"/>
      <w:r w:rsidRPr="00D15A6D">
        <w:rPr>
          <w:rFonts w:ascii="Arial" w:hAnsi="Arial" w:cs="Arial"/>
        </w:rPr>
        <w:t xml:space="preserve"> the structural critique of global inequality.</w:t>
      </w:r>
      <w:r w:rsidRPr="00D15A6D">
        <w:rPr>
          <w:rFonts w:ascii="Arial" w:hAnsi="Arial" w:cs="Arial"/>
        </w:rPr>
        <w:br/>
        <w:t xml:space="preserve">Another issue was the assumption that sending countries just lose out entirely, which some scholars argued was too simplistic. The idea of ‘circulation of care’ was developed to capture the fact that care </w:t>
      </w:r>
      <w:proofErr w:type="gramStart"/>
      <w:r w:rsidRPr="00D15A6D">
        <w:rPr>
          <w:rFonts w:ascii="Arial" w:hAnsi="Arial" w:cs="Arial"/>
        </w:rPr>
        <w:t>actually flows</w:t>
      </w:r>
      <w:proofErr w:type="gramEnd"/>
      <w:r w:rsidRPr="00D15A6D">
        <w:rPr>
          <w:rFonts w:ascii="Arial" w:hAnsi="Arial" w:cs="Arial"/>
        </w:rPr>
        <w:t xml:space="preserve"> in multiple directions for example, through money sent back home (remittances), phone calls, and visits (Yeates, 2012). That said, none of this means exploitation has gone away. The ILO has documented serious and ongoing abuses of migrant domestic workers’ rights around the world, including unpaid wages and people being forced to work excessively long hours (ILO, 2011). The COVID-19 pandemic made all of this even </w:t>
      </w:r>
      <w:r w:rsidRPr="00D15A6D">
        <w:rPr>
          <w:rFonts w:ascii="Arial" w:hAnsi="Arial" w:cs="Arial"/>
        </w:rPr>
        <w:lastRenderedPageBreak/>
        <w:t>more visible, as migrant care workers were on the frontline of the pandemic while often having little to no protection (Dotsey et al., 2023).</w:t>
      </w:r>
    </w:p>
    <w:p w14:paraId="45361589" w14:textId="77777777" w:rsidR="00D15A6D" w:rsidRPr="00D15A6D" w:rsidRDefault="00D15A6D" w:rsidP="00D15A6D">
      <w:pPr>
        <w:rPr>
          <w:rFonts w:ascii="Arial" w:hAnsi="Arial" w:cs="Arial"/>
        </w:rPr>
      </w:pPr>
    </w:p>
    <w:p w14:paraId="46E4FB1E" w14:textId="77777777" w:rsidR="00D15A6D" w:rsidRPr="00D15A6D" w:rsidRDefault="00D15A6D" w:rsidP="00D15A6D">
      <w:pPr>
        <w:rPr>
          <w:rFonts w:ascii="Arial" w:hAnsi="Arial" w:cs="Arial"/>
        </w:rPr>
      </w:pPr>
    </w:p>
    <w:p w14:paraId="59827946" w14:textId="77777777" w:rsidR="00D15A6D" w:rsidRPr="00D15A6D" w:rsidRDefault="00D15A6D" w:rsidP="00D15A6D">
      <w:pPr>
        <w:rPr>
          <w:rFonts w:ascii="Arial" w:hAnsi="Arial" w:cs="Arial"/>
          <w:b/>
          <w:bCs/>
        </w:rPr>
      </w:pPr>
      <w:r w:rsidRPr="00D15A6D">
        <w:rPr>
          <w:rFonts w:ascii="Arial" w:hAnsi="Arial" w:cs="Arial"/>
          <w:b/>
          <w:bCs/>
        </w:rPr>
        <w:t>Application of Global Chains of Care in Health and Social Care Policy and Practice</w:t>
      </w:r>
    </w:p>
    <w:p w14:paraId="7D73684A" w14:textId="77777777" w:rsidR="00D15A6D" w:rsidRPr="00D15A6D" w:rsidRDefault="00D15A6D" w:rsidP="00D15A6D">
      <w:pPr>
        <w:rPr>
          <w:rFonts w:ascii="Arial" w:hAnsi="Arial" w:cs="Arial"/>
        </w:rPr>
      </w:pPr>
      <w:r w:rsidRPr="00D15A6D">
        <w:rPr>
          <w:rFonts w:ascii="Arial" w:hAnsi="Arial" w:cs="Arial"/>
        </w:rPr>
        <w:br/>
        <w:t xml:space="preserve">In terms of how this concept has </w:t>
      </w:r>
      <w:proofErr w:type="gramStart"/>
      <w:r w:rsidRPr="00D15A6D">
        <w:rPr>
          <w:rFonts w:ascii="Arial" w:hAnsi="Arial" w:cs="Arial"/>
        </w:rPr>
        <w:t>actually influenced</w:t>
      </w:r>
      <w:proofErr w:type="gramEnd"/>
      <w:r w:rsidRPr="00D15A6D">
        <w:rPr>
          <w:rFonts w:ascii="Arial" w:hAnsi="Arial" w:cs="Arial"/>
        </w:rPr>
        <w:t xml:space="preserve"> policy, the picture is a bit mixed. At an international level, the biggest response has been the WHO Global Code of Practice on the International Recruitment of Health Personnel, which was adopted in 2010 (WHO, 2010). The idea behind the Code was to stop wealthy countries from actively recruiting nurses and doctors from countries that already do not have enough health workers. It also encouraged countries to work together and share resources more fairly. However, the problem is that the Code is completely voluntary, and research has shown that it has had very little actual impact on recruitment practices in high-income countries (</w:t>
      </w:r>
      <w:proofErr w:type="spellStart"/>
      <w:r w:rsidRPr="00D15A6D">
        <w:rPr>
          <w:rFonts w:ascii="Arial" w:hAnsi="Arial" w:cs="Arial"/>
        </w:rPr>
        <w:t>Tankwanchi</w:t>
      </w:r>
      <w:proofErr w:type="spellEnd"/>
      <w:r w:rsidRPr="00D15A6D">
        <w:rPr>
          <w:rFonts w:ascii="Arial" w:hAnsi="Arial" w:cs="Arial"/>
        </w:rPr>
        <w:t xml:space="preserve"> et al., 2015). Countries basically agreed to it in principle but then carried on doing </w:t>
      </w:r>
      <w:proofErr w:type="gramStart"/>
      <w:r w:rsidRPr="00D15A6D">
        <w:rPr>
          <w:rFonts w:ascii="Arial" w:hAnsi="Arial" w:cs="Arial"/>
        </w:rPr>
        <w:t>more or less what</w:t>
      </w:r>
      <w:proofErr w:type="gramEnd"/>
      <w:r w:rsidRPr="00D15A6D">
        <w:rPr>
          <w:rFonts w:ascii="Arial" w:hAnsi="Arial" w:cs="Arial"/>
        </w:rPr>
        <w:t xml:space="preserve"> they were doing before.</w:t>
      </w:r>
      <w:r w:rsidRPr="00D15A6D">
        <w:rPr>
          <w:rFonts w:ascii="Arial" w:hAnsi="Arial" w:cs="Arial"/>
        </w:rPr>
        <w:br/>
        <w:t>In the UK specifically, the NHS has always relied on staff recruited from abroad, and this got even more intense after Brexit when lots of EU workers left and there were suddenly massive staff shortages. The NHS Long Term Workforce Plan (NHS England, 2023) does acknowledge that there are ethical issues around international recruitment and says it wants to reduce reliance on overseas workers by training more people domestically. It sets out quite ambitious targets, like doubling medical school places and significantly increasing nursing degrees by 2031. However, critics point out that as long as care work remains low-paid and difficult, it will always be hard to recruit enough domestic workers, so the root issue has not really been addressed.</w:t>
      </w:r>
      <w:r w:rsidRPr="00D15A6D">
        <w:rPr>
          <w:rFonts w:ascii="Arial" w:hAnsi="Arial" w:cs="Arial"/>
        </w:rPr>
        <w:br/>
        <w:t xml:space="preserve">In social care — which is a bit separate from the NHS — the problems are arguably even worse. A lot of migrant care workers in this sector work in people’s homes as live-in carers or personal assistants, and these types of jobs often fall outside normal employment protections (ILO, 2011). This means workers can end up in situations where they have no real recourse if their employer treats them badly. Research consistently shows that migrant workers in care are stuck in the </w:t>
      </w:r>
      <w:proofErr w:type="gramStart"/>
      <w:r w:rsidRPr="00D15A6D">
        <w:rPr>
          <w:rFonts w:ascii="Arial" w:hAnsi="Arial" w:cs="Arial"/>
        </w:rPr>
        <w:t>lowest-paid</w:t>
      </w:r>
      <w:proofErr w:type="gramEnd"/>
      <w:r w:rsidRPr="00D15A6D">
        <w:rPr>
          <w:rFonts w:ascii="Arial" w:hAnsi="Arial" w:cs="Arial"/>
        </w:rPr>
        <w:t>, least secure roles with very little opportunity to move up (Parreñas, 2001). There is also a real tension here — health and social care policy in the UK talks a lot about person-centred care, meaning putting the needs and rights of the person receiving care first, but this principle almost never gets applied to the workers themselves.</w:t>
      </w:r>
      <w:r w:rsidRPr="00D15A6D">
        <w:rPr>
          <w:rFonts w:ascii="Arial" w:hAnsi="Arial" w:cs="Arial"/>
        </w:rPr>
        <w:br/>
        <w:t xml:space="preserve">The impact on sending countries is also really significant and often gets overlooked in policy discussions. In the Philippines, for example, so many trained nurses have emigrated that it has created serious shortages in the domestic health system. </w:t>
      </w:r>
      <w:r w:rsidRPr="00D15A6D">
        <w:rPr>
          <w:rFonts w:ascii="Arial" w:hAnsi="Arial" w:cs="Arial"/>
        </w:rPr>
        <w:lastRenderedPageBreak/>
        <w:t>Lorenzo et al. (2007) found that the country was losing its skilled nursing workforce faster than it could replace them, which has obvious knock-on effects for patients in the Philippines. On top of this, children left behind when mothers migrate often experience real emotional difficulties, which creates extra pressure on social services in countries that are already under-resourced (Parreñas, 2001).</w:t>
      </w:r>
    </w:p>
    <w:p w14:paraId="4F74D45F" w14:textId="77777777" w:rsidR="00D15A6D" w:rsidRPr="00D15A6D" w:rsidRDefault="00D15A6D" w:rsidP="00D15A6D">
      <w:pPr>
        <w:rPr>
          <w:rFonts w:ascii="Arial" w:hAnsi="Arial" w:cs="Arial"/>
        </w:rPr>
      </w:pPr>
    </w:p>
    <w:p w14:paraId="50041328" w14:textId="77777777" w:rsidR="00D15A6D" w:rsidRPr="00D15A6D" w:rsidRDefault="00D15A6D" w:rsidP="00D15A6D">
      <w:pPr>
        <w:rPr>
          <w:rFonts w:ascii="Arial" w:hAnsi="Arial" w:cs="Arial"/>
        </w:rPr>
      </w:pPr>
    </w:p>
    <w:p w14:paraId="475FCCC8" w14:textId="77777777" w:rsidR="00D15A6D" w:rsidRPr="00D15A6D" w:rsidRDefault="00D15A6D" w:rsidP="00D15A6D">
      <w:pPr>
        <w:rPr>
          <w:rFonts w:ascii="Arial" w:hAnsi="Arial" w:cs="Arial"/>
          <w:b/>
          <w:bCs/>
        </w:rPr>
      </w:pPr>
      <w:r w:rsidRPr="00D15A6D">
        <w:rPr>
          <w:rFonts w:ascii="Arial" w:hAnsi="Arial" w:cs="Arial"/>
          <w:b/>
          <w:bCs/>
        </w:rPr>
        <w:t>Recommendations for Health and Social Care Policy and Practice</w:t>
      </w:r>
    </w:p>
    <w:p w14:paraId="413FFA09" w14:textId="62C95659" w:rsidR="00D15A6D" w:rsidRPr="00D15A6D" w:rsidRDefault="00D15A6D" w:rsidP="00D15A6D">
      <w:pPr>
        <w:rPr>
          <w:rFonts w:ascii="Arial" w:hAnsi="Arial" w:cs="Arial"/>
        </w:rPr>
      </w:pPr>
      <w:r w:rsidRPr="00D15A6D">
        <w:rPr>
          <w:rFonts w:ascii="Arial" w:hAnsi="Arial" w:cs="Arial"/>
        </w:rPr>
        <w:br/>
        <w:t>1. Make international recruitment frameworks stronger and more enforceable</w:t>
      </w:r>
      <w:r w:rsidRPr="00D15A6D">
        <w:rPr>
          <w:rFonts w:ascii="Arial" w:hAnsi="Arial" w:cs="Arial"/>
        </w:rPr>
        <w:br/>
        <w:t>The WHO Code of Practice (WHO, 2010) needs to be made much more than just a voluntary agreement. As things stand, countries can sign up to it and then ignore it, which is exactly what has been happening (</w:t>
      </w:r>
      <w:proofErr w:type="spellStart"/>
      <w:r w:rsidRPr="00D15A6D">
        <w:rPr>
          <w:rFonts w:ascii="Arial" w:hAnsi="Arial" w:cs="Arial"/>
        </w:rPr>
        <w:t>Tankwanchi</w:t>
      </w:r>
      <w:proofErr w:type="spellEnd"/>
      <w:r w:rsidRPr="00D15A6D">
        <w:rPr>
          <w:rFonts w:ascii="Arial" w:hAnsi="Arial" w:cs="Arial"/>
        </w:rPr>
        <w:t xml:space="preserve"> et al., 2015). There needs to be actual accountability whether through binding agreements, financial penalties, or making aid and trade agreements conditional on compliance. Countries that recruit health workers from low-income nations should also be required to put money into health workforce training in those countries, not just take their skilled workers.</w:t>
      </w:r>
      <w:r w:rsidRPr="00D15A6D">
        <w:rPr>
          <w:rFonts w:ascii="Arial" w:hAnsi="Arial" w:cs="Arial"/>
        </w:rPr>
        <w:br/>
        <w:t>2. Extend proper employment rights to all migrant care workers</w:t>
      </w:r>
      <w:r w:rsidRPr="00D15A6D">
        <w:rPr>
          <w:rFonts w:ascii="Arial" w:hAnsi="Arial" w:cs="Arial"/>
        </w:rPr>
        <w:br/>
        <w:t xml:space="preserve">Right now, a lot of migrant care </w:t>
      </w:r>
      <w:proofErr w:type="gramStart"/>
      <w:r w:rsidRPr="00D15A6D">
        <w:rPr>
          <w:rFonts w:ascii="Arial" w:hAnsi="Arial" w:cs="Arial"/>
        </w:rPr>
        <w:t>workers  especially</w:t>
      </w:r>
      <w:proofErr w:type="gramEnd"/>
      <w:r w:rsidRPr="00D15A6D">
        <w:rPr>
          <w:rFonts w:ascii="Arial" w:hAnsi="Arial" w:cs="Arial"/>
        </w:rPr>
        <w:t xml:space="preserve"> those working in private homes fall through the cracks of employment law. The UK has not yet ratified ILO Convention 189, which sets out basic rights for domestic workers like minimum wage, rest periods, and protection from abuse (ILO, 2011). It should do so. Social care providers should also be required to prove that all workers in their supply chain are being treated fairly, not just those directly on their payroll. It is </w:t>
      </w:r>
      <w:proofErr w:type="gramStart"/>
      <w:r w:rsidRPr="00D15A6D">
        <w:rPr>
          <w:rFonts w:ascii="Arial" w:hAnsi="Arial" w:cs="Arial"/>
        </w:rPr>
        <w:t>pretty hard</w:t>
      </w:r>
      <w:proofErr w:type="gramEnd"/>
      <w:r w:rsidRPr="00D15A6D">
        <w:rPr>
          <w:rFonts w:ascii="Arial" w:hAnsi="Arial" w:cs="Arial"/>
        </w:rPr>
        <w:t xml:space="preserve"> to argue you are delivering person-centred care when the people doing the caring do not have basic rights themselves.</w:t>
      </w:r>
      <w:r w:rsidRPr="00D15A6D">
        <w:rPr>
          <w:rFonts w:ascii="Arial" w:hAnsi="Arial" w:cs="Arial"/>
        </w:rPr>
        <w:br/>
        <w:t>3. Invest properly in training and paying care workers domestically</w:t>
      </w:r>
      <w:r w:rsidRPr="00D15A6D">
        <w:rPr>
          <w:rFonts w:ascii="Arial" w:hAnsi="Arial" w:cs="Arial"/>
        </w:rPr>
        <w:br/>
        <w:t xml:space="preserve">The NHS Long Term Workforce Plan (NHS England, 2023) is a step in the right direction, but it does not go far </w:t>
      </w:r>
      <w:proofErr w:type="gramStart"/>
      <w:r w:rsidRPr="00D15A6D">
        <w:rPr>
          <w:rFonts w:ascii="Arial" w:hAnsi="Arial" w:cs="Arial"/>
        </w:rPr>
        <w:t>enough</w:t>
      </w:r>
      <w:proofErr w:type="gramEnd"/>
      <w:r w:rsidRPr="00D15A6D">
        <w:rPr>
          <w:rFonts w:ascii="Arial" w:hAnsi="Arial" w:cs="Arial"/>
        </w:rPr>
        <w:t xml:space="preserve"> and it mostly focuses on the NHS rather than social care. If the government is serious about reducing dependence on internationally recruited workers, it needs to make care work a genuinely attractive career </w:t>
      </w:r>
      <w:proofErr w:type="gramStart"/>
      <w:r w:rsidRPr="00D15A6D">
        <w:rPr>
          <w:rFonts w:ascii="Arial" w:hAnsi="Arial" w:cs="Arial"/>
        </w:rPr>
        <w:t>option  which</w:t>
      </w:r>
      <w:proofErr w:type="gramEnd"/>
      <w:r w:rsidRPr="00D15A6D">
        <w:rPr>
          <w:rFonts w:ascii="Arial" w:hAnsi="Arial" w:cs="Arial"/>
        </w:rPr>
        <w:t xml:space="preserve"> means better pay, clearer career pathways, and better working conditions. </w:t>
      </w:r>
      <w:proofErr w:type="gramStart"/>
      <w:r w:rsidRPr="00D15A6D">
        <w:rPr>
          <w:rFonts w:ascii="Arial" w:hAnsi="Arial" w:cs="Arial"/>
        </w:rPr>
        <w:t>As long as</w:t>
      </w:r>
      <w:proofErr w:type="gramEnd"/>
      <w:r w:rsidRPr="00D15A6D">
        <w:rPr>
          <w:rFonts w:ascii="Arial" w:hAnsi="Arial" w:cs="Arial"/>
        </w:rPr>
        <w:t xml:space="preserve"> care work is seen as low</w:t>
      </w:r>
      <w:r w:rsidR="00115E57">
        <w:rPr>
          <w:rFonts w:ascii="Arial" w:hAnsi="Arial" w:cs="Arial"/>
        </w:rPr>
        <w:t xml:space="preserve"> </w:t>
      </w:r>
      <w:r w:rsidRPr="00D15A6D">
        <w:rPr>
          <w:rFonts w:ascii="Arial" w:hAnsi="Arial" w:cs="Arial"/>
        </w:rPr>
        <w:t>status and low</w:t>
      </w:r>
      <w:r w:rsidR="00115E57">
        <w:rPr>
          <w:rFonts w:ascii="Arial" w:hAnsi="Arial" w:cs="Arial"/>
        </w:rPr>
        <w:t xml:space="preserve"> </w:t>
      </w:r>
      <w:r w:rsidRPr="00D15A6D">
        <w:rPr>
          <w:rFonts w:ascii="Arial" w:hAnsi="Arial" w:cs="Arial"/>
        </w:rPr>
        <w:t>paid, domestic recruitment will always struggle, and the pressure to recruit from abroad will remain.</w:t>
      </w:r>
      <w:r w:rsidRPr="00D15A6D">
        <w:rPr>
          <w:rFonts w:ascii="Arial" w:hAnsi="Arial" w:cs="Arial"/>
        </w:rPr>
        <w:br/>
        <w:t>4. Think about the impact on sending countries and families</w:t>
      </w:r>
      <w:r w:rsidRPr="00D15A6D">
        <w:rPr>
          <w:rFonts w:ascii="Arial" w:hAnsi="Arial" w:cs="Arial"/>
        </w:rPr>
        <w:br/>
        <w:t xml:space="preserve">Policy conversations in the UK and other high-income countries tend to focus on the receiving end of global care chains. But there needs to be much more attention paid to what is happening in countries like the Philippines, India, and Nigeria, where the loss of trained health workers is having real consequences for people’s health (Lorenzo et al., 2007). International development funding should be directed toward rebuilding health workforce capacity in these countries, not just training workers to </w:t>
      </w:r>
      <w:r w:rsidRPr="00D15A6D">
        <w:rPr>
          <w:rFonts w:ascii="Arial" w:hAnsi="Arial" w:cs="Arial"/>
        </w:rPr>
        <w:lastRenderedPageBreak/>
        <w:t>export them. On a more personal level, policies that make it easier for migrant workers to stay connected with their families through things like affordable family visits or digital support would also make a real difference (Yeates, 2012).</w:t>
      </w:r>
      <w:r w:rsidRPr="00D15A6D">
        <w:rPr>
          <w:rFonts w:ascii="Arial" w:hAnsi="Arial" w:cs="Arial"/>
        </w:rPr>
        <w:br/>
        <w:t>5. Teach health and social care professionals about global care chains</w:t>
      </w:r>
      <w:r w:rsidRPr="00D15A6D">
        <w:rPr>
          <w:rFonts w:ascii="Arial" w:hAnsi="Arial" w:cs="Arial"/>
        </w:rPr>
        <w:br/>
        <w:t>It is difficult to address a problem that most people do not really know exists. Global chains of care should be part of the training for anyone working in health and social care, so that professionals understand the broader context in which their workforce operates. Regulatory bodies like the Care Quality Commission should also start asking questions about how providers treat all their workers, including migrants, as part of their inspections. Anti-racist policies need to be taken more seriously in organisations, especially given how much of the discrimination that migrant care workers face is tied to their race and immigration status (Parreñas, 2001; Dotsey et al., 2023).</w:t>
      </w:r>
    </w:p>
    <w:p w14:paraId="4E67FBE4" w14:textId="77777777" w:rsidR="00D15A6D" w:rsidRPr="00D15A6D" w:rsidRDefault="00D15A6D" w:rsidP="00D15A6D">
      <w:pPr>
        <w:rPr>
          <w:rFonts w:ascii="Arial" w:hAnsi="Arial" w:cs="Arial"/>
        </w:rPr>
      </w:pPr>
    </w:p>
    <w:p w14:paraId="063744C1" w14:textId="77777777" w:rsidR="00D15A6D" w:rsidRPr="00D15A6D" w:rsidRDefault="00D15A6D" w:rsidP="00D15A6D">
      <w:pPr>
        <w:rPr>
          <w:rFonts w:ascii="Arial" w:hAnsi="Arial" w:cs="Arial"/>
        </w:rPr>
      </w:pPr>
    </w:p>
    <w:p w14:paraId="11555B4F" w14:textId="77777777" w:rsidR="00D15A6D" w:rsidRPr="00D15A6D" w:rsidRDefault="00D15A6D" w:rsidP="00D15A6D">
      <w:pPr>
        <w:rPr>
          <w:rFonts w:ascii="Arial" w:hAnsi="Arial" w:cs="Arial"/>
        </w:rPr>
      </w:pPr>
      <w:r w:rsidRPr="00D15A6D">
        <w:rPr>
          <w:rFonts w:ascii="Arial" w:hAnsi="Arial" w:cs="Arial"/>
        </w:rPr>
        <w:t>Conclusion</w:t>
      </w:r>
    </w:p>
    <w:p w14:paraId="129CAC36" w14:textId="177F9FDD" w:rsidR="00D15A6D" w:rsidRDefault="00D15A6D" w:rsidP="00D15A6D">
      <w:pPr>
        <w:rPr>
          <w:rFonts w:ascii="Arial" w:hAnsi="Arial" w:cs="Arial"/>
        </w:rPr>
      </w:pPr>
      <w:r w:rsidRPr="00D15A6D">
        <w:rPr>
          <w:rFonts w:ascii="Arial" w:hAnsi="Arial" w:cs="Arial"/>
        </w:rPr>
        <w:br/>
        <w:t>Global chains of care is a concept that really helps explain some of the deep inequalities built into health and social care systems around the world. Starting with Hochschild (2000) and developed further by Parreñas (2001) and Yeates (2004, 2005, 2012), it shows how care work gets redistributed across borders in ways that tend to benefit wealthy countries while placing real burdens on poorer ones. Although the concept has been updated over the years to better reflect the agency of migrant workers and the complexity of transnational care, the core point still stands  wealthy nations’ care systems are propped up, at least in part, by the labour of women from the Global South, and this comes at a cost.</w:t>
      </w:r>
      <w:r w:rsidRPr="00D15A6D">
        <w:rPr>
          <w:rFonts w:ascii="Arial" w:hAnsi="Arial" w:cs="Arial"/>
        </w:rPr>
        <w:br/>
        <w:t>In terms of policy, progress has been slow and fairly limited. The WHO Code of Practice has not worked as intended because it has no teeth (</w:t>
      </w:r>
      <w:proofErr w:type="spellStart"/>
      <w:r w:rsidRPr="00D15A6D">
        <w:rPr>
          <w:rFonts w:ascii="Arial" w:hAnsi="Arial" w:cs="Arial"/>
        </w:rPr>
        <w:t>Tankwanchi</w:t>
      </w:r>
      <w:proofErr w:type="spellEnd"/>
      <w:r w:rsidRPr="00D15A6D">
        <w:rPr>
          <w:rFonts w:ascii="Arial" w:hAnsi="Arial" w:cs="Arial"/>
        </w:rPr>
        <w:t xml:space="preserve"> et al., 2015), migrant care workers are still routinely denied the rights that other workers take for granted, and the impact on sending countries is still largely ignored in policy discussions. COVID-19 showed just how vulnerable migrant care workers are, and how much we all depend on them (Dotsey et al., 2023).</w:t>
      </w:r>
      <w:r w:rsidRPr="00D15A6D">
        <w:rPr>
          <w:rFonts w:ascii="Arial" w:hAnsi="Arial" w:cs="Arial"/>
        </w:rPr>
        <w:br/>
        <w:t>The recommendations in this essay making international frameworks more enforceable, extending proper rights to all care workers, investing in domestic training, supporting sending countries, and building better awareness among professionals are not radical ideas. They are basically just about treating all people in the care system with fairness and respect, which is supposed to be what person-centred care is all about in the first place.</w:t>
      </w:r>
    </w:p>
    <w:p w14:paraId="1859E140" w14:textId="77777777" w:rsidR="00115E57" w:rsidRDefault="00115E57" w:rsidP="00D15A6D">
      <w:pPr>
        <w:rPr>
          <w:rFonts w:ascii="Arial" w:hAnsi="Arial" w:cs="Arial"/>
        </w:rPr>
      </w:pPr>
    </w:p>
    <w:p w14:paraId="5B7280D6" w14:textId="77777777" w:rsidR="00FC0E22" w:rsidRPr="00FC0E22" w:rsidRDefault="00FC0E22" w:rsidP="00FC0E22">
      <w:pPr>
        <w:rPr>
          <w:rFonts w:ascii="Arial" w:hAnsi="Arial" w:cs="Arial"/>
          <w:b/>
          <w:bCs/>
        </w:rPr>
      </w:pPr>
      <w:r w:rsidRPr="00FC0E22">
        <w:rPr>
          <w:rFonts w:ascii="Arial" w:hAnsi="Arial" w:cs="Arial"/>
          <w:b/>
          <w:bCs/>
        </w:rPr>
        <w:t>References</w:t>
      </w:r>
    </w:p>
    <w:p w14:paraId="52C572D9" w14:textId="77777777" w:rsidR="00FC0E22" w:rsidRPr="00FC0E22" w:rsidRDefault="00FC0E22" w:rsidP="00FC0E22">
      <w:pPr>
        <w:rPr>
          <w:rFonts w:ascii="Arial" w:hAnsi="Arial" w:cs="Arial"/>
        </w:rPr>
      </w:pPr>
    </w:p>
    <w:p w14:paraId="7BD3D841" w14:textId="77777777" w:rsidR="00FC0E22" w:rsidRPr="00FC0E22" w:rsidRDefault="00FC0E22" w:rsidP="00FC0E22">
      <w:pPr>
        <w:rPr>
          <w:rFonts w:ascii="Arial" w:hAnsi="Arial" w:cs="Arial"/>
        </w:rPr>
      </w:pPr>
      <w:r w:rsidRPr="00FC0E22">
        <w:rPr>
          <w:rFonts w:ascii="Arial" w:hAnsi="Arial" w:cs="Arial"/>
        </w:rPr>
        <w:t>Dotsey, S., Lumley-</w:t>
      </w:r>
      <w:proofErr w:type="spellStart"/>
      <w:r w:rsidRPr="00FC0E22">
        <w:rPr>
          <w:rFonts w:ascii="Arial" w:hAnsi="Arial" w:cs="Arial"/>
        </w:rPr>
        <w:t>Sapanski</w:t>
      </w:r>
      <w:proofErr w:type="spellEnd"/>
      <w:r w:rsidRPr="00FC0E22">
        <w:rPr>
          <w:rFonts w:ascii="Arial" w:hAnsi="Arial" w:cs="Arial"/>
        </w:rPr>
        <w:t>, A. and Ambrosini, M. (2023) ‘COVID-19 and (</w:t>
      </w:r>
      <w:proofErr w:type="spellStart"/>
      <w:r w:rsidRPr="00FC0E22">
        <w:rPr>
          <w:rFonts w:ascii="Arial" w:hAnsi="Arial" w:cs="Arial"/>
        </w:rPr>
        <w:t>Im</w:t>
      </w:r>
      <w:proofErr w:type="spellEnd"/>
      <w:r w:rsidRPr="00FC0E22">
        <w:rPr>
          <w:rFonts w:ascii="Arial" w:hAnsi="Arial" w:cs="Arial"/>
        </w:rPr>
        <w:t>)migrant Carers in Italy: The Production of Carer Precarity’, International Journal of Environmental Research and Public Health, 20(12), p. 6108. </w:t>
      </w:r>
      <w:hyperlink r:id="rId10" w:tgtFrame="_blank" w:history="1">
        <w:r w:rsidRPr="00FC0E22">
          <w:rPr>
            <w:rStyle w:val="Hyperlink"/>
            <w:rFonts w:ascii="Arial" w:hAnsi="Arial" w:cs="Arial"/>
          </w:rPr>
          <w:t>https://pmc.ncbi.nlm.nih.gov/articles/PMC10298390/</w:t>
        </w:r>
      </w:hyperlink>
    </w:p>
    <w:p w14:paraId="091C2543" w14:textId="77777777" w:rsidR="00FC0E22" w:rsidRPr="00FC0E22" w:rsidRDefault="00FC0E22" w:rsidP="00FC0E22">
      <w:pPr>
        <w:rPr>
          <w:rFonts w:ascii="Arial" w:hAnsi="Arial" w:cs="Arial"/>
        </w:rPr>
      </w:pPr>
    </w:p>
    <w:p w14:paraId="17CE2155" w14:textId="77777777" w:rsidR="00FC0E22" w:rsidRPr="00FC0E22" w:rsidRDefault="00FC0E22" w:rsidP="00FC0E22">
      <w:pPr>
        <w:rPr>
          <w:rFonts w:ascii="Arial" w:hAnsi="Arial" w:cs="Arial"/>
        </w:rPr>
      </w:pPr>
    </w:p>
    <w:p w14:paraId="59E170E0" w14:textId="77777777" w:rsidR="00FC0E22" w:rsidRPr="00FC0E22" w:rsidRDefault="00FC0E22" w:rsidP="00FC0E22">
      <w:pPr>
        <w:rPr>
          <w:rFonts w:ascii="Arial" w:hAnsi="Arial" w:cs="Arial"/>
        </w:rPr>
      </w:pPr>
      <w:r w:rsidRPr="00FC0E22">
        <w:rPr>
          <w:rFonts w:ascii="Arial" w:hAnsi="Arial" w:cs="Arial"/>
        </w:rPr>
        <w:t>Hochschild, A.R. (2000) ‘Global Care Chains and Emotional Surplus Value’, in Giddens, A. and Hutton, W. (eds) On the Edge: Living with Global Capitalism. Discussed in: Yeates, N. (2005) Global Care Chains: A Critical Introduction. Global Migration Perspectives No. 44. Geneva: Global Commission on International Migration. </w:t>
      </w:r>
      <w:hyperlink r:id="rId11" w:tgtFrame="_blank" w:history="1">
        <w:r w:rsidRPr="00FC0E22">
          <w:rPr>
            <w:rStyle w:val="Hyperlink"/>
            <w:rFonts w:ascii="Arial" w:hAnsi="Arial" w:cs="Arial"/>
          </w:rPr>
          <w:t>https://www.refworld.org/reference/research/gcim/2005/35223</w:t>
        </w:r>
      </w:hyperlink>
    </w:p>
    <w:p w14:paraId="38B427A7" w14:textId="77777777" w:rsidR="00FC0E22" w:rsidRPr="00FC0E22" w:rsidRDefault="00FC0E22" w:rsidP="00FC0E22">
      <w:pPr>
        <w:rPr>
          <w:rFonts w:ascii="Arial" w:hAnsi="Arial" w:cs="Arial"/>
        </w:rPr>
      </w:pPr>
    </w:p>
    <w:p w14:paraId="7262092E" w14:textId="77777777" w:rsidR="00FC0E22" w:rsidRPr="00FC0E22" w:rsidRDefault="00FC0E22" w:rsidP="00FC0E22">
      <w:pPr>
        <w:rPr>
          <w:rFonts w:ascii="Arial" w:hAnsi="Arial" w:cs="Arial"/>
        </w:rPr>
      </w:pPr>
    </w:p>
    <w:p w14:paraId="36072FE9" w14:textId="77777777" w:rsidR="00FC0E22" w:rsidRPr="00FC0E22" w:rsidRDefault="00FC0E22" w:rsidP="00FC0E22">
      <w:pPr>
        <w:rPr>
          <w:rFonts w:ascii="Arial" w:hAnsi="Arial" w:cs="Arial"/>
        </w:rPr>
      </w:pPr>
      <w:r w:rsidRPr="00FC0E22">
        <w:rPr>
          <w:rFonts w:ascii="Arial" w:hAnsi="Arial" w:cs="Arial"/>
        </w:rPr>
        <w:t>International Labour Organisation (ILO) (2011) Convention 189 and Recommendation 201 on Decent Work for Domestic Workers. Geneva: ILO. </w:t>
      </w:r>
      <w:hyperlink r:id="rId12" w:tgtFrame="_blank" w:history="1">
        <w:r w:rsidRPr="00FC0E22">
          <w:rPr>
            <w:rStyle w:val="Hyperlink"/>
            <w:rFonts w:ascii="Arial" w:hAnsi="Arial" w:cs="Arial"/>
          </w:rPr>
          <w:t>https://www.ilo.org/publications/convention-189-recommendation-201-decent-work-domestic-workers-0</w:t>
        </w:r>
      </w:hyperlink>
    </w:p>
    <w:p w14:paraId="4CC5BD68" w14:textId="77777777" w:rsidR="00FC0E22" w:rsidRPr="00FC0E22" w:rsidRDefault="00FC0E22" w:rsidP="00FC0E22">
      <w:pPr>
        <w:rPr>
          <w:rFonts w:ascii="Arial" w:hAnsi="Arial" w:cs="Arial"/>
        </w:rPr>
      </w:pPr>
    </w:p>
    <w:p w14:paraId="59002EB9" w14:textId="77777777" w:rsidR="00FC0E22" w:rsidRPr="00FC0E22" w:rsidRDefault="00FC0E22" w:rsidP="00FC0E22">
      <w:pPr>
        <w:rPr>
          <w:rFonts w:ascii="Arial" w:hAnsi="Arial" w:cs="Arial"/>
        </w:rPr>
      </w:pPr>
    </w:p>
    <w:p w14:paraId="770D5748" w14:textId="77777777" w:rsidR="00FC0E22" w:rsidRPr="00FC0E22" w:rsidRDefault="00FC0E22" w:rsidP="00FC0E22">
      <w:pPr>
        <w:rPr>
          <w:rFonts w:ascii="Arial" w:hAnsi="Arial" w:cs="Arial"/>
        </w:rPr>
      </w:pPr>
      <w:r w:rsidRPr="00FC0E22">
        <w:rPr>
          <w:rFonts w:ascii="Arial" w:hAnsi="Arial" w:cs="Arial"/>
        </w:rPr>
        <w:t>ILO (2013) ILO Domestic Workers Convention — New Standards to Fight Discrimination. Washington DC: Human Rights Watch. </w:t>
      </w:r>
      <w:hyperlink r:id="rId13" w:tgtFrame="_blank" w:history="1">
        <w:r w:rsidRPr="00FC0E22">
          <w:rPr>
            <w:rStyle w:val="Hyperlink"/>
            <w:rFonts w:ascii="Arial" w:hAnsi="Arial" w:cs="Arial"/>
          </w:rPr>
          <w:t>https://www.hrw.org/sites/default/files/related_material/2013ilo_dw_convention_brochure.pdf</w:t>
        </w:r>
      </w:hyperlink>
    </w:p>
    <w:p w14:paraId="55DA4A75" w14:textId="77777777" w:rsidR="00FC0E22" w:rsidRPr="00FC0E22" w:rsidRDefault="00FC0E22" w:rsidP="00FC0E22">
      <w:pPr>
        <w:rPr>
          <w:rFonts w:ascii="Arial" w:hAnsi="Arial" w:cs="Arial"/>
        </w:rPr>
      </w:pPr>
    </w:p>
    <w:p w14:paraId="32675A86" w14:textId="77777777" w:rsidR="00FC0E22" w:rsidRPr="00FC0E22" w:rsidRDefault="00FC0E22" w:rsidP="00FC0E22">
      <w:pPr>
        <w:rPr>
          <w:rFonts w:ascii="Arial" w:hAnsi="Arial" w:cs="Arial"/>
        </w:rPr>
      </w:pPr>
    </w:p>
    <w:p w14:paraId="42088F5C" w14:textId="77777777" w:rsidR="00FC0E22" w:rsidRPr="00FC0E22" w:rsidRDefault="00FC0E22" w:rsidP="00FC0E22">
      <w:pPr>
        <w:rPr>
          <w:rFonts w:ascii="Arial" w:hAnsi="Arial" w:cs="Arial"/>
        </w:rPr>
      </w:pPr>
      <w:r w:rsidRPr="00FC0E22">
        <w:rPr>
          <w:rFonts w:ascii="Arial" w:hAnsi="Arial" w:cs="Arial"/>
        </w:rPr>
        <w:t xml:space="preserve">Lorenzo, F.M., Galvez-Tan, J., </w:t>
      </w:r>
      <w:proofErr w:type="spellStart"/>
      <w:r w:rsidRPr="00FC0E22">
        <w:rPr>
          <w:rFonts w:ascii="Arial" w:hAnsi="Arial" w:cs="Arial"/>
        </w:rPr>
        <w:t>Icamina</w:t>
      </w:r>
      <w:proofErr w:type="spellEnd"/>
      <w:r w:rsidRPr="00FC0E22">
        <w:rPr>
          <w:rFonts w:ascii="Arial" w:hAnsi="Arial" w:cs="Arial"/>
        </w:rPr>
        <w:t>, K. and Javier, L. (2007) ‘Nurse migration from a source country perspective: Philippine country case study’, Health Services Research, 42(3), pp. 1406–1418. </w:t>
      </w:r>
      <w:hyperlink r:id="rId14" w:tgtFrame="_blank" w:history="1">
        <w:r w:rsidRPr="00FC0E22">
          <w:rPr>
            <w:rStyle w:val="Hyperlink"/>
            <w:rFonts w:ascii="Arial" w:hAnsi="Arial" w:cs="Arial"/>
          </w:rPr>
          <w:t>https://pmc.ncbi.nlm.nih.gov/articles/PMC1955369/</w:t>
        </w:r>
      </w:hyperlink>
    </w:p>
    <w:p w14:paraId="5D709D9A" w14:textId="77777777" w:rsidR="00FC0E22" w:rsidRPr="00FC0E22" w:rsidRDefault="00FC0E22" w:rsidP="00FC0E22">
      <w:pPr>
        <w:rPr>
          <w:rFonts w:ascii="Arial" w:hAnsi="Arial" w:cs="Arial"/>
        </w:rPr>
      </w:pPr>
    </w:p>
    <w:p w14:paraId="445B0D56" w14:textId="77777777" w:rsidR="00FC0E22" w:rsidRPr="00FC0E22" w:rsidRDefault="00FC0E22" w:rsidP="00FC0E22">
      <w:pPr>
        <w:rPr>
          <w:rFonts w:ascii="Arial" w:hAnsi="Arial" w:cs="Arial"/>
        </w:rPr>
      </w:pPr>
    </w:p>
    <w:p w14:paraId="741B87C3" w14:textId="77777777" w:rsidR="00FC0E22" w:rsidRPr="00FC0E22" w:rsidRDefault="00FC0E22" w:rsidP="00FC0E22">
      <w:pPr>
        <w:rPr>
          <w:rFonts w:ascii="Arial" w:hAnsi="Arial" w:cs="Arial"/>
        </w:rPr>
      </w:pPr>
      <w:r w:rsidRPr="00FC0E22">
        <w:rPr>
          <w:rFonts w:ascii="Arial" w:hAnsi="Arial" w:cs="Arial"/>
        </w:rPr>
        <w:t>NHS England (2023) NHS Long Term Workforce Plan. London: NHS England. </w:t>
      </w:r>
      <w:hyperlink r:id="rId15" w:tgtFrame="_blank" w:history="1">
        <w:r w:rsidRPr="00FC0E22">
          <w:rPr>
            <w:rStyle w:val="Hyperlink"/>
            <w:rFonts w:ascii="Arial" w:hAnsi="Arial" w:cs="Arial"/>
          </w:rPr>
          <w:t>https://www.england.nhs.uk/publication/nhs-long-term-workforce-plan/</w:t>
        </w:r>
      </w:hyperlink>
    </w:p>
    <w:p w14:paraId="5F3436C7" w14:textId="77777777" w:rsidR="00FC0E22" w:rsidRPr="00FC0E22" w:rsidRDefault="00FC0E22" w:rsidP="00FC0E22">
      <w:pPr>
        <w:rPr>
          <w:rFonts w:ascii="Arial" w:hAnsi="Arial" w:cs="Arial"/>
        </w:rPr>
      </w:pPr>
    </w:p>
    <w:p w14:paraId="712662B5" w14:textId="77777777" w:rsidR="00FC0E22" w:rsidRPr="00FC0E22" w:rsidRDefault="00FC0E22" w:rsidP="00FC0E22">
      <w:pPr>
        <w:rPr>
          <w:rFonts w:ascii="Arial" w:hAnsi="Arial" w:cs="Arial"/>
        </w:rPr>
      </w:pPr>
    </w:p>
    <w:p w14:paraId="68A5A19A" w14:textId="77777777" w:rsidR="00FC0E22" w:rsidRPr="00FC0E22" w:rsidRDefault="00FC0E22" w:rsidP="00FC0E22">
      <w:pPr>
        <w:rPr>
          <w:rFonts w:ascii="Arial" w:hAnsi="Arial" w:cs="Arial"/>
        </w:rPr>
      </w:pPr>
      <w:r w:rsidRPr="00FC0E22">
        <w:rPr>
          <w:rFonts w:ascii="Arial" w:hAnsi="Arial" w:cs="Arial"/>
        </w:rPr>
        <w:t>Parreñas, R.S. (2001) ‘Transgressing the Nation-State: The Partial Citizenship and “Imagined (Global) Community” of Migrant Filipina Domestic Workers’, Signs: Journal of Women in Culture and Society, 26(4), pp. 1129–1154. </w:t>
      </w:r>
      <w:hyperlink r:id="rId16" w:tgtFrame="_blank" w:history="1">
        <w:r w:rsidRPr="00FC0E22">
          <w:rPr>
            <w:rStyle w:val="Hyperlink"/>
            <w:rFonts w:ascii="Arial" w:hAnsi="Arial" w:cs="Arial"/>
          </w:rPr>
          <w:t>https://www.researchgate.net/publication/6229601_Transgressing_the_Nation-State_The_Partial_Citizenship_and_Imagined_Global_Community_of_Migrant_Filipina_Domestic_Workers</w:t>
        </w:r>
      </w:hyperlink>
    </w:p>
    <w:p w14:paraId="353587DC" w14:textId="77777777" w:rsidR="00FC0E22" w:rsidRPr="00FC0E22" w:rsidRDefault="00FC0E22" w:rsidP="00FC0E22">
      <w:pPr>
        <w:rPr>
          <w:rFonts w:ascii="Arial" w:hAnsi="Arial" w:cs="Arial"/>
        </w:rPr>
      </w:pPr>
    </w:p>
    <w:p w14:paraId="61A9C083" w14:textId="77777777" w:rsidR="00FC0E22" w:rsidRPr="00FC0E22" w:rsidRDefault="00FC0E22" w:rsidP="00FC0E22">
      <w:pPr>
        <w:rPr>
          <w:rFonts w:ascii="Arial" w:hAnsi="Arial" w:cs="Arial"/>
        </w:rPr>
      </w:pPr>
    </w:p>
    <w:p w14:paraId="484B4744" w14:textId="77777777" w:rsidR="00FC0E22" w:rsidRPr="00FC0E22" w:rsidRDefault="00FC0E22" w:rsidP="00FC0E22">
      <w:pPr>
        <w:rPr>
          <w:rFonts w:ascii="Arial" w:hAnsi="Arial" w:cs="Arial"/>
        </w:rPr>
      </w:pPr>
      <w:proofErr w:type="spellStart"/>
      <w:r w:rsidRPr="00FC0E22">
        <w:rPr>
          <w:rFonts w:ascii="Arial" w:hAnsi="Arial" w:cs="Arial"/>
        </w:rPr>
        <w:t>Tankwanchi</w:t>
      </w:r>
      <w:proofErr w:type="spellEnd"/>
      <w:r w:rsidRPr="00FC0E22">
        <w:rPr>
          <w:rFonts w:ascii="Arial" w:hAnsi="Arial" w:cs="Arial"/>
        </w:rPr>
        <w:t>, A.B., Ozden, C. and Vermund, S.H. (2015) ‘Has the WHO Global Code of Practice on the International Recruitment of Health Personnel been effective?’, The Lancet Global Health, 2(7), pp. e390–e391. </w:t>
      </w:r>
      <w:hyperlink r:id="rId17" w:tgtFrame="_blank" w:history="1">
        <w:r w:rsidRPr="00FC0E22">
          <w:rPr>
            <w:rStyle w:val="Hyperlink"/>
            <w:rFonts w:ascii="Arial" w:hAnsi="Arial" w:cs="Arial"/>
          </w:rPr>
          <w:t>https://www.thelancet.com/journals/langlo/article/PIIS2214-109X(14)70240-2/fulltext</w:t>
        </w:r>
      </w:hyperlink>
    </w:p>
    <w:p w14:paraId="0AF9E834" w14:textId="77777777" w:rsidR="00FC0E22" w:rsidRPr="00FC0E22" w:rsidRDefault="00FC0E22" w:rsidP="00FC0E22">
      <w:pPr>
        <w:rPr>
          <w:rFonts w:ascii="Arial" w:hAnsi="Arial" w:cs="Arial"/>
        </w:rPr>
      </w:pPr>
    </w:p>
    <w:p w14:paraId="304DC6F8" w14:textId="77777777" w:rsidR="00FC0E22" w:rsidRPr="00FC0E22" w:rsidRDefault="00FC0E22" w:rsidP="00FC0E22">
      <w:pPr>
        <w:rPr>
          <w:rFonts w:ascii="Arial" w:hAnsi="Arial" w:cs="Arial"/>
        </w:rPr>
      </w:pPr>
    </w:p>
    <w:p w14:paraId="32D6D4C9" w14:textId="77777777" w:rsidR="00FC0E22" w:rsidRPr="00FC0E22" w:rsidRDefault="00FC0E22" w:rsidP="00FC0E22">
      <w:pPr>
        <w:rPr>
          <w:rFonts w:ascii="Arial" w:hAnsi="Arial" w:cs="Arial"/>
        </w:rPr>
      </w:pPr>
      <w:r w:rsidRPr="00FC0E22">
        <w:rPr>
          <w:rFonts w:ascii="Arial" w:hAnsi="Arial" w:cs="Arial"/>
        </w:rPr>
        <w:t>Taylor, A.L. and Dhillon, I.S. (2011) ‘The WHO Global Code of Practice on the International Recruitment of Health Personnel: The Evolution of Global Health Diplomacy’, Global Health Governance, 5(1). </w:t>
      </w:r>
      <w:hyperlink r:id="rId18" w:tgtFrame="_blank" w:history="1">
        <w:r w:rsidRPr="00FC0E22">
          <w:rPr>
            <w:rStyle w:val="Hyperlink"/>
            <w:rFonts w:ascii="Arial" w:hAnsi="Arial" w:cs="Arial"/>
          </w:rPr>
          <w:t>https://scholarship.law.georgetown.edu/facpub/733/</w:t>
        </w:r>
      </w:hyperlink>
    </w:p>
    <w:p w14:paraId="76AE01CD" w14:textId="77777777" w:rsidR="00FC0E22" w:rsidRPr="00FC0E22" w:rsidRDefault="00FC0E22" w:rsidP="00FC0E22">
      <w:pPr>
        <w:rPr>
          <w:rFonts w:ascii="Arial" w:hAnsi="Arial" w:cs="Arial"/>
        </w:rPr>
      </w:pPr>
    </w:p>
    <w:p w14:paraId="0C880D10" w14:textId="77777777" w:rsidR="00FC0E22" w:rsidRPr="00FC0E22" w:rsidRDefault="00FC0E22" w:rsidP="00FC0E22">
      <w:pPr>
        <w:rPr>
          <w:rFonts w:ascii="Arial" w:hAnsi="Arial" w:cs="Arial"/>
        </w:rPr>
      </w:pPr>
    </w:p>
    <w:p w14:paraId="5A69CE64" w14:textId="77777777" w:rsidR="00FC0E22" w:rsidRPr="00FC0E22" w:rsidRDefault="00FC0E22" w:rsidP="00FC0E22">
      <w:pPr>
        <w:rPr>
          <w:rFonts w:ascii="Arial" w:hAnsi="Arial" w:cs="Arial"/>
        </w:rPr>
      </w:pPr>
      <w:r w:rsidRPr="00FC0E22">
        <w:rPr>
          <w:rFonts w:ascii="Arial" w:hAnsi="Arial" w:cs="Arial"/>
        </w:rPr>
        <w:t>United Nations (2011) C189 – Domestic Workers Convention, 2011 (No. 189). New York: UN. </w:t>
      </w:r>
      <w:hyperlink r:id="rId19" w:tgtFrame="_blank" w:history="1">
        <w:r w:rsidRPr="00FC0E22">
          <w:rPr>
            <w:rStyle w:val="Hyperlink"/>
            <w:rFonts w:ascii="Arial" w:hAnsi="Arial" w:cs="Arial"/>
          </w:rPr>
          <w:t>https://www.un.org/en/development/desa/population/migration/generalassembly/docs/globalcompact/ILO_C_189.pdf</w:t>
        </w:r>
      </w:hyperlink>
    </w:p>
    <w:p w14:paraId="281FB948" w14:textId="77777777" w:rsidR="00FC0E22" w:rsidRPr="00FC0E22" w:rsidRDefault="00FC0E22" w:rsidP="00FC0E22">
      <w:pPr>
        <w:rPr>
          <w:rFonts w:ascii="Arial" w:hAnsi="Arial" w:cs="Arial"/>
        </w:rPr>
      </w:pPr>
    </w:p>
    <w:p w14:paraId="6413C8A9" w14:textId="77777777" w:rsidR="00FC0E22" w:rsidRPr="00FC0E22" w:rsidRDefault="00FC0E22" w:rsidP="00FC0E22">
      <w:pPr>
        <w:rPr>
          <w:rFonts w:ascii="Arial" w:hAnsi="Arial" w:cs="Arial"/>
        </w:rPr>
      </w:pPr>
    </w:p>
    <w:p w14:paraId="6605DC80" w14:textId="77777777" w:rsidR="00FC0E22" w:rsidRPr="00FC0E22" w:rsidRDefault="00FC0E22" w:rsidP="00FC0E22">
      <w:pPr>
        <w:rPr>
          <w:rFonts w:ascii="Arial" w:hAnsi="Arial" w:cs="Arial"/>
        </w:rPr>
      </w:pPr>
      <w:r w:rsidRPr="00FC0E22">
        <w:rPr>
          <w:rFonts w:ascii="Arial" w:hAnsi="Arial" w:cs="Arial"/>
        </w:rPr>
        <w:t>Williams, F. (2011) ‘Towards a Transnational Analysis of the Political Economy of Care’, SULCIS Working Paper 2011:6. Stockholm: Stockholm University. </w:t>
      </w:r>
      <w:hyperlink r:id="rId20" w:tgtFrame="_blank" w:history="1">
        <w:r w:rsidRPr="00FC0E22">
          <w:rPr>
            <w:rStyle w:val="Hyperlink"/>
            <w:rFonts w:ascii="Arial" w:hAnsi="Arial" w:cs="Arial"/>
          </w:rPr>
          <w:t>https://ideas.repec.org/p/hhs/sulcis/2011_006.html</w:t>
        </w:r>
      </w:hyperlink>
    </w:p>
    <w:p w14:paraId="09E903ED" w14:textId="77777777" w:rsidR="00FC0E22" w:rsidRPr="00FC0E22" w:rsidRDefault="00FC0E22" w:rsidP="00FC0E22">
      <w:pPr>
        <w:rPr>
          <w:rFonts w:ascii="Arial" w:hAnsi="Arial" w:cs="Arial"/>
        </w:rPr>
      </w:pPr>
    </w:p>
    <w:p w14:paraId="4B486461" w14:textId="77777777" w:rsidR="00FC0E22" w:rsidRPr="00FC0E22" w:rsidRDefault="00FC0E22" w:rsidP="00FC0E22">
      <w:pPr>
        <w:rPr>
          <w:rFonts w:ascii="Arial" w:hAnsi="Arial" w:cs="Arial"/>
        </w:rPr>
      </w:pPr>
      <w:r w:rsidRPr="00FC0E22">
        <w:rPr>
          <w:rFonts w:ascii="Arial" w:hAnsi="Arial" w:cs="Arial"/>
        </w:rPr>
        <w:t>World Health Organisation (WHO) (2010) WHO Global Code of Practice on the International Recruitment of Health Personnel. Geneva: WHO. </w:t>
      </w:r>
      <w:hyperlink r:id="rId21" w:tgtFrame="_blank" w:history="1">
        <w:r w:rsidRPr="00FC0E22">
          <w:rPr>
            <w:rStyle w:val="Hyperlink"/>
            <w:rFonts w:ascii="Arial" w:hAnsi="Arial" w:cs="Arial"/>
          </w:rPr>
          <w:t>https://www.who.int/publications-detail-redirect/who-global-code-of-practice-on-the-international-recruitment-of-health-personnel</w:t>
        </w:r>
      </w:hyperlink>
    </w:p>
    <w:p w14:paraId="333FA971" w14:textId="77777777" w:rsidR="00FC0E22" w:rsidRPr="00FC0E22" w:rsidRDefault="00FC0E22" w:rsidP="00FC0E22">
      <w:pPr>
        <w:rPr>
          <w:rFonts w:ascii="Arial" w:hAnsi="Arial" w:cs="Arial"/>
        </w:rPr>
      </w:pPr>
    </w:p>
    <w:p w14:paraId="2C54237A" w14:textId="77777777" w:rsidR="00FC0E22" w:rsidRPr="00FC0E22" w:rsidRDefault="00FC0E22" w:rsidP="00FC0E22">
      <w:pPr>
        <w:rPr>
          <w:rFonts w:ascii="Arial" w:hAnsi="Arial" w:cs="Arial"/>
        </w:rPr>
      </w:pPr>
      <w:r w:rsidRPr="00FC0E22">
        <w:rPr>
          <w:rFonts w:ascii="Arial" w:hAnsi="Arial" w:cs="Arial"/>
        </w:rPr>
        <w:t>Yeates, N. (2004) ‘Global Care Chains: Critical Reflections and Lines of Enquiry’, International Feminist Journal of Politics, 6(3), pp. 369–391. </w:t>
      </w:r>
      <w:hyperlink r:id="rId22" w:tgtFrame="_blank" w:history="1">
        <w:r w:rsidRPr="00FC0E22">
          <w:rPr>
            <w:rStyle w:val="Hyperlink"/>
            <w:rFonts w:ascii="Arial" w:hAnsi="Arial" w:cs="Arial"/>
          </w:rPr>
          <w:t>https://oro.open.ac.uk/4372/</w:t>
        </w:r>
      </w:hyperlink>
    </w:p>
    <w:p w14:paraId="32E1C77A" w14:textId="77777777" w:rsidR="00FC0E22" w:rsidRPr="00FC0E22" w:rsidRDefault="00FC0E22" w:rsidP="00FC0E22">
      <w:pPr>
        <w:rPr>
          <w:rFonts w:ascii="Arial" w:hAnsi="Arial" w:cs="Arial"/>
        </w:rPr>
      </w:pPr>
      <w:r w:rsidRPr="00FC0E22">
        <w:rPr>
          <w:rFonts w:ascii="Arial" w:hAnsi="Arial" w:cs="Arial"/>
        </w:rPr>
        <w:br/>
        <w:t>Yeates, N. (2005) Global Care Chains: A Critical Introduction. Global Migration Perspectives No. 44. Geneva: Global Commission on International Migration. </w:t>
      </w:r>
      <w:hyperlink r:id="rId23" w:tgtFrame="_blank" w:history="1">
        <w:r w:rsidRPr="00FC0E22">
          <w:rPr>
            <w:rStyle w:val="Hyperlink"/>
            <w:rFonts w:ascii="Arial" w:hAnsi="Arial" w:cs="Arial"/>
          </w:rPr>
          <w:t>https://www.refworld.org/reference/research/gcim/2005/35223</w:t>
        </w:r>
      </w:hyperlink>
    </w:p>
    <w:p w14:paraId="1AAE6A17" w14:textId="77777777" w:rsidR="00FC0E22" w:rsidRPr="00FC0E22" w:rsidRDefault="00FC0E22" w:rsidP="00FC0E22">
      <w:pPr>
        <w:rPr>
          <w:rFonts w:ascii="Arial" w:hAnsi="Arial" w:cs="Arial"/>
        </w:rPr>
      </w:pPr>
      <w:r w:rsidRPr="00FC0E22">
        <w:rPr>
          <w:rFonts w:ascii="Arial" w:hAnsi="Arial" w:cs="Arial"/>
        </w:rPr>
        <w:br/>
        <w:t xml:space="preserve">Yeates, N. (2012) ‘Global care chains: a state-of-the-art review and future directions in care </w:t>
      </w:r>
      <w:proofErr w:type="spellStart"/>
      <w:r w:rsidRPr="00FC0E22">
        <w:rPr>
          <w:rFonts w:ascii="Arial" w:hAnsi="Arial" w:cs="Arial"/>
        </w:rPr>
        <w:t>transnationalization</w:t>
      </w:r>
      <w:proofErr w:type="spellEnd"/>
      <w:r w:rsidRPr="00FC0E22">
        <w:rPr>
          <w:rFonts w:ascii="Arial" w:hAnsi="Arial" w:cs="Arial"/>
        </w:rPr>
        <w:t xml:space="preserve"> research’, Global Networks, 12(2), pp. 135–154. </w:t>
      </w:r>
      <w:hyperlink r:id="rId24" w:tgtFrame="_blank" w:history="1">
        <w:r w:rsidRPr="00FC0E22">
          <w:rPr>
            <w:rStyle w:val="Hyperlink"/>
            <w:rFonts w:ascii="Arial" w:hAnsi="Arial" w:cs="Arial"/>
          </w:rPr>
          <w:t>https://oro.open.ac.uk/33468/</w:t>
        </w:r>
      </w:hyperlink>
      <w:r w:rsidRPr="00FC0E22">
        <w:rPr>
          <w:rFonts w:ascii="Arial" w:hAnsi="Arial" w:cs="Arial"/>
        </w:rPr>
        <w:t>​​​​​​​​​​​​​​​​</w:t>
      </w:r>
    </w:p>
    <w:p w14:paraId="1C2B2261" w14:textId="77777777" w:rsidR="00115E57" w:rsidRPr="00D15A6D" w:rsidRDefault="00115E57" w:rsidP="00D15A6D">
      <w:pPr>
        <w:rPr>
          <w:rFonts w:ascii="Arial" w:hAnsi="Arial" w:cs="Arial"/>
        </w:rPr>
      </w:pPr>
    </w:p>
    <w:p w14:paraId="0C970D00" w14:textId="3D62E6C3" w:rsidR="006D2F2D" w:rsidRPr="003E4ED4" w:rsidRDefault="006D2F2D">
      <w:pPr>
        <w:rPr>
          <w:rFonts w:ascii="Arial" w:hAnsi="Arial" w:cs="Arial"/>
          <w:color w:val="0070C0"/>
        </w:rPr>
      </w:pPr>
    </w:p>
    <w:sectPr w:rsidR="006D2F2D" w:rsidRPr="003E4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C136A" w14:textId="77777777" w:rsidR="00BE4419" w:rsidRDefault="00BE4419" w:rsidP="00032A5B">
      <w:pPr>
        <w:spacing w:after="0" w:line="240" w:lineRule="auto"/>
      </w:pPr>
      <w:r>
        <w:separator/>
      </w:r>
    </w:p>
  </w:endnote>
  <w:endnote w:type="continuationSeparator" w:id="0">
    <w:p w14:paraId="5D50672B" w14:textId="77777777" w:rsidR="00BE4419" w:rsidRDefault="00BE4419"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221B8" w14:textId="77777777" w:rsidR="00BE4419" w:rsidRDefault="00BE4419" w:rsidP="00032A5B">
      <w:pPr>
        <w:spacing w:after="0" w:line="240" w:lineRule="auto"/>
      </w:pPr>
      <w:r>
        <w:separator/>
      </w:r>
    </w:p>
  </w:footnote>
  <w:footnote w:type="continuationSeparator" w:id="0">
    <w:p w14:paraId="3FCE90A2" w14:textId="77777777" w:rsidR="00BE4419" w:rsidRDefault="00BE4419"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05785"/>
    <w:rsid w:val="00115E57"/>
    <w:rsid w:val="001333C2"/>
    <w:rsid w:val="00160F30"/>
    <w:rsid w:val="00197263"/>
    <w:rsid w:val="002A3429"/>
    <w:rsid w:val="002F2C9E"/>
    <w:rsid w:val="00317E3D"/>
    <w:rsid w:val="00391215"/>
    <w:rsid w:val="00393653"/>
    <w:rsid w:val="003C14ED"/>
    <w:rsid w:val="003E4ED4"/>
    <w:rsid w:val="00415E6C"/>
    <w:rsid w:val="004718A4"/>
    <w:rsid w:val="00521C5A"/>
    <w:rsid w:val="005268F2"/>
    <w:rsid w:val="0058218C"/>
    <w:rsid w:val="006524ED"/>
    <w:rsid w:val="006C1B67"/>
    <w:rsid w:val="006D2F2D"/>
    <w:rsid w:val="006E1FF9"/>
    <w:rsid w:val="007150ED"/>
    <w:rsid w:val="00715D5D"/>
    <w:rsid w:val="0072588E"/>
    <w:rsid w:val="00743D36"/>
    <w:rsid w:val="00785886"/>
    <w:rsid w:val="007B6E0C"/>
    <w:rsid w:val="007F3A6A"/>
    <w:rsid w:val="007F5890"/>
    <w:rsid w:val="00941C6A"/>
    <w:rsid w:val="00A14675"/>
    <w:rsid w:val="00A17350"/>
    <w:rsid w:val="00A33770"/>
    <w:rsid w:val="00AA55CA"/>
    <w:rsid w:val="00BC79FE"/>
    <w:rsid w:val="00BE4419"/>
    <w:rsid w:val="00C558B0"/>
    <w:rsid w:val="00C85A78"/>
    <w:rsid w:val="00D15A6D"/>
    <w:rsid w:val="00D261C7"/>
    <w:rsid w:val="00D45CA5"/>
    <w:rsid w:val="00D545BA"/>
    <w:rsid w:val="00DD4DB2"/>
    <w:rsid w:val="00E81204"/>
    <w:rsid w:val="00F81510"/>
    <w:rsid w:val="00FA1054"/>
    <w:rsid w:val="00FA6248"/>
    <w:rsid w:val="00FC0E22"/>
    <w:rsid w:val="00FD65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styleId="Hyperlink">
    <w:name w:val="Hyperlink"/>
    <w:basedOn w:val="DefaultParagraphFont"/>
    <w:uiPriority w:val="99"/>
    <w:unhideWhenUsed/>
    <w:rsid w:val="00197263"/>
    <w:rPr>
      <w:color w:val="0563C1" w:themeColor="hyperlink"/>
      <w:u w:val="single"/>
    </w:rPr>
  </w:style>
  <w:style w:type="character" w:styleId="UnresolvedMention">
    <w:name w:val="Unresolved Mention"/>
    <w:basedOn w:val="DefaultParagraphFont"/>
    <w:uiPriority w:val="99"/>
    <w:semiHidden/>
    <w:unhideWhenUsed/>
    <w:rsid w:val="00197263"/>
    <w:rPr>
      <w:color w:val="605E5C"/>
      <w:shd w:val="clear" w:color="auto" w:fill="E1DFDD"/>
    </w:rPr>
  </w:style>
  <w:style w:type="character" w:styleId="FollowedHyperlink">
    <w:name w:val="FollowedHyperlink"/>
    <w:basedOn w:val="DefaultParagraphFont"/>
    <w:uiPriority w:val="99"/>
    <w:semiHidden/>
    <w:unhideWhenUsed/>
    <w:rsid w:val="001972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rw.org/sites/default/files/related_material/2013ilo_dw_convention_brochure.pdf" TargetMode="External"/><Relationship Id="rId18" Type="http://schemas.openxmlformats.org/officeDocument/2006/relationships/hyperlink" Target="https://scholarship.law.georgetown.edu/facpub/733/"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ho.int/publications-detail-redirect/who-global-code-of-practice-on-the-international-recruitment-of-health-personnel" TargetMode="External"/><Relationship Id="rId7" Type="http://schemas.openxmlformats.org/officeDocument/2006/relationships/endnotes" Target="endnotes.xml"/><Relationship Id="rId12" Type="http://schemas.openxmlformats.org/officeDocument/2006/relationships/hyperlink" Target="https://www.ilo.org/publications/convention-189-recommendation-201-decent-work-domestic-workers-0" TargetMode="External"/><Relationship Id="rId17" Type="http://schemas.openxmlformats.org/officeDocument/2006/relationships/hyperlink" Target="https://www.thelancet.com/journals/langlo/article/PIIS2214-109X(14)70240-2/fulltex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6229601_Transgressing_the_Nation-State_The_Partial_Citizenship_and_Imagined_Global_Community_of_Migrant_Filipina_Domestic_Workers" TargetMode="External"/><Relationship Id="rId20" Type="http://schemas.openxmlformats.org/officeDocument/2006/relationships/hyperlink" Target="https://ideas.repec.org/p/hhs/sulcis/2011_006.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fworld.org/reference/research/gcim/2005/35223" TargetMode="External"/><Relationship Id="rId24" Type="http://schemas.openxmlformats.org/officeDocument/2006/relationships/hyperlink" Target="https://oro.open.ac.uk/33468/" TargetMode="External"/><Relationship Id="rId5" Type="http://schemas.openxmlformats.org/officeDocument/2006/relationships/webSettings" Target="webSettings.xml"/><Relationship Id="rId15" Type="http://schemas.openxmlformats.org/officeDocument/2006/relationships/hyperlink" Target="https://www.england.nhs.uk/publication/nhs-long-term-workforce-plan/" TargetMode="External"/><Relationship Id="rId23" Type="http://schemas.openxmlformats.org/officeDocument/2006/relationships/hyperlink" Target="https://www.refworld.org/reference/research/gcim/2005/35223" TargetMode="External"/><Relationship Id="rId10" Type="http://schemas.openxmlformats.org/officeDocument/2006/relationships/hyperlink" Target="https://pmc.ncbi.nlm.nih.gov/articles/PMC10298390/" TargetMode="External"/><Relationship Id="rId19" Type="http://schemas.openxmlformats.org/officeDocument/2006/relationships/hyperlink" Target="https://www.un.org/en/development/desa/population/migration/generalassembly/docs/globalcompact/ILO_C_189.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mc.ncbi.nlm.nih.gov/articles/PMC1955369/" TargetMode="External"/><Relationship Id="rId22" Type="http://schemas.openxmlformats.org/officeDocument/2006/relationships/hyperlink" Target="https://oro.open.ac.uk/43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A7BA6-95C6-4041-BE52-2640F8943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2714</Words>
  <Characters>15473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D Miguel</cp:lastModifiedBy>
  <cp:revision>2</cp:revision>
  <dcterms:created xsi:type="dcterms:W3CDTF">2026-04-29T00:49:00Z</dcterms:created>
  <dcterms:modified xsi:type="dcterms:W3CDTF">2026-04-29T00:49:00Z</dcterms:modified>
</cp:coreProperties>
</file>