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A6B5FC" w14:textId="07980CD4" w:rsidR="003A3B9E" w:rsidRDefault="008B5B51">
      <w:r w:rsidRPr="008B5B51">
        <w:t xml:space="preserve">The essential academic and employment skills identified in the literature emphasize the importance of both technical and soft skills for graduates entering the workforce. Employers in the New England region of the USA have rated interpersonal skills, critical thinking, problem-solving, listening skills, professionalism, and personal motivation as the most crucial competencies for new hires. These findings suggest that graduates should prioritize the development of these skills during their academic training to enhance their </w:t>
      </w:r>
      <w:proofErr w:type="spellStart"/>
      <w:r w:rsidRPr="008B5B51">
        <w:t>employabilitySelect</w:t>
      </w:r>
      <w:proofErr w:type="spellEnd"/>
      <w:r w:rsidRPr="008B5B51">
        <w:t xml:space="preserve"> source to view details and availability options</w:t>
      </w:r>
      <w:r w:rsidRPr="008B5B51">
        <w:rPr>
          <w:b/>
          <w:bCs/>
        </w:rPr>
        <w:t>1</w:t>
      </w:r>
      <w:r w:rsidRPr="008B5B51">
        <w:t>.</w:t>
      </w:r>
      <w:r w:rsidRPr="008B5B51">
        <w:br/>
      </w:r>
      <w:r w:rsidRPr="008B5B51">
        <w:br/>
        <w:t xml:space="preserve">In the context of Regional Occupational Programs (ROP), students reported gaining critical thinking skills, understanding the necessity of independent study, and acquiring job-related skills that contribute to their readiness for both college and careers. The ROP classes were perceived as instrumental in preparing students for future employment, highlighting the need for educational programs to focus on relevant skill </w:t>
      </w:r>
      <w:proofErr w:type="spellStart"/>
      <w:r w:rsidRPr="008B5B51">
        <w:t>developmentSelect</w:t>
      </w:r>
      <w:proofErr w:type="spellEnd"/>
      <w:r w:rsidRPr="008B5B51">
        <w:t xml:space="preserve"> source to view details and availability options</w:t>
      </w:r>
      <w:r w:rsidRPr="008B5B51">
        <w:rPr>
          <w:b/>
          <w:bCs/>
        </w:rPr>
        <w:t>2</w:t>
      </w:r>
      <w:r w:rsidRPr="008B5B51">
        <w:t>.</w:t>
      </w:r>
      <w:r w:rsidRPr="008B5B51">
        <w:br/>
      </w:r>
      <w:r w:rsidRPr="008B5B51">
        <w:br/>
        <w:t xml:space="preserve">Research examining the perspectives of students from universities in China and Malaysia indicates that soft employability skills are vital for future job readiness. The study found that students felt more positively about their university's ability to develop these skills, particularly in the Malaysian context, suggesting that educational institutions should embed soft skills into their curricula to better prepare graduates for the evolving job </w:t>
      </w:r>
      <w:proofErr w:type="spellStart"/>
      <w:r w:rsidRPr="008B5B51">
        <w:t>marketSelect</w:t>
      </w:r>
      <w:proofErr w:type="spellEnd"/>
      <w:r w:rsidRPr="008B5B51">
        <w:t xml:space="preserve"> source to view details and availability options</w:t>
      </w:r>
      <w:r w:rsidRPr="008B5B51">
        <w:rPr>
          <w:b/>
          <w:bCs/>
        </w:rPr>
        <w:t>3</w:t>
      </w:r>
      <w:r w:rsidRPr="008B5B51">
        <w:t>.</w:t>
      </w:r>
      <w:r w:rsidRPr="008B5B51">
        <w:br/>
      </w:r>
      <w:r w:rsidRPr="008B5B51">
        <w:br/>
        <w:t xml:space="preserve">Furthermore, a study on Australian science graduates revealed that effective communication, time management, teamwork, and adaptability are essential skills for career readiness. However, there was a discrepancy between the confidence of graduates in their skill attainment and the perceptions of industry employers regarding the preparedness of </w:t>
      </w:r>
      <w:proofErr w:type="spellStart"/>
      <w:r w:rsidRPr="008B5B51">
        <w:t>graduatesSelect</w:t>
      </w:r>
      <w:proofErr w:type="spellEnd"/>
      <w:r w:rsidRPr="008B5B51">
        <w:t xml:space="preserve"> source to view details and availability options</w:t>
      </w:r>
      <w:r w:rsidRPr="008B5B51">
        <w:rPr>
          <w:b/>
          <w:bCs/>
        </w:rPr>
        <w:t>4</w:t>
      </w:r>
      <w:r w:rsidRPr="008B5B51">
        <w:t>.</w:t>
      </w:r>
      <w:r w:rsidRPr="008B5B51">
        <w:br/>
      </w:r>
      <w:r w:rsidRPr="008B5B51">
        <w:br/>
        <w:t xml:space="preserve">Overall, the literature underscores the necessity for educational institutions to align their curricula with the skills demanded by employers, particularly focusing on both technical and soft skills to ensure that graduates are adequately prepared for the workforce. This alignment is crucial in addressing the skills gap reported by </w:t>
      </w:r>
      <w:proofErr w:type="spellStart"/>
      <w:r w:rsidRPr="008B5B51">
        <w:t>employersSelect</w:t>
      </w:r>
      <w:proofErr w:type="spellEnd"/>
      <w:r w:rsidRPr="008B5B51">
        <w:t xml:space="preserve"> source to view details and availability options</w:t>
      </w:r>
      <w:r w:rsidRPr="008B5B51">
        <w:rPr>
          <w:b/>
          <w:bCs/>
        </w:rPr>
        <w:t>5</w:t>
      </w:r>
      <w:r w:rsidRPr="008B5B51">
        <w:br/>
      </w:r>
    </w:p>
    <w:sectPr w:rsidR="003A3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B51"/>
    <w:rsid w:val="00045179"/>
    <w:rsid w:val="00170D01"/>
    <w:rsid w:val="003A3B9E"/>
    <w:rsid w:val="008B5B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EF19F"/>
  <w15:chartTrackingRefBased/>
  <w15:docId w15:val="{CD9CF6F7-7A25-4916-AA22-74B7DACF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B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5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5B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B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B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B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B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B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5B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5B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B51"/>
    <w:rPr>
      <w:rFonts w:eastAsiaTheme="majorEastAsia" w:cstheme="majorBidi"/>
      <w:color w:val="272727" w:themeColor="text1" w:themeTint="D8"/>
    </w:rPr>
  </w:style>
  <w:style w:type="paragraph" w:styleId="Title">
    <w:name w:val="Title"/>
    <w:basedOn w:val="Normal"/>
    <w:next w:val="Normal"/>
    <w:link w:val="TitleChar"/>
    <w:uiPriority w:val="10"/>
    <w:qFormat/>
    <w:rsid w:val="008B5B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B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B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B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B51"/>
    <w:pPr>
      <w:spacing w:before="160"/>
      <w:jc w:val="center"/>
    </w:pPr>
    <w:rPr>
      <w:i/>
      <w:iCs/>
      <w:color w:val="404040" w:themeColor="text1" w:themeTint="BF"/>
    </w:rPr>
  </w:style>
  <w:style w:type="character" w:customStyle="1" w:styleId="QuoteChar">
    <w:name w:val="Quote Char"/>
    <w:basedOn w:val="DefaultParagraphFont"/>
    <w:link w:val="Quote"/>
    <w:uiPriority w:val="29"/>
    <w:rsid w:val="008B5B51"/>
    <w:rPr>
      <w:i/>
      <w:iCs/>
      <w:color w:val="404040" w:themeColor="text1" w:themeTint="BF"/>
    </w:rPr>
  </w:style>
  <w:style w:type="paragraph" w:styleId="ListParagraph">
    <w:name w:val="List Paragraph"/>
    <w:basedOn w:val="Normal"/>
    <w:uiPriority w:val="34"/>
    <w:qFormat/>
    <w:rsid w:val="008B5B51"/>
    <w:pPr>
      <w:ind w:left="720"/>
      <w:contextualSpacing/>
    </w:pPr>
  </w:style>
  <w:style w:type="character" w:styleId="IntenseEmphasis">
    <w:name w:val="Intense Emphasis"/>
    <w:basedOn w:val="DefaultParagraphFont"/>
    <w:uiPriority w:val="21"/>
    <w:qFormat/>
    <w:rsid w:val="008B5B51"/>
    <w:rPr>
      <w:i/>
      <w:iCs/>
      <w:color w:val="0F4761" w:themeColor="accent1" w:themeShade="BF"/>
    </w:rPr>
  </w:style>
  <w:style w:type="paragraph" w:styleId="IntenseQuote">
    <w:name w:val="Intense Quote"/>
    <w:basedOn w:val="Normal"/>
    <w:next w:val="Normal"/>
    <w:link w:val="IntenseQuoteChar"/>
    <w:uiPriority w:val="30"/>
    <w:qFormat/>
    <w:rsid w:val="008B5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B51"/>
    <w:rPr>
      <w:i/>
      <w:iCs/>
      <w:color w:val="0F4761" w:themeColor="accent1" w:themeShade="BF"/>
    </w:rPr>
  </w:style>
  <w:style w:type="character" w:styleId="IntenseReference">
    <w:name w:val="Intense Reference"/>
    <w:basedOn w:val="DefaultParagraphFont"/>
    <w:uiPriority w:val="32"/>
    <w:qFormat/>
    <w:rsid w:val="008B5B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7bbfa7233a55ec4e79f25a1e891f27ff">
  <xsd:schema xmlns:xsd="http://www.w3.org/2001/XMLSchema" xmlns:xs="http://www.w3.org/2001/XMLSchema" xmlns:p="http://schemas.microsoft.com/office/2006/metadata/properties" xmlns:ns3="bf244c3e-e0b4-4871-bb4e-fd032a14544d" targetNamespace="http://schemas.microsoft.com/office/2006/metadata/properties" ma:root="true" ma:fieldsID="8bbdf85d128abdfd57b375c2d9118c2c"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6359663E-1F20-40AE-9671-18F94F4EF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E356B2-EBF3-4F3B-8257-75ED04AA79C9}">
  <ds:schemaRefs>
    <ds:schemaRef ds:uri="http://schemas.microsoft.com/sharepoint/v3/contenttype/forms"/>
  </ds:schemaRefs>
</ds:datastoreItem>
</file>

<file path=customXml/itemProps3.xml><?xml version="1.0" encoding="utf-8"?>
<ds:datastoreItem xmlns:ds="http://schemas.openxmlformats.org/officeDocument/2006/customXml" ds:itemID="{80C31DC3-BCE6-4222-BD1E-1F896E58178D}">
  <ds:schemaRefs>
    <ds:schemaRef ds:uri="http://schemas.microsoft.com/office/2006/documentManagement/types"/>
    <ds:schemaRef ds:uri="bf244c3e-e0b4-4871-bb4e-fd032a14544d"/>
    <ds:schemaRef ds:uri="http://purl.org/dc/dcmitype/"/>
    <ds:schemaRef ds:uri="http://www.w3.org/XML/1998/namespace"/>
    <ds:schemaRef ds:uri="http://schemas.microsoft.com/office/infopath/2007/PartnerControls"/>
    <ds:schemaRef ds:uri="http://purl.org/dc/elements/1.1/"/>
    <ds:schemaRef ds:uri="http://purl.org/dc/term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2058</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Navizivskyi (2414400)</dc:creator>
  <cp:keywords/>
  <dc:description/>
  <cp:lastModifiedBy>Ivan Navizivskyi (2414400)</cp:lastModifiedBy>
  <cp:revision>1</cp:revision>
  <dcterms:created xsi:type="dcterms:W3CDTF">2024-11-22T11:43:00Z</dcterms:created>
  <dcterms:modified xsi:type="dcterms:W3CDTF">2024-11-22T11:43:00Z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