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DFBFAB" w14:textId="77777777" w:rsidR="00653731" w:rsidRPr="00760296" w:rsidRDefault="00653731" w:rsidP="002D1B45">
      <w:pPr>
        <w:pStyle w:val="Default"/>
        <w:spacing w:line="360" w:lineRule="auto"/>
        <w:rPr>
          <w:rFonts w:asciiTheme="minorBidi" w:hAnsiTheme="minorBidi" w:cstheme="minorBidi"/>
        </w:rPr>
      </w:pPr>
      <w:bookmarkStart w:id="0" w:name="_88g7a17iv21d" w:colFirst="0" w:colLast="0"/>
      <w:bookmarkEnd w:id="0"/>
    </w:p>
    <w:p w14:paraId="0AC8AF8F" w14:textId="1D3366A4" w:rsidR="00D65304" w:rsidRPr="00760296" w:rsidRDefault="00D65304" w:rsidP="002D1B45">
      <w:pPr>
        <w:jc w:val="center"/>
        <w:rPr>
          <w:rFonts w:asciiTheme="minorBidi" w:hAnsiTheme="minorBidi" w:cstheme="minorBidi"/>
          <w:b/>
          <w:bCs/>
          <w:sz w:val="32"/>
          <w:szCs w:val="32"/>
        </w:rPr>
      </w:pPr>
      <w:r w:rsidRPr="00760296">
        <w:rPr>
          <w:rFonts w:asciiTheme="minorBidi" w:hAnsiTheme="minorBidi" w:cstheme="minorBidi"/>
          <w:b/>
          <w:bCs/>
          <w:noProof/>
          <w:sz w:val="32"/>
          <w:szCs w:val="32"/>
        </w:rPr>
        <w:drawing>
          <wp:inline distT="0" distB="0" distL="0" distR="0" wp14:anchorId="657069BD" wp14:editId="249554CC">
            <wp:extent cx="2865120" cy="126244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08222" cy="1281436"/>
                    </a:xfrm>
                    <a:prstGeom prst="rect">
                      <a:avLst/>
                    </a:prstGeom>
                  </pic:spPr>
                </pic:pic>
              </a:graphicData>
            </a:graphic>
          </wp:inline>
        </w:drawing>
      </w:r>
    </w:p>
    <w:p w14:paraId="63A862A8" w14:textId="77777777" w:rsidR="00436020" w:rsidRDefault="00436020" w:rsidP="002D1B45">
      <w:pPr>
        <w:jc w:val="center"/>
        <w:rPr>
          <w:rFonts w:asciiTheme="minorBidi" w:hAnsiTheme="minorBidi" w:cstheme="minorBidi"/>
          <w:b/>
          <w:bCs/>
          <w:sz w:val="32"/>
          <w:szCs w:val="32"/>
        </w:rPr>
      </w:pPr>
    </w:p>
    <w:p w14:paraId="3786FE48" w14:textId="4DDDA943" w:rsidR="00653731" w:rsidRDefault="00653731" w:rsidP="002D1B45">
      <w:pPr>
        <w:jc w:val="center"/>
        <w:rPr>
          <w:rFonts w:asciiTheme="minorBidi" w:hAnsiTheme="minorBidi" w:cstheme="minorBidi"/>
          <w:b/>
          <w:bCs/>
          <w:sz w:val="32"/>
          <w:szCs w:val="32"/>
        </w:rPr>
      </w:pPr>
      <w:r w:rsidRPr="00760296">
        <w:rPr>
          <w:rFonts w:asciiTheme="minorBidi" w:hAnsiTheme="minorBidi" w:cstheme="minorBidi"/>
          <w:b/>
          <w:bCs/>
          <w:sz w:val="32"/>
          <w:szCs w:val="32"/>
        </w:rPr>
        <w:t>Programme: Master of Business Administration</w:t>
      </w:r>
    </w:p>
    <w:p w14:paraId="4BB34E33" w14:textId="77777777" w:rsidR="00436020" w:rsidRPr="00760296" w:rsidRDefault="00436020" w:rsidP="002D1B45">
      <w:pPr>
        <w:jc w:val="center"/>
        <w:rPr>
          <w:rFonts w:asciiTheme="minorBidi" w:hAnsiTheme="minorBidi" w:cstheme="minorBidi"/>
          <w:b/>
          <w:bCs/>
          <w:sz w:val="32"/>
          <w:szCs w:val="32"/>
        </w:rPr>
      </w:pPr>
    </w:p>
    <w:p w14:paraId="50D5E187" w14:textId="77777777" w:rsidR="00653731" w:rsidRPr="00760296" w:rsidRDefault="00653731" w:rsidP="002D1B45">
      <w:pPr>
        <w:jc w:val="center"/>
        <w:rPr>
          <w:rFonts w:asciiTheme="minorBidi" w:hAnsiTheme="minorBidi" w:cstheme="minorBidi"/>
          <w:b/>
          <w:bCs/>
          <w:sz w:val="32"/>
          <w:szCs w:val="32"/>
        </w:rPr>
      </w:pPr>
      <w:r w:rsidRPr="00760296">
        <w:rPr>
          <w:rFonts w:asciiTheme="minorBidi" w:hAnsiTheme="minorBidi" w:cstheme="minorBidi"/>
          <w:b/>
          <w:bCs/>
          <w:sz w:val="32"/>
          <w:szCs w:val="32"/>
        </w:rPr>
        <w:t>Module: Financial Management</w:t>
      </w:r>
    </w:p>
    <w:p w14:paraId="3839DBEC" w14:textId="37BC9716" w:rsidR="00653731" w:rsidRDefault="00653731" w:rsidP="002D1B45">
      <w:pPr>
        <w:jc w:val="center"/>
        <w:rPr>
          <w:rFonts w:asciiTheme="minorBidi" w:hAnsiTheme="minorBidi" w:cstheme="minorBidi"/>
          <w:b/>
          <w:bCs/>
          <w:sz w:val="32"/>
          <w:szCs w:val="32"/>
        </w:rPr>
      </w:pPr>
      <w:r w:rsidRPr="00760296">
        <w:rPr>
          <w:rFonts w:asciiTheme="minorBidi" w:hAnsiTheme="minorBidi" w:cstheme="minorBidi"/>
          <w:b/>
          <w:bCs/>
          <w:sz w:val="32"/>
          <w:szCs w:val="32"/>
        </w:rPr>
        <w:t>Module code: LCMB7002</w:t>
      </w:r>
    </w:p>
    <w:p w14:paraId="58FCED0D" w14:textId="77777777" w:rsidR="00436020" w:rsidRPr="00760296" w:rsidRDefault="00436020" w:rsidP="002D1B45">
      <w:pPr>
        <w:jc w:val="center"/>
        <w:rPr>
          <w:rFonts w:asciiTheme="minorBidi" w:hAnsiTheme="minorBidi" w:cstheme="minorBidi"/>
          <w:b/>
          <w:bCs/>
          <w:sz w:val="32"/>
          <w:szCs w:val="32"/>
        </w:rPr>
      </w:pPr>
    </w:p>
    <w:p w14:paraId="1EB6CB72" w14:textId="7C706A84" w:rsidR="00653731" w:rsidRDefault="00653731" w:rsidP="002D1B45">
      <w:pPr>
        <w:jc w:val="center"/>
        <w:rPr>
          <w:rFonts w:asciiTheme="minorBidi" w:hAnsiTheme="minorBidi" w:cstheme="minorBidi"/>
          <w:b/>
          <w:bCs/>
          <w:sz w:val="32"/>
          <w:szCs w:val="32"/>
        </w:rPr>
      </w:pPr>
      <w:r w:rsidRPr="00760296">
        <w:rPr>
          <w:rFonts w:asciiTheme="minorBidi" w:hAnsiTheme="minorBidi" w:cstheme="minorBidi"/>
          <w:b/>
          <w:bCs/>
          <w:sz w:val="32"/>
          <w:szCs w:val="32"/>
        </w:rPr>
        <w:t>Assignment Title: Assessment component: Financial performance and management</w:t>
      </w:r>
    </w:p>
    <w:p w14:paraId="7FB350E5" w14:textId="77777777" w:rsidR="00436020" w:rsidRPr="00760296" w:rsidRDefault="00436020" w:rsidP="002D1B45">
      <w:pPr>
        <w:jc w:val="center"/>
        <w:rPr>
          <w:rFonts w:asciiTheme="minorBidi" w:hAnsiTheme="minorBidi" w:cstheme="minorBidi"/>
          <w:b/>
          <w:bCs/>
          <w:sz w:val="32"/>
          <w:szCs w:val="32"/>
        </w:rPr>
      </w:pPr>
    </w:p>
    <w:p w14:paraId="65A79EAB" w14:textId="0E92B4EB" w:rsidR="00653731" w:rsidRDefault="00653731" w:rsidP="002D1B45">
      <w:pPr>
        <w:jc w:val="center"/>
        <w:rPr>
          <w:rFonts w:asciiTheme="minorBidi" w:hAnsiTheme="minorBidi" w:cstheme="minorBidi"/>
          <w:b/>
          <w:bCs/>
          <w:sz w:val="32"/>
          <w:szCs w:val="32"/>
        </w:rPr>
      </w:pPr>
      <w:r w:rsidRPr="00760296">
        <w:rPr>
          <w:rFonts w:asciiTheme="minorBidi" w:hAnsiTheme="minorBidi" w:cstheme="minorBidi"/>
          <w:b/>
          <w:bCs/>
          <w:sz w:val="32"/>
          <w:szCs w:val="32"/>
        </w:rPr>
        <w:t>Lecturer:</w:t>
      </w:r>
      <w:r w:rsidR="00B24BB4">
        <w:rPr>
          <w:rFonts w:asciiTheme="minorBidi" w:hAnsiTheme="minorBidi" w:cstheme="minorBidi"/>
          <w:b/>
          <w:bCs/>
          <w:sz w:val="32"/>
          <w:szCs w:val="32"/>
        </w:rPr>
        <w:t xml:space="preserve"> Isaiah </w:t>
      </w:r>
      <w:proofErr w:type="spellStart"/>
      <w:r w:rsidR="00B24BB4">
        <w:rPr>
          <w:rFonts w:asciiTheme="minorBidi" w:hAnsiTheme="minorBidi" w:cstheme="minorBidi"/>
          <w:b/>
          <w:bCs/>
          <w:sz w:val="32"/>
          <w:szCs w:val="32"/>
        </w:rPr>
        <w:t>Oino</w:t>
      </w:r>
      <w:proofErr w:type="spellEnd"/>
      <w:r w:rsidR="00B24BB4">
        <w:rPr>
          <w:rFonts w:asciiTheme="minorBidi" w:hAnsiTheme="minorBidi" w:cstheme="minorBidi"/>
          <w:b/>
          <w:bCs/>
          <w:sz w:val="32"/>
          <w:szCs w:val="32"/>
        </w:rPr>
        <w:t xml:space="preserve"> </w:t>
      </w:r>
    </w:p>
    <w:p w14:paraId="206B51A7" w14:textId="77777777" w:rsidR="00791FC1" w:rsidRPr="00760296" w:rsidRDefault="00763175" w:rsidP="002D1B45">
      <w:pPr>
        <w:jc w:val="center"/>
        <w:rPr>
          <w:rFonts w:asciiTheme="minorBidi" w:hAnsiTheme="minorBidi" w:cstheme="minorBidi"/>
          <w:b/>
          <w:bCs/>
          <w:i/>
          <w:iCs/>
          <w:sz w:val="36"/>
          <w:szCs w:val="36"/>
        </w:rPr>
      </w:pPr>
      <w:r w:rsidRPr="00760296">
        <w:rPr>
          <w:rFonts w:asciiTheme="minorBidi" w:hAnsiTheme="minorBidi" w:cstheme="minorBidi"/>
          <w:b/>
          <w:bCs/>
          <w:i/>
          <w:iCs/>
          <w:sz w:val="36"/>
          <w:szCs w:val="36"/>
        </w:rPr>
        <w:t xml:space="preserve">Title: </w:t>
      </w:r>
      <w:r w:rsidR="00791FC1" w:rsidRPr="00760296">
        <w:rPr>
          <w:rFonts w:asciiTheme="minorBidi" w:hAnsiTheme="minorBidi" w:cstheme="minorBidi"/>
          <w:b/>
          <w:bCs/>
          <w:i/>
          <w:iCs/>
          <w:sz w:val="36"/>
          <w:szCs w:val="36"/>
        </w:rPr>
        <w:t>Final Strategic and Financial Conclusion for General Electronics</w:t>
      </w:r>
    </w:p>
    <w:p w14:paraId="502840B2" w14:textId="77777777" w:rsidR="00653731" w:rsidRPr="00760296" w:rsidRDefault="00653731" w:rsidP="002D1B45">
      <w:pPr>
        <w:jc w:val="center"/>
        <w:rPr>
          <w:rFonts w:asciiTheme="minorBidi" w:hAnsiTheme="minorBidi" w:cstheme="minorBidi"/>
          <w:b/>
          <w:bCs/>
          <w:i/>
          <w:iCs/>
          <w:sz w:val="36"/>
          <w:szCs w:val="36"/>
        </w:rPr>
      </w:pPr>
    </w:p>
    <w:p w14:paraId="3346BC04" w14:textId="77777777" w:rsidR="00653731" w:rsidRPr="00760296" w:rsidRDefault="00653731" w:rsidP="002D1B45">
      <w:pPr>
        <w:jc w:val="center"/>
        <w:rPr>
          <w:rFonts w:asciiTheme="minorBidi" w:hAnsiTheme="minorBidi" w:cstheme="minorBidi"/>
          <w:b/>
          <w:bCs/>
          <w:sz w:val="32"/>
          <w:szCs w:val="32"/>
        </w:rPr>
      </w:pPr>
    </w:p>
    <w:p w14:paraId="3136FD84" w14:textId="02B2038B" w:rsidR="00653731" w:rsidRPr="00760296" w:rsidRDefault="00653731" w:rsidP="002D1B45">
      <w:pPr>
        <w:jc w:val="center"/>
        <w:rPr>
          <w:rFonts w:asciiTheme="minorBidi" w:hAnsiTheme="minorBidi" w:cstheme="minorBidi"/>
          <w:b/>
          <w:bCs/>
          <w:sz w:val="32"/>
          <w:szCs w:val="32"/>
        </w:rPr>
      </w:pPr>
      <w:r w:rsidRPr="00760296">
        <w:rPr>
          <w:rFonts w:asciiTheme="minorBidi" w:hAnsiTheme="minorBidi" w:cstheme="minorBidi"/>
          <w:b/>
          <w:bCs/>
          <w:sz w:val="32"/>
          <w:szCs w:val="32"/>
        </w:rPr>
        <w:t>Student Name:</w:t>
      </w:r>
      <w:r w:rsidR="00B24BB4">
        <w:rPr>
          <w:rFonts w:asciiTheme="minorBidi" w:hAnsiTheme="minorBidi" w:cstheme="minorBidi"/>
          <w:b/>
          <w:bCs/>
          <w:sz w:val="32"/>
          <w:szCs w:val="32"/>
        </w:rPr>
        <w:t xml:space="preserve"> </w:t>
      </w:r>
      <w:proofErr w:type="spellStart"/>
      <w:r w:rsidR="00B24BB4">
        <w:rPr>
          <w:rFonts w:asciiTheme="minorBidi" w:hAnsiTheme="minorBidi" w:cstheme="minorBidi"/>
          <w:b/>
          <w:bCs/>
          <w:sz w:val="32"/>
          <w:szCs w:val="32"/>
        </w:rPr>
        <w:t>Dakshesh</w:t>
      </w:r>
      <w:proofErr w:type="spellEnd"/>
      <w:r w:rsidR="00B24BB4">
        <w:rPr>
          <w:rFonts w:asciiTheme="minorBidi" w:hAnsiTheme="minorBidi" w:cstheme="minorBidi"/>
          <w:b/>
          <w:bCs/>
          <w:sz w:val="32"/>
          <w:szCs w:val="32"/>
        </w:rPr>
        <w:t xml:space="preserve"> </w:t>
      </w:r>
      <w:proofErr w:type="spellStart"/>
      <w:r w:rsidR="00B24BB4">
        <w:rPr>
          <w:rFonts w:asciiTheme="minorBidi" w:hAnsiTheme="minorBidi" w:cstheme="minorBidi"/>
          <w:b/>
          <w:bCs/>
          <w:sz w:val="32"/>
          <w:szCs w:val="32"/>
        </w:rPr>
        <w:t>NarendraKumar</w:t>
      </w:r>
      <w:proofErr w:type="spellEnd"/>
      <w:r w:rsidR="00B24BB4">
        <w:rPr>
          <w:rFonts w:asciiTheme="minorBidi" w:hAnsiTheme="minorBidi" w:cstheme="minorBidi"/>
          <w:b/>
          <w:bCs/>
          <w:sz w:val="32"/>
          <w:szCs w:val="32"/>
        </w:rPr>
        <w:t xml:space="preserve"> Patel</w:t>
      </w:r>
    </w:p>
    <w:p w14:paraId="25A881F4" w14:textId="38CBD2B8" w:rsidR="00653731" w:rsidRDefault="00653731" w:rsidP="002D1B45">
      <w:pPr>
        <w:jc w:val="center"/>
        <w:rPr>
          <w:rFonts w:asciiTheme="minorBidi" w:hAnsiTheme="minorBidi" w:cstheme="minorBidi"/>
          <w:b/>
          <w:bCs/>
          <w:sz w:val="32"/>
          <w:szCs w:val="32"/>
        </w:rPr>
      </w:pPr>
      <w:r w:rsidRPr="00760296">
        <w:rPr>
          <w:rFonts w:asciiTheme="minorBidi" w:hAnsiTheme="minorBidi" w:cstheme="minorBidi"/>
          <w:b/>
          <w:bCs/>
          <w:sz w:val="32"/>
          <w:szCs w:val="32"/>
        </w:rPr>
        <w:t xml:space="preserve">Student ID: </w:t>
      </w:r>
      <w:r w:rsidR="00B24BB4">
        <w:rPr>
          <w:rFonts w:asciiTheme="minorBidi" w:hAnsiTheme="minorBidi" w:cstheme="minorBidi"/>
          <w:b/>
          <w:bCs/>
          <w:sz w:val="32"/>
          <w:szCs w:val="32"/>
        </w:rPr>
        <w:t>2434255</w:t>
      </w:r>
    </w:p>
    <w:p w14:paraId="7E5FAEA9" w14:textId="77777777" w:rsidR="00436020" w:rsidRPr="00760296" w:rsidRDefault="00436020" w:rsidP="002D1B45">
      <w:pPr>
        <w:jc w:val="center"/>
        <w:rPr>
          <w:rFonts w:asciiTheme="minorBidi" w:hAnsiTheme="minorBidi" w:cstheme="minorBidi"/>
          <w:b/>
          <w:bCs/>
          <w:sz w:val="32"/>
          <w:szCs w:val="32"/>
        </w:rPr>
      </w:pPr>
    </w:p>
    <w:p w14:paraId="182E6BCC" w14:textId="7BD26870" w:rsidR="00B24BB4" w:rsidRPr="00760296" w:rsidRDefault="00B24BB4" w:rsidP="00B24BB4">
      <w:pPr>
        <w:jc w:val="center"/>
        <w:rPr>
          <w:rFonts w:asciiTheme="minorBidi" w:hAnsiTheme="minorBidi" w:cstheme="minorBidi"/>
          <w:b/>
          <w:bCs/>
          <w:sz w:val="32"/>
          <w:szCs w:val="32"/>
        </w:rPr>
      </w:pPr>
      <w:r w:rsidRPr="00760296">
        <w:rPr>
          <w:rFonts w:asciiTheme="minorBidi" w:hAnsiTheme="minorBidi" w:cstheme="minorBidi"/>
          <w:b/>
          <w:bCs/>
          <w:sz w:val="32"/>
          <w:szCs w:val="32"/>
        </w:rPr>
        <w:t>Word Count: 50</w:t>
      </w:r>
      <w:r>
        <w:rPr>
          <w:rFonts w:asciiTheme="minorBidi" w:hAnsiTheme="minorBidi" w:cstheme="minorBidi"/>
          <w:b/>
          <w:bCs/>
          <w:sz w:val="32"/>
          <w:szCs w:val="32"/>
        </w:rPr>
        <w:t>61</w:t>
      </w:r>
    </w:p>
    <w:p w14:paraId="15251401" w14:textId="4A7D269B" w:rsidR="00B24BB4" w:rsidRDefault="00B24BB4" w:rsidP="002D1B45">
      <w:pPr>
        <w:rPr>
          <w:rFonts w:asciiTheme="minorBidi" w:hAnsiTheme="minorBidi" w:cstheme="minorBidi"/>
        </w:rPr>
      </w:pPr>
    </w:p>
    <w:p w14:paraId="3E3EE3A6" w14:textId="77777777" w:rsidR="00B24BB4" w:rsidRDefault="00B24BB4" w:rsidP="002D1B45">
      <w:pPr>
        <w:rPr>
          <w:rFonts w:asciiTheme="minorBidi" w:hAnsiTheme="minorBidi" w:cstheme="minorBidi"/>
        </w:rPr>
      </w:pPr>
    </w:p>
    <w:p w14:paraId="06E315A2" w14:textId="77777777" w:rsidR="00B24BB4" w:rsidRPr="00760296" w:rsidRDefault="00B24BB4" w:rsidP="002D1B45">
      <w:pPr>
        <w:rPr>
          <w:rFonts w:asciiTheme="minorBidi" w:hAnsiTheme="minorBidi" w:cstheme="minorBidi"/>
        </w:rPr>
      </w:pPr>
    </w:p>
    <w:sdt>
      <w:sdtPr>
        <w:rPr>
          <w:rFonts w:asciiTheme="minorBidi" w:eastAsia="Times New Roman" w:hAnsiTheme="minorBidi" w:cstheme="minorBidi"/>
          <w:color w:val="auto"/>
          <w:sz w:val="24"/>
          <w:szCs w:val="24"/>
          <w:lang w:val="en-GB" w:eastAsia="en-IN"/>
        </w:rPr>
        <w:id w:val="-632866006"/>
        <w:docPartObj>
          <w:docPartGallery w:val="Table of Contents"/>
          <w:docPartUnique/>
        </w:docPartObj>
      </w:sdtPr>
      <w:sdtEndPr>
        <w:rPr>
          <w:b/>
          <w:bCs/>
          <w:noProof/>
        </w:rPr>
      </w:sdtEndPr>
      <w:sdtContent>
        <w:p w14:paraId="05A1962B" w14:textId="77777777" w:rsidR="002D1B45" w:rsidRPr="00760296" w:rsidRDefault="002D1B45" w:rsidP="002D1B45">
          <w:pPr>
            <w:pStyle w:val="TOCHeading"/>
            <w:spacing w:line="360" w:lineRule="auto"/>
            <w:jc w:val="center"/>
            <w:rPr>
              <w:rFonts w:asciiTheme="minorBidi" w:hAnsiTheme="minorBidi" w:cstheme="minorBidi"/>
              <w:b/>
              <w:bCs/>
              <w:color w:val="auto"/>
            </w:rPr>
          </w:pPr>
          <w:r w:rsidRPr="00760296">
            <w:rPr>
              <w:rFonts w:asciiTheme="minorBidi" w:hAnsiTheme="minorBidi" w:cstheme="minorBidi"/>
              <w:b/>
              <w:bCs/>
              <w:color w:val="auto"/>
            </w:rPr>
            <w:t>Table of Contents</w:t>
          </w:r>
        </w:p>
        <w:p w14:paraId="230A91A4" w14:textId="77777777" w:rsidR="002D1B45" w:rsidRPr="00760296" w:rsidRDefault="002D1B45">
          <w:pPr>
            <w:pStyle w:val="TOC1"/>
            <w:tabs>
              <w:tab w:val="right" w:leader="dot" w:pos="9019"/>
            </w:tabs>
            <w:rPr>
              <w:rFonts w:asciiTheme="minorBidi" w:eastAsiaTheme="minorEastAsia" w:hAnsiTheme="minorBidi" w:cstheme="minorBidi"/>
              <w:noProof/>
              <w:sz w:val="22"/>
              <w:szCs w:val="22"/>
              <w:lang w:val="en-IN"/>
            </w:rPr>
          </w:pPr>
          <w:r w:rsidRPr="00760296">
            <w:rPr>
              <w:rFonts w:asciiTheme="minorBidi" w:hAnsiTheme="minorBidi" w:cstheme="minorBidi"/>
            </w:rPr>
            <w:fldChar w:fldCharType="begin"/>
          </w:r>
          <w:r w:rsidRPr="00760296">
            <w:rPr>
              <w:rFonts w:asciiTheme="minorBidi" w:hAnsiTheme="minorBidi" w:cstheme="minorBidi"/>
            </w:rPr>
            <w:instrText xml:space="preserve"> TOC \o "1-3" \h \z \u </w:instrText>
          </w:r>
          <w:r w:rsidRPr="00760296">
            <w:rPr>
              <w:rFonts w:asciiTheme="minorBidi" w:hAnsiTheme="minorBidi" w:cstheme="minorBidi"/>
            </w:rPr>
            <w:fldChar w:fldCharType="separate"/>
          </w:r>
          <w:hyperlink w:anchor="_Toc213194602" w:history="1">
            <w:r w:rsidRPr="00760296">
              <w:rPr>
                <w:rStyle w:val="Hyperlink"/>
                <w:rFonts w:asciiTheme="minorBidi" w:hAnsiTheme="minorBidi" w:cstheme="minorBidi"/>
                <w:noProof/>
              </w:rPr>
              <w:t>1. Introduction</w:t>
            </w:r>
            <w:r w:rsidRPr="00760296">
              <w:rPr>
                <w:rFonts w:asciiTheme="minorBidi" w:hAnsiTheme="minorBidi" w:cstheme="minorBidi"/>
                <w:noProof/>
                <w:webHidden/>
              </w:rPr>
              <w:tab/>
            </w:r>
            <w:r w:rsidRPr="00760296">
              <w:rPr>
                <w:rFonts w:asciiTheme="minorBidi" w:hAnsiTheme="minorBidi" w:cstheme="minorBidi"/>
                <w:noProof/>
                <w:webHidden/>
              </w:rPr>
              <w:fldChar w:fldCharType="begin"/>
            </w:r>
            <w:r w:rsidRPr="00760296">
              <w:rPr>
                <w:rFonts w:asciiTheme="minorBidi" w:hAnsiTheme="minorBidi" w:cstheme="minorBidi"/>
                <w:noProof/>
                <w:webHidden/>
              </w:rPr>
              <w:instrText xml:space="preserve"> PAGEREF _Toc213194602 \h </w:instrText>
            </w:r>
            <w:r w:rsidRPr="00760296">
              <w:rPr>
                <w:rFonts w:asciiTheme="minorBidi" w:hAnsiTheme="minorBidi" w:cstheme="minorBidi"/>
                <w:noProof/>
                <w:webHidden/>
              </w:rPr>
            </w:r>
            <w:r w:rsidRPr="00760296">
              <w:rPr>
                <w:rFonts w:asciiTheme="minorBidi" w:hAnsiTheme="minorBidi" w:cstheme="minorBidi"/>
                <w:noProof/>
                <w:webHidden/>
              </w:rPr>
              <w:fldChar w:fldCharType="separate"/>
            </w:r>
            <w:r w:rsidRPr="00760296">
              <w:rPr>
                <w:rFonts w:asciiTheme="minorBidi" w:hAnsiTheme="minorBidi" w:cstheme="minorBidi"/>
                <w:noProof/>
                <w:webHidden/>
              </w:rPr>
              <w:t>3</w:t>
            </w:r>
            <w:r w:rsidRPr="00760296">
              <w:rPr>
                <w:rFonts w:asciiTheme="minorBidi" w:hAnsiTheme="minorBidi" w:cstheme="minorBidi"/>
                <w:noProof/>
                <w:webHidden/>
              </w:rPr>
              <w:fldChar w:fldCharType="end"/>
            </w:r>
          </w:hyperlink>
        </w:p>
        <w:p w14:paraId="678205E2" w14:textId="77777777" w:rsidR="002D1B45" w:rsidRPr="00760296" w:rsidRDefault="00C82DC4">
          <w:pPr>
            <w:pStyle w:val="TOC1"/>
            <w:tabs>
              <w:tab w:val="right" w:leader="dot" w:pos="9019"/>
            </w:tabs>
            <w:rPr>
              <w:rFonts w:asciiTheme="minorBidi" w:eastAsiaTheme="minorEastAsia" w:hAnsiTheme="minorBidi" w:cstheme="minorBidi"/>
              <w:noProof/>
              <w:sz w:val="22"/>
              <w:szCs w:val="22"/>
              <w:lang w:val="en-IN"/>
            </w:rPr>
          </w:pPr>
          <w:hyperlink w:anchor="_Toc213194603" w:history="1">
            <w:r w:rsidR="002D1B45" w:rsidRPr="00760296">
              <w:rPr>
                <w:rStyle w:val="Hyperlink"/>
                <w:rFonts w:asciiTheme="minorBidi" w:eastAsia="Gungsuh" w:hAnsiTheme="minorBidi" w:cstheme="minorBidi"/>
                <w:noProof/>
              </w:rPr>
              <w:t>2. Financial Health Check</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_Toc213194603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4</w:t>
            </w:r>
            <w:r w:rsidR="002D1B45" w:rsidRPr="00760296">
              <w:rPr>
                <w:rFonts w:asciiTheme="minorBidi" w:hAnsiTheme="minorBidi" w:cstheme="minorBidi"/>
                <w:noProof/>
                <w:webHidden/>
              </w:rPr>
              <w:fldChar w:fldCharType="end"/>
            </w:r>
          </w:hyperlink>
        </w:p>
        <w:p w14:paraId="0228AFFB" w14:textId="77777777" w:rsidR="002D1B45" w:rsidRPr="00760296" w:rsidRDefault="00C82DC4">
          <w:pPr>
            <w:pStyle w:val="TOC2"/>
            <w:tabs>
              <w:tab w:val="right" w:leader="dot" w:pos="9019"/>
            </w:tabs>
            <w:rPr>
              <w:rFonts w:asciiTheme="minorBidi" w:eastAsiaTheme="minorEastAsia" w:hAnsiTheme="minorBidi" w:cstheme="minorBidi"/>
              <w:noProof/>
              <w:sz w:val="22"/>
              <w:szCs w:val="22"/>
              <w:lang w:val="en-IN"/>
            </w:rPr>
          </w:pPr>
          <w:hyperlink w:anchor="_Toc213194604" w:history="1">
            <w:r w:rsidR="002D1B45" w:rsidRPr="00760296">
              <w:rPr>
                <w:rStyle w:val="Hyperlink"/>
                <w:rFonts w:asciiTheme="minorBidi" w:hAnsiTheme="minorBidi" w:cstheme="minorBidi"/>
                <w:noProof/>
              </w:rPr>
              <w:t>2.1 Overview of Financial Position</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_Toc213194604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4</w:t>
            </w:r>
            <w:r w:rsidR="002D1B45" w:rsidRPr="00760296">
              <w:rPr>
                <w:rFonts w:asciiTheme="minorBidi" w:hAnsiTheme="minorBidi" w:cstheme="minorBidi"/>
                <w:noProof/>
                <w:webHidden/>
              </w:rPr>
              <w:fldChar w:fldCharType="end"/>
            </w:r>
          </w:hyperlink>
        </w:p>
        <w:p w14:paraId="6DF3F3D7" w14:textId="77777777" w:rsidR="002D1B45" w:rsidRPr="00760296" w:rsidRDefault="00C82DC4">
          <w:pPr>
            <w:pStyle w:val="TOC3"/>
            <w:tabs>
              <w:tab w:val="right" w:leader="dot" w:pos="9019"/>
            </w:tabs>
            <w:rPr>
              <w:rFonts w:asciiTheme="minorBidi" w:eastAsiaTheme="minorEastAsia" w:hAnsiTheme="minorBidi" w:cstheme="minorBidi"/>
              <w:noProof/>
              <w:sz w:val="22"/>
              <w:szCs w:val="22"/>
              <w:lang w:val="en-IN"/>
            </w:rPr>
          </w:pPr>
          <w:hyperlink w:anchor="_Toc213194605" w:history="1">
            <w:r w:rsidR="002D1B45" w:rsidRPr="00760296">
              <w:rPr>
                <w:rStyle w:val="Hyperlink"/>
                <w:rFonts w:asciiTheme="minorBidi" w:hAnsiTheme="minorBidi" w:cstheme="minorBidi"/>
                <w:noProof/>
              </w:rPr>
              <w:t>2.1.1 Income Statement</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_Toc213194605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4</w:t>
            </w:r>
            <w:r w:rsidR="002D1B45" w:rsidRPr="00760296">
              <w:rPr>
                <w:rFonts w:asciiTheme="minorBidi" w:hAnsiTheme="minorBidi" w:cstheme="minorBidi"/>
                <w:noProof/>
                <w:webHidden/>
              </w:rPr>
              <w:fldChar w:fldCharType="end"/>
            </w:r>
          </w:hyperlink>
        </w:p>
        <w:p w14:paraId="42DE8022" w14:textId="77777777" w:rsidR="002D1B45" w:rsidRPr="00760296" w:rsidRDefault="00C82DC4">
          <w:pPr>
            <w:pStyle w:val="TOC3"/>
            <w:tabs>
              <w:tab w:val="right" w:leader="dot" w:pos="9019"/>
            </w:tabs>
            <w:rPr>
              <w:rFonts w:asciiTheme="minorBidi" w:eastAsiaTheme="minorEastAsia" w:hAnsiTheme="minorBidi" w:cstheme="minorBidi"/>
              <w:noProof/>
              <w:sz w:val="22"/>
              <w:szCs w:val="22"/>
              <w:lang w:val="en-IN"/>
            </w:rPr>
          </w:pPr>
          <w:hyperlink w:anchor="_Toc213194606" w:history="1">
            <w:r w:rsidR="002D1B45" w:rsidRPr="00760296">
              <w:rPr>
                <w:rStyle w:val="Hyperlink"/>
                <w:rFonts w:asciiTheme="minorBidi" w:hAnsiTheme="minorBidi" w:cstheme="minorBidi"/>
                <w:noProof/>
              </w:rPr>
              <w:t>2.1.2 Balance Sheet</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_Toc213194606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4</w:t>
            </w:r>
            <w:r w:rsidR="002D1B45" w:rsidRPr="00760296">
              <w:rPr>
                <w:rFonts w:asciiTheme="minorBidi" w:hAnsiTheme="minorBidi" w:cstheme="minorBidi"/>
                <w:noProof/>
                <w:webHidden/>
              </w:rPr>
              <w:fldChar w:fldCharType="end"/>
            </w:r>
          </w:hyperlink>
        </w:p>
        <w:p w14:paraId="6CE68106" w14:textId="77777777" w:rsidR="002D1B45" w:rsidRPr="00760296" w:rsidRDefault="00C82DC4">
          <w:pPr>
            <w:pStyle w:val="TOC3"/>
            <w:tabs>
              <w:tab w:val="right" w:leader="dot" w:pos="9019"/>
            </w:tabs>
            <w:rPr>
              <w:rFonts w:asciiTheme="minorBidi" w:eastAsiaTheme="minorEastAsia" w:hAnsiTheme="minorBidi" w:cstheme="minorBidi"/>
              <w:noProof/>
              <w:sz w:val="22"/>
              <w:szCs w:val="22"/>
              <w:lang w:val="en-IN"/>
            </w:rPr>
          </w:pPr>
          <w:hyperlink w:anchor="_Toc213194607" w:history="1">
            <w:r w:rsidR="002D1B45" w:rsidRPr="00760296">
              <w:rPr>
                <w:rStyle w:val="Hyperlink"/>
                <w:rFonts w:asciiTheme="minorBidi" w:hAnsiTheme="minorBidi" w:cstheme="minorBidi"/>
                <w:noProof/>
              </w:rPr>
              <w:t>2.1.3 Cash Flow Statement</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_Toc213194607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4</w:t>
            </w:r>
            <w:r w:rsidR="002D1B45" w:rsidRPr="00760296">
              <w:rPr>
                <w:rFonts w:asciiTheme="minorBidi" w:hAnsiTheme="minorBidi" w:cstheme="minorBidi"/>
                <w:noProof/>
                <w:webHidden/>
              </w:rPr>
              <w:fldChar w:fldCharType="end"/>
            </w:r>
          </w:hyperlink>
        </w:p>
        <w:p w14:paraId="61F0B9DD" w14:textId="77777777" w:rsidR="002D1B45" w:rsidRPr="00760296" w:rsidRDefault="00C82DC4">
          <w:pPr>
            <w:pStyle w:val="TOC2"/>
            <w:tabs>
              <w:tab w:val="right" w:leader="dot" w:pos="9019"/>
            </w:tabs>
            <w:rPr>
              <w:rFonts w:asciiTheme="minorBidi" w:eastAsiaTheme="minorEastAsia" w:hAnsiTheme="minorBidi" w:cstheme="minorBidi"/>
              <w:noProof/>
              <w:sz w:val="22"/>
              <w:szCs w:val="22"/>
              <w:lang w:val="en-IN"/>
            </w:rPr>
          </w:pPr>
          <w:hyperlink w:anchor="_Toc213194608" w:history="1">
            <w:r w:rsidR="002D1B45" w:rsidRPr="00760296">
              <w:rPr>
                <w:rStyle w:val="Hyperlink"/>
                <w:rFonts w:asciiTheme="minorBidi" w:hAnsiTheme="minorBidi" w:cstheme="minorBidi"/>
                <w:noProof/>
              </w:rPr>
              <w:t>2.2 Ratio Analysis</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_Toc213194608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5</w:t>
            </w:r>
            <w:r w:rsidR="002D1B45" w:rsidRPr="00760296">
              <w:rPr>
                <w:rFonts w:asciiTheme="minorBidi" w:hAnsiTheme="minorBidi" w:cstheme="minorBidi"/>
                <w:noProof/>
                <w:webHidden/>
              </w:rPr>
              <w:fldChar w:fldCharType="end"/>
            </w:r>
          </w:hyperlink>
        </w:p>
        <w:p w14:paraId="6B1748B2" w14:textId="77777777" w:rsidR="002D1B45" w:rsidRPr="00760296" w:rsidRDefault="00C82DC4">
          <w:pPr>
            <w:pStyle w:val="TOC3"/>
            <w:tabs>
              <w:tab w:val="right" w:leader="dot" w:pos="9019"/>
            </w:tabs>
            <w:rPr>
              <w:rFonts w:asciiTheme="minorBidi" w:eastAsiaTheme="minorEastAsia" w:hAnsiTheme="minorBidi" w:cstheme="minorBidi"/>
              <w:noProof/>
              <w:sz w:val="22"/>
              <w:szCs w:val="22"/>
              <w:lang w:val="en-IN"/>
            </w:rPr>
          </w:pPr>
          <w:hyperlink w:anchor="_Toc213194609" w:history="1">
            <w:r w:rsidR="002D1B45" w:rsidRPr="00760296">
              <w:rPr>
                <w:rStyle w:val="Hyperlink"/>
                <w:rFonts w:asciiTheme="minorBidi" w:hAnsiTheme="minorBidi" w:cstheme="minorBidi"/>
                <w:noProof/>
              </w:rPr>
              <w:t>2.2.1Liquidity Ratios Analysis</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_Toc213194609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5</w:t>
            </w:r>
            <w:r w:rsidR="002D1B45" w:rsidRPr="00760296">
              <w:rPr>
                <w:rFonts w:asciiTheme="minorBidi" w:hAnsiTheme="minorBidi" w:cstheme="minorBidi"/>
                <w:noProof/>
                <w:webHidden/>
              </w:rPr>
              <w:fldChar w:fldCharType="end"/>
            </w:r>
          </w:hyperlink>
        </w:p>
        <w:p w14:paraId="774CC6B4" w14:textId="77777777" w:rsidR="002D1B45" w:rsidRPr="00760296" w:rsidRDefault="00C82DC4">
          <w:pPr>
            <w:pStyle w:val="TOC3"/>
            <w:tabs>
              <w:tab w:val="right" w:leader="dot" w:pos="9019"/>
            </w:tabs>
            <w:rPr>
              <w:rFonts w:asciiTheme="minorBidi" w:eastAsiaTheme="minorEastAsia" w:hAnsiTheme="minorBidi" w:cstheme="minorBidi"/>
              <w:noProof/>
              <w:sz w:val="22"/>
              <w:szCs w:val="22"/>
              <w:lang w:val="en-IN"/>
            </w:rPr>
          </w:pPr>
          <w:hyperlink w:anchor="_Toc213194610" w:history="1">
            <w:r w:rsidR="002D1B45" w:rsidRPr="00760296">
              <w:rPr>
                <w:rStyle w:val="Hyperlink"/>
                <w:rFonts w:asciiTheme="minorBidi" w:hAnsiTheme="minorBidi" w:cstheme="minorBidi"/>
                <w:noProof/>
              </w:rPr>
              <w:t>2.2.2 Profitability Ratios Analysis</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_Toc213194610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5</w:t>
            </w:r>
            <w:r w:rsidR="002D1B45" w:rsidRPr="00760296">
              <w:rPr>
                <w:rFonts w:asciiTheme="minorBidi" w:hAnsiTheme="minorBidi" w:cstheme="minorBidi"/>
                <w:noProof/>
                <w:webHidden/>
              </w:rPr>
              <w:fldChar w:fldCharType="end"/>
            </w:r>
          </w:hyperlink>
        </w:p>
        <w:p w14:paraId="576FD2E9" w14:textId="77777777" w:rsidR="002D1B45" w:rsidRPr="00760296" w:rsidRDefault="00C82DC4">
          <w:pPr>
            <w:pStyle w:val="TOC3"/>
            <w:tabs>
              <w:tab w:val="right" w:leader="dot" w:pos="9019"/>
            </w:tabs>
            <w:rPr>
              <w:rFonts w:asciiTheme="minorBidi" w:eastAsiaTheme="minorEastAsia" w:hAnsiTheme="minorBidi" w:cstheme="minorBidi"/>
              <w:noProof/>
              <w:sz w:val="22"/>
              <w:szCs w:val="22"/>
              <w:lang w:val="en-IN"/>
            </w:rPr>
          </w:pPr>
          <w:hyperlink w:anchor="_Toc213194611" w:history="1">
            <w:r w:rsidR="002D1B45" w:rsidRPr="00760296">
              <w:rPr>
                <w:rStyle w:val="Hyperlink"/>
                <w:rFonts w:asciiTheme="minorBidi" w:hAnsiTheme="minorBidi" w:cstheme="minorBidi"/>
                <w:noProof/>
              </w:rPr>
              <w:t>2.2.3 Leverage Ratios Analysis</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_Toc213194611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5</w:t>
            </w:r>
            <w:r w:rsidR="002D1B45" w:rsidRPr="00760296">
              <w:rPr>
                <w:rFonts w:asciiTheme="minorBidi" w:hAnsiTheme="minorBidi" w:cstheme="minorBidi"/>
                <w:noProof/>
                <w:webHidden/>
              </w:rPr>
              <w:fldChar w:fldCharType="end"/>
            </w:r>
          </w:hyperlink>
        </w:p>
        <w:p w14:paraId="77FB27A8" w14:textId="77777777" w:rsidR="002D1B45" w:rsidRPr="00760296" w:rsidRDefault="00C82DC4">
          <w:pPr>
            <w:pStyle w:val="TOC3"/>
            <w:tabs>
              <w:tab w:val="right" w:leader="dot" w:pos="9019"/>
            </w:tabs>
            <w:rPr>
              <w:rFonts w:asciiTheme="minorBidi" w:eastAsiaTheme="minorEastAsia" w:hAnsiTheme="minorBidi" w:cstheme="minorBidi"/>
              <w:noProof/>
              <w:sz w:val="22"/>
              <w:szCs w:val="22"/>
              <w:lang w:val="en-IN"/>
            </w:rPr>
          </w:pPr>
          <w:hyperlink w:anchor="_Toc213194612" w:history="1">
            <w:r w:rsidR="002D1B45" w:rsidRPr="00760296">
              <w:rPr>
                <w:rStyle w:val="Hyperlink"/>
                <w:rFonts w:asciiTheme="minorBidi" w:hAnsiTheme="minorBidi" w:cstheme="minorBidi"/>
                <w:noProof/>
              </w:rPr>
              <w:t>2.2.4 Efficiency Ratios Analysis</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_Toc213194612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5</w:t>
            </w:r>
            <w:r w:rsidR="002D1B45" w:rsidRPr="00760296">
              <w:rPr>
                <w:rFonts w:asciiTheme="minorBidi" w:hAnsiTheme="minorBidi" w:cstheme="minorBidi"/>
                <w:noProof/>
                <w:webHidden/>
              </w:rPr>
              <w:fldChar w:fldCharType="end"/>
            </w:r>
          </w:hyperlink>
        </w:p>
        <w:p w14:paraId="792D5143" w14:textId="77777777" w:rsidR="002D1B45" w:rsidRPr="00760296" w:rsidRDefault="00C82DC4">
          <w:pPr>
            <w:pStyle w:val="TOC3"/>
            <w:tabs>
              <w:tab w:val="right" w:leader="dot" w:pos="9019"/>
            </w:tabs>
            <w:rPr>
              <w:rFonts w:asciiTheme="minorBidi" w:eastAsiaTheme="minorEastAsia" w:hAnsiTheme="minorBidi" w:cstheme="minorBidi"/>
              <w:noProof/>
              <w:sz w:val="22"/>
              <w:szCs w:val="22"/>
              <w:lang w:val="en-IN"/>
            </w:rPr>
          </w:pPr>
          <w:hyperlink w:anchor="_Toc213194613" w:history="1">
            <w:r w:rsidR="002D1B45" w:rsidRPr="00760296">
              <w:rPr>
                <w:rStyle w:val="Hyperlink"/>
                <w:rFonts w:asciiTheme="minorBidi" w:hAnsiTheme="minorBidi" w:cstheme="minorBidi"/>
                <w:noProof/>
              </w:rPr>
              <w:t>2.2.5 Investment Ratios Analysis</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_Toc213194613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6</w:t>
            </w:r>
            <w:r w:rsidR="002D1B45" w:rsidRPr="00760296">
              <w:rPr>
                <w:rFonts w:asciiTheme="minorBidi" w:hAnsiTheme="minorBidi" w:cstheme="minorBidi"/>
                <w:noProof/>
                <w:webHidden/>
              </w:rPr>
              <w:fldChar w:fldCharType="end"/>
            </w:r>
          </w:hyperlink>
        </w:p>
        <w:p w14:paraId="5A9373A5" w14:textId="77777777" w:rsidR="002D1B45" w:rsidRPr="00760296" w:rsidRDefault="00C82DC4">
          <w:pPr>
            <w:pStyle w:val="TOC3"/>
            <w:tabs>
              <w:tab w:val="right" w:leader="dot" w:pos="9019"/>
            </w:tabs>
            <w:rPr>
              <w:rFonts w:asciiTheme="minorBidi" w:eastAsiaTheme="minorEastAsia" w:hAnsiTheme="minorBidi" w:cstheme="minorBidi"/>
              <w:noProof/>
              <w:sz w:val="22"/>
              <w:szCs w:val="22"/>
              <w:lang w:val="en-IN"/>
            </w:rPr>
          </w:pPr>
          <w:hyperlink w:anchor="_Toc213194614" w:history="1">
            <w:r w:rsidR="002D1B45" w:rsidRPr="00760296">
              <w:rPr>
                <w:rStyle w:val="Hyperlink"/>
                <w:rFonts w:asciiTheme="minorBidi" w:hAnsiTheme="minorBidi" w:cstheme="minorBidi"/>
                <w:noProof/>
              </w:rPr>
              <w:t>2.2.6 Cash flow Ratio</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_Toc213194614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6</w:t>
            </w:r>
            <w:r w:rsidR="002D1B45" w:rsidRPr="00760296">
              <w:rPr>
                <w:rFonts w:asciiTheme="minorBidi" w:hAnsiTheme="minorBidi" w:cstheme="minorBidi"/>
                <w:noProof/>
                <w:webHidden/>
              </w:rPr>
              <w:fldChar w:fldCharType="end"/>
            </w:r>
          </w:hyperlink>
        </w:p>
        <w:p w14:paraId="65C867F7" w14:textId="77777777" w:rsidR="002D1B45" w:rsidRPr="00760296" w:rsidRDefault="00C82DC4">
          <w:pPr>
            <w:pStyle w:val="TOC2"/>
            <w:tabs>
              <w:tab w:val="right" w:leader="dot" w:pos="9019"/>
            </w:tabs>
            <w:rPr>
              <w:rFonts w:asciiTheme="minorBidi" w:eastAsiaTheme="minorEastAsia" w:hAnsiTheme="minorBidi" w:cstheme="minorBidi"/>
              <w:noProof/>
              <w:sz w:val="22"/>
              <w:szCs w:val="22"/>
              <w:lang w:val="en-IN"/>
            </w:rPr>
          </w:pPr>
          <w:hyperlink w:anchor="_Toc213194615" w:history="1">
            <w:r w:rsidR="002D1B45" w:rsidRPr="00760296">
              <w:rPr>
                <w:rStyle w:val="Hyperlink"/>
                <w:rFonts w:asciiTheme="minorBidi" w:hAnsiTheme="minorBidi" w:cstheme="minorBidi"/>
                <w:noProof/>
              </w:rPr>
              <w:t>2.3 Trend and strength and threat Analysis</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_Toc213194615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6</w:t>
            </w:r>
            <w:r w:rsidR="002D1B45" w:rsidRPr="00760296">
              <w:rPr>
                <w:rFonts w:asciiTheme="minorBidi" w:hAnsiTheme="minorBidi" w:cstheme="minorBidi"/>
                <w:noProof/>
                <w:webHidden/>
              </w:rPr>
              <w:fldChar w:fldCharType="end"/>
            </w:r>
          </w:hyperlink>
        </w:p>
        <w:p w14:paraId="54496591" w14:textId="77777777" w:rsidR="002D1B45" w:rsidRPr="00760296" w:rsidRDefault="00C82DC4">
          <w:pPr>
            <w:pStyle w:val="TOC3"/>
            <w:tabs>
              <w:tab w:val="right" w:leader="dot" w:pos="9019"/>
            </w:tabs>
            <w:rPr>
              <w:rFonts w:asciiTheme="minorBidi" w:eastAsiaTheme="minorEastAsia" w:hAnsiTheme="minorBidi" w:cstheme="minorBidi"/>
              <w:noProof/>
              <w:sz w:val="22"/>
              <w:szCs w:val="22"/>
              <w:lang w:val="en-IN"/>
            </w:rPr>
          </w:pPr>
          <w:hyperlink w:anchor="_Toc213194616" w:history="1">
            <w:r w:rsidR="002D1B45" w:rsidRPr="00760296">
              <w:rPr>
                <w:rStyle w:val="Hyperlink"/>
                <w:rFonts w:asciiTheme="minorBidi" w:hAnsiTheme="minorBidi" w:cstheme="minorBidi"/>
                <w:noProof/>
              </w:rPr>
              <w:t>2.3.1 Trend Analysis</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_Toc213194616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6</w:t>
            </w:r>
            <w:r w:rsidR="002D1B45" w:rsidRPr="00760296">
              <w:rPr>
                <w:rFonts w:asciiTheme="minorBidi" w:hAnsiTheme="minorBidi" w:cstheme="minorBidi"/>
                <w:noProof/>
                <w:webHidden/>
              </w:rPr>
              <w:fldChar w:fldCharType="end"/>
            </w:r>
          </w:hyperlink>
        </w:p>
        <w:p w14:paraId="1ECA48AA" w14:textId="77777777" w:rsidR="002D1B45" w:rsidRPr="00760296" w:rsidRDefault="00C82DC4">
          <w:pPr>
            <w:pStyle w:val="TOC3"/>
            <w:tabs>
              <w:tab w:val="right" w:leader="dot" w:pos="9019"/>
            </w:tabs>
            <w:rPr>
              <w:rFonts w:asciiTheme="minorBidi" w:eastAsiaTheme="minorEastAsia" w:hAnsiTheme="minorBidi" w:cstheme="minorBidi"/>
              <w:noProof/>
              <w:sz w:val="22"/>
              <w:szCs w:val="22"/>
              <w:lang w:val="en-IN"/>
            </w:rPr>
          </w:pPr>
          <w:hyperlink w:anchor="_Toc213194617" w:history="1">
            <w:r w:rsidR="002D1B45" w:rsidRPr="00760296">
              <w:rPr>
                <w:rStyle w:val="Hyperlink"/>
                <w:rFonts w:asciiTheme="minorBidi" w:hAnsiTheme="minorBidi" w:cstheme="minorBidi"/>
                <w:noProof/>
              </w:rPr>
              <w:t>2.3.2 General Electric (2020–2024) – Financial Strengths and Weaknesses</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_Toc213194617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7</w:t>
            </w:r>
            <w:r w:rsidR="002D1B45" w:rsidRPr="00760296">
              <w:rPr>
                <w:rFonts w:asciiTheme="minorBidi" w:hAnsiTheme="minorBidi" w:cstheme="minorBidi"/>
                <w:noProof/>
                <w:webHidden/>
              </w:rPr>
              <w:fldChar w:fldCharType="end"/>
            </w:r>
          </w:hyperlink>
        </w:p>
        <w:p w14:paraId="51526531" w14:textId="77777777" w:rsidR="002D1B45" w:rsidRPr="00760296" w:rsidRDefault="00C82DC4">
          <w:pPr>
            <w:pStyle w:val="TOC2"/>
            <w:tabs>
              <w:tab w:val="right" w:leader="dot" w:pos="9019"/>
            </w:tabs>
            <w:rPr>
              <w:rFonts w:asciiTheme="minorBidi" w:eastAsiaTheme="minorEastAsia" w:hAnsiTheme="minorBidi" w:cstheme="minorBidi"/>
              <w:noProof/>
              <w:sz w:val="22"/>
              <w:szCs w:val="22"/>
              <w:lang w:val="en-IN"/>
            </w:rPr>
          </w:pPr>
          <w:hyperlink w:anchor="_Toc213194618" w:history="1">
            <w:r w:rsidR="002D1B45" w:rsidRPr="00760296">
              <w:rPr>
                <w:rStyle w:val="Hyperlink"/>
                <w:rFonts w:asciiTheme="minorBidi" w:hAnsiTheme="minorBidi" w:cstheme="minorBidi"/>
                <w:noProof/>
              </w:rPr>
              <w:t>2.4 Corporate Failure Prediction</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_Toc213194618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8</w:t>
            </w:r>
            <w:r w:rsidR="002D1B45" w:rsidRPr="00760296">
              <w:rPr>
                <w:rFonts w:asciiTheme="minorBidi" w:hAnsiTheme="minorBidi" w:cstheme="minorBidi"/>
                <w:noProof/>
                <w:webHidden/>
              </w:rPr>
              <w:fldChar w:fldCharType="end"/>
            </w:r>
          </w:hyperlink>
        </w:p>
        <w:p w14:paraId="6100F4EC" w14:textId="77777777" w:rsidR="002D1B45" w:rsidRPr="00760296" w:rsidRDefault="00C82DC4">
          <w:pPr>
            <w:pStyle w:val="TOC1"/>
            <w:tabs>
              <w:tab w:val="right" w:leader="dot" w:pos="9019"/>
            </w:tabs>
            <w:rPr>
              <w:rFonts w:asciiTheme="minorBidi" w:eastAsiaTheme="minorEastAsia" w:hAnsiTheme="minorBidi" w:cstheme="minorBidi"/>
              <w:noProof/>
              <w:sz w:val="22"/>
              <w:szCs w:val="22"/>
              <w:lang w:val="en-IN"/>
            </w:rPr>
          </w:pPr>
          <w:hyperlink w:anchor="_Toc213194619" w:history="1">
            <w:r w:rsidR="002D1B45" w:rsidRPr="00760296">
              <w:rPr>
                <w:rStyle w:val="Hyperlink"/>
                <w:rFonts w:asciiTheme="minorBidi" w:eastAsia="Gungsuh" w:hAnsiTheme="minorBidi" w:cstheme="minorBidi"/>
                <w:noProof/>
              </w:rPr>
              <w:t>3. Working Capital Management Analysis</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_Toc213194619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8</w:t>
            </w:r>
            <w:r w:rsidR="002D1B45" w:rsidRPr="00760296">
              <w:rPr>
                <w:rFonts w:asciiTheme="minorBidi" w:hAnsiTheme="minorBidi" w:cstheme="minorBidi"/>
                <w:noProof/>
                <w:webHidden/>
              </w:rPr>
              <w:fldChar w:fldCharType="end"/>
            </w:r>
          </w:hyperlink>
        </w:p>
        <w:p w14:paraId="7CC0DFB1" w14:textId="77777777" w:rsidR="002D1B45" w:rsidRPr="00760296" w:rsidRDefault="00C82DC4">
          <w:pPr>
            <w:pStyle w:val="TOC2"/>
            <w:tabs>
              <w:tab w:val="right" w:leader="dot" w:pos="9019"/>
            </w:tabs>
            <w:rPr>
              <w:rFonts w:asciiTheme="minorBidi" w:eastAsiaTheme="minorEastAsia" w:hAnsiTheme="minorBidi" w:cstheme="minorBidi"/>
              <w:noProof/>
              <w:sz w:val="22"/>
              <w:szCs w:val="22"/>
              <w:lang w:val="en-IN"/>
            </w:rPr>
          </w:pPr>
          <w:hyperlink w:anchor="_Toc213194620" w:history="1">
            <w:r w:rsidR="002D1B45" w:rsidRPr="00760296">
              <w:rPr>
                <w:rStyle w:val="Hyperlink"/>
                <w:rFonts w:asciiTheme="minorBidi" w:hAnsiTheme="minorBidi" w:cstheme="minorBidi"/>
                <w:noProof/>
              </w:rPr>
              <w:t>3.1 Overview of Working Capital and Cash Operating Cycle</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_Toc213194620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8</w:t>
            </w:r>
            <w:r w:rsidR="002D1B45" w:rsidRPr="00760296">
              <w:rPr>
                <w:rFonts w:asciiTheme="minorBidi" w:hAnsiTheme="minorBidi" w:cstheme="minorBidi"/>
                <w:noProof/>
                <w:webHidden/>
              </w:rPr>
              <w:fldChar w:fldCharType="end"/>
            </w:r>
          </w:hyperlink>
        </w:p>
        <w:p w14:paraId="0E5280F7" w14:textId="77777777" w:rsidR="002D1B45" w:rsidRPr="00760296" w:rsidRDefault="00C82DC4">
          <w:pPr>
            <w:pStyle w:val="TOC2"/>
            <w:tabs>
              <w:tab w:val="right" w:leader="dot" w:pos="9019"/>
            </w:tabs>
            <w:rPr>
              <w:rFonts w:asciiTheme="minorBidi" w:eastAsiaTheme="minorEastAsia" w:hAnsiTheme="minorBidi" w:cstheme="minorBidi"/>
              <w:noProof/>
              <w:sz w:val="22"/>
              <w:szCs w:val="22"/>
              <w:lang w:val="en-IN"/>
            </w:rPr>
          </w:pPr>
          <w:hyperlink w:anchor="_Toc213194621" w:history="1">
            <w:r w:rsidR="002D1B45" w:rsidRPr="00760296">
              <w:rPr>
                <w:rStyle w:val="Hyperlink"/>
                <w:rFonts w:asciiTheme="minorBidi" w:hAnsiTheme="minorBidi" w:cstheme="minorBidi"/>
                <w:noProof/>
              </w:rPr>
              <w:t>3.2 Existing Liquidity and Efficiency Problems</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_Toc213194621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9</w:t>
            </w:r>
            <w:r w:rsidR="002D1B45" w:rsidRPr="00760296">
              <w:rPr>
                <w:rFonts w:asciiTheme="minorBidi" w:hAnsiTheme="minorBidi" w:cstheme="minorBidi"/>
                <w:noProof/>
                <w:webHidden/>
              </w:rPr>
              <w:fldChar w:fldCharType="end"/>
            </w:r>
          </w:hyperlink>
        </w:p>
        <w:p w14:paraId="0E2A3A5B" w14:textId="77777777" w:rsidR="002D1B45" w:rsidRPr="00760296" w:rsidRDefault="00C82DC4">
          <w:pPr>
            <w:pStyle w:val="TOC2"/>
            <w:tabs>
              <w:tab w:val="right" w:leader="dot" w:pos="9019"/>
            </w:tabs>
            <w:rPr>
              <w:rFonts w:asciiTheme="minorBidi" w:eastAsiaTheme="minorEastAsia" w:hAnsiTheme="minorBidi" w:cstheme="minorBidi"/>
              <w:noProof/>
              <w:sz w:val="22"/>
              <w:szCs w:val="22"/>
              <w:lang w:val="en-IN"/>
            </w:rPr>
          </w:pPr>
          <w:hyperlink w:anchor="_Toc213194622" w:history="1">
            <w:r w:rsidR="002D1B45" w:rsidRPr="00760296">
              <w:rPr>
                <w:rStyle w:val="Hyperlink"/>
                <w:rFonts w:asciiTheme="minorBidi" w:hAnsiTheme="minorBidi" w:cstheme="minorBidi"/>
                <w:noProof/>
              </w:rPr>
              <w:t>3.3 Strategies to Improve Liquidity</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_Toc213194622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10</w:t>
            </w:r>
            <w:r w:rsidR="002D1B45" w:rsidRPr="00760296">
              <w:rPr>
                <w:rFonts w:asciiTheme="minorBidi" w:hAnsiTheme="minorBidi" w:cstheme="minorBidi"/>
                <w:noProof/>
                <w:webHidden/>
              </w:rPr>
              <w:fldChar w:fldCharType="end"/>
            </w:r>
          </w:hyperlink>
        </w:p>
        <w:p w14:paraId="050D787F" w14:textId="77777777" w:rsidR="002D1B45" w:rsidRPr="00760296" w:rsidRDefault="00C82DC4">
          <w:pPr>
            <w:pStyle w:val="TOC2"/>
            <w:tabs>
              <w:tab w:val="right" w:leader="dot" w:pos="9019"/>
            </w:tabs>
            <w:rPr>
              <w:rFonts w:asciiTheme="minorBidi" w:eastAsiaTheme="minorEastAsia" w:hAnsiTheme="minorBidi" w:cstheme="minorBidi"/>
              <w:noProof/>
              <w:sz w:val="22"/>
              <w:szCs w:val="22"/>
              <w:lang w:val="en-IN"/>
            </w:rPr>
          </w:pPr>
          <w:hyperlink w:anchor="_Toc213194623" w:history="1">
            <w:r w:rsidR="002D1B45" w:rsidRPr="00760296">
              <w:rPr>
                <w:rStyle w:val="Hyperlink"/>
                <w:rFonts w:asciiTheme="minorBidi" w:hAnsiTheme="minorBidi" w:cstheme="minorBidi"/>
                <w:noProof/>
              </w:rPr>
              <w:t>3.4 Short-Term vs Long-Term Financing Options</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_Toc213194623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11</w:t>
            </w:r>
            <w:r w:rsidR="002D1B45" w:rsidRPr="00760296">
              <w:rPr>
                <w:rFonts w:asciiTheme="minorBidi" w:hAnsiTheme="minorBidi" w:cstheme="minorBidi"/>
                <w:noProof/>
                <w:webHidden/>
              </w:rPr>
              <w:fldChar w:fldCharType="end"/>
            </w:r>
          </w:hyperlink>
        </w:p>
        <w:p w14:paraId="70D465E4" w14:textId="77777777" w:rsidR="002D1B45" w:rsidRPr="00760296" w:rsidRDefault="00C82DC4">
          <w:pPr>
            <w:pStyle w:val="TOC1"/>
            <w:tabs>
              <w:tab w:val="right" w:leader="dot" w:pos="9019"/>
            </w:tabs>
            <w:rPr>
              <w:rFonts w:asciiTheme="minorBidi" w:eastAsiaTheme="minorEastAsia" w:hAnsiTheme="minorBidi" w:cstheme="minorBidi"/>
              <w:noProof/>
              <w:sz w:val="22"/>
              <w:szCs w:val="22"/>
              <w:lang w:val="en-IN"/>
            </w:rPr>
          </w:pPr>
          <w:hyperlink w:anchor="_Toc213194624" w:history="1">
            <w:r w:rsidR="002D1B45" w:rsidRPr="00760296">
              <w:rPr>
                <w:rStyle w:val="Hyperlink"/>
                <w:rFonts w:asciiTheme="minorBidi" w:eastAsia="Gungsuh" w:hAnsiTheme="minorBidi" w:cstheme="minorBidi"/>
                <w:noProof/>
              </w:rPr>
              <w:t>4. Strategic Financial Restructuring Plan</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_Toc213194624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12</w:t>
            </w:r>
            <w:r w:rsidR="002D1B45" w:rsidRPr="00760296">
              <w:rPr>
                <w:rFonts w:asciiTheme="minorBidi" w:hAnsiTheme="minorBidi" w:cstheme="minorBidi"/>
                <w:noProof/>
                <w:webHidden/>
              </w:rPr>
              <w:fldChar w:fldCharType="end"/>
            </w:r>
          </w:hyperlink>
        </w:p>
        <w:p w14:paraId="1F55E027" w14:textId="77777777" w:rsidR="002D1B45" w:rsidRPr="00760296" w:rsidRDefault="00C82DC4">
          <w:pPr>
            <w:pStyle w:val="TOC2"/>
            <w:tabs>
              <w:tab w:val="right" w:leader="dot" w:pos="9019"/>
            </w:tabs>
            <w:rPr>
              <w:rFonts w:asciiTheme="minorBidi" w:eastAsiaTheme="minorEastAsia" w:hAnsiTheme="minorBidi" w:cstheme="minorBidi"/>
              <w:noProof/>
              <w:sz w:val="22"/>
              <w:szCs w:val="22"/>
              <w:lang w:val="en-IN"/>
            </w:rPr>
          </w:pPr>
          <w:hyperlink w:anchor="_Toc213194625" w:history="1">
            <w:r w:rsidR="002D1B45" w:rsidRPr="00760296">
              <w:rPr>
                <w:rStyle w:val="Hyperlink"/>
                <w:rFonts w:asciiTheme="minorBidi" w:hAnsiTheme="minorBidi" w:cstheme="minorBidi"/>
                <w:noProof/>
              </w:rPr>
              <w:t>4.1 Overview of the Financial Crisis</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_Toc213194625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12</w:t>
            </w:r>
            <w:r w:rsidR="002D1B45" w:rsidRPr="00760296">
              <w:rPr>
                <w:rFonts w:asciiTheme="minorBidi" w:hAnsiTheme="minorBidi" w:cstheme="minorBidi"/>
                <w:noProof/>
                <w:webHidden/>
              </w:rPr>
              <w:fldChar w:fldCharType="end"/>
            </w:r>
          </w:hyperlink>
        </w:p>
        <w:p w14:paraId="3C85099E" w14:textId="77777777" w:rsidR="002D1B45" w:rsidRPr="00760296" w:rsidRDefault="00C82DC4">
          <w:pPr>
            <w:pStyle w:val="TOC2"/>
            <w:tabs>
              <w:tab w:val="right" w:leader="dot" w:pos="9019"/>
            </w:tabs>
            <w:rPr>
              <w:rFonts w:asciiTheme="minorBidi" w:eastAsiaTheme="minorEastAsia" w:hAnsiTheme="minorBidi" w:cstheme="minorBidi"/>
              <w:noProof/>
              <w:sz w:val="22"/>
              <w:szCs w:val="22"/>
              <w:lang w:val="en-IN"/>
            </w:rPr>
          </w:pPr>
          <w:hyperlink w:anchor="_Toc213194626" w:history="1">
            <w:r w:rsidR="002D1B45" w:rsidRPr="00760296">
              <w:rPr>
                <w:rStyle w:val="Hyperlink"/>
                <w:rFonts w:asciiTheme="minorBidi" w:hAnsiTheme="minorBidi" w:cstheme="minorBidi"/>
                <w:noProof/>
              </w:rPr>
              <w:t>4.2 Financial Restructuring Alternatives.</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_Toc213194626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12</w:t>
            </w:r>
            <w:r w:rsidR="002D1B45" w:rsidRPr="00760296">
              <w:rPr>
                <w:rFonts w:asciiTheme="minorBidi" w:hAnsiTheme="minorBidi" w:cstheme="minorBidi"/>
                <w:noProof/>
                <w:webHidden/>
              </w:rPr>
              <w:fldChar w:fldCharType="end"/>
            </w:r>
          </w:hyperlink>
        </w:p>
        <w:p w14:paraId="56CEB6E2" w14:textId="77777777" w:rsidR="002D1B45" w:rsidRPr="00760296" w:rsidRDefault="00C82DC4">
          <w:pPr>
            <w:pStyle w:val="TOC2"/>
            <w:tabs>
              <w:tab w:val="right" w:leader="dot" w:pos="9019"/>
            </w:tabs>
            <w:rPr>
              <w:rFonts w:asciiTheme="minorBidi" w:eastAsiaTheme="minorEastAsia" w:hAnsiTheme="minorBidi" w:cstheme="minorBidi"/>
              <w:noProof/>
              <w:sz w:val="22"/>
              <w:szCs w:val="22"/>
              <w:lang w:val="en-IN"/>
            </w:rPr>
          </w:pPr>
          <w:hyperlink w:anchor="_Toc213194627" w:history="1">
            <w:r w:rsidR="002D1B45" w:rsidRPr="00760296">
              <w:rPr>
                <w:rStyle w:val="Hyperlink"/>
                <w:rFonts w:asciiTheme="minorBidi" w:hAnsiTheme="minorBidi" w:cstheme="minorBidi"/>
                <w:noProof/>
              </w:rPr>
              <w:t>4.3 Impact Analysis</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_Toc213194627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13</w:t>
            </w:r>
            <w:r w:rsidR="002D1B45" w:rsidRPr="00760296">
              <w:rPr>
                <w:rFonts w:asciiTheme="minorBidi" w:hAnsiTheme="minorBidi" w:cstheme="minorBidi"/>
                <w:noProof/>
                <w:webHidden/>
              </w:rPr>
              <w:fldChar w:fldCharType="end"/>
            </w:r>
          </w:hyperlink>
        </w:p>
        <w:p w14:paraId="534AD6B0" w14:textId="77777777" w:rsidR="002D1B45" w:rsidRPr="00760296" w:rsidRDefault="00C82DC4">
          <w:pPr>
            <w:pStyle w:val="TOC2"/>
            <w:tabs>
              <w:tab w:val="right" w:leader="dot" w:pos="9019"/>
            </w:tabs>
            <w:rPr>
              <w:rFonts w:asciiTheme="minorBidi" w:eastAsiaTheme="minorEastAsia" w:hAnsiTheme="minorBidi" w:cstheme="minorBidi"/>
              <w:noProof/>
              <w:sz w:val="22"/>
              <w:szCs w:val="22"/>
              <w:lang w:val="en-IN"/>
            </w:rPr>
          </w:pPr>
          <w:hyperlink w:anchor="_Toc213194628" w:history="1">
            <w:r w:rsidR="002D1B45" w:rsidRPr="00760296">
              <w:rPr>
                <w:rStyle w:val="Hyperlink"/>
                <w:rFonts w:asciiTheme="minorBidi" w:hAnsiTheme="minorBidi" w:cstheme="minorBidi"/>
                <w:noProof/>
              </w:rPr>
              <w:t>4.4 International and Ethical Considerations</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_Toc213194628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14</w:t>
            </w:r>
            <w:r w:rsidR="002D1B45" w:rsidRPr="00760296">
              <w:rPr>
                <w:rFonts w:asciiTheme="minorBidi" w:hAnsiTheme="minorBidi" w:cstheme="minorBidi"/>
                <w:noProof/>
                <w:webHidden/>
              </w:rPr>
              <w:fldChar w:fldCharType="end"/>
            </w:r>
          </w:hyperlink>
        </w:p>
        <w:p w14:paraId="791B0EED" w14:textId="77777777" w:rsidR="002D1B45" w:rsidRPr="00760296" w:rsidRDefault="00C82DC4">
          <w:pPr>
            <w:pStyle w:val="TOC2"/>
            <w:tabs>
              <w:tab w:val="right" w:leader="dot" w:pos="9019"/>
            </w:tabs>
            <w:rPr>
              <w:rFonts w:asciiTheme="minorBidi" w:eastAsiaTheme="minorEastAsia" w:hAnsiTheme="minorBidi" w:cstheme="minorBidi"/>
              <w:noProof/>
              <w:sz w:val="22"/>
              <w:szCs w:val="22"/>
              <w:lang w:val="en-IN"/>
            </w:rPr>
          </w:pPr>
          <w:hyperlink w:anchor="_Toc213194629" w:history="1">
            <w:r w:rsidR="002D1B45" w:rsidRPr="00760296">
              <w:rPr>
                <w:rStyle w:val="Hyperlink"/>
                <w:rFonts w:asciiTheme="minorBidi" w:hAnsiTheme="minorBidi" w:cstheme="minorBidi"/>
                <w:noProof/>
              </w:rPr>
              <w:t>4.5 Recommended Restructuring Strategy</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_Toc213194629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15</w:t>
            </w:r>
            <w:r w:rsidR="002D1B45" w:rsidRPr="00760296">
              <w:rPr>
                <w:rFonts w:asciiTheme="minorBidi" w:hAnsiTheme="minorBidi" w:cstheme="minorBidi"/>
                <w:noProof/>
                <w:webHidden/>
              </w:rPr>
              <w:fldChar w:fldCharType="end"/>
            </w:r>
          </w:hyperlink>
        </w:p>
        <w:p w14:paraId="1E189701" w14:textId="77777777" w:rsidR="002D1B45" w:rsidRPr="00760296" w:rsidRDefault="00C82DC4">
          <w:pPr>
            <w:pStyle w:val="TOC1"/>
            <w:tabs>
              <w:tab w:val="right" w:leader="dot" w:pos="9019"/>
            </w:tabs>
            <w:rPr>
              <w:rFonts w:asciiTheme="minorBidi" w:eastAsiaTheme="minorEastAsia" w:hAnsiTheme="minorBidi" w:cstheme="minorBidi"/>
              <w:noProof/>
              <w:sz w:val="22"/>
              <w:szCs w:val="22"/>
              <w:lang w:val="en-IN"/>
            </w:rPr>
          </w:pPr>
          <w:hyperlink w:anchor="_Toc213194630" w:history="1">
            <w:r w:rsidR="002D1B45" w:rsidRPr="00760296">
              <w:rPr>
                <w:rStyle w:val="Hyperlink"/>
                <w:rFonts w:asciiTheme="minorBidi" w:eastAsia="Gungsuh" w:hAnsiTheme="minorBidi" w:cstheme="minorBidi"/>
                <w:noProof/>
              </w:rPr>
              <w:t>5. Investment Appraisal and Capital Budgeting</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_Toc213194630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16</w:t>
            </w:r>
            <w:r w:rsidR="002D1B45" w:rsidRPr="00760296">
              <w:rPr>
                <w:rFonts w:asciiTheme="minorBidi" w:hAnsiTheme="minorBidi" w:cstheme="minorBidi"/>
                <w:noProof/>
                <w:webHidden/>
              </w:rPr>
              <w:fldChar w:fldCharType="end"/>
            </w:r>
          </w:hyperlink>
        </w:p>
        <w:p w14:paraId="3065D369" w14:textId="77777777" w:rsidR="002D1B45" w:rsidRPr="00760296" w:rsidRDefault="00C82DC4">
          <w:pPr>
            <w:pStyle w:val="TOC2"/>
            <w:tabs>
              <w:tab w:val="right" w:leader="dot" w:pos="9019"/>
            </w:tabs>
            <w:rPr>
              <w:rFonts w:asciiTheme="minorBidi" w:eastAsiaTheme="minorEastAsia" w:hAnsiTheme="minorBidi" w:cstheme="minorBidi"/>
              <w:noProof/>
              <w:sz w:val="22"/>
              <w:szCs w:val="22"/>
              <w:lang w:val="en-IN"/>
            </w:rPr>
          </w:pPr>
          <w:hyperlink w:anchor="_Toc213194631" w:history="1">
            <w:r w:rsidR="002D1B45" w:rsidRPr="00760296">
              <w:rPr>
                <w:rStyle w:val="Hyperlink"/>
                <w:rFonts w:asciiTheme="minorBidi" w:hAnsiTheme="minorBidi" w:cstheme="minorBidi"/>
                <w:noProof/>
              </w:rPr>
              <w:t>5.1 Overview of Investment Decision</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_Toc213194631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16</w:t>
            </w:r>
            <w:r w:rsidR="002D1B45" w:rsidRPr="00760296">
              <w:rPr>
                <w:rFonts w:asciiTheme="minorBidi" w:hAnsiTheme="minorBidi" w:cstheme="minorBidi"/>
                <w:noProof/>
                <w:webHidden/>
              </w:rPr>
              <w:fldChar w:fldCharType="end"/>
            </w:r>
          </w:hyperlink>
        </w:p>
        <w:p w14:paraId="4D6C3903" w14:textId="77777777" w:rsidR="002D1B45" w:rsidRPr="00760296" w:rsidRDefault="00C82DC4">
          <w:pPr>
            <w:pStyle w:val="TOC2"/>
            <w:tabs>
              <w:tab w:val="right" w:leader="dot" w:pos="9019"/>
            </w:tabs>
            <w:rPr>
              <w:rFonts w:asciiTheme="minorBidi" w:eastAsiaTheme="minorEastAsia" w:hAnsiTheme="minorBidi" w:cstheme="minorBidi"/>
              <w:noProof/>
              <w:sz w:val="22"/>
              <w:szCs w:val="22"/>
              <w:lang w:val="en-IN"/>
            </w:rPr>
          </w:pPr>
          <w:hyperlink w:anchor="_Toc213194632" w:history="1">
            <w:r w:rsidR="002D1B45" w:rsidRPr="00760296">
              <w:rPr>
                <w:rStyle w:val="Hyperlink"/>
                <w:rFonts w:asciiTheme="minorBidi" w:hAnsiTheme="minorBidi" w:cstheme="minorBidi"/>
                <w:noProof/>
              </w:rPr>
              <w:t>5.2 Three proposed investment projects</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_Toc213194632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16</w:t>
            </w:r>
            <w:r w:rsidR="002D1B45" w:rsidRPr="00760296">
              <w:rPr>
                <w:rFonts w:asciiTheme="minorBidi" w:hAnsiTheme="minorBidi" w:cstheme="minorBidi"/>
                <w:noProof/>
                <w:webHidden/>
              </w:rPr>
              <w:fldChar w:fldCharType="end"/>
            </w:r>
          </w:hyperlink>
        </w:p>
        <w:p w14:paraId="4BD40813" w14:textId="77777777" w:rsidR="002D1B45" w:rsidRPr="00760296" w:rsidRDefault="00C82DC4">
          <w:pPr>
            <w:pStyle w:val="TOC3"/>
            <w:tabs>
              <w:tab w:val="right" w:leader="dot" w:pos="9019"/>
            </w:tabs>
            <w:rPr>
              <w:rFonts w:asciiTheme="minorBidi" w:eastAsiaTheme="minorEastAsia" w:hAnsiTheme="minorBidi" w:cstheme="minorBidi"/>
              <w:noProof/>
              <w:sz w:val="22"/>
              <w:szCs w:val="22"/>
              <w:lang w:val="en-IN"/>
            </w:rPr>
          </w:pPr>
          <w:hyperlink w:anchor="_Toc213194633" w:history="1">
            <w:r w:rsidR="002D1B45" w:rsidRPr="00760296">
              <w:rPr>
                <w:rStyle w:val="Hyperlink"/>
                <w:rFonts w:asciiTheme="minorBidi" w:hAnsiTheme="minorBidi" w:cstheme="minorBidi"/>
                <w:noProof/>
              </w:rPr>
              <w:t>5.2.1 Payback Period (PBP)</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_Toc213194633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16</w:t>
            </w:r>
            <w:r w:rsidR="002D1B45" w:rsidRPr="00760296">
              <w:rPr>
                <w:rFonts w:asciiTheme="minorBidi" w:hAnsiTheme="minorBidi" w:cstheme="minorBidi"/>
                <w:noProof/>
                <w:webHidden/>
              </w:rPr>
              <w:fldChar w:fldCharType="end"/>
            </w:r>
          </w:hyperlink>
        </w:p>
        <w:p w14:paraId="20468E88" w14:textId="77777777" w:rsidR="002D1B45" w:rsidRPr="00760296" w:rsidRDefault="00C82DC4">
          <w:pPr>
            <w:pStyle w:val="TOC3"/>
            <w:tabs>
              <w:tab w:val="right" w:leader="dot" w:pos="9019"/>
            </w:tabs>
            <w:rPr>
              <w:rFonts w:asciiTheme="minorBidi" w:eastAsiaTheme="minorEastAsia" w:hAnsiTheme="minorBidi" w:cstheme="minorBidi"/>
              <w:noProof/>
              <w:sz w:val="22"/>
              <w:szCs w:val="22"/>
              <w:lang w:val="en-IN"/>
            </w:rPr>
          </w:pPr>
          <w:hyperlink w:anchor="_Toc213194634" w:history="1">
            <w:r w:rsidR="002D1B45" w:rsidRPr="00760296">
              <w:rPr>
                <w:rStyle w:val="Hyperlink"/>
                <w:rFonts w:asciiTheme="minorBidi" w:hAnsiTheme="minorBidi" w:cstheme="minorBidi"/>
                <w:noProof/>
              </w:rPr>
              <w:t>5.2.2 The Accounting rate of return (ARR)</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_Toc213194634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16</w:t>
            </w:r>
            <w:r w:rsidR="002D1B45" w:rsidRPr="00760296">
              <w:rPr>
                <w:rFonts w:asciiTheme="minorBidi" w:hAnsiTheme="minorBidi" w:cstheme="minorBidi"/>
                <w:noProof/>
                <w:webHidden/>
              </w:rPr>
              <w:fldChar w:fldCharType="end"/>
            </w:r>
          </w:hyperlink>
        </w:p>
        <w:p w14:paraId="4DD6B1C6" w14:textId="77777777" w:rsidR="002D1B45" w:rsidRPr="00760296" w:rsidRDefault="00C82DC4">
          <w:pPr>
            <w:pStyle w:val="TOC3"/>
            <w:tabs>
              <w:tab w:val="right" w:leader="dot" w:pos="9019"/>
            </w:tabs>
            <w:rPr>
              <w:rFonts w:asciiTheme="minorBidi" w:eastAsiaTheme="minorEastAsia" w:hAnsiTheme="minorBidi" w:cstheme="minorBidi"/>
              <w:noProof/>
              <w:sz w:val="22"/>
              <w:szCs w:val="22"/>
              <w:lang w:val="en-IN"/>
            </w:rPr>
          </w:pPr>
          <w:hyperlink w:anchor="_Toc213194635" w:history="1">
            <w:r w:rsidR="002D1B45" w:rsidRPr="00760296">
              <w:rPr>
                <w:rStyle w:val="Hyperlink"/>
                <w:rFonts w:asciiTheme="minorBidi" w:hAnsiTheme="minorBidi" w:cstheme="minorBidi"/>
                <w:noProof/>
              </w:rPr>
              <w:t>5.2.3. Net Present Value (NPV)</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_Toc213194635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17</w:t>
            </w:r>
            <w:r w:rsidR="002D1B45" w:rsidRPr="00760296">
              <w:rPr>
                <w:rFonts w:asciiTheme="minorBidi" w:hAnsiTheme="minorBidi" w:cstheme="minorBidi"/>
                <w:noProof/>
                <w:webHidden/>
              </w:rPr>
              <w:fldChar w:fldCharType="end"/>
            </w:r>
          </w:hyperlink>
        </w:p>
        <w:p w14:paraId="406EE5E0" w14:textId="77777777" w:rsidR="002D1B45" w:rsidRPr="00760296" w:rsidRDefault="00C82DC4">
          <w:pPr>
            <w:pStyle w:val="TOC3"/>
            <w:tabs>
              <w:tab w:val="right" w:leader="dot" w:pos="9019"/>
            </w:tabs>
            <w:rPr>
              <w:rFonts w:asciiTheme="minorBidi" w:eastAsiaTheme="minorEastAsia" w:hAnsiTheme="minorBidi" w:cstheme="minorBidi"/>
              <w:noProof/>
              <w:sz w:val="22"/>
              <w:szCs w:val="22"/>
              <w:lang w:val="en-IN"/>
            </w:rPr>
          </w:pPr>
          <w:hyperlink w:anchor="_Toc213194636" w:history="1">
            <w:r w:rsidR="002D1B45" w:rsidRPr="00760296">
              <w:rPr>
                <w:rStyle w:val="Hyperlink"/>
                <w:rFonts w:asciiTheme="minorBidi" w:hAnsiTheme="minorBidi" w:cstheme="minorBidi"/>
                <w:noProof/>
              </w:rPr>
              <w:t>5.2.4. Profitability Index (PI)</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_Toc213194636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17</w:t>
            </w:r>
            <w:r w:rsidR="002D1B45" w:rsidRPr="00760296">
              <w:rPr>
                <w:rFonts w:asciiTheme="minorBidi" w:hAnsiTheme="minorBidi" w:cstheme="minorBidi"/>
                <w:noProof/>
                <w:webHidden/>
              </w:rPr>
              <w:fldChar w:fldCharType="end"/>
            </w:r>
          </w:hyperlink>
        </w:p>
        <w:p w14:paraId="7975A042" w14:textId="77777777" w:rsidR="002D1B45" w:rsidRPr="00760296" w:rsidRDefault="00C82DC4">
          <w:pPr>
            <w:pStyle w:val="TOC3"/>
            <w:tabs>
              <w:tab w:val="right" w:leader="dot" w:pos="9019"/>
            </w:tabs>
            <w:rPr>
              <w:rFonts w:asciiTheme="minorBidi" w:eastAsiaTheme="minorEastAsia" w:hAnsiTheme="minorBidi" w:cstheme="minorBidi"/>
              <w:noProof/>
              <w:sz w:val="22"/>
              <w:szCs w:val="22"/>
              <w:lang w:val="en-IN"/>
            </w:rPr>
          </w:pPr>
          <w:hyperlink w:anchor="_Toc213194637" w:history="1">
            <w:r w:rsidR="002D1B45" w:rsidRPr="00760296">
              <w:rPr>
                <w:rStyle w:val="Hyperlink"/>
                <w:rFonts w:asciiTheme="minorBidi" w:hAnsiTheme="minorBidi" w:cstheme="minorBidi"/>
                <w:noProof/>
              </w:rPr>
              <w:t>5.2.5. Internal Rate of Return (IRR)</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_Toc213194637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17</w:t>
            </w:r>
            <w:r w:rsidR="002D1B45" w:rsidRPr="00760296">
              <w:rPr>
                <w:rFonts w:asciiTheme="minorBidi" w:hAnsiTheme="minorBidi" w:cstheme="minorBidi"/>
                <w:noProof/>
                <w:webHidden/>
              </w:rPr>
              <w:fldChar w:fldCharType="end"/>
            </w:r>
          </w:hyperlink>
        </w:p>
        <w:p w14:paraId="3091F4AC" w14:textId="77777777" w:rsidR="002D1B45" w:rsidRPr="00760296" w:rsidRDefault="00C82DC4">
          <w:pPr>
            <w:pStyle w:val="TOC3"/>
            <w:tabs>
              <w:tab w:val="right" w:leader="dot" w:pos="9019"/>
            </w:tabs>
            <w:rPr>
              <w:rFonts w:asciiTheme="minorBidi" w:eastAsiaTheme="minorEastAsia" w:hAnsiTheme="minorBidi" w:cstheme="minorBidi"/>
              <w:noProof/>
              <w:sz w:val="22"/>
              <w:szCs w:val="22"/>
              <w:lang w:val="en-IN"/>
            </w:rPr>
          </w:pPr>
          <w:hyperlink w:anchor="_Toc213194638" w:history="1">
            <w:r w:rsidR="002D1B45" w:rsidRPr="00760296">
              <w:rPr>
                <w:rStyle w:val="Hyperlink"/>
                <w:rFonts w:asciiTheme="minorBidi" w:hAnsiTheme="minorBidi" w:cstheme="minorBidi"/>
                <w:noProof/>
              </w:rPr>
              <w:t>5.2.6 Investment Option Recommended</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_Toc213194638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18</w:t>
            </w:r>
            <w:r w:rsidR="002D1B45" w:rsidRPr="00760296">
              <w:rPr>
                <w:rFonts w:asciiTheme="minorBidi" w:hAnsiTheme="minorBidi" w:cstheme="minorBidi"/>
                <w:noProof/>
                <w:webHidden/>
              </w:rPr>
              <w:fldChar w:fldCharType="end"/>
            </w:r>
          </w:hyperlink>
        </w:p>
        <w:p w14:paraId="6A642527" w14:textId="77777777" w:rsidR="002D1B45" w:rsidRPr="00760296" w:rsidRDefault="00C82DC4">
          <w:pPr>
            <w:pStyle w:val="TOC2"/>
            <w:tabs>
              <w:tab w:val="right" w:leader="dot" w:pos="9019"/>
            </w:tabs>
            <w:rPr>
              <w:rFonts w:asciiTheme="minorBidi" w:eastAsiaTheme="minorEastAsia" w:hAnsiTheme="minorBidi" w:cstheme="minorBidi"/>
              <w:noProof/>
              <w:sz w:val="22"/>
              <w:szCs w:val="22"/>
              <w:lang w:val="en-IN"/>
            </w:rPr>
          </w:pPr>
          <w:hyperlink w:anchor="_Toc213194639" w:history="1">
            <w:r w:rsidR="002D1B45" w:rsidRPr="00760296">
              <w:rPr>
                <w:rStyle w:val="Hyperlink"/>
                <w:rFonts w:asciiTheme="minorBidi" w:hAnsiTheme="minorBidi" w:cstheme="minorBidi"/>
                <w:noProof/>
              </w:rPr>
              <w:t>5.3 Final Investment Recommendation under Capital Rationing (£60 Million Limit)</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_Toc213194639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18</w:t>
            </w:r>
            <w:r w:rsidR="002D1B45" w:rsidRPr="00760296">
              <w:rPr>
                <w:rFonts w:asciiTheme="minorBidi" w:hAnsiTheme="minorBidi" w:cstheme="minorBidi"/>
                <w:noProof/>
                <w:webHidden/>
              </w:rPr>
              <w:fldChar w:fldCharType="end"/>
            </w:r>
          </w:hyperlink>
        </w:p>
        <w:p w14:paraId="1EF22BA0" w14:textId="77777777" w:rsidR="002D1B45" w:rsidRPr="00760296" w:rsidRDefault="00C82DC4">
          <w:pPr>
            <w:pStyle w:val="TOC2"/>
            <w:tabs>
              <w:tab w:val="right" w:leader="dot" w:pos="9019"/>
            </w:tabs>
            <w:rPr>
              <w:rFonts w:asciiTheme="minorBidi" w:eastAsiaTheme="minorEastAsia" w:hAnsiTheme="minorBidi" w:cstheme="minorBidi"/>
              <w:noProof/>
              <w:sz w:val="22"/>
              <w:szCs w:val="22"/>
              <w:lang w:val="en-IN"/>
            </w:rPr>
          </w:pPr>
          <w:hyperlink w:anchor="_Toc213194640" w:history="1">
            <w:r w:rsidR="002D1B45" w:rsidRPr="00760296">
              <w:rPr>
                <w:rStyle w:val="Hyperlink"/>
                <w:rFonts w:asciiTheme="minorBidi" w:hAnsiTheme="minorBidi" w:cstheme="minorBidi"/>
                <w:noProof/>
              </w:rPr>
              <w:t>5.4 Justification of the Recommended Investment Decision</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_Toc213194640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18</w:t>
            </w:r>
            <w:r w:rsidR="002D1B45" w:rsidRPr="00760296">
              <w:rPr>
                <w:rFonts w:asciiTheme="minorBidi" w:hAnsiTheme="minorBidi" w:cstheme="minorBidi"/>
                <w:noProof/>
                <w:webHidden/>
              </w:rPr>
              <w:fldChar w:fldCharType="end"/>
            </w:r>
          </w:hyperlink>
        </w:p>
        <w:p w14:paraId="4B806687" w14:textId="77777777" w:rsidR="002D1B45" w:rsidRPr="00760296" w:rsidRDefault="00C82DC4">
          <w:pPr>
            <w:pStyle w:val="TOC1"/>
            <w:tabs>
              <w:tab w:val="right" w:leader="dot" w:pos="9019"/>
            </w:tabs>
            <w:rPr>
              <w:rFonts w:asciiTheme="minorBidi" w:eastAsiaTheme="minorEastAsia" w:hAnsiTheme="minorBidi" w:cstheme="minorBidi"/>
              <w:noProof/>
              <w:sz w:val="22"/>
              <w:szCs w:val="22"/>
              <w:lang w:val="en-IN"/>
            </w:rPr>
          </w:pPr>
          <w:hyperlink w:anchor="_Toc213194641" w:history="1">
            <w:r w:rsidR="002D1B45" w:rsidRPr="00760296">
              <w:rPr>
                <w:rStyle w:val="Hyperlink"/>
                <w:rFonts w:asciiTheme="minorBidi" w:hAnsiTheme="minorBidi" w:cstheme="minorBidi"/>
                <w:noProof/>
              </w:rPr>
              <w:t>6. Conclusion</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_Toc213194641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19</w:t>
            </w:r>
            <w:r w:rsidR="002D1B45" w:rsidRPr="00760296">
              <w:rPr>
                <w:rFonts w:asciiTheme="minorBidi" w:hAnsiTheme="minorBidi" w:cstheme="minorBidi"/>
                <w:noProof/>
                <w:webHidden/>
              </w:rPr>
              <w:fldChar w:fldCharType="end"/>
            </w:r>
          </w:hyperlink>
        </w:p>
        <w:p w14:paraId="17EA14E0" w14:textId="77777777" w:rsidR="002D1B45" w:rsidRPr="00760296" w:rsidRDefault="00C82DC4">
          <w:pPr>
            <w:pStyle w:val="TOC1"/>
            <w:tabs>
              <w:tab w:val="right" w:leader="dot" w:pos="9019"/>
            </w:tabs>
            <w:rPr>
              <w:rFonts w:asciiTheme="minorBidi" w:eastAsiaTheme="minorEastAsia" w:hAnsiTheme="minorBidi" w:cstheme="minorBidi"/>
              <w:noProof/>
              <w:sz w:val="22"/>
              <w:szCs w:val="22"/>
              <w:lang w:val="en-IN"/>
            </w:rPr>
          </w:pPr>
          <w:hyperlink w:anchor="_Toc213194642" w:history="1">
            <w:r w:rsidR="002D1B45" w:rsidRPr="00760296">
              <w:rPr>
                <w:rStyle w:val="Hyperlink"/>
                <w:rFonts w:asciiTheme="minorBidi" w:hAnsiTheme="minorBidi" w:cstheme="minorBidi"/>
                <w:noProof/>
              </w:rPr>
              <w:t>Reference list</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_Toc213194642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21</w:t>
            </w:r>
            <w:r w:rsidR="002D1B45" w:rsidRPr="00760296">
              <w:rPr>
                <w:rFonts w:asciiTheme="minorBidi" w:hAnsiTheme="minorBidi" w:cstheme="minorBidi"/>
                <w:noProof/>
                <w:webHidden/>
              </w:rPr>
              <w:fldChar w:fldCharType="end"/>
            </w:r>
          </w:hyperlink>
        </w:p>
        <w:p w14:paraId="0A2F81F6" w14:textId="77777777" w:rsidR="002D1B45" w:rsidRPr="00760296" w:rsidRDefault="00C82DC4">
          <w:pPr>
            <w:pStyle w:val="TOC1"/>
            <w:tabs>
              <w:tab w:val="right" w:leader="dot" w:pos="9019"/>
            </w:tabs>
            <w:rPr>
              <w:rFonts w:asciiTheme="minorBidi" w:eastAsiaTheme="minorEastAsia" w:hAnsiTheme="minorBidi" w:cstheme="minorBidi"/>
              <w:noProof/>
              <w:sz w:val="22"/>
              <w:szCs w:val="22"/>
              <w:lang w:val="en-IN"/>
            </w:rPr>
          </w:pPr>
          <w:hyperlink w:anchor="_Toc213194643" w:history="1">
            <w:r w:rsidR="002D1B45" w:rsidRPr="00760296">
              <w:rPr>
                <w:rStyle w:val="Hyperlink"/>
                <w:rFonts w:asciiTheme="minorBidi" w:hAnsiTheme="minorBidi" w:cstheme="minorBidi"/>
                <w:noProof/>
              </w:rPr>
              <w:t>Appendices</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_Toc213194643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25</w:t>
            </w:r>
            <w:r w:rsidR="002D1B45" w:rsidRPr="00760296">
              <w:rPr>
                <w:rFonts w:asciiTheme="minorBidi" w:hAnsiTheme="minorBidi" w:cstheme="minorBidi"/>
                <w:noProof/>
                <w:webHidden/>
              </w:rPr>
              <w:fldChar w:fldCharType="end"/>
            </w:r>
          </w:hyperlink>
        </w:p>
        <w:p w14:paraId="5B9970C4" w14:textId="77777777" w:rsidR="002D1B45" w:rsidRPr="00760296" w:rsidRDefault="00C82DC4">
          <w:pPr>
            <w:pStyle w:val="TOC2"/>
            <w:tabs>
              <w:tab w:val="right" w:leader="dot" w:pos="9019"/>
            </w:tabs>
            <w:rPr>
              <w:rFonts w:asciiTheme="minorBidi" w:eastAsiaTheme="minorEastAsia" w:hAnsiTheme="minorBidi" w:cstheme="minorBidi"/>
              <w:noProof/>
              <w:sz w:val="22"/>
              <w:szCs w:val="22"/>
              <w:lang w:val="en-IN"/>
            </w:rPr>
          </w:pPr>
          <w:hyperlink w:anchor="_Toc213194644" w:history="1">
            <w:r w:rsidR="002D1B45" w:rsidRPr="00760296">
              <w:rPr>
                <w:rStyle w:val="Hyperlink"/>
                <w:rFonts w:asciiTheme="minorBidi" w:hAnsiTheme="minorBidi" w:cstheme="minorBidi"/>
                <w:noProof/>
              </w:rPr>
              <w:t>Appendix 1 – Ratio Analysis</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_Toc213194644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25</w:t>
            </w:r>
            <w:r w:rsidR="002D1B45" w:rsidRPr="00760296">
              <w:rPr>
                <w:rFonts w:asciiTheme="minorBidi" w:hAnsiTheme="minorBidi" w:cstheme="minorBidi"/>
                <w:noProof/>
                <w:webHidden/>
              </w:rPr>
              <w:fldChar w:fldCharType="end"/>
            </w:r>
          </w:hyperlink>
        </w:p>
        <w:p w14:paraId="2887E419" w14:textId="77777777" w:rsidR="002D1B45" w:rsidRPr="00760296" w:rsidRDefault="00C82DC4">
          <w:pPr>
            <w:pStyle w:val="TOC2"/>
            <w:tabs>
              <w:tab w:val="right" w:leader="dot" w:pos="9019"/>
            </w:tabs>
            <w:rPr>
              <w:rFonts w:asciiTheme="minorBidi" w:eastAsiaTheme="minorEastAsia" w:hAnsiTheme="minorBidi" w:cstheme="minorBidi"/>
              <w:noProof/>
              <w:sz w:val="22"/>
              <w:szCs w:val="22"/>
              <w:lang w:val="en-IN"/>
            </w:rPr>
          </w:pPr>
          <w:hyperlink w:anchor="_Toc213194645" w:history="1">
            <w:r w:rsidR="002D1B45" w:rsidRPr="00760296">
              <w:rPr>
                <w:rStyle w:val="Hyperlink"/>
                <w:rFonts w:asciiTheme="minorBidi" w:hAnsiTheme="minorBidi" w:cstheme="minorBidi"/>
                <w:noProof/>
              </w:rPr>
              <w:t>Appendix 2 – Trend Analysis</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_Toc213194645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30</w:t>
            </w:r>
            <w:r w:rsidR="002D1B45" w:rsidRPr="00760296">
              <w:rPr>
                <w:rFonts w:asciiTheme="minorBidi" w:hAnsiTheme="minorBidi" w:cstheme="minorBidi"/>
                <w:noProof/>
                <w:webHidden/>
              </w:rPr>
              <w:fldChar w:fldCharType="end"/>
            </w:r>
          </w:hyperlink>
        </w:p>
        <w:p w14:paraId="00466535" w14:textId="77777777" w:rsidR="002D1B45" w:rsidRPr="00760296" w:rsidRDefault="00C82DC4">
          <w:pPr>
            <w:pStyle w:val="TOC2"/>
            <w:tabs>
              <w:tab w:val="right" w:leader="dot" w:pos="9019"/>
            </w:tabs>
            <w:rPr>
              <w:rFonts w:asciiTheme="minorBidi" w:eastAsiaTheme="minorEastAsia" w:hAnsiTheme="minorBidi" w:cstheme="minorBidi"/>
              <w:noProof/>
              <w:sz w:val="22"/>
              <w:szCs w:val="22"/>
              <w:lang w:val="en-IN"/>
            </w:rPr>
          </w:pPr>
          <w:hyperlink w:anchor="_Toc213194646" w:history="1">
            <w:r w:rsidR="002D1B45" w:rsidRPr="00760296">
              <w:rPr>
                <w:rStyle w:val="Hyperlink"/>
                <w:rFonts w:asciiTheme="minorBidi" w:hAnsiTheme="minorBidi" w:cstheme="minorBidi"/>
                <w:noProof/>
              </w:rPr>
              <w:t>Appendix 3 – Cash Conversion Cycle</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_Toc213194646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32</w:t>
            </w:r>
            <w:r w:rsidR="002D1B45" w:rsidRPr="00760296">
              <w:rPr>
                <w:rFonts w:asciiTheme="minorBidi" w:hAnsiTheme="minorBidi" w:cstheme="minorBidi"/>
                <w:noProof/>
                <w:webHidden/>
              </w:rPr>
              <w:fldChar w:fldCharType="end"/>
            </w:r>
          </w:hyperlink>
        </w:p>
        <w:p w14:paraId="27A558BB" w14:textId="77777777" w:rsidR="002D1B45" w:rsidRPr="00760296" w:rsidRDefault="00C82DC4">
          <w:pPr>
            <w:pStyle w:val="TOC2"/>
            <w:tabs>
              <w:tab w:val="right" w:leader="dot" w:pos="9019"/>
            </w:tabs>
            <w:rPr>
              <w:rFonts w:asciiTheme="minorBidi" w:eastAsiaTheme="minorEastAsia" w:hAnsiTheme="minorBidi" w:cstheme="minorBidi"/>
              <w:noProof/>
              <w:sz w:val="22"/>
              <w:szCs w:val="22"/>
              <w:lang w:val="en-IN"/>
            </w:rPr>
          </w:pPr>
          <w:hyperlink w:anchor="_Toc213194647" w:history="1">
            <w:r w:rsidR="002D1B45" w:rsidRPr="00760296">
              <w:rPr>
                <w:rStyle w:val="Hyperlink"/>
                <w:rFonts w:asciiTheme="minorBidi" w:hAnsiTheme="minorBidi" w:cstheme="minorBidi"/>
                <w:noProof/>
              </w:rPr>
              <w:t>Appendix 4: Investment Appraisals</w:t>
            </w:r>
            <w:r w:rsidR="002D1B45" w:rsidRPr="00760296">
              <w:rPr>
                <w:rFonts w:asciiTheme="minorBidi" w:hAnsiTheme="minorBidi" w:cstheme="minorBidi"/>
                <w:noProof/>
                <w:webHidden/>
              </w:rPr>
              <w:tab/>
            </w:r>
            <w:r w:rsidR="002D1B45" w:rsidRPr="00760296">
              <w:rPr>
                <w:rFonts w:asciiTheme="minorBidi" w:hAnsiTheme="minorBidi" w:cstheme="minorBidi"/>
                <w:noProof/>
                <w:webHidden/>
              </w:rPr>
              <w:fldChar w:fldCharType="begin"/>
            </w:r>
            <w:r w:rsidR="002D1B45" w:rsidRPr="00760296">
              <w:rPr>
                <w:rFonts w:asciiTheme="minorBidi" w:hAnsiTheme="minorBidi" w:cstheme="minorBidi"/>
                <w:noProof/>
                <w:webHidden/>
              </w:rPr>
              <w:instrText xml:space="preserve"> PAGEREF _Toc213194647 \h </w:instrText>
            </w:r>
            <w:r w:rsidR="002D1B45" w:rsidRPr="00760296">
              <w:rPr>
                <w:rFonts w:asciiTheme="minorBidi" w:hAnsiTheme="minorBidi" w:cstheme="minorBidi"/>
                <w:noProof/>
                <w:webHidden/>
              </w:rPr>
            </w:r>
            <w:r w:rsidR="002D1B45" w:rsidRPr="00760296">
              <w:rPr>
                <w:rFonts w:asciiTheme="minorBidi" w:hAnsiTheme="minorBidi" w:cstheme="minorBidi"/>
                <w:noProof/>
                <w:webHidden/>
              </w:rPr>
              <w:fldChar w:fldCharType="separate"/>
            </w:r>
            <w:r w:rsidR="002D1B45" w:rsidRPr="00760296">
              <w:rPr>
                <w:rFonts w:asciiTheme="minorBidi" w:hAnsiTheme="minorBidi" w:cstheme="minorBidi"/>
                <w:noProof/>
                <w:webHidden/>
              </w:rPr>
              <w:t>33</w:t>
            </w:r>
            <w:r w:rsidR="002D1B45" w:rsidRPr="00760296">
              <w:rPr>
                <w:rFonts w:asciiTheme="minorBidi" w:hAnsiTheme="minorBidi" w:cstheme="minorBidi"/>
                <w:noProof/>
                <w:webHidden/>
              </w:rPr>
              <w:fldChar w:fldCharType="end"/>
            </w:r>
          </w:hyperlink>
        </w:p>
        <w:p w14:paraId="0D49B370" w14:textId="77777777" w:rsidR="002D1B45" w:rsidRPr="00760296" w:rsidRDefault="002D1B45" w:rsidP="002D1B45">
          <w:pPr>
            <w:rPr>
              <w:rFonts w:asciiTheme="minorBidi" w:hAnsiTheme="minorBidi" w:cstheme="minorBidi"/>
            </w:rPr>
          </w:pPr>
          <w:r w:rsidRPr="00760296">
            <w:rPr>
              <w:rFonts w:asciiTheme="minorBidi" w:hAnsiTheme="minorBidi" w:cstheme="minorBidi"/>
              <w:b/>
              <w:bCs/>
              <w:noProof/>
            </w:rPr>
            <w:fldChar w:fldCharType="end"/>
          </w:r>
        </w:p>
      </w:sdtContent>
    </w:sdt>
    <w:p w14:paraId="5F7585B6" w14:textId="77777777" w:rsidR="00653731" w:rsidRPr="00760296" w:rsidRDefault="00653731" w:rsidP="002D1B45">
      <w:pPr>
        <w:jc w:val="center"/>
        <w:rPr>
          <w:rFonts w:asciiTheme="minorBidi" w:hAnsiTheme="minorBidi" w:cstheme="minorBidi"/>
        </w:rPr>
      </w:pPr>
    </w:p>
    <w:p w14:paraId="3A976F89" w14:textId="77777777" w:rsidR="002D1B45" w:rsidRPr="00760296" w:rsidRDefault="002D1B45">
      <w:pPr>
        <w:rPr>
          <w:rFonts w:asciiTheme="minorBidi" w:hAnsiTheme="minorBidi" w:cstheme="minorBidi"/>
          <w:b/>
          <w:sz w:val="28"/>
          <w:szCs w:val="28"/>
        </w:rPr>
      </w:pPr>
      <w:bookmarkStart w:id="1" w:name="_Toc213194602"/>
      <w:r w:rsidRPr="00760296">
        <w:rPr>
          <w:rFonts w:asciiTheme="minorBidi" w:hAnsiTheme="minorBidi" w:cstheme="minorBidi"/>
        </w:rPr>
        <w:br w:type="page"/>
      </w:r>
    </w:p>
    <w:p w14:paraId="5E9E9B22" w14:textId="77777777" w:rsidR="006138C6" w:rsidRPr="00760296" w:rsidRDefault="00EF72CD" w:rsidP="002D1B45">
      <w:pPr>
        <w:pStyle w:val="Heading1"/>
        <w:keepNext w:val="0"/>
        <w:keepLines w:val="0"/>
        <w:rPr>
          <w:rFonts w:asciiTheme="minorBidi" w:hAnsiTheme="minorBidi" w:cstheme="minorBidi"/>
        </w:rPr>
      </w:pPr>
      <w:r w:rsidRPr="00760296">
        <w:rPr>
          <w:rFonts w:asciiTheme="minorBidi" w:hAnsiTheme="minorBidi" w:cstheme="minorBidi"/>
        </w:rPr>
        <w:lastRenderedPageBreak/>
        <w:t>1. Introduction</w:t>
      </w:r>
      <w:bookmarkEnd w:id="1"/>
      <w:r w:rsidRPr="00760296">
        <w:rPr>
          <w:rFonts w:asciiTheme="minorBidi" w:hAnsiTheme="minorBidi" w:cstheme="minorBidi"/>
        </w:rPr>
        <w:t xml:space="preserve"> </w:t>
      </w:r>
    </w:p>
    <w:p w14:paraId="05B24252" w14:textId="77777777" w:rsidR="006138C6" w:rsidRPr="00760296" w:rsidRDefault="00EF72CD" w:rsidP="002D1B45">
      <w:pPr>
        <w:rPr>
          <w:rFonts w:asciiTheme="minorBidi" w:hAnsiTheme="minorBidi" w:cstheme="minorBidi"/>
        </w:rPr>
      </w:pPr>
      <w:r w:rsidRPr="00760296">
        <w:rPr>
          <w:rFonts w:asciiTheme="minorBidi" w:hAnsiTheme="minorBidi" w:cstheme="minorBidi"/>
        </w:rPr>
        <w:t>General electronics is a multinational corporation that has operated in the consumer electronics market highly regarded due to its innovative technology and assorted products</w:t>
      </w:r>
      <w:r w:rsidR="008F6FAE" w:rsidRPr="00760296">
        <w:rPr>
          <w:rFonts w:asciiTheme="minorBidi" w:hAnsiTheme="minorBidi" w:cstheme="minorBidi"/>
        </w:rPr>
        <w:t xml:space="preserve"> (General Electric, 2019)</w:t>
      </w:r>
      <w:r w:rsidRPr="00760296">
        <w:rPr>
          <w:rFonts w:asciiTheme="minorBidi" w:hAnsiTheme="minorBidi" w:cstheme="minorBidi"/>
        </w:rPr>
        <w:t xml:space="preserve">. Nevertheless, within the recent years, the company has been in a state of acute financial difficulties because of the sales, high operational expenses, and heightened competition in the market. In this report, the </w:t>
      </w:r>
      <w:r w:rsidR="008F6FAE" w:rsidRPr="00760296">
        <w:rPr>
          <w:rFonts w:asciiTheme="minorBidi" w:hAnsiTheme="minorBidi" w:cstheme="minorBidi"/>
        </w:rPr>
        <w:t>study</w:t>
      </w:r>
      <w:r w:rsidRPr="00760296">
        <w:rPr>
          <w:rFonts w:asciiTheme="minorBidi" w:hAnsiTheme="minorBidi" w:cstheme="minorBidi"/>
        </w:rPr>
        <w:t xml:space="preserve"> is going to examine the five-year financial performance of the firm, extract the main causes of its downfall and offer a </w:t>
      </w:r>
      <w:r w:rsidR="00E00D4E" w:rsidRPr="00760296">
        <w:rPr>
          <w:rFonts w:asciiTheme="minorBidi" w:hAnsiTheme="minorBidi" w:cstheme="minorBidi"/>
        </w:rPr>
        <w:t>turnaround</w:t>
      </w:r>
      <w:r w:rsidRPr="00760296">
        <w:rPr>
          <w:rFonts w:asciiTheme="minorBidi" w:hAnsiTheme="minorBidi" w:cstheme="minorBidi"/>
        </w:rPr>
        <w:t xml:space="preserve"> proposal that would put the firm back on the road to sustainability. It contains financial health analysis, working capital analysis, financial re-structuring, and investment appraisal.</w:t>
      </w:r>
    </w:p>
    <w:p w14:paraId="22A6E489" w14:textId="77777777" w:rsidR="006138C6" w:rsidRPr="00760296" w:rsidRDefault="00EF72CD" w:rsidP="002D1B45">
      <w:pPr>
        <w:pStyle w:val="Heading1"/>
        <w:rPr>
          <w:rFonts w:asciiTheme="minorBidi" w:hAnsiTheme="minorBidi" w:cstheme="minorBidi"/>
        </w:rPr>
      </w:pPr>
      <w:bookmarkStart w:id="2" w:name="_94o7ee1sqnfc" w:colFirst="0" w:colLast="0"/>
      <w:bookmarkStart w:id="3" w:name="_Toc213194603"/>
      <w:bookmarkEnd w:id="2"/>
      <w:r w:rsidRPr="00760296">
        <w:rPr>
          <w:rFonts w:asciiTheme="minorBidi" w:eastAsia="Gungsuh" w:hAnsiTheme="minorBidi" w:cstheme="minorBidi"/>
        </w:rPr>
        <w:t>2. Financial Health Check</w:t>
      </w:r>
      <w:bookmarkEnd w:id="3"/>
      <w:r w:rsidRPr="00760296">
        <w:rPr>
          <w:rFonts w:asciiTheme="minorBidi" w:eastAsia="Gungsuh" w:hAnsiTheme="minorBidi" w:cstheme="minorBidi"/>
        </w:rPr>
        <w:t xml:space="preserve"> </w:t>
      </w:r>
    </w:p>
    <w:p w14:paraId="779A1DB4" w14:textId="77777777" w:rsidR="006138C6" w:rsidRPr="00760296" w:rsidRDefault="00EF72CD" w:rsidP="002D1B45">
      <w:pPr>
        <w:pStyle w:val="Heading2"/>
        <w:keepNext w:val="0"/>
        <w:keepLines w:val="0"/>
        <w:rPr>
          <w:rFonts w:asciiTheme="minorBidi" w:hAnsiTheme="minorBidi" w:cstheme="minorBidi"/>
        </w:rPr>
      </w:pPr>
      <w:bookmarkStart w:id="4" w:name="_t9j1uh7msxon" w:colFirst="0" w:colLast="0"/>
      <w:bookmarkStart w:id="5" w:name="_Toc213194604"/>
      <w:bookmarkEnd w:id="4"/>
      <w:r w:rsidRPr="00760296">
        <w:rPr>
          <w:rFonts w:asciiTheme="minorBidi" w:hAnsiTheme="minorBidi" w:cstheme="minorBidi"/>
        </w:rPr>
        <w:t>2.1 Overview of Financial Position</w:t>
      </w:r>
      <w:bookmarkEnd w:id="5"/>
    </w:p>
    <w:p w14:paraId="6E727C99" w14:textId="77777777" w:rsidR="006138C6" w:rsidRPr="00760296" w:rsidRDefault="00E00D4E" w:rsidP="002D1B45">
      <w:pPr>
        <w:pStyle w:val="Heading3"/>
        <w:rPr>
          <w:rFonts w:asciiTheme="minorBidi" w:hAnsiTheme="minorBidi" w:cstheme="minorBidi"/>
        </w:rPr>
      </w:pPr>
      <w:bookmarkStart w:id="6" w:name="_Toc213194605"/>
      <w:r w:rsidRPr="00760296">
        <w:rPr>
          <w:rFonts w:asciiTheme="minorBidi" w:hAnsiTheme="minorBidi" w:cstheme="minorBidi"/>
        </w:rPr>
        <w:t xml:space="preserve">2.1.1 </w:t>
      </w:r>
      <w:r w:rsidR="00EF72CD" w:rsidRPr="00760296">
        <w:rPr>
          <w:rFonts w:asciiTheme="minorBidi" w:hAnsiTheme="minorBidi" w:cstheme="minorBidi"/>
        </w:rPr>
        <w:t>Income Statement</w:t>
      </w:r>
      <w:bookmarkEnd w:id="6"/>
    </w:p>
    <w:p w14:paraId="3922DD50" w14:textId="77777777" w:rsidR="006138C6" w:rsidRPr="00760296" w:rsidRDefault="00EF72CD" w:rsidP="002D1B45">
      <w:pPr>
        <w:rPr>
          <w:rFonts w:asciiTheme="minorBidi" w:hAnsiTheme="minorBidi" w:cstheme="minorBidi"/>
        </w:rPr>
      </w:pPr>
      <w:r w:rsidRPr="00760296">
        <w:rPr>
          <w:rFonts w:asciiTheme="minorBidi" w:hAnsiTheme="minorBidi" w:cstheme="minorBidi"/>
        </w:rPr>
        <w:t>The overall revenue of General Electronics has been on a sharp decline with net sales reducing to £394,879m in 2024 against a high of 614,680m in 2020 due to the low demand in the market and competitive forces. The gross profit declined considerably, which points to the increase in the cost of production and inefficiency in the prices</w:t>
      </w:r>
      <w:r w:rsidR="008F6FAE" w:rsidRPr="00760296">
        <w:rPr>
          <w:rFonts w:asciiTheme="minorBidi" w:hAnsiTheme="minorBidi" w:cstheme="minorBidi"/>
        </w:rPr>
        <w:t xml:space="preserve"> (Martini et al., 2023)</w:t>
      </w:r>
      <w:r w:rsidRPr="00760296">
        <w:rPr>
          <w:rFonts w:asciiTheme="minorBidi" w:hAnsiTheme="minorBidi" w:cstheme="minorBidi"/>
        </w:rPr>
        <w:t>. Operation costs were also high, and the company experienced operating losses this year and the following (2023: -85,301m), 2024: -15,297m). Although the figures showed slight cost cuts, a net loss of 24, 029m was recorded in 2024 after massive loss of 98, 238m in 2023, which is an indication that the company is experiencing immense inefficiency in its operations, and its costs are being mismanaged.</w:t>
      </w:r>
    </w:p>
    <w:p w14:paraId="099116EA" w14:textId="77777777" w:rsidR="006138C6" w:rsidRPr="00760296" w:rsidRDefault="00E00D4E" w:rsidP="002D1B45">
      <w:pPr>
        <w:pStyle w:val="Heading3"/>
        <w:rPr>
          <w:rFonts w:asciiTheme="minorBidi" w:hAnsiTheme="minorBidi" w:cstheme="minorBidi"/>
        </w:rPr>
      </w:pPr>
      <w:bookmarkStart w:id="7" w:name="_Toc213194606"/>
      <w:r w:rsidRPr="00760296">
        <w:rPr>
          <w:rFonts w:asciiTheme="minorBidi" w:hAnsiTheme="minorBidi" w:cstheme="minorBidi"/>
        </w:rPr>
        <w:t xml:space="preserve">2.1.2 </w:t>
      </w:r>
      <w:r w:rsidR="00EF72CD" w:rsidRPr="00760296">
        <w:rPr>
          <w:rFonts w:asciiTheme="minorBidi" w:hAnsiTheme="minorBidi" w:cstheme="minorBidi"/>
        </w:rPr>
        <w:t>Balance Sheet</w:t>
      </w:r>
      <w:bookmarkEnd w:id="7"/>
    </w:p>
    <w:p w14:paraId="1E28C21C" w14:textId="77777777" w:rsidR="006138C6" w:rsidRPr="00760296" w:rsidRDefault="00EF72CD" w:rsidP="002D1B45">
      <w:pPr>
        <w:rPr>
          <w:rFonts w:asciiTheme="minorBidi" w:hAnsiTheme="minorBidi" w:cstheme="minorBidi"/>
        </w:rPr>
      </w:pPr>
      <w:r w:rsidRPr="00760296">
        <w:rPr>
          <w:rFonts w:asciiTheme="minorBidi" w:hAnsiTheme="minorBidi" w:cstheme="minorBidi"/>
        </w:rPr>
        <w:t>Total assets declined between 2020 when the total assets stood at 510,290m, to 2024 with 323,354m, which was mainly caused by the decrease in current assets and fixed assets. The current liabilities fell by a small margin, but there was an increment in the lines of credit, which shows the increasing reliance on outsourcing among borrowing. The accumulated losses continued to destroy the equity of shareholders who now stood at 153,105m in 2024 and the treasury stock buying activity made the capital base even weaker.</w:t>
      </w:r>
    </w:p>
    <w:p w14:paraId="1CAB815E" w14:textId="77777777" w:rsidR="006138C6" w:rsidRPr="00760296" w:rsidRDefault="00E00D4E" w:rsidP="002D1B45">
      <w:pPr>
        <w:pStyle w:val="Heading3"/>
        <w:rPr>
          <w:rFonts w:asciiTheme="minorBidi" w:hAnsiTheme="minorBidi" w:cstheme="minorBidi"/>
        </w:rPr>
      </w:pPr>
      <w:bookmarkStart w:id="8" w:name="_Toc213194607"/>
      <w:r w:rsidRPr="00760296">
        <w:rPr>
          <w:rFonts w:asciiTheme="minorBidi" w:hAnsiTheme="minorBidi" w:cstheme="minorBidi"/>
        </w:rPr>
        <w:lastRenderedPageBreak/>
        <w:t xml:space="preserve">2.1.3 </w:t>
      </w:r>
      <w:r w:rsidR="00EF72CD" w:rsidRPr="00760296">
        <w:rPr>
          <w:rFonts w:asciiTheme="minorBidi" w:hAnsiTheme="minorBidi" w:cstheme="minorBidi"/>
        </w:rPr>
        <w:t>Cash Flow Statement</w:t>
      </w:r>
      <w:bookmarkEnd w:id="8"/>
    </w:p>
    <w:p w14:paraId="7A8EBAC7" w14:textId="77777777" w:rsidR="006138C6" w:rsidRPr="00760296" w:rsidRDefault="00EF72CD" w:rsidP="002D1B45">
      <w:pPr>
        <w:rPr>
          <w:rFonts w:asciiTheme="minorBidi" w:hAnsiTheme="minorBidi" w:cstheme="minorBidi"/>
          <w:lang w:val="en-IN"/>
        </w:rPr>
      </w:pPr>
      <w:r w:rsidRPr="00760296">
        <w:rPr>
          <w:rFonts w:asciiTheme="minorBidi" w:hAnsiTheme="minorBidi" w:cstheme="minorBidi"/>
        </w:rPr>
        <w:t>The operating cash flow of the firm has been slightly better in 2024 to become £14,822m but it is not stable. There are high net losses of the company with slight depreciation gains and frequent borrowings under lines of credit out of liquidity pressure</w:t>
      </w:r>
      <w:r w:rsidR="008F6FAE" w:rsidRPr="00760296">
        <w:rPr>
          <w:rFonts w:asciiTheme="minorBidi" w:hAnsiTheme="minorBidi" w:cstheme="minorBidi"/>
        </w:rPr>
        <w:t xml:space="preserve"> </w:t>
      </w:r>
      <w:r w:rsidR="008F6FAE" w:rsidRPr="00760296">
        <w:rPr>
          <w:rFonts w:asciiTheme="minorBidi" w:hAnsiTheme="minorBidi" w:cstheme="minorBidi"/>
          <w:lang w:val="en-IN"/>
        </w:rPr>
        <w:t xml:space="preserve">(Naser, </w:t>
      </w:r>
      <w:proofErr w:type="spellStart"/>
      <w:r w:rsidR="008F6FAE" w:rsidRPr="00760296">
        <w:rPr>
          <w:rFonts w:asciiTheme="minorBidi" w:hAnsiTheme="minorBidi" w:cstheme="minorBidi"/>
          <w:lang w:val="en-IN"/>
        </w:rPr>
        <w:t>Bany-Ariffin</w:t>
      </w:r>
      <w:proofErr w:type="spellEnd"/>
      <w:r w:rsidR="008F6FAE" w:rsidRPr="00760296">
        <w:rPr>
          <w:rFonts w:asciiTheme="minorBidi" w:hAnsiTheme="minorBidi" w:cstheme="minorBidi"/>
          <w:lang w:val="en-IN"/>
        </w:rPr>
        <w:t xml:space="preserve"> and Tunde </w:t>
      </w:r>
      <w:proofErr w:type="spellStart"/>
      <w:r w:rsidR="008F6FAE" w:rsidRPr="00760296">
        <w:rPr>
          <w:rFonts w:asciiTheme="minorBidi" w:hAnsiTheme="minorBidi" w:cstheme="minorBidi"/>
          <w:lang w:val="en-IN"/>
        </w:rPr>
        <w:t>Matemilola</w:t>
      </w:r>
      <w:proofErr w:type="spellEnd"/>
      <w:r w:rsidR="008F6FAE" w:rsidRPr="00760296">
        <w:rPr>
          <w:rFonts w:asciiTheme="minorBidi" w:hAnsiTheme="minorBidi" w:cstheme="minorBidi"/>
          <w:lang w:val="en-IN"/>
        </w:rPr>
        <w:t>, 2024)</w:t>
      </w:r>
      <w:r w:rsidRPr="00760296">
        <w:rPr>
          <w:rFonts w:asciiTheme="minorBidi" w:hAnsiTheme="minorBidi" w:cstheme="minorBidi"/>
        </w:rPr>
        <w:t>. The negative cash flows of investing as in persistently negative are indications of continuous disposition of assets, which implies that General Electronics is marrying activities to support its operations as opposed to creating organic cash flows.</w:t>
      </w:r>
    </w:p>
    <w:p w14:paraId="50A05702" w14:textId="77777777" w:rsidR="006138C6" w:rsidRPr="00760296" w:rsidRDefault="00EF72CD" w:rsidP="002D1B45">
      <w:pPr>
        <w:pStyle w:val="Heading2"/>
        <w:rPr>
          <w:rFonts w:asciiTheme="minorBidi" w:hAnsiTheme="minorBidi" w:cstheme="minorBidi"/>
        </w:rPr>
      </w:pPr>
      <w:bookmarkStart w:id="9" w:name="_i8173kk8v2jo" w:colFirst="0" w:colLast="0"/>
      <w:bookmarkStart w:id="10" w:name="_Toc213194608"/>
      <w:bookmarkEnd w:id="9"/>
      <w:r w:rsidRPr="00760296">
        <w:rPr>
          <w:rFonts w:asciiTheme="minorBidi" w:hAnsiTheme="minorBidi" w:cstheme="minorBidi"/>
        </w:rPr>
        <w:t>2.2 Ratio Analysis</w:t>
      </w:r>
      <w:bookmarkEnd w:id="10"/>
    </w:p>
    <w:p w14:paraId="3236C52A" w14:textId="77777777" w:rsidR="006138C6" w:rsidRPr="00760296" w:rsidRDefault="00E00D4E" w:rsidP="002D1B45">
      <w:pPr>
        <w:pStyle w:val="Heading3"/>
        <w:rPr>
          <w:rFonts w:asciiTheme="minorBidi" w:hAnsiTheme="minorBidi" w:cstheme="minorBidi"/>
        </w:rPr>
      </w:pPr>
      <w:bookmarkStart w:id="11" w:name="_Toc213194609"/>
      <w:r w:rsidRPr="00760296">
        <w:rPr>
          <w:rFonts w:asciiTheme="minorBidi" w:hAnsiTheme="minorBidi" w:cstheme="minorBidi"/>
        </w:rPr>
        <w:t>2.2.1</w:t>
      </w:r>
      <w:r w:rsidR="00EF72CD" w:rsidRPr="00760296">
        <w:rPr>
          <w:rFonts w:asciiTheme="minorBidi" w:hAnsiTheme="minorBidi" w:cstheme="minorBidi"/>
        </w:rPr>
        <w:t xml:space="preserve">Liquidity Ratios </w:t>
      </w:r>
      <w:r w:rsidR="002D1B45" w:rsidRPr="00760296">
        <w:rPr>
          <w:rFonts w:asciiTheme="minorBidi" w:hAnsiTheme="minorBidi" w:cstheme="minorBidi"/>
        </w:rPr>
        <w:t>Analysis</w:t>
      </w:r>
      <w:bookmarkEnd w:id="11"/>
    </w:p>
    <w:p w14:paraId="7A36A323" w14:textId="77777777" w:rsidR="006138C6" w:rsidRPr="00760296" w:rsidRDefault="00EF72CD" w:rsidP="002D1B45">
      <w:pPr>
        <w:rPr>
          <w:rFonts w:asciiTheme="minorBidi" w:hAnsiTheme="minorBidi" w:cstheme="minorBidi"/>
          <w:b/>
          <w:bCs/>
          <w:u w:val="single"/>
        </w:rPr>
      </w:pPr>
      <w:r w:rsidRPr="00760296">
        <w:rPr>
          <w:rFonts w:asciiTheme="minorBidi" w:hAnsiTheme="minorBidi" w:cstheme="minorBidi"/>
          <w:b/>
          <w:bCs/>
          <w:u w:val="single"/>
        </w:rPr>
        <w:t xml:space="preserve">Current Ratio </w:t>
      </w:r>
    </w:p>
    <w:p w14:paraId="1D1D6F7A" w14:textId="77777777" w:rsidR="006138C6" w:rsidRPr="00760296" w:rsidRDefault="00EF72CD" w:rsidP="002D1B45">
      <w:pPr>
        <w:rPr>
          <w:rFonts w:asciiTheme="minorBidi" w:hAnsiTheme="minorBidi" w:cstheme="minorBidi"/>
        </w:rPr>
      </w:pPr>
      <w:r w:rsidRPr="00760296">
        <w:rPr>
          <w:rFonts w:asciiTheme="minorBidi" w:hAnsiTheme="minorBidi" w:cstheme="minorBidi"/>
        </w:rPr>
        <w:t>The current ratio of General Electric did not change much from 2021 to 2023 (1.5- 1.6), but lowered to 1.53 in the year 2024. This represents a solid liquidity position and sufficient short-term solvency.</w:t>
      </w:r>
    </w:p>
    <w:p w14:paraId="0D4A553E" w14:textId="77777777" w:rsidR="006138C6" w:rsidRPr="00760296" w:rsidRDefault="00EF72CD" w:rsidP="002D1B45">
      <w:pPr>
        <w:rPr>
          <w:rFonts w:asciiTheme="minorBidi" w:hAnsiTheme="minorBidi" w:cstheme="minorBidi"/>
          <w:b/>
          <w:bCs/>
          <w:u w:val="single"/>
        </w:rPr>
      </w:pPr>
      <w:r w:rsidRPr="00760296">
        <w:rPr>
          <w:rFonts w:asciiTheme="minorBidi" w:hAnsiTheme="minorBidi" w:cstheme="minorBidi"/>
          <w:b/>
          <w:bCs/>
          <w:u w:val="single"/>
        </w:rPr>
        <w:t xml:space="preserve">Acid Test Ratio </w:t>
      </w:r>
    </w:p>
    <w:p w14:paraId="77B4EEA8" w14:textId="77777777" w:rsidR="006138C6" w:rsidRPr="00760296" w:rsidRDefault="00EF72CD" w:rsidP="002D1B45">
      <w:pPr>
        <w:rPr>
          <w:rFonts w:asciiTheme="minorBidi" w:hAnsiTheme="minorBidi" w:cstheme="minorBidi"/>
        </w:rPr>
      </w:pPr>
      <w:r w:rsidRPr="00760296">
        <w:rPr>
          <w:rFonts w:asciiTheme="minorBidi" w:hAnsiTheme="minorBidi" w:cstheme="minorBidi"/>
        </w:rPr>
        <w:t>The acid-test ratio was between 0.91 and 1.15 during 20202024, and 1.03 in 2024. This is the moderate enhancement of the immediate liquidity indicating the capacity of GE to cover short-term liabilities without nearly relying on stocks</w:t>
      </w:r>
      <w:r w:rsidR="008F6FAE" w:rsidRPr="00760296">
        <w:rPr>
          <w:rFonts w:asciiTheme="minorBidi" w:hAnsiTheme="minorBidi" w:cstheme="minorBidi"/>
        </w:rPr>
        <w:t xml:space="preserve"> (Li, 2023)</w:t>
      </w:r>
      <w:r w:rsidRPr="00760296">
        <w:rPr>
          <w:rFonts w:asciiTheme="minorBidi" w:hAnsiTheme="minorBidi" w:cstheme="minorBidi"/>
        </w:rPr>
        <w:t>.</w:t>
      </w:r>
    </w:p>
    <w:p w14:paraId="733499A4" w14:textId="77777777" w:rsidR="006138C6" w:rsidRPr="00760296" w:rsidRDefault="00E00D4E" w:rsidP="002D1B45">
      <w:pPr>
        <w:pStyle w:val="Heading3"/>
        <w:rPr>
          <w:rFonts w:asciiTheme="minorBidi" w:hAnsiTheme="minorBidi" w:cstheme="minorBidi"/>
        </w:rPr>
      </w:pPr>
      <w:bookmarkStart w:id="12" w:name="_Toc213194610"/>
      <w:r w:rsidRPr="00760296">
        <w:rPr>
          <w:rFonts w:asciiTheme="minorBidi" w:hAnsiTheme="minorBidi" w:cstheme="minorBidi"/>
        </w:rPr>
        <w:t xml:space="preserve">2.2.2 </w:t>
      </w:r>
      <w:r w:rsidR="00EF72CD" w:rsidRPr="00760296">
        <w:rPr>
          <w:rFonts w:asciiTheme="minorBidi" w:hAnsiTheme="minorBidi" w:cstheme="minorBidi"/>
        </w:rPr>
        <w:t xml:space="preserve">Profitability Ratios </w:t>
      </w:r>
      <w:r w:rsidR="002D1B45" w:rsidRPr="00760296">
        <w:rPr>
          <w:rFonts w:asciiTheme="minorBidi" w:hAnsiTheme="minorBidi" w:cstheme="minorBidi"/>
        </w:rPr>
        <w:t>Analysis</w:t>
      </w:r>
      <w:bookmarkEnd w:id="12"/>
    </w:p>
    <w:p w14:paraId="43F71719" w14:textId="77777777" w:rsidR="008F6FAE" w:rsidRPr="00760296" w:rsidRDefault="00EF72CD" w:rsidP="002D1B45">
      <w:pPr>
        <w:rPr>
          <w:rFonts w:asciiTheme="minorBidi" w:hAnsiTheme="minorBidi" w:cstheme="minorBidi"/>
          <w:b/>
          <w:bCs/>
          <w:u w:val="single"/>
        </w:rPr>
      </w:pPr>
      <w:r w:rsidRPr="00760296">
        <w:rPr>
          <w:rFonts w:asciiTheme="minorBidi" w:hAnsiTheme="minorBidi" w:cstheme="minorBidi"/>
          <w:b/>
          <w:bCs/>
          <w:u w:val="single"/>
        </w:rPr>
        <w:t xml:space="preserve"> Net Margin Ratio</w:t>
      </w:r>
    </w:p>
    <w:p w14:paraId="793DF0EC" w14:textId="77777777" w:rsidR="006138C6" w:rsidRPr="00760296" w:rsidRDefault="00EF72CD" w:rsidP="002D1B45">
      <w:pPr>
        <w:rPr>
          <w:rFonts w:asciiTheme="minorBidi" w:hAnsiTheme="minorBidi" w:cstheme="minorBidi"/>
        </w:rPr>
      </w:pPr>
      <w:r w:rsidRPr="00760296">
        <w:rPr>
          <w:rFonts w:asciiTheme="minorBidi" w:hAnsiTheme="minorBidi" w:cstheme="minorBidi"/>
        </w:rPr>
        <w:t>General Electric has experienced fluctuations in terms of net margin as the company recorded net losses of -23 and -6 in 2023 and 2024 respectively; it indicates that the company has been facing difficulties in its profitability, as the net margin represents profits as profit margin</w:t>
      </w:r>
      <w:r w:rsidR="008F6FAE" w:rsidRPr="00760296">
        <w:rPr>
          <w:rFonts w:asciiTheme="minorBidi" w:hAnsiTheme="minorBidi" w:cstheme="minorBidi"/>
        </w:rPr>
        <w:t xml:space="preserve"> (</w:t>
      </w:r>
      <w:proofErr w:type="spellStart"/>
      <w:r w:rsidR="008F6FAE" w:rsidRPr="00760296">
        <w:rPr>
          <w:rFonts w:asciiTheme="minorBidi" w:hAnsiTheme="minorBidi" w:cstheme="minorBidi"/>
        </w:rPr>
        <w:t>Budiyanta</w:t>
      </w:r>
      <w:proofErr w:type="spellEnd"/>
      <w:r w:rsidR="008F6FAE" w:rsidRPr="00760296">
        <w:rPr>
          <w:rFonts w:asciiTheme="minorBidi" w:hAnsiTheme="minorBidi" w:cstheme="minorBidi"/>
        </w:rPr>
        <w:t>, 2021)</w:t>
      </w:r>
      <w:r w:rsidRPr="00760296">
        <w:rPr>
          <w:rFonts w:asciiTheme="minorBidi" w:hAnsiTheme="minorBidi" w:cstheme="minorBidi"/>
        </w:rPr>
        <w:t>.</w:t>
      </w:r>
    </w:p>
    <w:p w14:paraId="58507B94" w14:textId="77777777" w:rsidR="008F6FAE" w:rsidRPr="00760296" w:rsidRDefault="00EF72CD" w:rsidP="002D1B45">
      <w:pPr>
        <w:rPr>
          <w:rFonts w:asciiTheme="minorBidi" w:hAnsiTheme="minorBidi" w:cstheme="minorBidi"/>
          <w:b/>
          <w:bCs/>
          <w:u w:val="single"/>
        </w:rPr>
      </w:pPr>
      <w:r w:rsidRPr="00760296">
        <w:rPr>
          <w:rFonts w:asciiTheme="minorBidi" w:hAnsiTheme="minorBidi" w:cstheme="minorBidi"/>
          <w:b/>
          <w:bCs/>
          <w:u w:val="single"/>
        </w:rPr>
        <w:t>Gross Margin Ratio</w:t>
      </w:r>
    </w:p>
    <w:p w14:paraId="22A1C1B2" w14:textId="77777777" w:rsidR="006138C6" w:rsidRPr="00760296" w:rsidRDefault="00EF72CD" w:rsidP="002D1B45">
      <w:pPr>
        <w:rPr>
          <w:rFonts w:asciiTheme="minorBidi" w:hAnsiTheme="minorBidi" w:cstheme="minorBidi"/>
        </w:rPr>
      </w:pPr>
      <w:r w:rsidRPr="00760296">
        <w:rPr>
          <w:rFonts w:asciiTheme="minorBidi" w:hAnsiTheme="minorBidi" w:cstheme="minorBidi"/>
        </w:rPr>
        <w:t>The gross margin was steady (23%-32) with 29% in 2024, which suggests that the production was efficiently being carried out although the revenues were going down, operation control partially occupied the falling net profits</w:t>
      </w:r>
      <w:r w:rsidR="002B5DAD" w:rsidRPr="00760296">
        <w:rPr>
          <w:rFonts w:asciiTheme="minorBidi" w:hAnsiTheme="minorBidi" w:cstheme="minorBidi"/>
        </w:rPr>
        <w:t xml:space="preserve"> (Mahdi and </w:t>
      </w:r>
      <w:proofErr w:type="spellStart"/>
      <w:r w:rsidR="002B5DAD" w:rsidRPr="00760296">
        <w:rPr>
          <w:rFonts w:asciiTheme="minorBidi" w:hAnsiTheme="minorBidi" w:cstheme="minorBidi"/>
        </w:rPr>
        <w:t>Khaddafi</w:t>
      </w:r>
      <w:proofErr w:type="spellEnd"/>
      <w:r w:rsidR="002B5DAD" w:rsidRPr="00760296">
        <w:rPr>
          <w:rFonts w:asciiTheme="minorBidi" w:hAnsiTheme="minorBidi" w:cstheme="minorBidi"/>
        </w:rPr>
        <w:t>, 2020)</w:t>
      </w:r>
      <w:r w:rsidRPr="00760296">
        <w:rPr>
          <w:rFonts w:asciiTheme="minorBidi" w:hAnsiTheme="minorBidi" w:cstheme="minorBidi"/>
        </w:rPr>
        <w:t>.</w:t>
      </w:r>
    </w:p>
    <w:p w14:paraId="329096D7" w14:textId="77777777" w:rsidR="006138C6" w:rsidRPr="00760296" w:rsidRDefault="0082682C" w:rsidP="002D1B45">
      <w:pPr>
        <w:pStyle w:val="Heading3"/>
        <w:rPr>
          <w:rFonts w:asciiTheme="minorBidi" w:hAnsiTheme="minorBidi" w:cstheme="minorBidi"/>
        </w:rPr>
      </w:pPr>
      <w:bookmarkStart w:id="13" w:name="_Toc213194611"/>
      <w:r w:rsidRPr="00760296">
        <w:rPr>
          <w:rFonts w:asciiTheme="minorBidi" w:hAnsiTheme="minorBidi" w:cstheme="minorBidi"/>
        </w:rPr>
        <w:t xml:space="preserve">2.2.3 </w:t>
      </w:r>
      <w:r w:rsidR="00EF72CD" w:rsidRPr="00760296">
        <w:rPr>
          <w:rFonts w:asciiTheme="minorBidi" w:hAnsiTheme="minorBidi" w:cstheme="minorBidi"/>
        </w:rPr>
        <w:t>Leverage Ratios Analysis</w:t>
      </w:r>
      <w:bookmarkEnd w:id="13"/>
    </w:p>
    <w:p w14:paraId="6FF79363" w14:textId="77777777" w:rsidR="002B5DAD" w:rsidRPr="00760296" w:rsidRDefault="00EF72CD" w:rsidP="002D1B45">
      <w:pPr>
        <w:rPr>
          <w:rFonts w:asciiTheme="minorBidi" w:hAnsiTheme="minorBidi" w:cstheme="minorBidi"/>
          <w:b/>
          <w:bCs/>
          <w:u w:val="single"/>
        </w:rPr>
      </w:pPr>
      <w:r w:rsidRPr="00760296">
        <w:rPr>
          <w:rFonts w:asciiTheme="minorBidi" w:hAnsiTheme="minorBidi" w:cstheme="minorBidi"/>
          <w:b/>
          <w:bCs/>
          <w:u w:val="single"/>
        </w:rPr>
        <w:t xml:space="preserve">Debt Ratio: </w:t>
      </w:r>
    </w:p>
    <w:p w14:paraId="07DE42A4" w14:textId="77777777" w:rsidR="006138C6" w:rsidRPr="00760296" w:rsidRDefault="00EF72CD" w:rsidP="002D1B45">
      <w:pPr>
        <w:rPr>
          <w:rFonts w:asciiTheme="minorBidi" w:hAnsiTheme="minorBidi" w:cstheme="minorBidi"/>
        </w:rPr>
      </w:pPr>
      <w:r w:rsidRPr="00760296">
        <w:rPr>
          <w:rFonts w:asciiTheme="minorBidi" w:hAnsiTheme="minorBidi" w:cstheme="minorBidi"/>
        </w:rPr>
        <w:t>The debt ratio of GE grew showing a dependency on debt financing since it was 0.39 in 2020 and 0.53 in 2024.</w:t>
      </w:r>
    </w:p>
    <w:p w14:paraId="74AF42D9" w14:textId="77777777" w:rsidR="002B5DAD" w:rsidRPr="00760296" w:rsidRDefault="00EF72CD" w:rsidP="002D1B45">
      <w:pPr>
        <w:rPr>
          <w:rFonts w:asciiTheme="minorBidi" w:hAnsiTheme="minorBidi" w:cstheme="minorBidi"/>
          <w:b/>
          <w:bCs/>
          <w:u w:val="single"/>
        </w:rPr>
      </w:pPr>
      <w:r w:rsidRPr="00760296">
        <w:rPr>
          <w:rFonts w:asciiTheme="minorBidi" w:hAnsiTheme="minorBidi" w:cstheme="minorBidi"/>
          <w:b/>
          <w:bCs/>
          <w:u w:val="single"/>
        </w:rPr>
        <w:t xml:space="preserve">Debt-to-Equity Ratio: </w:t>
      </w:r>
    </w:p>
    <w:p w14:paraId="02A484A8" w14:textId="77777777" w:rsidR="006138C6" w:rsidRPr="00760296" w:rsidRDefault="00EF72CD" w:rsidP="002D1B45">
      <w:pPr>
        <w:rPr>
          <w:rFonts w:asciiTheme="minorBidi" w:hAnsiTheme="minorBidi" w:cstheme="minorBidi"/>
        </w:rPr>
      </w:pPr>
      <w:r w:rsidRPr="00760296">
        <w:rPr>
          <w:rFonts w:asciiTheme="minorBidi" w:hAnsiTheme="minorBidi" w:cstheme="minorBidi"/>
        </w:rPr>
        <w:lastRenderedPageBreak/>
        <w:t>This increases to 1.11-0.63 which shows that there is an increase in financial leverage as well as the exposure to risk.</w:t>
      </w:r>
    </w:p>
    <w:p w14:paraId="7C81E463" w14:textId="77777777" w:rsidR="002B5DAD" w:rsidRPr="00760296" w:rsidRDefault="00EF72CD" w:rsidP="002D1B45">
      <w:pPr>
        <w:rPr>
          <w:rFonts w:asciiTheme="minorBidi" w:hAnsiTheme="minorBidi" w:cstheme="minorBidi"/>
          <w:u w:val="single"/>
        </w:rPr>
      </w:pPr>
      <w:r w:rsidRPr="00760296">
        <w:rPr>
          <w:rFonts w:asciiTheme="minorBidi" w:hAnsiTheme="minorBidi" w:cstheme="minorBidi"/>
          <w:b/>
          <w:bCs/>
          <w:u w:val="single"/>
        </w:rPr>
        <w:t>Equity Ratio:</w:t>
      </w:r>
      <w:r w:rsidRPr="00760296">
        <w:rPr>
          <w:rFonts w:asciiTheme="minorBidi" w:hAnsiTheme="minorBidi" w:cstheme="minorBidi"/>
          <w:u w:val="single"/>
        </w:rPr>
        <w:t xml:space="preserve"> </w:t>
      </w:r>
    </w:p>
    <w:p w14:paraId="1E23B57C" w14:textId="77777777" w:rsidR="006138C6" w:rsidRPr="00760296" w:rsidRDefault="00EF72CD" w:rsidP="002D1B45">
      <w:pPr>
        <w:rPr>
          <w:rFonts w:asciiTheme="minorBidi" w:hAnsiTheme="minorBidi" w:cstheme="minorBidi"/>
        </w:rPr>
      </w:pPr>
      <w:r w:rsidRPr="00760296">
        <w:rPr>
          <w:rFonts w:asciiTheme="minorBidi" w:hAnsiTheme="minorBidi" w:cstheme="minorBidi"/>
        </w:rPr>
        <w:t>The equity ratio decreased to 0.47 after it was at 0.61, which means that it utilizes less owner financing and more borrowed money in the long term.</w:t>
      </w:r>
    </w:p>
    <w:p w14:paraId="5AF628D7" w14:textId="77777777" w:rsidR="006138C6" w:rsidRPr="00760296" w:rsidRDefault="0082682C" w:rsidP="002D1B45">
      <w:pPr>
        <w:pStyle w:val="Heading3"/>
        <w:rPr>
          <w:rFonts w:asciiTheme="minorBidi" w:hAnsiTheme="minorBidi" w:cstheme="minorBidi"/>
        </w:rPr>
      </w:pPr>
      <w:bookmarkStart w:id="14" w:name="_Toc213194612"/>
      <w:r w:rsidRPr="00760296">
        <w:rPr>
          <w:rFonts w:asciiTheme="minorBidi" w:hAnsiTheme="minorBidi" w:cstheme="minorBidi"/>
        </w:rPr>
        <w:t xml:space="preserve">2.2.4 </w:t>
      </w:r>
      <w:r w:rsidR="00EF72CD" w:rsidRPr="00760296">
        <w:rPr>
          <w:rFonts w:asciiTheme="minorBidi" w:hAnsiTheme="minorBidi" w:cstheme="minorBidi"/>
        </w:rPr>
        <w:t>Efficiency Ratios Analysis</w:t>
      </w:r>
      <w:bookmarkEnd w:id="14"/>
    </w:p>
    <w:p w14:paraId="3089B54B" w14:textId="77777777" w:rsidR="002B5DAD" w:rsidRPr="00760296" w:rsidRDefault="00EF72CD" w:rsidP="002D1B45">
      <w:pPr>
        <w:rPr>
          <w:rFonts w:asciiTheme="minorBidi" w:hAnsiTheme="minorBidi" w:cstheme="minorBidi"/>
          <w:b/>
          <w:bCs/>
          <w:u w:val="single"/>
        </w:rPr>
      </w:pPr>
      <w:r w:rsidRPr="00760296">
        <w:rPr>
          <w:rFonts w:asciiTheme="minorBidi" w:hAnsiTheme="minorBidi" w:cstheme="minorBidi"/>
          <w:b/>
          <w:bCs/>
          <w:u w:val="single"/>
        </w:rPr>
        <w:t xml:space="preserve">Inventory Turnover Ratio </w:t>
      </w:r>
    </w:p>
    <w:p w14:paraId="2DFCDB62" w14:textId="77777777" w:rsidR="006138C6" w:rsidRPr="00760296" w:rsidRDefault="00EF72CD" w:rsidP="002D1B45">
      <w:pPr>
        <w:rPr>
          <w:rFonts w:asciiTheme="minorBidi" w:hAnsiTheme="minorBidi" w:cstheme="minorBidi"/>
        </w:rPr>
      </w:pPr>
      <w:r w:rsidRPr="00760296">
        <w:rPr>
          <w:rFonts w:asciiTheme="minorBidi" w:hAnsiTheme="minorBidi" w:cstheme="minorBidi"/>
        </w:rPr>
        <w:t>The ratio in 2024 was 4.98 when it was 4.76 in 2023, which means it manages the inventory more correctly and moves the stock more quickly.</w:t>
      </w:r>
    </w:p>
    <w:p w14:paraId="58790FF9" w14:textId="77777777" w:rsidR="002B5DAD" w:rsidRPr="00760296" w:rsidRDefault="00EF72CD" w:rsidP="002D1B45">
      <w:pPr>
        <w:rPr>
          <w:rFonts w:asciiTheme="minorBidi" w:hAnsiTheme="minorBidi" w:cstheme="minorBidi"/>
          <w:b/>
          <w:bCs/>
          <w:u w:val="single"/>
        </w:rPr>
      </w:pPr>
      <w:r w:rsidRPr="00760296">
        <w:rPr>
          <w:rFonts w:asciiTheme="minorBidi" w:hAnsiTheme="minorBidi" w:cstheme="minorBidi"/>
          <w:b/>
          <w:bCs/>
          <w:u w:val="single"/>
        </w:rPr>
        <w:t xml:space="preserve"> Receivable Turnover Ratio</w:t>
      </w:r>
    </w:p>
    <w:p w14:paraId="3766A756" w14:textId="77777777" w:rsidR="006138C6" w:rsidRPr="00760296" w:rsidRDefault="00EF72CD" w:rsidP="002D1B45">
      <w:pPr>
        <w:rPr>
          <w:rFonts w:asciiTheme="minorBidi" w:hAnsiTheme="minorBidi" w:cstheme="minorBidi"/>
        </w:rPr>
      </w:pPr>
      <w:r w:rsidRPr="00760296">
        <w:rPr>
          <w:rFonts w:asciiTheme="minorBidi" w:hAnsiTheme="minorBidi" w:cstheme="minorBidi"/>
        </w:rPr>
        <w:t>It has increased to 3.46 in 2024 (a decrease since 3.73 in 2023) indicating slower efficiency in collection.</w:t>
      </w:r>
      <w:r w:rsidR="002B5DAD" w:rsidRPr="00760296">
        <w:rPr>
          <w:rFonts w:asciiTheme="minorBidi" w:hAnsiTheme="minorBidi" w:cstheme="minorBidi"/>
        </w:rPr>
        <w:t xml:space="preserve"> </w:t>
      </w:r>
      <w:r w:rsidRPr="00760296">
        <w:rPr>
          <w:rFonts w:asciiTheme="minorBidi" w:hAnsiTheme="minorBidi" w:cstheme="minorBidi"/>
        </w:rPr>
        <w:t>GE had an average level of operational efficiency despite the fluctuations in revenue, which means that the company had a moderate working-capital and asset-usage management</w:t>
      </w:r>
      <w:r w:rsidR="00747349" w:rsidRPr="00760296">
        <w:rPr>
          <w:rFonts w:asciiTheme="minorBidi" w:hAnsiTheme="minorBidi" w:cstheme="minorBidi"/>
        </w:rPr>
        <w:t xml:space="preserve"> (</w:t>
      </w:r>
      <w:proofErr w:type="spellStart"/>
      <w:r w:rsidR="00747349" w:rsidRPr="00760296">
        <w:rPr>
          <w:rFonts w:asciiTheme="minorBidi" w:hAnsiTheme="minorBidi" w:cstheme="minorBidi"/>
        </w:rPr>
        <w:t>Handoyo</w:t>
      </w:r>
      <w:proofErr w:type="spellEnd"/>
      <w:r w:rsidR="00747349" w:rsidRPr="00760296">
        <w:rPr>
          <w:rFonts w:asciiTheme="minorBidi" w:hAnsiTheme="minorBidi" w:cstheme="minorBidi"/>
        </w:rPr>
        <w:t xml:space="preserve"> et al., 2023)</w:t>
      </w:r>
      <w:r w:rsidRPr="00760296">
        <w:rPr>
          <w:rFonts w:asciiTheme="minorBidi" w:hAnsiTheme="minorBidi" w:cstheme="minorBidi"/>
        </w:rPr>
        <w:t>.</w:t>
      </w:r>
    </w:p>
    <w:p w14:paraId="782E6CF3" w14:textId="77777777" w:rsidR="006138C6" w:rsidRPr="00760296" w:rsidRDefault="0082682C" w:rsidP="002D1B45">
      <w:pPr>
        <w:pStyle w:val="Heading3"/>
        <w:rPr>
          <w:rFonts w:asciiTheme="minorBidi" w:hAnsiTheme="minorBidi" w:cstheme="minorBidi"/>
        </w:rPr>
      </w:pPr>
      <w:bookmarkStart w:id="15" w:name="_Toc213194613"/>
      <w:r w:rsidRPr="00760296">
        <w:rPr>
          <w:rFonts w:asciiTheme="minorBidi" w:hAnsiTheme="minorBidi" w:cstheme="minorBidi"/>
        </w:rPr>
        <w:t xml:space="preserve">2.2.5 </w:t>
      </w:r>
      <w:r w:rsidR="00EF72CD" w:rsidRPr="00760296">
        <w:rPr>
          <w:rFonts w:asciiTheme="minorBidi" w:hAnsiTheme="minorBidi" w:cstheme="minorBidi"/>
        </w:rPr>
        <w:t>Investment Ratios Analysis</w:t>
      </w:r>
      <w:bookmarkEnd w:id="15"/>
    </w:p>
    <w:p w14:paraId="281696E5" w14:textId="77777777" w:rsidR="00747349" w:rsidRPr="00760296" w:rsidRDefault="00EF72CD" w:rsidP="002D1B45">
      <w:pPr>
        <w:rPr>
          <w:rFonts w:asciiTheme="minorBidi" w:hAnsiTheme="minorBidi" w:cstheme="minorBidi"/>
          <w:b/>
          <w:bCs/>
          <w:u w:val="single"/>
        </w:rPr>
      </w:pPr>
      <w:r w:rsidRPr="00760296">
        <w:rPr>
          <w:rFonts w:asciiTheme="minorBidi" w:hAnsiTheme="minorBidi" w:cstheme="minorBidi"/>
          <w:b/>
          <w:bCs/>
          <w:u w:val="single"/>
        </w:rPr>
        <w:t>Earnings per Share (EPS):</w:t>
      </w:r>
    </w:p>
    <w:p w14:paraId="05A7A956" w14:textId="77777777" w:rsidR="006138C6" w:rsidRPr="00760296" w:rsidRDefault="00EF72CD" w:rsidP="002D1B45">
      <w:pPr>
        <w:rPr>
          <w:rFonts w:asciiTheme="minorBidi" w:hAnsiTheme="minorBidi" w:cstheme="minorBidi"/>
        </w:rPr>
      </w:pPr>
      <w:r w:rsidRPr="00760296">
        <w:rPr>
          <w:rFonts w:asciiTheme="minorBidi" w:hAnsiTheme="minorBidi" w:cstheme="minorBidi"/>
        </w:rPr>
        <w:t>EPS became negative in 2023 and 2024 because of a significant loss, reaching -22.60 in 2024, this is a poor performance in terms of profitability.</w:t>
      </w:r>
    </w:p>
    <w:p w14:paraId="0C17E910" w14:textId="77777777" w:rsidR="00747349" w:rsidRPr="00760296" w:rsidRDefault="00EF72CD" w:rsidP="002D1B45">
      <w:pPr>
        <w:rPr>
          <w:rFonts w:asciiTheme="minorBidi" w:hAnsiTheme="minorBidi" w:cstheme="minorBidi"/>
          <w:b/>
          <w:bCs/>
          <w:u w:val="single"/>
        </w:rPr>
      </w:pPr>
      <w:r w:rsidRPr="00760296">
        <w:rPr>
          <w:rFonts w:asciiTheme="minorBidi" w:hAnsiTheme="minorBidi" w:cstheme="minorBidi"/>
          <w:b/>
          <w:bCs/>
          <w:u w:val="single"/>
        </w:rPr>
        <w:t xml:space="preserve">Price-Earnings Ratio: </w:t>
      </w:r>
    </w:p>
    <w:p w14:paraId="0C54D3B9" w14:textId="77777777" w:rsidR="0082682C" w:rsidRPr="00760296" w:rsidRDefault="00EF72CD" w:rsidP="002D1B45">
      <w:pPr>
        <w:rPr>
          <w:rFonts w:asciiTheme="minorBidi" w:hAnsiTheme="minorBidi" w:cstheme="minorBidi"/>
        </w:rPr>
      </w:pPr>
      <w:r w:rsidRPr="00760296">
        <w:rPr>
          <w:rFonts w:asciiTheme="minorBidi" w:hAnsiTheme="minorBidi" w:cstheme="minorBidi"/>
        </w:rPr>
        <w:t>Negative P/E over the past years is an indication of bad performance earnings</w:t>
      </w:r>
      <w:r w:rsidR="007E03E2" w:rsidRPr="00760296">
        <w:rPr>
          <w:rFonts w:asciiTheme="minorBidi" w:hAnsiTheme="minorBidi" w:cstheme="minorBidi"/>
        </w:rPr>
        <w:t xml:space="preserve"> (</w:t>
      </w:r>
      <w:proofErr w:type="spellStart"/>
      <w:r w:rsidR="007E03E2" w:rsidRPr="00760296">
        <w:rPr>
          <w:rFonts w:asciiTheme="minorBidi" w:hAnsiTheme="minorBidi" w:cstheme="minorBidi"/>
        </w:rPr>
        <w:t>Ghaeli</w:t>
      </w:r>
      <w:proofErr w:type="spellEnd"/>
      <w:r w:rsidR="007E03E2" w:rsidRPr="00760296">
        <w:rPr>
          <w:rFonts w:asciiTheme="minorBidi" w:hAnsiTheme="minorBidi" w:cstheme="minorBidi"/>
        </w:rPr>
        <w:t>, 2020)</w:t>
      </w:r>
      <w:r w:rsidRPr="00760296">
        <w:rPr>
          <w:rFonts w:asciiTheme="minorBidi" w:hAnsiTheme="minorBidi" w:cstheme="minorBidi"/>
        </w:rPr>
        <w:t>.</w:t>
      </w:r>
      <w:r w:rsidR="0082682C" w:rsidRPr="00760296">
        <w:rPr>
          <w:rFonts w:asciiTheme="minorBidi" w:hAnsiTheme="minorBidi" w:cstheme="minorBidi"/>
        </w:rPr>
        <w:t xml:space="preserve"> </w:t>
      </w:r>
      <w:r w:rsidRPr="00760296">
        <w:rPr>
          <w:rFonts w:asciiTheme="minorBidi" w:hAnsiTheme="minorBidi" w:cstheme="minorBidi"/>
        </w:rPr>
        <w:t>Despite a slight positive change in GE market price in 2024, the attractiveness of the investment in the country continued to be low, as negative returns continued to happen.</w:t>
      </w:r>
    </w:p>
    <w:p w14:paraId="2D4B0992" w14:textId="77777777" w:rsidR="006138C6" w:rsidRPr="00760296" w:rsidRDefault="0082682C" w:rsidP="002D1B45">
      <w:pPr>
        <w:pStyle w:val="Heading3"/>
        <w:rPr>
          <w:rFonts w:asciiTheme="minorBidi" w:hAnsiTheme="minorBidi" w:cstheme="minorBidi"/>
        </w:rPr>
      </w:pPr>
      <w:bookmarkStart w:id="16" w:name="_Toc213194614"/>
      <w:r w:rsidRPr="00760296">
        <w:rPr>
          <w:rFonts w:asciiTheme="minorBidi" w:hAnsiTheme="minorBidi" w:cstheme="minorBidi"/>
        </w:rPr>
        <w:t xml:space="preserve">2.2.6 </w:t>
      </w:r>
      <w:r w:rsidR="00EF72CD" w:rsidRPr="00760296">
        <w:rPr>
          <w:rFonts w:asciiTheme="minorBidi" w:hAnsiTheme="minorBidi" w:cstheme="minorBidi"/>
        </w:rPr>
        <w:t>Cash flow Ratio</w:t>
      </w:r>
      <w:bookmarkEnd w:id="16"/>
      <w:r w:rsidR="00D65304" w:rsidRPr="00760296">
        <w:rPr>
          <w:rFonts w:asciiTheme="minorBidi" w:hAnsiTheme="minorBidi" w:cstheme="minorBidi"/>
        </w:rPr>
        <w:t xml:space="preserve"> Analysis </w:t>
      </w:r>
    </w:p>
    <w:p w14:paraId="32BAE3B5" w14:textId="77777777" w:rsidR="0082682C" w:rsidRPr="00760296" w:rsidRDefault="00EF72CD" w:rsidP="002D1B45">
      <w:pPr>
        <w:spacing w:before="280"/>
        <w:rPr>
          <w:rFonts w:asciiTheme="minorBidi" w:hAnsiTheme="minorBidi" w:cstheme="minorBidi"/>
          <w:b/>
          <w:bCs/>
          <w:i/>
          <w:iCs/>
        </w:rPr>
      </w:pPr>
      <w:r w:rsidRPr="00760296">
        <w:rPr>
          <w:rFonts w:asciiTheme="minorBidi" w:hAnsiTheme="minorBidi" w:cstheme="minorBidi"/>
          <w:b/>
          <w:bCs/>
          <w:i/>
          <w:iCs/>
        </w:rPr>
        <w:t>Operating Cash Flow Ratio:</w:t>
      </w:r>
    </w:p>
    <w:p w14:paraId="46BE5D09" w14:textId="77777777" w:rsidR="006138C6" w:rsidRPr="00760296" w:rsidRDefault="00EF72CD" w:rsidP="002D1B45">
      <w:pPr>
        <w:spacing w:before="280"/>
        <w:rPr>
          <w:rFonts w:asciiTheme="minorBidi" w:hAnsiTheme="minorBidi" w:cstheme="minorBidi"/>
        </w:rPr>
      </w:pPr>
      <w:r w:rsidRPr="00760296">
        <w:rPr>
          <w:rFonts w:asciiTheme="minorBidi" w:hAnsiTheme="minorBidi" w:cstheme="minorBidi"/>
        </w:rPr>
        <w:t>The operating cash flow ratio of General Electric decreased to 0.09 in 2024, compared to 0.16 in 2023, which shows that the company generates less cash as compared to current liabilities. This implies a low liquidity and poor capacity to finance short term liabilities as a result of operational activities</w:t>
      </w:r>
      <w:r w:rsidR="007E03E2" w:rsidRPr="00760296">
        <w:rPr>
          <w:rFonts w:asciiTheme="minorBidi" w:hAnsiTheme="minorBidi" w:cstheme="minorBidi"/>
        </w:rPr>
        <w:t xml:space="preserve"> (Nam and </w:t>
      </w:r>
      <w:proofErr w:type="spellStart"/>
      <w:r w:rsidR="007E03E2" w:rsidRPr="00760296">
        <w:rPr>
          <w:rFonts w:asciiTheme="minorBidi" w:hAnsiTheme="minorBidi" w:cstheme="minorBidi"/>
        </w:rPr>
        <w:t>Thi</w:t>
      </w:r>
      <w:proofErr w:type="spellEnd"/>
      <w:r w:rsidR="007E03E2" w:rsidRPr="00760296">
        <w:rPr>
          <w:rFonts w:asciiTheme="minorBidi" w:hAnsiTheme="minorBidi" w:cstheme="minorBidi"/>
        </w:rPr>
        <w:t>, 2024)</w:t>
      </w:r>
      <w:r w:rsidRPr="00760296">
        <w:rPr>
          <w:rFonts w:asciiTheme="minorBidi" w:hAnsiTheme="minorBidi" w:cstheme="minorBidi"/>
        </w:rPr>
        <w:t>.</w:t>
      </w:r>
    </w:p>
    <w:p w14:paraId="10040AA6" w14:textId="77777777" w:rsidR="006138C6" w:rsidRPr="00760296" w:rsidRDefault="00EF72CD" w:rsidP="002D1B45">
      <w:pPr>
        <w:spacing w:before="280"/>
        <w:rPr>
          <w:rFonts w:asciiTheme="minorBidi" w:hAnsiTheme="minorBidi" w:cstheme="minorBidi"/>
          <w:b/>
          <w:bCs/>
          <w:i/>
          <w:iCs/>
        </w:rPr>
      </w:pPr>
      <w:r w:rsidRPr="00760296">
        <w:rPr>
          <w:rFonts w:asciiTheme="minorBidi" w:hAnsiTheme="minorBidi" w:cstheme="minorBidi"/>
          <w:b/>
          <w:bCs/>
          <w:i/>
          <w:iCs/>
        </w:rPr>
        <w:t>Cash Flow to Debt Ratio:</w:t>
      </w:r>
    </w:p>
    <w:p w14:paraId="061936C2" w14:textId="77777777" w:rsidR="006138C6" w:rsidRPr="00760296" w:rsidRDefault="00EF72CD" w:rsidP="002D1B45">
      <w:pPr>
        <w:spacing w:before="280"/>
        <w:rPr>
          <w:rFonts w:asciiTheme="minorBidi" w:hAnsiTheme="minorBidi" w:cstheme="minorBidi"/>
        </w:rPr>
      </w:pPr>
      <w:r w:rsidRPr="00760296">
        <w:rPr>
          <w:rFonts w:asciiTheme="minorBidi" w:hAnsiTheme="minorBidi" w:cstheme="minorBidi"/>
        </w:rPr>
        <w:lastRenderedPageBreak/>
        <w:t xml:space="preserve"> The ratio was also very low in 20202024 with little cash covering total debt. This is indicative of the growing reliance of GE on external funding and reduction in the cash capacity used to pay off debt.</w:t>
      </w:r>
      <w:r w:rsidR="00D76486" w:rsidRPr="00760296">
        <w:rPr>
          <w:rFonts w:asciiTheme="minorBidi" w:hAnsiTheme="minorBidi" w:cstheme="minorBidi"/>
        </w:rPr>
        <w:t xml:space="preserve"> </w:t>
      </w:r>
      <w:r w:rsidR="00D76486" w:rsidRPr="00760296">
        <w:rPr>
          <w:rFonts w:asciiTheme="minorBidi" w:hAnsiTheme="minorBidi" w:cstheme="minorBidi"/>
          <w:b/>
          <w:bCs/>
          <w:i/>
          <w:iCs/>
        </w:rPr>
        <w:t>[Referred to Appendix 1]</w:t>
      </w:r>
    </w:p>
    <w:p w14:paraId="105669A6" w14:textId="77777777" w:rsidR="006138C6" w:rsidRPr="00760296" w:rsidRDefault="00EF72CD" w:rsidP="002D1B45">
      <w:pPr>
        <w:pStyle w:val="Heading2"/>
        <w:rPr>
          <w:rFonts w:asciiTheme="minorBidi" w:hAnsiTheme="minorBidi" w:cstheme="minorBidi"/>
        </w:rPr>
      </w:pPr>
      <w:bookmarkStart w:id="17" w:name="_slpskwatsczt" w:colFirst="0" w:colLast="0"/>
      <w:bookmarkStart w:id="18" w:name="_Toc213194615"/>
      <w:bookmarkEnd w:id="17"/>
      <w:r w:rsidRPr="00760296">
        <w:rPr>
          <w:rFonts w:asciiTheme="minorBidi" w:hAnsiTheme="minorBidi" w:cstheme="minorBidi"/>
        </w:rPr>
        <w:t>2.3 Trend and strength and threat Analysis</w:t>
      </w:r>
      <w:bookmarkEnd w:id="18"/>
    </w:p>
    <w:p w14:paraId="5E1FCF7B" w14:textId="77777777" w:rsidR="007E03E2" w:rsidRPr="00760296" w:rsidRDefault="0082682C" w:rsidP="002D1B45">
      <w:pPr>
        <w:pStyle w:val="Heading3"/>
        <w:rPr>
          <w:rFonts w:asciiTheme="minorBidi" w:hAnsiTheme="minorBidi" w:cstheme="minorBidi"/>
        </w:rPr>
      </w:pPr>
      <w:bookmarkStart w:id="19" w:name="_Toc213194616"/>
      <w:r w:rsidRPr="00760296">
        <w:rPr>
          <w:rFonts w:asciiTheme="minorBidi" w:hAnsiTheme="minorBidi" w:cstheme="minorBidi"/>
        </w:rPr>
        <w:t xml:space="preserve">2.3.1 </w:t>
      </w:r>
      <w:r w:rsidR="00EF72CD" w:rsidRPr="00760296">
        <w:rPr>
          <w:rFonts w:asciiTheme="minorBidi" w:hAnsiTheme="minorBidi" w:cstheme="minorBidi"/>
        </w:rPr>
        <w:t>Trend Analysis</w:t>
      </w:r>
      <w:bookmarkEnd w:id="19"/>
      <w:r w:rsidR="00EF72CD" w:rsidRPr="00760296">
        <w:rPr>
          <w:rFonts w:asciiTheme="minorBidi" w:hAnsiTheme="minorBidi" w:cstheme="minorBidi"/>
        </w:rPr>
        <w:t xml:space="preserve"> </w:t>
      </w:r>
    </w:p>
    <w:p w14:paraId="05679B25" w14:textId="77777777" w:rsidR="006138C6" w:rsidRPr="00760296" w:rsidRDefault="00EF72CD" w:rsidP="002D1B45">
      <w:pPr>
        <w:rPr>
          <w:rFonts w:asciiTheme="minorBidi" w:hAnsiTheme="minorBidi" w:cstheme="minorBidi"/>
        </w:rPr>
      </w:pPr>
      <w:r w:rsidRPr="00760296">
        <w:rPr>
          <w:rFonts w:asciiTheme="minorBidi" w:hAnsiTheme="minorBidi" w:cstheme="minorBidi"/>
        </w:rPr>
        <w:t>The financial trends of General Electric in 2020-24 depict a mixed picture of performance. The liquidity ratios were relatively steady, which means that solvency is steady in the short term, but some slight negative trend in 2024 seems to indicate constrained cash flow. The profitability levels sank significantly and net margins became negative as revenues contracted and costs grew. Leverage ratios rose and it indicates more reliance on debt and less equity. Efficiency ratios also increased a bit in 2024 with the company demonstrating better inventory management. Nonetheless, low investment and cash flow ratios indicate a falling investor confidence and the capacity of internal funding</w:t>
      </w:r>
      <w:r w:rsidR="007E03E2" w:rsidRPr="00760296">
        <w:rPr>
          <w:rFonts w:asciiTheme="minorBidi" w:hAnsiTheme="minorBidi" w:cstheme="minorBidi"/>
        </w:rPr>
        <w:t xml:space="preserve"> (</w:t>
      </w:r>
      <w:proofErr w:type="spellStart"/>
      <w:r w:rsidR="007E03E2" w:rsidRPr="00760296">
        <w:rPr>
          <w:rFonts w:asciiTheme="minorBidi" w:hAnsiTheme="minorBidi" w:cstheme="minorBidi"/>
        </w:rPr>
        <w:t>Adu</w:t>
      </w:r>
      <w:proofErr w:type="spellEnd"/>
      <w:r w:rsidR="007E03E2" w:rsidRPr="00760296">
        <w:rPr>
          <w:rFonts w:ascii="Cambria Math" w:hAnsi="Cambria Math" w:cs="Cambria Math"/>
        </w:rPr>
        <w:t>‐</w:t>
      </w:r>
      <w:r w:rsidR="007E03E2" w:rsidRPr="00760296">
        <w:rPr>
          <w:rFonts w:asciiTheme="minorBidi" w:hAnsiTheme="minorBidi" w:cstheme="minorBidi"/>
        </w:rPr>
        <w:t>Ameyaw et al., 2022)</w:t>
      </w:r>
      <w:r w:rsidRPr="00760296">
        <w:rPr>
          <w:rFonts w:asciiTheme="minorBidi" w:hAnsiTheme="minorBidi" w:cstheme="minorBidi"/>
        </w:rPr>
        <w:t>. In general, the company's financial performance shows that GE is financially strained despite the enhancement of the operational efficiency.</w:t>
      </w:r>
      <w:r w:rsidR="00D76486" w:rsidRPr="00760296">
        <w:rPr>
          <w:rFonts w:asciiTheme="minorBidi" w:hAnsiTheme="minorBidi" w:cstheme="minorBidi"/>
        </w:rPr>
        <w:t xml:space="preserve"> </w:t>
      </w:r>
      <w:r w:rsidR="00D76486" w:rsidRPr="00760296">
        <w:rPr>
          <w:rFonts w:asciiTheme="minorBidi" w:hAnsiTheme="minorBidi" w:cstheme="minorBidi"/>
          <w:b/>
          <w:bCs/>
          <w:i/>
          <w:iCs/>
        </w:rPr>
        <w:t>[Referred to Appendix 2]</w:t>
      </w:r>
    </w:p>
    <w:p w14:paraId="72B79EC6" w14:textId="77777777" w:rsidR="006138C6" w:rsidRPr="00760296" w:rsidRDefault="0082682C" w:rsidP="002D1B45">
      <w:pPr>
        <w:pStyle w:val="Heading3"/>
        <w:rPr>
          <w:rFonts w:asciiTheme="minorBidi" w:hAnsiTheme="minorBidi" w:cstheme="minorBidi"/>
        </w:rPr>
      </w:pPr>
      <w:bookmarkStart w:id="20" w:name="_Toc213194617"/>
      <w:r w:rsidRPr="00760296">
        <w:rPr>
          <w:rFonts w:asciiTheme="minorBidi" w:hAnsiTheme="minorBidi" w:cstheme="minorBidi"/>
        </w:rPr>
        <w:t xml:space="preserve">2.3.2 </w:t>
      </w:r>
      <w:r w:rsidR="00EF72CD" w:rsidRPr="00760296">
        <w:rPr>
          <w:rFonts w:asciiTheme="minorBidi" w:hAnsiTheme="minorBidi" w:cstheme="minorBidi"/>
        </w:rPr>
        <w:t>General Electric (2020–2024) – Financial Strengths and Weaknesses</w:t>
      </w:r>
      <w:bookmarkEnd w:id="20"/>
    </w:p>
    <w:tbl>
      <w:tblPr>
        <w:tblStyle w:val="GridTable5Dark-Accent2"/>
        <w:tblW w:w="86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605"/>
        <w:gridCol w:w="3675"/>
        <w:gridCol w:w="3375"/>
      </w:tblGrid>
      <w:tr w:rsidR="006138C6" w:rsidRPr="00760296" w14:paraId="1ECC6C78" w14:textId="77777777" w:rsidTr="00763175">
        <w:trPr>
          <w:trHeight w:val="330"/>
        </w:trPr>
        <w:tc>
          <w:tcPr>
            <w:tcW w:w="1605" w:type="dxa"/>
          </w:tcPr>
          <w:p w14:paraId="095304F3" w14:textId="77777777" w:rsidR="006138C6" w:rsidRPr="00760296" w:rsidRDefault="00EF72CD" w:rsidP="002D1B45">
            <w:pPr>
              <w:spacing w:before="240"/>
              <w:jc w:val="center"/>
              <w:rPr>
                <w:rFonts w:asciiTheme="minorBidi" w:hAnsiTheme="minorBidi" w:cstheme="minorBidi"/>
                <w:b/>
              </w:rPr>
            </w:pPr>
            <w:r w:rsidRPr="00760296">
              <w:rPr>
                <w:rFonts w:asciiTheme="minorBidi" w:hAnsiTheme="minorBidi" w:cstheme="minorBidi"/>
                <w:b/>
              </w:rPr>
              <w:t>Category</w:t>
            </w:r>
          </w:p>
        </w:tc>
        <w:tc>
          <w:tcPr>
            <w:tcW w:w="3675" w:type="dxa"/>
          </w:tcPr>
          <w:p w14:paraId="50F18ADC" w14:textId="77777777" w:rsidR="006138C6" w:rsidRPr="00760296" w:rsidRDefault="00EF72CD" w:rsidP="002D1B45">
            <w:pPr>
              <w:spacing w:before="240"/>
              <w:jc w:val="center"/>
              <w:rPr>
                <w:rFonts w:asciiTheme="minorBidi" w:hAnsiTheme="minorBidi" w:cstheme="minorBidi"/>
                <w:b/>
              </w:rPr>
            </w:pPr>
            <w:r w:rsidRPr="00760296">
              <w:rPr>
                <w:rFonts w:asciiTheme="minorBidi" w:hAnsiTheme="minorBidi" w:cstheme="minorBidi"/>
                <w:b/>
              </w:rPr>
              <w:t>Strengths</w:t>
            </w:r>
          </w:p>
        </w:tc>
        <w:tc>
          <w:tcPr>
            <w:tcW w:w="3375" w:type="dxa"/>
          </w:tcPr>
          <w:p w14:paraId="5D68F6AE" w14:textId="77777777" w:rsidR="006138C6" w:rsidRPr="00760296" w:rsidRDefault="00EF72CD" w:rsidP="002D1B45">
            <w:pPr>
              <w:spacing w:before="240"/>
              <w:jc w:val="center"/>
              <w:rPr>
                <w:rFonts w:asciiTheme="minorBidi" w:hAnsiTheme="minorBidi" w:cstheme="minorBidi"/>
                <w:b/>
              </w:rPr>
            </w:pPr>
            <w:r w:rsidRPr="00760296">
              <w:rPr>
                <w:rFonts w:asciiTheme="minorBidi" w:hAnsiTheme="minorBidi" w:cstheme="minorBidi"/>
                <w:b/>
              </w:rPr>
              <w:t>Weaknesses</w:t>
            </w:r>
          </w:p>
        </w:tc>
      </w:tr>
      <w:tr w:rsidR="006138C6" w:rsidRPr="00760296" w14:paraId="23A705E3" w14:textId="77777777" w:rsidTr="00763175">
        <w:trPr>
          <w:trHeight w:val="1140"/>
        </w:trPr>
        <w:tc>
          <w:tcPr>
            <w:tcW w:w="1605" w:type="dxa"/>
          </w:tcPr>
          <w:p w14:paraId="236A09B8"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Liquidity</w:t>
            </w:r>
          </w:p>
        </w:tc>
        <w:tc>
          <w:tcPr>
            <w:tcW w:w="3675" w:type="dxa"/>
          </w:tcPr>
          <w:p w14:paraId="36038E51"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Maintained a stable current and acid-test ratio around 1.5, reflecting the company’s ability to meet short-term obligations.</w:t>
            </w:r>
          </w:p>
        </w:tc>
        <w:tc>
          <w:tcPr>
            <w:tcW w:w="3375" w:type="dxa"/>
          </w:tcPr>
          <w:p w14:paraId="4177954A"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Slight decline in 2024 indicates tightening liquidity and reduced working capital flexibility.</w:t>
            </w:r>
          </w:p>
        </w:tc>
      </w:tr>
      <w:tr w:rsidR="006138C6" w:rsidRPr="00760296" w14:paraId="48364995" w14:textId="77777777" w:rsidTr="00763175">
        <w:trPr>
          <w:trHeight w:val="1140"/>
        </w:trPr>
        <w:tc>
          <w:tcPr>
            <w:tcW w:w="1605" w:type="dxa"/>
          </w:tcPr>
          <w:p w14:paraId="59998C50"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Profitability</w:t>
            </w:r>
          </w:p>
        </w:tc>
        <w:tc>
          <w:tcPr>
            <w:tcW w:w="3675" w:type="dxa"/>
          </w:tcPr>
          <w:p w14:paraId="72A8B166"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Gross margin remained steady around 28–32%, showing strong cost control and production efficiency.</w:t>
            </w:r>
          </w:p>
        </w:tc>
        <w:tc>
          <w:tcPr>
            <w:tcW w:w="3375" w:type="dxa"/>
          </w:tcPr>
          <w:p w14:paraId="4CAA9C2D"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Net margin turned negative in 2023–2024, reflecting persistent losses and declining overall profitability.</w:t>
            </w:r>
          </w:p>
        </w:tc>
      </w:tr>
      <w:tr w:rsidR="006138C6" w:rsidRPr="00760296" w14:paraId="654DDC73" w14:textId="77777777" w:rsidTr="00763175">
        <w:trPr>
          <w:trHeight w:val="870"/>
        </w:trPr>
        <w:tc>
          <w:tcPr>
            <w:tcW w:w="1605" w:type="dxa"/>
          </w:tcPr>
          <w:p w14:paraId="65B1ADCC"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Leverage</w:t>
            </w:r>
          </w:p>
        </w:tc>
        <w:tc>
          <w:tcPr>
            <w:tcW w:w="3675" w:type="dxa"/>
          </w:tcPr>
          <w:p w14:paraId="6C654EB0"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Moderate debt levels initially supported capital structure balance.</w:t>
            </w:r>
          </w:p>
        </w:tc>
        <w:tc>
          <w:tcPr>
            <w:tcW w:w="3375" w:type="dxa"/>
          </w:tcPr>
          <w:p w14:paraId="05889F24"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Rising debt ratio (0.39 to 0.53) and debt-to-equity (0.63 to 1.11) indicate increased financial risk.</w:t>
            </w:r>
          </w:p>
        </w:tc>
      </w:tr>
      <w:tr w:rsidR="006138C6" w:rsidRPr="00760296" w14:paraId="0087A7EE" w14:textId="77777777" w:rsidTr="00763175">
        <w:trPr>
          <w:trHeight w:val="1140"/>
        </w:trPr>
        <w:tc>
          <w:tcPr>
            <w:tcW w:w="1605" w:type="dxa"/>
          </w:tcPr>
          <w:p w14:paraId="770F26B4"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Efficiency</w:t>
            </w:r>
          </w:p>
        </w:tc>
        <w:tc>
          <w:tcPr>
            <w:tcW w:w="3675" w:type="dxa"/>
          </w:tcPr>
          <w:p w14:paraId="1B4CBC0E"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Improved inventory turnover in 2024 demonstrates better inventory utilization and operational efficiency.</w:t>
            </w:r>
          </w:p>
        </w:tc>
        <w:tc>
          <w:tcPr>
            <w:tcW w:w="3375" w:type="dxa"/>
          </w:tcPr>
          <w:p w14:paraId="69D737E1"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Slower receivable turnover signals weaker collection efficiency and possible credit control issues.</w:t>
            </w:r>
          </w:p>
        </w:tc>
      </w:tr>
      <w:tr w:rsidR="006138C6" w:rsidRPr="00760296" w14:paraId="4A1B5D4B" w14:textId="77777777" w:rsidTr="00763175">
        <w:trPr>
          <w:trHeight w:val="1140"/>
        </w:trPr>
        <w:tc>
          <w:tcPr>
            <w:tcW w:w="1605" w:type="dxa"/>
          </w:tcPr>
          <w:p w14:paraId="6F420C3B"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lastRenderedPageBreak/>
              <w:t>Investment &amp; Cash Flow</w:t>
            </w:r>
          </w:p>
        </w:tc>
        <w:tc>
          <w:tcPr>
            <w:tcW w:w="3675" w:type="dxa"/>
          </w:tcPr>
          <w:p w14:paraId="53DC2B2B"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EPS was strong in 2020, showing past profitability.</w:t>
            </w:r>
          </w:p>
        </w:tc>
        <w:tc>
          <w:tcPr>
            <w:tcW w:w="3375" w:type="dxa"/>
          </w:tcPr>
          <w:p w14:paraId="4071000A"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Persistent negative EPS and weak cash flow-to-debt ratios highlight poor investor returns and liquidity stress.</w:t>
            </w:r>
          </w:p>
        </w:tc>
      </w:tr>
    </w:tbl>
    <w:p w14:paraId="16D6E209" w14:textId="77777777" w:rsidR="006138C6" w:rsidRPr="00760296" w:rsidRDefault="00EF72CD" w:rsidP="002D1B45">
      <w:pPr>
        <w:pStyle w:val="Heading2"/>
        <w:rPr>
          <w:rFonts w:asciiTheme="minorBidi" w:hAnsiTheme="minorBidi" w:cstheme="minorBidi"/>
        </w:rPr>
      </w:pPr>
      <w:r w:rsidRPr="00760296">
        <w:rPr>
          <w:rFonts w:asciiTheme="minorBidi" w:hAnsiTheme="minorBidi" w:cstheme="minorBidi"/>
        </w:rPr>
        <w:t xml:space="preserve"> </w:t>
      </w:r>
      <w:bookmarkStart w:id="21" w:name="_Toc213194618"/>
      <w:r w:rsidRPr="00760296">
        <w:rPr>
          <w:rFonts w:asciiTheme="minorBidi" w:hAnsiTheme="minorBidi" w:cstheme="minorBidi"/>
        </w:rPr>
        <w:t>2.4 Corporate Failure Prediction</w:t>
      </w:r>
      <w:bookmarkEnd w:id="21"/>
    </w:p>
    <w:tbl>
      <w:tblPr>
        <w:tblStyle w:val="a0"/>
        <w:tblW w:w="5000" w:type="pct"/>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ook w:val="0600" w:firstRow="0" w:lastRow="0" w:firstColumn="0" w:lastColumn="0" w:noHBand="1" w:noVBand="1"/>
      </w:tblPr>
      <w:tblGrid>
        <w:gridCol w:w="1907"/>
        <w:gridCol w:w="2017"/>
        <w:gridCol w:w="5089"/>
      </w:tblGrid>
      <w:tr w:rsidR="006138C6" w:rsidRPr="00760296" w14:paraId="03FFFA42" w14:textId="77777777" w:rsidTr="0082682C">
        <w:trPr>
          <w:trHeight w:val="330"/>
        </w:trPr>
        <w:tc>
          <w:tcPr>
            <w:tcW w:w="1058"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4CAA3A4D" w14:textId="77777777" w:rsidR="006138C6" w:rsidRPr="00760296" w:rsidRDefault="00EF72CD" w:rsidP="002D1B45">
            <w:pPr>
              <w:spacing w:before="240"/>
              <w:jc w:val="center"/>
              <w:rPr>
                <w:rFonts w:asciiTheme="minorBidi" w:hAnsiTheme="minorBidi" w:cstheme="minorBidi"/>
                <w:b/>
              </w:rPr>
            </w:pPr>
            <w:r w:rsidRPr="00760296">
              <w:rPr>
                <w:rFonts w:asciiTheme="minorBidi" w:hAnsiTheme="minorBidi" w:cstheme="minorBidi"/>
                <w:b/>
              </w:rPr>
              <w:t>Z-Score Range</w:t>
            </w:r>
          </w:p>
        </w:tc>
        <w:tc>
          <w:tcPr>
            <w:tcW w:w="1119"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398B7D4E" w14:textId="77777777" w:rsidR="006138C6" w:rsidRPr="00760296" w:rsidRDefault="00EF72CD" w:rsidP="002D1B45">
            <w:pPr>
              <w:spacing w:before="240"/>
              <w:jc w:val="center"/>
              <w:rPr>
                <w:rFonts w:asciiTheme="minorBidi" w:hAnsiTheme="minorBidi" w:cstheme="minorBidi"/>
                <w:b/>
              </w:rPr>
            </w:pPr>
            <w:r w:rsidRPr="00760296">
              <w:rPr>
                <w:rFonts w:asciiTheme="minorBidi" w:hAnsiTheme="minorBidi" w:cstheme="minorBidi"/>
                <w:b/>
              </w:rPr>
              <w:t>Risk Zone</w:t>
            </w:r>
          </w:p>
        </w:tc>
        <w:tc>
          <w:tcPr>
            <w:tcW w:w="2823"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3752F14D" w14:textId="77777777" w:rsidR="006138C6" w:rsidRPr="00760296" w:rsidRDefault="00EF72CD" w:rsidP="002D1B45">
            <w:pPr>
              <w:spacing w:before="240"/>
              <w:jc w:val="center"/>
              <w:rPr>
                <w:rFonts w:asciiTheme="minorBidi" w:hAnsiTheme="minorBidi" w:cstheme="minorBidi"/>
                <w:b/>
              </w:rPr>
            </w:pPr>
            <w:r w:rsidRPr="00760296">
              <w:rPr>
                <w:rFonts w:asciiTheme="minorBidi" w:hAnsiTheme="minorBidi" w:cstheme="minorBidi"/>
                <w:b/>
              </w:rPr>
              <w:t>Interpretation</w:t>
            </w:r>
          </w:p>
        </w:tc>
      </w:tr>
      <w:tr w:rsidR="006138C6" w:rsidRPr="00760296" w14:paraId="23559928" w14:textId="77777777" w:rsidTr="007E03E2">
        <w:trPr>
          <w:trHeight w:val="375"/>
        </w:trPr>
        <w:tc>
          <w:tcPr>
            <w:tcW w:w="1058"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0E305CF1"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Z &lt; 1.8</w:t>
            </w:r>
          </w:p>
        </w:tc>
        <w:tc>
          <w:tcPr>
            <w:tcW w:w="1119" w:type="pct"/>
            <w:tcBorders>
              <w:top w:val="single" w:sz="6" w:space="0" w:color="000000"/>
              <w:left w:val="single" w:sz="6" w:space="0" w:color="000000"/>
              <w:bottom w:val="single" w:sz="6" w:space="0" w:color="000000"/>
              <w:right w:val="single" w:sz="6" w:space="0" w:color="000000"/>
            </w:tcBorders>
            <w:shd w:val="clear" w:color="auto" w:fill="FF0000"/>
            <w:tcMar>
              <w:top w:w="20" w:type="dxa"/>
              <w:left w:w="20" w:type="dxa"/>
              <w:bottom w:w="20" w:type="dxa"/>
              <w:right w:w="20" w:type="dxa"/>
            </w:tcMar>
          </w:tcPr>
          <w:p w14:paraId="706A4E68"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rPr>
              <w:t xml:space="preserve"> </w:t>
            </w:r>
          </w:p>
        </w:tc>
        <w:tc>
          <w:tcPr>
            <w:tcW w:w="2823"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394EE936"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High risk of bankruptcy or financial failure</w:t>
            </w:r>
          </w:p>
        </w:tc>
      </w:tr>
      <w:tr w:rsidR="006138C6" w:rsidRPr="00760296" w14:paraId="587B8080" w14:textId="77777777" w:rsidTr="007E03E2">
        <w:trPr>
          <w:trHeight w:val="375"/>
        </w:trPr>
        <w:tc>
          <w:tcPr>
            <w:tcW w:w="1058"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25E15386" w14:textId="77777777" w:rsidR="006138C6" w:rsidRPr="00760296" w:rsidRDefault="00EF72CD" w:rsidP="002D1B45">
            <w:pPr>
              <w:spacing w:before="240"/>
              <w:rPr>
                <w:rFonts w:asciiTheme="minorBidi" w:hAnsiTheme="minorBidi" w:cstheme="minorBidi"/>
                <w:b/>
              </w:rPr>
            </w:pPr>
            <w:r w:rsidRPr="00760296">
              <w:rPr>
                <w:rFonts w:asciiTheme="minorBidi" w:eastAsia="Gungsuh" w:hAnsiTheme="minorBidi" w:cstheme="minorBidi"/>
                <w:b/>
              </w:rPr>
              <w:t>1.8 ≤ Z ≤ 3.0</w:t>
            </w:r>
          </w:p>
        </w:tc>
        <w:tc>
          <w:tcPr>
            <w:tcW w:w="1119" w:type="pct"/>
            <w:tcBorders>
              <w:top w:val="single" w:sz="6" w:space="0" w:color="000000"/>
              <w:left w:val="single" w:sz="6" w:space="0" w:color="000000"/>
              <w:bottom w:val="single" w:sz="6" w:space="0" w:color="000000"/>
              <w:right w:val="single" w:sz="6" w:space="0" w:color="000000"/>
            </w:tcBorders>
            <w:shd w:val="clear" w:color="auto" w:fill="BFBFBF" w:themeFill="background1" w:themeFillShade="BF"/>
            <w:tcMar>
              <w:top w:w="20" w:type="dxa"/>
              <w:left w:w="20" w:type="dxa"/>
              <w:bottom w:w="20" w:type="dxa"/>
              <w:right w:w="20" w:type="dxa"/>
            </w:tcMar>
          </w:tcPr>
          <w:p w14:paraId="504DF3CD"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rPr>
              <w:t xml:space="preserve"> </w:t>
            </w:r>
          </w:p>
        </w:tc>
        <w:tc>
          <w:tcPr>
            <w:tcW w:w="2823"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598EDB2F"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Moderate risk; financial health uncertain</w:t>
            </w:r>
          </w:p>
        </w:tc>
      </w:tr>
      <w:tr w:rsidR="006138C6" w:rsidRPr="00760296" w14:paraId="448E6CBA" w14:textId="77777777" w:rsidTr="007E03E2">
        <w:trPr>
          <w:trHeight w:val="375"/>
        </w:trPr>
        <w:tc>
          <w:tcPr>
            <w:tcW w:w="1058"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14FD93F5"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Z &gt; 3.0</w:t>
            </w:r>
          </w:p>
        </w:tc>
        <w:tc>
          <w:tcPr>
            <w:tcW w:w="1119" w:type="pct"/>
            <w:tcBorders>
              <w:top w:val="single" w:sz="6" w:space="0" w:color="000000"/>
              <w:left w:val="single" w:sz="6" w:space="0" w:color="000000"/>
              <w:bottom w:val="single" w:sz="6" w:space="0" w:color="000000"/>
              <w:right w:val="single" w:sz="6" w:space="0" w:color="000000"/>
            </w:tcBorders>
            <w:shd w:val="clear" w:color="auto" w:fill="92D050"/>
            <w:tcMar>
              <w:top w:w="20" w:type="dxa"/>
              <w:left w:w="20" w:type="dxa"/>
              <w:bottom w:w="20" w:type="dxa"/>
              <w:right w:w="20" w:type="dxa"/>
            </w:tcMar>
          </w:tcPr>
          <w:p w14:paraId="5F21CF3B" w14:textId="77777777" w:rsidR="006138C6" w:rsidRPr="00760296" w:rsidRDefault="006138C6" w:rsidP="002D1B45">
            <w:pPr>
              <w:spacing w:before="240"/>
              <w:rPr>
                <w:rFonts w:asciiTheme="minorBidi" w:hAnsiTheme="minorBidi" w:cstheme="minorBidi"/>
                <w:b/>
              </w:rPr>
            </w:pPr>
          </w:p>
        </w:tc>
        <w:tc>
          <w:tcPr>
            <w:tcW w:w="2823" w:type="pct"/>
            <w:tcBorders>
              <w:top w:val="single" w:sz="6" w:space="0" w:color="000000"/>
              <w:left w:val="single" w:sz="6" w:space="0" w:color="000000"/>
              <w:bottom w:val="single" w:sz="6" w:space="0" w:color="000000"/>
              <w:right w:val="single" w:sz="6" w:space="0" w:color="000000"/>
            </w:tcBorders>
            <w:tcMar>
              <w:top w:w="20" w:type="dxa"/>
              <w:left w:w="20" w:type="dxa"/>
              <w:bottom w:w="20" w:type="dxa"/>
              <w:right w:w="20" w:type="dxa"/>
            </w:tcMar>
          </w:tcPr>
          <w:p w14:paraId="2F17F13D"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Financially stable; low bankruptcy risk</w:t>
            </w:r>
          </w:p>
        </w:tc>
      </w:tr>
    </w:tbl>
    <w:p w14:paraId="26EE04EC" w14:textId="77777777" w:rsidR="006138C6" w:rsidRPr="00760296" w:rsidRDefault="006138C6" w:rsidP="002D1B45">
      <w:pPr>
        <w:rPr>
          <w:rFonts w:asciiTheme="minorBidi" w:hAnsiTheme="minorBidi" w:cstheme="minorBidi"/>
          <w:b/>
          <w:sz w:val="34"/>
          <w:szCs w:val="34"/>
        </w:rPr>
      </w:pPr>
    </w:p>
    <w:p w14:paraId="143F940D" w14:textId="77777777" w:rsidR="006138C6" w:rsidRPr="00760296" w:rsidRDefault="00EF72CD" w:rsidP="002D1B45">
      <w:pPr>
        <w:rPr>
          <w:rFonts w:asciiTheme="minorBidi" w:hAnsiTheme="minorBidi" w:cstheme="minorBidi"/>
        </w:rPr>
      </w:pPr>
      <w:r w:rsidRPr="00760296">
        <w:rPr>
          <w:rFonts w:asciiTheme="minorBidi" w:hAnsiTheme="minorBidi" w:cstheme="minorBidi"/>
        </w:rPr>
        <w:t>The financial ratios of General Electric indicate moderate-high probability of corporate distress as determined using the Altman Z -Score model. The increase in debt, drop in profitability and poor ratios of cash flow have adversely affected solvency</w:t>
      </w:r>
      <w:r w:rsidR="007E03E2" w:rsidRPr="00760296">
        <w:rPr>
          <w:rFonts w:asciiTheme="minorBidi" w:hAnsiTheme="minorBidi" w:cstheme="minorBidi"/>
        </w:rPr>
        <w:t xml:space="preserve"> (</w:t>
      </w:r>
      <w:proofErr w:type="spellStart"/>
      <w:r w:rsidR="007E03E2" w:rsidRPr="00760296">
        <w:rPr>
          <w:rFonts w:asciiTheme="minorBidi" w:hAnsiTheme="minorBidi" w:cstheme="minorBidi"/>
        </w:rPr>
        <w:t>Aina</w:t>
      </w:r>
      <w:proofErr w:type="spellEnd"/>
      <w:r w:rsidR="007E03E2" w:rsidRPr="00760296">
        <w:rPr>
          <w:rFonts w:asciiTheme="minorBidi" w:hAnsiTheme="minorBidi" w:cstheme="minorBidi"/>
        </w:rPr>
        <w:t>, 2019)</w:t>
      </w:r>
      <w:r w:rsidRPr="00760296">
        <w:rPr>
          <w:rFonts w:asciiTheme="minorBidi" w:hAnsiTheme="minorBidi" w:cstheme="minorBidi"/>
        </w:rPr>
        <w:t>. Compared to 0.61, the leverage of the company rose steadily, and the strength of the equity decreased and became 0.47, which shows that the company had to rely more on outside funding. Despite the liquidity position being steady, most of the net margins and EPS are negative, which denotes operational pressure. All in all, GE is located in the grey zone, which means possible vulnerability but does not entail a high risk of bankruptcy.</w:t>
      </w:r>
    </w:p>
    <w:p w14:paraId="661F60AE" w14:textId="77777777" w:rsidR="006138C6" w:rsidRPr="00760296" w:rsidRDefault="00EF72CD" w:rsidP="002D1B45">
      <w:pPr>
        <w:pStyle w:val="Heading1"/>
        <w:rPr>
          <w:rFonts w:asciiTheme="minorBidi" w:hAnsiTheme="minorBidi" w:cstheme="minorBidi"/>
        </w:rPr>
      </w:pPr>
      <w:bookmarkStart w:id="22" w:name="_Toc213194619"/>
      <w:r w:rsidRPr="00760296">
        <w:rPr>
          <w:rFonts w:asciiTheme="minorBidi" w:eastAsia="Gungsuh" w:hAnsiTheme="minorBidi" w:cstheme="minorBidi"/>
        </w:rPr>
        <w:t>3. Working Capital Management Analysis</w:t>
      </w:r>
      <w:bookmarkEnd w:id="22"/>
    </w:p>
    <w:p w14:paraId="5CCCE89F" w14:textId="77777777" w:rsidR="006138C6" w:rsidRPr="00760296" w:rsidRDefault="00EF72CD" w:rsidP="002D1B45">
      <w:pPr>
        <w:pStyle w:val="Heading2"/>
        <w:keepNext w:val="0"/>
        <w:keepLines w:val="0"/>
        <w:rPr>
          <w:rFonts w:asciiTheme="minorBidi" w:hAnsiTheme="minorBidi" w:cstheme="minorBidi"/>
        </w:rPr>
      </w:pPr>
      <w:bookmarkStart w:id="23" w:name="_6admye7hbcfz" w:colFirst="0" w:colLast="0"/>
      <w:bookmarkStart w:id="24" w:name="_Toc213194620"/>
      <w:bookmarkEnd w:id="23"/>
      <w:r w:rsidRPr="00760296">
        <w:rPr>
          <w:rFonts w:asciiTheme="minorBidi" w:hAnsiTheme="minorBidi" w:cstheme="minorBidi"/>
        </w:rPr>
        <w:t>3.1 Overview of Working Capital and Cash Operating Cycle</w:t>
      </w:r>
      <w:bookmarkEnd w:id="24"/>
    </w:p>
    <w:p w14:paraId="3C050DCE" w14:textId="77777777" w:rsidR="006138C6" w:rsidRPr="00760296" w:rsidRDefault="00EF72CD" w:rsidP="002D1B45">
      <w:pPr>
        <w:rPr>
          <w:rFonts w:asciiTheme="minorBidi" w:hAnsiTheme="minorBidi" w:cstheme="minorBidi"/>
          <w:b/>
          <w:bCs/>
          <w:u w:val="single"/>
        </w:rPr>
      </w:pPr>
      <w:bookmarkStart w:id="25" w:name="_vxepbf4kwmc7" w:colFirst="0" w:colLast="0"/>
      <w:bookmarkEnd w:id="25"/>
      <w:r w:rsidRPr="00760296">
        <w:rPr>
          <w:rFonts w:asciiTheme="minorBidi" w:hAnsiTheme="minorBidi" w:cstheme="minorBidi"/>
          <w:b/>
          <w:bCs/>
          <w:u w:val="single"/>
        </w:rPr>
        <w:t>Liquidity Maintenance:</w:t>
      </w:r>
    </w:p>
    <w:p w14:paraId="28EF5CD9" w14:textId="77777777" w:rsidR="006138C6" w:rsidRPr="00760296" w:rsidRDefault="00EF72CD" w:rsidP="002D1B45">
      <w:pPr>
        <w:rPr>
          <w:rFonts w:asciiTheme="minorBidi" w:hAnsiTheme="minorBidi" w:cstheme="minorBidi"/>
        </w:rPr>
      </w:pPr>
      <w:r w:rsidRPr="00760296">
        <w:rPr>
          <w:rFonts w:asciiTheme="minorBidi" w:hAnsiTheme="minorBidi" w:cstheme="minorBidi"/>
        </w:rPr>
        <w:t>Working capital also guarantees that an organization is in a position to cover its short</w:t>
      </w:r>
      <w:r w:rsidR="0082682C" w:rsidRPr="00760296">
        <w:rPr>
          <w:rFonts w:asciiTheme="minorBidi" w:hAnsiTheme="minorBidi" w:cstheme="minorBidi"/>
        </w:rPr>
        <w:t>-</w:t>
      </w:r>
      <w:r w:rsidRPr="00760296">
        <w:rPr>
          <w:rFonts w:asciiTheme="minorBidi" w:hAnsiTheme="minorBidi" w:cstheme="minorBidi"/>
        </w:rPr>
        <w:t>term liabilities as well as having a good flow of cash therefore it does not cause financial stress</w:t>
      </w:r>
      <w:r w:rsidR="007E03E2" w:rsidRPr="00760296">
        <w:rPr>
          <w:rFonts w:asciiTheme="minorBidi" w:hAnsiTheme="minorBidi" w:cstheme="minorBidi"/>
        </w:rPr>
        <w:t xml:space="preserve"> (</w:t>
      </w:r>
      <w:proofErr w:type="spellStart"/>
      <w:r w:rsidR="007E03E2" w:rsidRPr="00760296">
        <w:rPr>
          <w:rFonts w:asciiTheme="minorBidi" w:hAnsiTheme="minorBidi" w:cstheme="minorBidi"/>
        </w:rPr>
        <w:t>Samal</w:t>
      </w:r>
      <w:proofErr w:type="spellEnd"/>
      <w:r w:rsidR="007E03E2" w:rsidRPr="00760296">
        <w:rPr>
          <w:rFonts w:asciiTheme="minorBidi" w:hAnsiTheme="minorBidi" w:cstheme="minorBidi"/>
        </w:rPr>
        <w:t>, Kumar and Shanmugam, 2023)</w:t>
      </w:r>
      <w:r w:rsidRPr="00760296">
        <w:rPr>
          <w:rFonts w:asciiTheme="minorBidi" w:hAnsiTheme="minorBidi" w:cstheme="minorBidi"/>
        </w:rPr>
        <w:t>.</w:t>
      </w:r>
    </w:p>
    <w:p w14:paraId="01C9AF7A" w14:textId="77777777" w:rsidR="006138C6" w:rsidRPr="00760296" w:rsidRDefault="00EF72CD" w:rsidP="002D1B45">
      <w:pPr>
        <w:rPr>
          <w:rFonts w:asciiTheme="minorBidi" w:hAnsiTheme="minorBidi" w:cstheme="minorBidi"/>
          <w:b/>
          <w:bCs/>
          <w:u w:val="single"/>
        </w:rPr>
      </w:pPr>
      <w:r w:rsidRPr="00760296">
        <w:rPr>
          <w:rFonts w:asciiTheme="minorBidi" w:hAnsiTheme="minorBidi" w:cstheme="minorBidi"/>
          <w:b/>
          <w:bCs/>
          <w:u w:val="single"/>
        </w:rPr>
        <w:t>Operational Efficiency:</w:t>
      </w:r>
    </w:p>
    <w:p w14:paraId="315D891A" w14:textId="77777777" w:rsidR="006138C6" w:rsidRPr="00760296" w:rsidRDefault="00EF72CD" w:rsidP="002D1B45">
      <w:pPr>
        <w:rPr>
          <w:rFonts w:asciiTheme="minorBidi" w:hAnsiTheme="minorBidi" w:cstheme="minorBidi"/>
        </w:rPr>
      </w:pPr>
      <w:r w:rsidRPr="00760296">
        <w:rPr>
          <w:rFonts w:asciiTheme="minorBidi" w:hAnsiTheme="minorBidi" w:cstheme="minorBidi"/>
        </w:rPr>
        <w:lastRenderedPageBreak/>
        <w:t>Effective inventory management, receivables, and payable management helps in maintaining the production process and service delivery with minimal disruptions and resource usage to achieve high profitability and business stability</w:t>
      </w:r>
      <w:r w:rsidR="007E03E2" w:rsidRPr="00760296">
        <w:rPr>
          <w:rFonts w:asciiTheme="minorBidi" w:hAnsiTheme="minorBidi" w:cstheme="minorBidi"/>
        </w:rPr>
        <w:t xml:space="preserve"> (</w:t>
      </w:r>
      <w:proofErr w:type="spellStart"/>
      <w:r w:rsidR="007E03E2" w:rsidRPr="00760296">
        <w:rPr>
          <w:rFonts w:asciiTheme="minorBidi" w:hAnsiTheme="minorBidi" w:cstheme="minorBidi"/>
        </w:rPr>
        <w:t>Esmail</w:t>
      </w:r>
      <w:proofErr w:type="spellEnd"/>
      <w:r w:rsidR="007E03E2" w:rsidRPr="00760296">
        <w:rPr>
          <w:rFonts w:asciiTheme="minorBidi" w:hAnsiTheme="minorBidi" w:cstheme="minorBidi"/>
        </w:rPr>
        <w:t>, 2024)</w:t>
      </w:r>
      <w:r w:rsidRPr="00760296">
        <w:rPr>
          <w:rFonts w:asciiTheme="minorBidi" w:hAnsiTheme="minorBidi" w:cstheme="minorBidi"/>
        </w:rPr>
        <w:t>.</w:t>
      </w:r>
    </w:p>
    <w:p w14:paraId="6C61839C" w14:textId="77777777" w:rsidR="006138C6" w:rsidRPr="00760296" w:rsidRDefault="00EF72CD" w:rsidP="002D1B45">
      <w:pPr>
        <w:rPr>
          <w:rFonts w:asciiTheme="minorBidi" w:hAnsiTheme="minorBidi" w:cstheme="minorBidi"/>
          <w:b/>
          <w:bCs/>
          <w:u w:val="single"/>
        </w:rPr>
      </w:pPr>
      <w:r w:rsidRPr="00760296">
        <w:rPr>
          <w:rFonts w:asciiTheme="minorBidi" w:hAnsiTheme="minorBidi" w:cstheme="minorBidi"/>
          <w:b/>
          <w:bCs/>
          <w:u w:val="single"/>
        </w:rPr>
        <w:t>General Electronics Cash Conversion Cycle (CCC)</w:t>
      </w:r>
      <w:r w:rsidR="0082682C" w:rsidRPr="00760296">
        <w:rPr>
          <w:rFonts w:asciiTheme="minorBidi" w:hAnsiTheme="minorBidi" w:cstheme="minorBidi"/>
          <w:b/>
          <w:bCs/>
          <w:u w:val="single"/>
        </w:rPr>
        <w:t>:</w:t>
      </w:r>
    </w:p>
    <w:p w14:paraId="7402EE5B" w14:textId="77777777" w:rsidR="006138C6" w:rsidRPr="00760296" w:rsidRDefault="00EF72CD" w:rsidP="002D1B45">
      <w:pPr>
        <w:rPr>
          <w:rFonts w:asciiTheme="minorBidi" w:hAnsiTheme="minorBidi" w:cstheme="minorBidi"/>
        </w:rPr>
      </w:pPr>
      <w:r w:rsidRPr="00760296">
        <w:rPr>
          <w:rFonts w:asciiTheme="minorBidi" w:hAnsiTheme="minorBidi" w:cstheme="minorBidi"/>
        </w:rPr>
        <w:t>The Cash Conversion Cycle (CCC) of General Electric indicates a variation in its efficiency between the years 2020 and 2024. The CCC decreased by 76.13 days in 2020 down to 68.78 days in 2024 which means that the cash was recovered faster and working capital was handled better. Even though 2022 indicated the shortest cycle (26.84 days), years that followed indicated moderate improvement. A decrease in the inventory holding and improvement in receivable collection were part of the efficiency gains</w:t>
      </w:r>
      <w:r w:rsidR="007E03E2" w:rsidRPr="00760296">
        <w:rPr>
          <w:rFonts w:asciiTheme="minorBidi" w:hAnsiTheme="minorBidi" w:cstheme="minorBidi"/>
        </w:rPr>
        <w:t xml:space="preserve"> (Wang, 2019)</w:t>
      </w:r>
      <w:r w:rsidRPr="00760296">
        <w:rPr>
          <w:rFonts w:asciiTheme="minorBidi" w:hAnsiTheme="minorBidi" w:cstheme="minorBidi"/>
        </w:rPr>
        <w:t>. The increasing values of payable days, however, indicate reliance on late payables, which emphasizes the necessity of having a balance between the supplier credit and the sustainability of liquidity.</w:t>
      </w:r>
      <w:r w:rsidR="00D76486" w:rsidRPr="00760296">
        <w:rPr>
          <w:rFonts w:asciiTheme="minorBidi" w:hAnsiTheme="minorBidi" w:cstheme="minorBidi"/>
        </w:rPr>
        <w:t xml:space="preserve"> </w:t>
      </w:r>
      <w:r w:rsidR="00D76486" w:rsidRPr="00760296">
        <w:rPr>
          <w:rFonts w:asciiTheme="minorBidi" w:hAnsiTheme="minorBidi" w:cstheme="minorBidi"/>
          <w:b/>
          <w:bCs/>
          <w:i/>
          <w:iCs/>
        </w:rPr>
        <w:t>[Referred to Appendix 3]</w:t>
      </w:r>
    </w:p>
    <w:p w14:paraId="2F7F0E79" w14:textId="77777777" w:rsidR="006138C6" w:rsidRPr="00760296" w:rsidRDefault="00EF72CD" w:rsidP="002D1B45">
      <w:pPr>
        <w:pStyle w:val="Heading2"/>
        <w:rPr>
          <w:rFonts w:asciiTheme="minorBidi" w:hAnsiTheme="minorBidi" w:cstheme="minorBidi"/>
        </w:rPr>
      </w:pPr>
      <w:bookmarkStart w:id="26" w:name="_Toc213194621"/>
      <w:r w:rsidRPr="00760296">
        <w:rPr>
          <w:rFonts w:asciiTheme="minorBidi" w:hAnsiTheme="minorBidi" w:cstheme="minorBidi"/>
        </w:rPr>
        <w:t>3.2 Existing Liquidity and Efficiency Problems</w:t>
      </w:r>
      <w:bookmarkEnd w:id="26"/>
    </w:p>
    <w:p w14:paraId="385B03B6" w14:textId="77777777" w:rsidR="006138C6" w:rsidRPr="00760296" w:rsidRDefault="00EF72CD" w:rsidP="002D1B45">
      <w:pPr>
        <w:rPr>
          <w:rFonts w:asciiTheme="minorBidi" w:hAnsiTheme="minorBidi" w:cstheme="minorBidi"/>
          <w:b/>
          <w:bCs/>
        </w:rPr>
      </w:pPr>
      <w:r w:rsidRPr="00760296">
        <w:rPr>
          <w:rFonts w:asciiTheme="minorBidi" w:hAnsiTheme="minorBidi" w:cstheme="minorBidi"/>
          <w:b/>
          <w:bCs/>
        </w:rPr>
        <w:t>Overview</w:t>
      </w:r>
    </w:p>
    <w:p w14:paraId="16AA2919" w14:textId="77777777" w:rsidR="006138C6" w:rsidRPr="00760296" w:rsidRDefault="00EF72CD" w:rsidP="002D1B45">
      <w:pPr>
        <w:rPr>
          <w:rFonts w:asciiTheme="minorBidi" w:hAnsiTheme="minorBidi" w:cstheme="minorBidi"/>
        </w:rPr>
      </w:pPr>
      <w:r w:rsidRPr="00760296">
        <w:rPr>
          <w:rFonts w:asciiTheme="minorBidi" w:hAnsiTheme="minorBidi" w:cstheme="minorBidi"/>
        </w:rPr>
        <w:t>General Electric needs liquidity and efficiency to keep its finances and operations afloat. The latest financial parameters of the company between 2020 and 2024 show that the company has been experiencing huge fluctuations in how the company conducts its current transactions in both assets and liabilities that have had a direct effect on the working capital as well as the cash conversion cycle. Even though the liquidity ratios did not deviate significantly, there have been concealed avenues of operational inefficiencies in the inventory, receivables, and payables that have influenced general cash flow efficiency</w:t>
      </w:r>
      <w:r w:rsidR="007E03E2" w:rsidRPr="00760296">
        <w:rPr>
          <w:rFonts w:asciiTheme="minorBidi" w:hAnsiTheme="minorBidi" w:cstheme="minorBidi"/>
        </w:rPr>
        <w:t xml:space="preserve"> (Ahmad, Wan Ahmad and </w:t>
      </w:r>
      <w:proofErr w:type="spellStart"/>
      <w:r w:rsidR="007E03E2" w:rsidRPr="00760296">
        <w:rPr>
          <w:rFonts w:asciiTheme="minorBidi" w:hAnsiTheme="minorBidi" w:cstheme="minorBidi"/>
        </w:rPr>
        <w:t>Shaharuddin</w:t>
      </w:r>
      <w:proofErr w:type="spellEnd"/>
      <w:r w:rsidR="007E03E2" w:rsidRPr="00760296">
        <w:rPr>
          <w:rFonts w:asciiTheme="minorBidi" w:hAnsiTheme="minorBidi" w:cstheme="minorBidi"/>
        </w:rPr>
        <w:t>, 2022)</w:t>
      </w:r>
      <w:r w:rsidRPr="00760296">
        <w:rPr>
          <w:rFonts w:asciiTheme="minorBidi" w:hAnsiTheme="minorBidi" w:cstheme="minorBidi"/>
        </w:rPr>
        <w:t>.</w:t>
      </w:r>
    </w:p>
    <w:p w14:paraId="18F75E9B" w14:textId="77777777" w:rsidR="006138C6" w:rsidRPr="00760296" w:rsidRDefault="00EF72CD" w:rsidP="002D1B45">
      <w:pPr>
        <w:rPr>
          <w:rFonts w:asciiTheme="minorBidi" w:hAnsiTheme="minorBidi" w:cstheme="minorBidi"/>
          <w:b/>
          <w:bCs/>
        </w:rPr>
      </w:pPr>
      <w:r w:rsidRPr="00760296">
        <w:rPr>
          <w:rFonts w:asciiTheme="minorBidi" w:hAnsiTheme="minorBidi" w:cstheme="minorBidi"/>
          <w:b/>
          <w:bCs/>
        </w:rPr>
        <w:t>Inventory Management</w:t>
      </w:r>
    </w:p>
    <w:p w14:paraId="64F50E76" w14:textId="77777777" w:rsidR="006138C6" w:rsidRPr="00760296" w:rsidRDefault="00EF72CD" w:rsidP="002D1B45">
      <w:pPr>
        <w:rPr>
          <w:rFonts w:asciiTheme="minorBidi" w:hAnsiTheme="minorBidi" w:cstheme="minorBidi"/>
        </w:rPr>
      </w:pPr>
      <w:r w:rsidRPr="00760296">
        <w:rPr>
          <w:rFonts w:asciiTheme="minorBidi" w:hAnsiTheme="minorBidi" w:cstheme="minorBidi"/>
        </w:rPr>
        <w:t>The inventory turnover ratio saw an improvement of 3.87 in the year 2022 to 4.98 in 2024, and this indicates an improved usage of inventory. Nonetheless, there is inconsistency in the stock management practices as the number of inventory days varies between -131.04 in 2022 and -103.11 in 2024. Although it has reduced the amount of inventory, the volatility indicates that there are instances of overstocking and then clearance. The inventory in the past years must have been tying up cash which was not in need which influenced the liquidity</w:t>
      </w:r>
      <w:r w:rsidR="007E03E2" w:rsidRPr="00760296">
        <w:rPr>
          <w:rFonts w:asciiTheme="minorBidi" w:hAnsiTheme="minorBidi" w:cstheme="minorBidi"/>
        </w:rPr>
        <w:t xml:space="preserve"> (</w:t>
      </w:r>
      <w:proofErr w:type="spellStart"/>
      <w:r w:rsidR="007E03E2" w:rsidRPr="00760296">
        <w:rPr>
          <w:rFonts w:asciiTheme="minorBidi" w:hAnsiTheme="minorBidi" w:cstheme="minorBidi"/>
        </w:rPr>
        <w:t>Esmail</w:t>
      </w:r>
      <w:proofErr w:type="spellEnd"/>
      <w:r w:rsidR="007E03E2" w:rsidRPr="00760296">
        <w:rPr>
          <w:rFonts w:asciiTheme="minorBidi" w:hAnsiTheme="minorBidi" w:cstheme="minorBidi"/>
        </w:rPr>
        <w:t>, 2024)</w:t>
      </w:r>
      <w:r w:rsidRPr="00760296">
        <w:rPr>
          <w:rFonts w:asciiTheme="minorBidi" w:hAnsiTheme="minorBidi" w:cstheme="minorBidi"/>
        </w:rPr>
        <w:t xml:space="preserve">. Even though the improvement in 2024 results in the better control process, GE continues to work to </w:t>
      </w:r>
      <w:r w:rsidRPr="00760296">
        <w:rPr>
          <w:rFonts w:asciiTheme="minorBidi" w:hAnsiTheme="minorBidi" w:cstheme="minorBidi"/>
        </w:rPr>
        <w:lastRenderedPageBreak/>
        <w:t>have the optimal amounts of stock being based on demand forecasting and production cycles.</w:t>
      </w:r>
    </w:p>
    <w:p w14:paraId="2838C0E0" w14:textId="77777777" w:rsidR="006138C6" w:rsidRPr="00760296" w:rsidRDefault="00EF72CD" w:rsidP="002D1B45">
      <w:pPr>
        <w:rPr>
          <w:rFonts w:asciiTheme="minorBidi" w:hAnsiTheme="minorBidi" w:cstheme="minorBidi"/>
          <w:b/>
          <w:bCs/>
        </w:rPr>
      </w:pPr>
      <w:r w:rsidRPr="00760296">
        <w:rPr>
          <w:rFonts w:asciiTheme="minorBidi" w:hAnsiTheme="minorBidi" w:cstheme="minorBidi"/>
          <w:b/>
          <w:bCs/>
        </w:rPr>
        <w:t>Receivable Management</w:t>
      </w:r>
    </w:p>
    <w:p w14:paraId="244C1C75" w14:textId="77777777" w:rsidR="006138C6" w:rsidRPr="00760296" w:rsidRDefault="00EF72CD" w:rsidP="002D1B45">
      <w:pPr>
        <w:rPr>
          <w:rFonts w:asciiTheme="minorBidi" w:hAnsiTheme="minorBidi" w:cstheme="minorBidi"/>
          <w:lang w:val="en-IN"/>
        </w:rPr>
      </w:pPr>
      <w:r w:rsidRPr="00760296">
        <w:rPr>
          <w:rFonts w:asciiTheme="minorBidi" w:hAnsiTheme="minorBidi" w:cstheme="minorBidi"/>
        </w:rPr>
        <w:t>The turnover of the receivables decreased to 3.46 in the year 2024, as compared to 4.83 in 2022, and the receivable days also increased to 105.54 in 2024 as compared to 75.55 in 2022. This demonstrates a less efficient collection, which may cause pressure on liquidity. Customers who do not make their payments on time stretch the cash conversion cycle and expose a company to financial risks</w:t>
      </w:r>
      <w:r w:rsidR="00F21DA9" w:rsidRPr="00760296">
        <w:rPr>
          <w:rFonts w:asciiTheme="minorBidi" w:hAnsiTheme="minorBidi" w:cstheme="minorBidi"/>
        </w:rPr>
        <w:t xml:space="preserve"> </w:t>
      </w:r>
      <w:r w:rsidR="00F21DA9" w:rsidRPr="00760296">
        <w:rPr>
          <w:rFonts w:asciiTheme="minorBidi" w:hAnsiTheme="minorBidi" w:cstheme="minorBidi"/>
          <w:lang w:val="en-IN"/>
        </w:rPr>
        <w:t>(Wang, 2019)</w:t>
      </w:r>
      <w:r w:rsidRPr="00760296">
        <w:rPr>
          <w:rFonts w:asciiTheme="minorBidi" w:hAnsiTheme="minorBidi" w:cstheme="minorBidi"/>
        </w:rPr>
        <w:t>. GE needs to improve its credit policy, resort to online invoicing technologies, and provide prepayment discounts to improve the settlement of debts and stabilize cash flow.</w:t>
      </w:r>
    </w:p>
    <w:p w14:paraId="16EC6822" w14:textId="77777777" w:rsidR="006138C6" w:rsidRPr="00760296" w:rsidRDefault="00EF72CD" w:rsidP="002D1B45">
      <w:pPr>
        <w:rPr>
          <w:rFonts w:asciiTheme="minorBidi" w:hAnsiTheme="minorBidi" w:cstheme="minorBidi"/>
          <w:b/>
          <w:bCs/>
        </w:rPr>
      </w:pPr>
      <w:r w:rsidRPr="00760296">
        <w:rPr>
          <w:rFonts w:asciiTheme="minorBidi" w:hAnsiTheme="minorBidi" w:cstheme="minorBidi"/>
          <w:b/>
          <w:bCs/>
        </w:rPr>
        <w:t>Payables Management</w:t>
      </w:r>
    </w:p>
    <w:p w14:paraId="0663999A" w14:textId="77777777" w:rsidR="006138C6" w:rsidRPr="00760296" w:rsidRDefault="00EF72CD" w:rsidP="002D1B45">
      <w:pPr>
        <w:rPr>
          <w:rFonts w:asciiTheme="minorBidi" w:hAnsiTheme="minorBidi" w:cstheme="minorBidi"/>
        </w:rPr>
      </w:pPr>
      <w:r w:rsidRPr="00760296">
        <w:rPr>
          <w:rFonts w:asciiTheme="minorBidi" w:hAnsiTheme="minorBidi" w:cstheme="minorBidi"/>
        </w:rPr>
        <w:t>Payable days have dropped to 66.36 in 2024 (compared to 99.53 in 2020), which indicates that it has been paying suppliers faster. Although the payment is paid on time to keep the suppliers, it also minimizes the cash available to operate. Weak inventory in terms of payables weakens short-term liquidity</w:t>
      </w:r>
      <w:r w:rsidR="00F21DA9" w:rsidRPr="00760296">
        <w:rPr>
          <w:rFonts w:asciiTheme="minorBidi" w:hAnsiTheme="minorBidi" w:cstheme="minorBidi"/>
        </w:rPr>
        <w:t xml:space="preserve"> (Yan, Chen and Ding, 2024)</w:t>
      </w:r>
      <w:r w:rsidRPr="00760296">
        <w:rPr>
          <w:rFonts w:asciiTheme="minorBidi" w:hAnsiTheme="minorBidi" w:cstheme="minorBidi"/>
        </w:rPr>
        <w:t>. To manage its cash flow situation better, GE could negotiate a longer credit structure and supplier contracts.</w:t>
      </w:r>
    </w:p>
    <w:p w14:paraId="360853BB" w14:textId="77777777" w:rsidR="006138C6" w:rsidRPr="00760296" w:rsidRDefault="00EF72CD" w:rsidP="002D1B45">
      <w:pPr>
        <w:pStyle w:val="Heading2"/>
        <w:rPr>
          <w:rFonts w:asciiTheme="minorBidi" w:hAnsiTheme="minorBidi" w:cstheme="minorBidi"/>
        </w:rPr>
      </w:pPr>
      <w:bookmarkStart w:id="27" w:name="_gnq7sz5owcf7" w:colFirst="0" w:colLast="0"/>
      <w:bookmarkStart w:id="28" w:name="_Toc213194622"/>
      <w:bookmarkEnd w:id="27"/>
      <w:r w:rsidRPr="00760296">
        <w:rPr>
          <w:rFonts w:asciiTheme="minorBidi" w:hAnsiTheme="minorBidi" w:cstheme="minorBidi"/>
        </w:rPr>
        <w:t>3.3 Strategies to Improve Liquidity</w:t>
      </w:r>
      <w:bookmarkEnd w:id="28"/>
    </w:p>
    <w:tbl>
      <w:tblPr>
        <w:tblStyle w:val="a1"/>
        <w:tblW w:w="5000" w:type="pct"/>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shd w:val="clear" w:color="auto" w:fill="EAF1DD" w:themeFill="accent3" w:themeFillTint="33"/>
        <w:tblLook w:val="0600" w:firstRow="0" w:lastRow="0" w:firstColumn="0" w:lastColumn="0" w:noHBand="1" w:noVBand="1"/>
      </w:tblPr>
      <w:tblGrid>
        <w:gridCol w:w="1939"/>
        <w:gridCol w:w="3117"/>
        <w:gridCol w:w="3957"/>
      </w:tblGrid>
      <w:tr w:rsidR="006138C6" w:rsidRPr="00760296" w14:paraId="7CF87FEF" w14:textId="77777777" w:rsidTr="00763175">
        <w:trPr>
          <w:trHeight w:val="600"/>
        </w:trPr>
        <w:tc>
          <w:tcPr>
            <w:tcW w:w="1075" w:type="pct"/>
            <w:tcBorders>
              <w:top w:val="single" w:sz="6" w:space="0" w:color="000000"/>
              <w:left w:val="single" w:sz="6" w:space="0" w:color="000000"/>
              <w:bottom w:val="single" w:sz="6" w:space="0" w:color="000000"/>
              <w:right w:val="single" w:sz="6" w:space="0" w:color="000000"/>
            </w:tcBorders>
            <w:shd w:val="clear" w:color="auto" w:fill="EAF1DD" w:themeFill="accent3" w:themeFillTint="33"/>
            <w:tcMar>
              <w:top w:w="20" w:type="dxa"/>
              <w:left w:w="20" w:type="dxa"/>
              <w:bottom w:w="20" w:type="dxa"/>
              <w:right w:w="20" w:type="dxa"/>
            </w:tcMar>
          </w:tcPr>
          <w:p w14:paraId="7880FBE8" w14:textId="77777777" w:rsidR="006138C6" w:rsidRPr="00760296" w:rsidRDefault="00EF72CD" w:rsidP="002D1B45">
            <w:pPr>
              <w:spacing w:before="240"/>
              <w:jc w:val="center"/>
              <w:rPr>
                <w:rFonts w:asciiTheme="minorBidi" w:hAnsiTheme="minorBidi" w:cstheme="minorBidi"/>
                <w:b/>
              </w:rPr>
            </w:pPr>
            <w:r w:rsidRPr="00760296">
              <w:rPr>
                <w:rFonts w:asciiTheme="minorBidi" w:hAnsiTheme="minorBidi" w:cstheme="minorBidi"/>
                <w:b/>
              </w:rPr>
              <w:t>Identified Problem</w:t>
            </w:r>
          </w:p>
        </w:tc>
        <w:tc>
          <w:tcPr>
            <w:tcW w:w="1729" w:type="pct"/>
            <w:tcBorders>
              <w:top w:val="single" w:sz="6" w:space="0" w:color="000000"/>
              <w:left w:val="single" w:sz="6" w:space="0" w:color="000000"/>
              <w:bottom w:val="single" w:sz="6" w:space="0" w:color="000000"/>
              <w:right w:val="single" w:sz="6" w:space="0" w:color="000000"/>
            </w:tcBorders>
            <w:shd w:val="clear" w:color="auto" w:fill="EAF1DD" w:themeFill="accent3" w:themeFillTint="33"/>
            <w:tcMar>
              <w:top w:w="20" w:type="dxa"/>
              <w:left w:w="20" w:type="dxa"/>
              <w:bottom w:w="20" w:type="dxa"/>
              <w:right w:w="20" w:type="dxa"/>
            </w:tcMar>
          </w:tcPr>
          <w:p w14:paraId="074CDE5C" w14:textId="77777777" w:rsidR="006138C6" w:rsidRPr="00760296" w:rsidRDefault="00EF72CD" w:rsidP="002D1B45">
            <w:pPr>
              <w:spacing w:before="240"/>
              <w:jc w:val="center"/>
              <w:rPr>
                <w:rFonts w:asciiTheme="minorBidi" w:hAnsiTheme="minorBidi" w:cstheme="minorBidi"/>
                <w:b/>
              </w:rPr>
            </w:pPr>
            <w:r w:rsidRPr="00760296">
              <w:rPr>
                <w:rFonts w:asciiTheme="minorBidi" w:hAnsiTheme="minorBidi" w:cstheme="minorBidi"/>
                <w:b/>
              </w:rPr>
              <w:t>Description of the Issue</w:t>
            </w:r>
          </w:p>
        </w:tc>
        <w:tc>
          <w:tcPr>
            <w:tcW w:w="2195" w:type="pct"/>
            <w:tcBorders>
              <w:top w:val="single" w:sz="6" w:space="0" w:color="000000"/>
              <w:left w:val="single" w:sz="6" w:space="0" w:color="000000"/>
              <w:bottom w:val="single" w:sz="6" w:space="0" w:color="000000"/>
              <w:right w:val="single" w:sz="6" w:space="0" w:color="000000"/>
            </w:tcBorders>
            <w:shd w:val="clear" w:color="auto" w:fill="EAF1DD" w:themeFill="accent3" w:themeFillTint="33"/>
            <w:tcMar>
              <w:top w:w="20" w:type="dxa"/>
              <w:left w:w="20" w:type="dxa"/>
              <w:bottom w:w="20" w:type="dxa"/>
              <w:right w:w="20" w:type="dxa"/>
            </w:tcMar>
          </w:tcPr>
          <w:p w14:paraId="2AFB1244" w14:textId="77777777" w:rsidR="006138C6" w:rsidRPr="00760296" w:rsidRDefault="00EF72CD" w:rsidP="002D1B45">
            <w:pPr>
              <w:spacing w:before="240"/>
              <w:jc w:val="center"/>
              <w:rPr>
                <w:rFonts w:asciiTheme="minorBidi" w:hAnsiTheme="minorBidi" w:cstheme="minorBidi"/>
                <w:b/>
              </w:rPr>
            </w:pPr>
            <w:r w:rsidRPr="00760296">
              <w:rPr>
                <w:rFonts w:asciiTheme="minorBidi" w:hAnsiTheme="minorBidi" w:cstheme="minorBidi"/>
                <w:b/>
              </w:rPr>
              <w:t>Recommended Strategy</w:t>
            </w:r>
          </w:p>
        </w:tc>
      </w:tr>
      <w:tr w:rsidR="006138C6" w:rsidRPr="00760296" w14:paraId="59689098" w14:textId="77777777" w:rsidTr="00763175">
        <w:trPr>
          <w:trHeight w:val="1950"/>
        </w:trPr>
        <w:tc>
          <w:tcPr>
            <w:tcW w:w="1075" w:type="pct"/>
            <w:tcBorders>
              <w:top w:val="single" w:sz="6" w:space="0" w:color="000000"/>
              <w:left w:val="single" w:sz="6" w:space="0" w:color="000000"/>
              <w:bottom w:val="single" w:sz="6" w:space="0" w:color="000000"/>
              <w:right w:val="single" w:sz="6" w:space="0" w:color="000000"/>
            </w:tcBorders>
            <w:shd w:val="clear" w:color="auto" w:fill="EAF1DD" w:themeFill="accent3" w:themeFillTint="33"/>
            <w:tcMar>
              <w:top w:w="20" w:type="dxa"/>
              <w:left w:w="20" w:type="dxa"/>
              <w:bottom w:w="20" w:type="dxa"/>
              <w:right w:w="20" w:type="dxa"/>
            </w:tcMar>
          </w:tcPr>
          <w:p w14:paraId="6450EDBB"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Delayed Receivables Collection</w:t>
            </w:r>
          </w:p>
        </w:tc>
        <w:tc>
          <w:tcPr>
            <w:tcW w:w="1729" w:type="pct"/>
            <w:tcBorders>
              <w:top w:val="single" w:sz="6" w:space="0" w:color="000000"/>
              <w:left w:val="single" w:sz="6" w:space="0" w:color="000000"/>
              <w:bottom w:val="single" w:sz="6" w:space="0" w:color="000000"/>
              <w:right w:val="single" w:sz="6" w:space="0" w:color="000000"/>
            </w:tcBorders>
            <w:shd w:val="clear" w:color="auto" w:fill="EAF1DD" w:themeFill="accent3" w:themeFillTint="33"/>
            <w:tcMar>
              <w:top w:w="20" w:type="dxa"/>
              <w:left w:w="20" w:type="dxa"/>
              <w:bottom w:w="20" w:type="dxa"/>
              <w:right w:w="20" w:type="dxa"/>
            </w:tcMar>
          </w:tcPr>
          <w:p w14:paraId="0FBD0D28"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General Electric’s receivable turnover declined from 4.83 in 2022 to 3.46 in 2024, indicating slower collection and higher cash lock-in.</w:t>
            </w:r>
          </w:p>
        </w:tc>
        <w:tc>
          <w:tcPr>
            <w:tcW w:w="2195" w:type="pct"/>
            <w:tcBorders>
              <w:top w:val="single" w:sz="6" w:space="0" w:color="000000"/>
              <w:left w:val="single" w:sz="6" w:space="0" w:color="000000"/>
              <w:bottom w:val="single" w:sz="6" w:space="0" w:color="000000"/>
              <w:right w:val="single" w:sz="6" w:space="0" w:color="000000"/>
            </w:tcBorders>
            <w:shd w:val="clear" w:color="auto" w:fill="EAF1DD" w:themeFill="accent3" w:themeFillTint="33"/>
            <w:tcMar>
              <w:top w:w="20" w:type="dxa"/>
              <w:left w:w="20" w:type="dxa"/>
              <w:bottom w:w="20" w:type="dxa"/>
              <w:right w:w="20" w:type="dxa"/>
            </w:tcMar>
          </w:tcPr>
          <w:p w14:paraId="62AE726C"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b/>
              </w:rPr>
              <w:t>Tightening Credit Control and Accelerating Receivables:</w:t>
            </w:r>
            <w:r w:rsidRPr="00760296">
              <w:rPr>
                <w:rFonts w:asciiTheme="minorBidi" w:hAnsiTheme="minorBidi" w:cstheme="minorBidi"/>
              </w:rPr>
              <w:t xml:space="preserve"> Introduce stricter credit assessment policies, digital invoicing, and early payment incentives to speed up collections</w:t>
            </w:r>
            <w:r w:rsidR="00F21DA9" w:rsidRPr="00760296">
              <w:rPr>
                <w:rFonts w:asciiTheme="minorBidi" w:hAnsiTheme="minorBidi" w:cstheme="minorBidi"/>
              </w:rPr>
              <w:t xml:space="preserve"> (Massa and Zhang, 2020)</w:t>
            </w:r>
            <w:r w:rsidRPr="00760296">
              <w:rPr>
                <w:rFonts w:asciiTheme="minorBidi" w:hAnsiTheme="minorBidi" w:cstheme="minorBidi"/>
              </w:rPr>
              <w:t>.</w:t>
            </w:r>
          </w:p>
        </w:tc>
      </w:tr>
      <w:tr w:rsidR="006138C6" w:rsidRPr="00760296" w14:paraId="0C525D99" w14:textId="77777777" w:rsidTr="00763175">
        <w:trPr>
          <w:trHeight w:val="1950"/>
        </w:trPr>
        <w:tc>
          <w:tcPr>
            <w:tcW w:w="1075" w:type="pct"/>
            <w:tcBorders>
              <w:top w:val="single" w:sz="6" w:space="0" w:color="000000"/>
              <w:left w:val="single" w:sz="6" w:space="0" w:color="000000"/>
              <w:bottom w:val="single" w:sz="6" w:space="0" w:color="000000"/>
              <w:right w:val="single" w:sz="6" w:space="0" w:color="000000"/>
            </w:tcBorders>
            <w:shd w:val="clear" w:color="auto" w:fill="EAF1DD" w:themeFill="accent3" w:themeFillTint="33"/>
            <w:tcMar>
              <w:top w:w="20" w:type="dxa"/>
              <w:left w:w="20" w:type="dxa"/>
              <w:bottom w:w="20" w:type="dxa"/>
              <w:right w:w="20" w:type="dxa"/>
            </w:tcMar>
          </w:tcPr>
          <w:p w14:paraId="1B7FFE9F"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lastRenderedPageBreak/>
              <w:t>Excess and Fluctuating Inventory</w:t>
            </w:r>
          </w:p>
        </w:tc>
        <w:tc>
          <w:tcPr>
            <w:tcW w:w="1729" w:type="pct"/>
            <w:tcBorders>
              <w:top w:val="single" w:sz="6" w:space="0" w:color="000000"/>
              <w:left w:val="single" w:sz="6" w:space="0" w:color="000000"/>
              <w:bottom w:val="single" w:sz="6" w:space="0" w:color="000000"/>
              <w:right w:val="single" w:sz="6" w:space="0" w:color="000000"/>
            </w:tcBorders>
            <w:shd w:val="clear" w:color="auto" w:fill="EAF1DD" w:themeFill="accent3" w:themeFillTint="33"/>
            <w:tcMar>
              <w:top w:w="20" w:type="dxa"/>
              <w:left w:w="20" w:type="dxa"/>
              <w:bottom w:w="20" w:type="dxa"/>
              <w:right w:w="20" w:type="dxa"/>
            </w:tcMar>
          </w:tcPr>
          <w:p w14:paraId="1857E6B7"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Irregular inventory days reflect inefficient stock management and overstocking in earlier years, tying up working capital.</w:t>
            </w:r>
          </w:p>
        </w:tc>
        <w:tc>
          <w:tcPr>
            <w:tcW w:w="2195" w:type="pct"/>
            <w:tcBorders>
              <w:top w:val="single" w:sz="6" w:space="0" w:color="000000"/>
              <w:left w:val="single" w:sz="6" w:space="0" w:color="000000"/>
              <w:bottom w:val="single" w:sz="6" w:space="0" w:color="000000"/>
              <w:right w:val="single" w:sz="6" w:space="0" w:color="000000"/>
            </w:tcBorders>
            <w:shd w:val="clear" w:color="auto" w:fill="EAF1DD" w:themeFill="accent3" w:themeFillTint="33"/>
            <w:tcMar>
              <w:top w:w="20" w:type="dxa"/>
              <w:left w:w="20" w:type="dxa"/>
              <w:bottom w:w="20" w:type="dxa"/>
              <w:right w:w="20" w:type="dxa"/>
            </w:tcMar>
          </w:tcPr>
          <w:p w14:paraId="7F3AC2DC"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b/>
              </w:rPr>
              <w:t>Implementing Just-in-Time (JIT) Inventory Systems:</w:t>
            </w:r>
            <w:r w:rsidRPr="00760296">
              <w:rPr>
                <w:rFonts w:asciiTheme="minorBidi" w:hAnsiTheme="minorBidi" w:cstheme="minorBidi"/>
              </w:rPr>
              <w:t xml:space="preserve"> Adopt JIT or demand-driven inventory management to synchronize production with actual sales and reduce holding costs</w:t>
            </w:r>
            <w:r w:rsidR="00F21DA9" w:rsidRPr="00760296">
              <w:rPr>
                <w:rFonts w:asciiTheme="minorBidi" w:hAnsiTheme="minorBidi" w:cstheme="minorBidi"/>
              </w:rPr>
              <w:t xml:space="preserve"> (</w:t>
            </w:r>
            <w:proofErr w:type="spellStart"/>
            <w:r w:rsidR="00F21DA9" w:rsidRPr="00760296">
              <w:rPr>
                <w:rFonts w:asciiTheme="minorBidi" w:hAnsiTheme="minorBidi" w:cstheme="minorBidi"/>
              </w:rPr>
              <w:t>Susanti</w:t>
            </w:r>
            <w:proofErr w:type="spellEnd"/>
            <w:r w:rsidR="00F21DA9" w:rsidRPr="00760296">
              <w:rPr>
                <w:rFonts w:asciiTheme="minorBidi" w:hAnsiTheme="minorBidi" w:cstheme="minorBidi"/>
              </w:rPr>
              <w:t xml:space="preserve"> et al., 2025)</w:t>
            </w:r>
            <w:r w:rsidRPr="00760296">
              <w:rPr>
                <w:rFonts w:asciiTheme="minorBidi" w:hAnsiTheme="minorBidi" w:cstheme="minorBidi"/>
              </w:rPr>
              <w:t>.</w:t>
            </w:r>
          </w:p>
        </w:tc>
      </w:tr>
      <w:tr w:rsidR="006138C6" w:rsidRPr="00760296" w14:paraId="1AB427EC" w14:textId="77777777" w:rsidTr="00763175">
        <w:trPr>
          <w:trHeight w:val="1950"/>
        </w:trPr>
        <w:tc>
          <w:tcPr>
            <w:tcW w:w="1075" w:type="pct"/>
            <w:tcBorders>
              <w:top w:val="single" w:sz="6" w:space="0" w:color="000000"/>
              <w:left w:val="single" w:sz="6" w:space="0" w:color="000000"/>
              <w:bottom w:val="single" w:sz="6" w:space="0" w:color="000000"/>
              <w:right w:val="single" w:sz="6" w:space="0" w:color="000000"/>
            </w:tcBorders>
            <w:shd w:val="clear" w:color="auto" w:fill="EAF1DD" w:themeFill="accent3" w:themeFillTint="33"/>
            <w:tcMar>
              <w:top w:w="20" w:type="dxa"/>
              <w:left w:w="20" w:type="dxa"/>
              <w:bottom w:w="20" w:type="dxa"/>
              <w:right w:w="20" w:type="dxa"/>
            </w:tcMar>
          </w:tcPr>
          <w:p w14:paraId="4EDD6ACE"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Limited Supplier Credit Period</w:t>
            </w:r>
          </w:p>
        </w:tc>
        <w:tc>
          <w:tcPr>
            <w:tcW w:w="1729" w:type="pct"/>
            <w:tcBorders>
              <w:top w:val="single" w:sz="6" w:space="0" w:color="000000"/>
              <w:left w:val="single" w:sz="6" w:space="0" w:color="000000"/>
              <w:bottom w:val="single" w:sz="6" w:space="0" w:color="000000"/>
              <w:right w:val="single" w:sz="6" w:space="0" w:color="000000"/>
            </w:tcBorders>
            <w:shd w:val="clear" w:color="auto" w:fill="EAF1DD" w:themeFill="accent3" w:themeFillTint="33"/>
            <w:tcMar>
              <w:top w:w="20" w:type="dxa"/>
              <w:left w:w="20" w:type="dxa"/>
              <w:bottom w:w="20" w:type="dxa"/>
              <w:right w:w="20" w:type="dxa"/>
            </w:tcMar>
          </w:tcPr>
          <w:p w14:paraId="1F5751D5"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Payable days decreased from 99.53 in 2020 to 66.36 in 2024, showing earlier payments that limit liquidity.</w:t>
            </w:r>
          </w:p>
        </w:tc>
        <w:tc>
          <w:tcPr>
            <w:tcW w:w="2195" w:type="pct"/>
            <w:tcBorders>
              <w:top w:val="single" w:sz="6" w:space="0" w:color="000000"/>
              <w:left w:val="single" w:sz="6" w:space="0" w:color="000000"/>
              <w:bottom w:val="single" w:sz="6" w:space="0" w:color="000000"/>
              <w:right w:val="single" w:sz="6" w:space="0" w:color="000000"/>
            </w:tcBorders>
            <w:shd w:val="clear" w:color="auto" w:fill="EAF1DD" w:themeFill="accent3" w:themeFillTint="33"/>
            <w:tcMar>
              <w:top w:w="20" w:type="dxa"/>
              <w:left w:w="20" w:type="dxa"/>
              <w:bottom w:w="20" w:type="dxa"/>
              <w:right w:w="20" w:type="dxa"/>
            </w:tcMar>
          </w:tcPr>
          <w:p w14:paraId="73EB088E"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b/>
              </w:rPr>
              <w:t>Negotiating Extended Supplier Credit Terms:</w:t>
            </w:r>
            <w:r w:rsidRPr="00760296">
              <w:rPr>
                <w:rFonts w:asciiTheme="minorBidi" w:hAnsiTheme="minorBidi" w:cstheme="minorBidi"/>
              </w:rPr>
              <w:t xml:space="preserve"> Establish long-term partnerships and renegotiate contracts to secure </w:t>
            </w:r>
            <w:proofErr w:type="spellStart"/>
            <w:r w:rsidRPr="00760296">
              <w:rPr>
                <w:rFonts w:asciiTheme="minorBidi" w:hAnsiTheme="minorBidi" w:cstheme="minorBidi"/>
              </w:rPr>
              <w:t>favorable</w:t>
            </w:r>
            <w:proofErr w:type="spellEnd"/>
            <w:r w:rsidRPr="00760296">
              <w:rPr>
                <w:rFonts w:asciiTheme="minorBidi" w:hAnsiTheme="minorBidi" w:cstheme="minorBidi"/>
              </w:rPr>
              <w:t xml:space="preserve"> credit terms without harming supplier relations</w:t>
            </w:r>
            <w:r w:rsidR="00F21DA9" w:rsidRPr="00760296">
              <w:rPr>
                <w:rFonts w:asciiTheme="minorBidi" w:hAnsiTheme="minorBidi" w:cstheme="minorBidi"/>
              </w:rPr>
              <w:t xml:space="preserve"> (Galil, </w:t>
            </w:r>
            <w:proofErr w:type="spellStart"/>
            <w:r w:rsidR="00F21DA9" w:rsidRPr="00760296">
              <w:rPr>
                <w:rFonts w:asciiTheme="minorBidi" w:hAnsiTheme="minorBidi" w:cstheme="minorBidi"/>
              </w:rPr>
              <w:t>Shapir</w:t>
            </w:r>
            <w:proofErr w:type="spellEnd"/>
            <w:r w:rsidR="00F21DA9" w:rsidRPr="00760296">
              <w:rPr>
                <w:rFonts w:asciiTheme="minorBidi" w:hAnsiTheme="minorBidi" w:cstheme="minorBidi"/>
              </w:rPr>
              <w:t xml:space="preserve"> and </w:t>
            </w:r>
            <w:proofErr w:type="spellStart"/>
            <w:r w:rsidR="00F21DA9" w:rsidRPr="00760296">
              <w:rPr>
                <w:rFonts w:asciiTheme="minorBidi" w:hAnsiTheme="minorBidi" w:cstheme="minorBidi"/>
              </w:rPr>
              <w:t>Zeidan</w:t>
            </w:r>
            <w:proofErr w:type="spellEnd"/>
            <w:r w:rsidR="00F21DA9" w:rsidRPr="00760296">
              <w:rPr>
                <w:rFonts w:asciiTheme="minorBidi" w:hAnsiTheme="minorBidi" w:cstheme="minorBidi"/>
              </w:rPr>
              <w:t>, 2025)</w:t>
            </w:r>
            <w:r w:rsidRPr="00760296">
              <w:rPr>
                <w:rFonts w:asciiTheme="minorBidi" w:hAnsiTheme="minorBidi" w:cstheme="minorBidi"/>
              </w:rPr>
              <w:t>.</w:t>
            </w:r>
          </w:p>
        </w:tc>
      </w:tr>
      <w:tr w:rsidR="006138C6" w:rsidRPr="00760296" w14:paraId="0989E347" w14:textId="77777777" w:rsidTr="00763175">
        <w:trPr>
          <w:trHeight w:val="1950"/>
        </w:trPr>
        <w:tc>
          <w:tcPr>
            <w:tcW w:w="1075" w:type="pct"/>
            <w:tcBorders>
              <w:top w:val="single" w:sz="6" w:space="0" w:color="000000"/>
              <w:left w:val="single" w:sz="6" w:space="0" w:color="000000"/>
              <w:bottom w:val="single" w:sz="6" w:space="0" w:color="000000"/>
              <w:right w:val="single" w:sz="6" w:space="0" w:color="000000"/>
            </w:tcBorders>
            <w:shd w:val="clear" w:color="auto" w:fill="EAF1DD" w:themeFill="accent3" w:themeFillTint="33"/>
            <w:tcMar>
              <w:top w:w="20" w:type="dxa"/>
              <w:left w:w="20" w:type="dxa"/>
              <w:bottom w:w="20" w:type="dxa"/>
              <w:right w:w="20" w:type="dxa"/>
            </w:tcMar>
          </w:tcPr>
          <w:p w14:paraId="0C6C57CA"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Weak Cash Flow Planning</w:t>
            </w:r>
          </w:p>
        </w:tc>
        <w:tc>
          <w:tcPr>
            <w:tcW w:w="1729" w:type="pct"/>
            <w:tcBorders>
              <w:top w:val="single" w:sz="6" w:space="0" w:color="000000"/>
              <w:left w:val="single" w:sz="6" w:space="0" w:color="000000"/>
              <w:bottom w:val="single" w:sz="6" w:space="0" w:color="000000"/>
              <w:right w:val="single" w:sz="6" w:space="0" w:color="000000"/>
            </w:tcBorders>
            <w:shd w:val="clear" w:color="auto" w:fill="EAF1DD" w:themeFill="accent3" w:themeFillTint="33"/>
            <w:tcMar>
              <w:top w:w="20" w:type="dxa"/>
              <w:left w:w="20" w:type="dxa"/>
              <w:bottom w:w="20" w:type="dxa"/>
              <w:right w:w="20" w:type="dxa"/>
            </w:tcMar>
          </w:tcPr>
          <w:p w14:paraId="337085B3"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Cash flow ratios indicate limited operational liquidity and minimal debt coverage, increasing financing pressure.</w:t>
            </w:r>
          </w:p>
        </w:tc>
        <w:tc>
          <w:tcPr>
            <w:tcW w:w="2195" w:type="pct"/>
            <w:tcBorders>
              <w:top w:val="single" w:sz="6" w:space="0" w:color="000000"/>
              <w:left w:val="single" w:sz="6" w:space="0" w:color="000000"/>
              <w:bottom w:val="single" w:sz="6" w:space="0" w:color="000000"/>
              <w:right w:val="single" w:sz="6" w:space="0" w:color="000000"/>
            </w:tcBorders>
            <w:shd w:val="clear" w:color="auto" w:fill="EAF1DD" w:themeFill="accent3" w:themeFillTint="33"/>
            <w:tcMar>
              <w:top w:w="20" w:type="dxa"/>
              <w:left w:w="20" w:type="dxa"/>
              <w:bottom w:w="20" w:type="dxa"/>
              <w:right w:w="20" w:type="dxa"/>
            </w:tcMar>
          </w:tcPr>
          <w:p w14:paraId="7EC5E908"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b/>
              </w:rPr>
              <w:t>Implementing Dynamic Cash Forecasting and Budget Control:</w:t>
            </w:r>
            <w:r w:rsidRPr="00760296">
              <w:rPr>
                <w:rFonts w:asciiTheme="minorBidi" w:hAnsiTheme="minorBidi" w:cstheme="minorBidi"/>
              </w:rPr>
              <w:t xml:space="preserve"> Utilize real-time cash monitoring tools to forecast inflows and outflows accurately and control spending</w:t>
            </w:r>
            <w:r w:rsidR="00F21DA9" w:rsidRPr="00760296">
              <w:rPr>
                <w:rFonts w:asciiTheme="minorBidi" w:hAnsiTheme="minorBidi" w:cstheme="minorBidi"/>
              </w:rPr>
              <w:t xml:space="preserve"> (Kaka and Lewis, 2003)</w:t>
            </w:r>
            <w:r w:rsidRPr="00760296">
              <w:rPr>
                <w:rFonts w:asciiTheme="minorBidi" w:hAnsiTheme="minorBidi" w:cstheme="minorBidi"/>
              </w:rPr>
              <w:t>.</w:t>
            </w:r>
          </w:p>
        </w:tc>
      </w:tr>
    </w:tbl>
    <w:p w14:paraId="09E0C894" w14:textId="77777777" w:rsidR="006138C6" w:rsidRPr="00760296" w:rsidRDefault="00EF72CD" w:rsidP="002D1B45">
      <w:pPr>
        <w:pStyle w:val="Heading2"/>
        <w:rPr>
          <w:rFonts w:asciiTheme="minorBidi" w:hAnsiTheme="minorBidi" w:cstheme="minorBidi"/>
        </w:rPr>
      </w:pPr>
      <w:bookmarkStart w:id="29" w:name="_Toc213194623"/>
      <w:r w:rsidRPr="00760296">
        <w:rPr>
          <w:rFonts w:asciiTheme="minorBidi" w:hAnsiTheme="minorBidi" w:cstheme="minorBidi"/>
        </w:rPr>
        <w:t>3.4 Short-Term vs Long-Term Financing Options</w:t>
      </w:r>
      <w:bookmarkEnd w:id="29"/>
    </w:p>
    <w:tbl>
      <w:tblPr>
        <w:tblStyle w:val="a2"/>
        <w:tblW w:w="8550"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shd w:val="clear" w:color="auto" w:fill="DBE5F1" w:themeFill="accent1" w:themeFillTint="33"/>
        <w:tblLayout w:type="fixed"/>
        <w:tblLook w:val="0600" w:firstRow="0" w:lastRow="0" w:firstColumn="0" w:lastColumn="0" w:noHBand="1" w:noVBand="1"/>
      </w:tblPr>
      <w:tblGrid>
        <w:gridCol w:w="795"/>
        <w:gridCol w:w="1695"/>
        <w:gridCol w:w="2265"/>
        <w:gridCol w:w="1875"/>
        <w:gridCol w:w="1920"/>
      </w:tblGrid>
      <w:tr w:rsidR="006138C6" w:rsidRPr="00760296" w14:paraId="6612111D" w14:textId="77777777" w:rsidTr="00763175">
        <w:trPr>
          <w:trHeight w:val="330"/>
        </w:trPr>
        <w:tc>
          <w:tcPr>
            <w:tcW w:w="795" w:type="dxa"/>
            <w:tcBorders>
              <w:top w:val="single" w:sz="6" w:space="0" w:color="000000"/>
              <w:left w:val="single" w:sz="6" w:space="0" w:color="000000"/>
              <w:bottom w:val="single" w:sz="6" w:space="0" w:color="000000"/>
              <w:right w:val="single" w:sz="6" w:space="0" w:color="000000"/>
            </w:tcBorders>
            <w:shd w:val="clear" w:color="auto" w:fill="DBE5F1" w:themeFill="accent1" w:themeFillTint="33"/>
            <w:tcMar>
              <w:top w:w="20" w:type="dxa"/>
              <w:left w:w="20" w:type="dxa"/>
              <w:bottom w:w="20" w:type="dxa"/>
              <w:right w:w="20" w:type="dxa"/>
            </w:tcMar>
          </w:tcPr>
          <w:p w14:paraId="0F7B8892" w14:textId="77777777" w:rsidR="006138C6" w:rsidRPr="00760296" w:rsidRDefault="00EF72CD" w:rsidP="002D1B45">
            <w:pPr>
              <w:spacing w:before="240"/>
              <w:jc w:val="center"/>
              <w:rPr>
                <w:rFonts w:asciiTheme="minorBidi" w:hAnsiTheme="minorBidi" w:cstheme="minorBidi"/>
                <w:b/>
              </w:rPr>
            </w:pPr>
            <w:r w:rsidRPr="00760296">
              <w:rPr>
                <w:rFonts w:asciiTheme="minorBidi" w:hAnsiTheme="minorBidi" w:cstheme="minorBidi"/>
                <w:b/>
              </w:rPr>
              <w:t>Type</w:t>
            </w:r>
          </w:p>
        </w:tc>
        <w:tc>
          <w:tcPr>
            <w:tcW w:w="1695" w:type="dxa"/>
            <w:tcBorders>
              <w:top w:val="single" w:sz="6" w:space="0" w:color="000000"/>
              <w:left w:val="single" w:sz="6" w:space="0" w:color="000000"/>
              <w:bottom w:val="single" w:sz="6" w:space="0" w:color="000000"/>
              <w:right w:val="single" w:sz="6" w:space="0" w:color="000000"/>
            </w:tcBorders>
            <w:shd w:val="clear" w:color="auto" w:fill="DBE5F1" w:themeFill="accent1" w:themeFillTint="33"/>
            <w:tcMar>
              <w:top w:w="20" w:type="dxa"/>
              <w:left w:w="20" w:type="dxa"/>
              <w:bottom w:w="20" w:type="dxa"/>
              <w:right w:w="20" w:type="dxa"/>
            </w:tcMar>
          </w:tcPr>
          <w:p w14:paraId="1133025D" w14:textId="77777777" w:rsidR="006138C6" w:rsidRPr="00760296" w:rsidRDefault="00EF72CD" w:rsidP="002D1B45">
            <w:pPr>
              <w:spacing w:before="240"/>
              <w:jc w:val="center"/>
              <w:rPr>
                <w:rFonts w:asciiTheme="minorBidi" w:hAnsiTheme="minorBidi" w:cstheme="minorBidi"/>
                <w:b/>
              </w:rPr>
            </w:pPr>
            <w:r w:rsidRPr="00760296">
              <w:rPr>
                <w:rFonts w:asciiTheme="minorBidi" w:hAnsiTheme="minorBidi" w:cstheme="minorBidi"/>
                <w:b/>
              </w:rPr>
              <w:t>Financing Tool</w:t>
            </w:r>
          </w:p>
        </w:tc>
        <w:tc>
          <w:tcPr>
            <w:tcW w:w="2265" w:type="dxa"/>
            <w:tcBorders>
              <w:top w:val="single" w:sz="6" w:space="0" w:color="000000"/>
              <w:left w:val="single" w:sz="6" w:space="0" w:color="000000"/>
              <w:bottom w:val="single" w:sz="6" w:space="0" w:color="000000"/>
              <w:right w:val="single" w:sz="6" w:space="0" w:color="000000"/>
            </w:tcBorders>
            <w:shd w:val="clear" w:color="auto" w:fill="DBE5F1" w:themeFill="accent1" w:themeFillTint="33"/>
            <w:tcMar>
              <w:top w:w="20" w:type="dxa"/>
              <w:left w:w="20" w:type="dxa"/>
              <w:bottom w:w="20" w:type="dxa"/>
              <w:right w:w="20" w:type="dxa"/>
            </w:tcMar>
          </w:tcPr>
          <w:p w14:paraId="6CEE5B89" w14:textId="77777777" w:rsidR="006138C6" w:rsidRPr="00760296" w:rsidRDefault="00EF72CD" w:rsidP="002D1B45">
            <w:pPr>
              <w:spacing w:before="240"/>
              <w:jc w:val="center"/>
              <w:rPr>
                <w:rFonts w:asciiTheme="minorBidi" w:hAnsiTheme="minorBidi" w:cstheme="minorBidi"/>
                <w:b/>
              </w:rPr>
            </w:pPr>
            <w:r w:rsidRPr="00760296">
              <w:rPr>
                <w:rFonts w:asciiTheme="minorBidi" w:hAnsiTheme="minorBidi" w:cstheme="minorBidi"/>
                <w:b/>
              </w:rPr>
              <w:t>Description</w:t>
            </w:r>
          </w:p>
        </w:tc>
        <w:tc>
          <w:tcPr>
            <w:tcW w:w="1875" w:type="dxa"/>
            <w:tcBorders>
              <w:top w:val="single" w:sz="6" w:space="0" w:color="000000"/>
              <w:left w:val="single" w:sz="6" w:space="0" w:color="000000"/>
              <w:bottom w:val="single" w:sz="6" w:space="0" w:color="000000"/>
              <w:right w:val="single" w:sz="6" w:space="0" w:color="000000"/>
            </w:tcBorders>
            <w:shd w:val="clear" w:color="auto" w:fill="DBE5F1" w:themeFill="accent1" w:themeFillTint="33"/>
            <w:tcMar>
              <w:top w:w="20" w:type="dxa"/>
              <w:left w:w="20" w:type="dxa"/>
              <w:bottom w:w="20" w:type="dxa"/>
              <w:right w:w="20" w:type="dxa"/>
            </w:tcMar>
          </w:tcPr>
          <w:p w14:paraId="0F3A87FD" w14:textId="77777777" w:rsidR="006138C6" w:rsidRPr="00760296" w:rsidRDefault="00EF72CD" w:rsidP="002D1B45">
            <w:pPr>
              <w:spacing w:before="240"/>
              <w:jc w:val="center"/>
              <w:rPr>
                <w:rFonts w:asciiTheme="minorBidi" w:hAnsiTheme="minorBidi" w:cstheme="minorBidi"/>
                <w:b/>
              </w:rPr>
            </w:pPr>
            <w:r w:rsidRPr="00760296">
              <w:rPr>
                <w:rFonts w:asciiTheme="minorBidi" w:hAnsiTheme="minorBidi" w:cstheme="minorBidi"/>
                <w:b/>
              </w:rPr>
              <w:t>Advantages</w:t>
            </w:r>
          </w:p>
        </w:tc>
        <w:tc>
          <w:tcPr>
            <w:tcW w:w="1920" w:type="dxa"/>
            <w:tcBorders>
              <w:top w:val="single" w:sz="6" w:space="0" w:color="000000"/>
              <w:left w:val="single" w:sz="6" w:space="0" w:color="000000"/>
              <w:bottom w:val="single" w:sz="6" w:space="0" w:color="000000"/>
              <w:right w:val="single" w:sz="6" w:space="0" w:color="000000"/>
            </w:tcBorders>
            <w:shd w:val="clear" w:color="auto" w:fill="DBE5F1" w:themeFill="accent1" w:themeFillTint="33"/>
            <w:tcMar>
              <w:top w:w="20" w:type="dxa"/>
              <w:left w:w="20" w:type="dxa"/>
              <w:bottom w:w="20" w:type="dxa"/>
              <w:right w:w="20" w:type="dxa"/>
            </w:tcMar>
          </w:tcPr>
          <w:p w14:paraId="537FBA11" w14:textId="77777777" w:rsidR="006138C6" w:rsidRPr="00760296" w:rsidRDefault="00EF72CD" w:rsidP="002D1B45">
            <w:pPr>
              <w:spacing w:before="240"/>
              <w:jc w:val="center"/>
              <w:rPr>
                <w:rFonts w:asciiTheme="minorBidi" w:hAnsiTheme="minorBidi" w:cstheme="minorBidi"/>
                <w:b/>
              </w:rPr>
            </w:pPr>
            <w:r w:rsidRPr="00760296">
              <w:rPr>
                <w:rFonts w:asciiTheme="minorBidi" w:hAnsiTheme="minorBidi" w:cstheme="minorBidi"/>
                <w:b/>
              </w:rPr>
              <w:t>Suitability for GE</w:t>
            </w:r>
          </w:p>
        </w:tc>
      </w:tr>
      <w:tr w:rsidR="006138C6" w:rsidRPr="00760296" w14:paraId="5752F461" w14:textId="77777777" w:rsidTr="00763175">
        <w:trPr>
          <w:trHeight w:val="1140"/>
        </w:trPr>
        <w:tc>
          <w:tcPr>
            <w:tcW w:w="795" w:type="dxa"/>
            <w:tcBorders>
              <w:top w:val="single" w:sz="6" w:space="0" w:color="000000"/>
              <w:left w:val="single" w:sz="6" w:space="0" w:color="000000"/>
              <w:bottom w:val="single" w:sz="6" w:space="0" w:color="000000"/>
              <w:right w:val="single" w:sz="6" w:space="0" w:color="000000"/>
            </w:tcBorders>
            <w:shd w:val="clear" w:color="auto" w:fill="DBE5F1" w:themeFill="accent1" w:themeFillTint="33"/>
            <w:tcMar>
              <w:top w:w="20" w:type="dxa"/>
              <w:left w:w="20" w:type="dxa"/>
              <w:bottom w:w="20" w:type="dxa"/>
              <w:right w:w="20" w:type="dxa"/>
            </w:tcMar>
          </w:tcPr>
          <w:p w14:paraId="5E2777CD"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Short-Term</w:t>
            </w:r>
          </w:p>
        </w:tc>
        <w:tc>
          <w:tcPr>
            <w:tcW w:w="1695" w:type="dxa"/>
            <w:tcBorders>
              <w:top w:val="single" w:sz="6" w:space="0" w:color="000000"/>
              <w:left w:val="single" w:sz="6" w:space="0" w:color="000000"/>
              <w:bottom w:val="single" w:sz="6" w:space="0" w:color="000000"/>
              <w:right w:val="single" w:sz="6" w:space="0" w:color="000000"/>
            </w:tcBorders>
            <w:shd w:val="clear" w:color="auto" w:fill="DBE5F1" w:themeFill="accent1" w:themeFillTint="33"/>
            <w:tcMar>
              <w:top w:w="20" w:type="dxa"/>
              <w:left w:w="20" w:type="dxa"/>
              <w:bottom w:w="20" w:type="dxa"/>
              <w:right w:w="20" w:type="dxa"/>
            </w:tcMar>
          </w:tcPr>
          <w:p w14:paraId="2B2BCD63"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Bank Overdrafts &amp; Trade Credit</w:t>
            </w:r>
          </w:p>
        </w:tc>
        <w:tc>
          <w:tcPr>
            <w:tcW w:w="2265" w:type="dxa"/>
            <w:tcBorders>
              <w:top w:val="single" w:sz="6" w:space="0" w:color="000000"/>
              <w:left w:val="single" w:sz="6" w:space="0" w:color="000000"/>
              <w:bottom w:val="single" w:sz="6" w:space="0" w:color="000000"/>
              <w:right w:val="single" w:sz="6" w:space="0" w:color="000000"/>
            </w:tcBorders>
            <w:shd w:val="clear" w:color="auto" w:fill="DBE5F1" w:themeFill="accent1" w:themeFillTint="33"/>
            <w:tcMar>
              <w:top w:w="20" w:type="dxa"/>
              <w:left w:w="20" w:type="dxa"/>
              <w:bottom w:w="20" w:type="dxa"/>
              <w:right w:w="20" w:type="dxa"/>
            </w:tcMar>
          </w:tcPr>
          <w:p w14:paraId="4A73279B"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Provide immediate funds to meet working capital needs and manage liquidity gaps</w:t>
            </w:r>
            <w:r w:rsidR="00F21DA9" w:rsidRPr="00760296">
              <w:rPr>
                <w:rFonts w:asciiTheme="minorBidi" w:hAnsiTheme="minorBidi" w:cstheme="minorBidi"/>
              </w:rPr>
              <w:t xml:space="preserve"> </w:t>
            </w:r>
            <w:r w:rsidR="00F21DA9" w:rsidRPr="00760296">
              <w:rPr>
                <w:rFonts w:asciiTheme="minorBidi" w:hAnsiTheme="minorBidi" w:cstheme="minorBidi"/>
              </w:rPr>
              <w:lastRenderedPageBreak/>
              <w:t xml:space="preserve">(Hempel, Li and </w:t>
            </w:r>
            <w:proofErr w:type="spellStart"/>
            <w:r w:rsidR="00F21DA9" w:rsidRPr="00760296">
              <w:rPr>
                <w:rFonts w:asciiTheme="minorBidi" w:hAnsiTheme="minorBidi" w:cstheme="minorBidi"/>
              </w:rPr>
              <w:t>Tibay</w:t>
            </w:r>
            <w:proofErr w:type="spellEnd"/>
            <w:r w:rsidR="00F21DA9" w:rsidRPr="00760296">
              <w:rPr>
                <w:rFonts w:asciiTheme="minorBidi" w:hAnsiTheme="minorBidi" w:cstheme="minorBidi"/>
              </w:rPr>
              <w:t>, 2024)</w:t>
            </w:r>
            <w:r w:rsidRPr="00760296">
              <w:rPr>
                <w:rFonts w:asciiTheme="minorBidi" w:hAnsiTheme="minorBidi" w:cstheme="minorBidi"/>
              </w:rPr>
              <w:t>.</w:t>
            </w:r>
          </w:p>
        </w:tc>
        <w:tc>
          <w:tcPr>
            <w:tcW w:w="1875" w:type="dxa"/>
            <w:tcBorders>
              <w:top w:val="single" w:sz="6" w:space="0" w:color="000000"/>
              <w:left w:val="single" w:sz="6" w:space="0" w:color="000000"/>
              <w:bottom w:val="single" w:sz="6" w:space="0" w:color="000000"/>
              <w:right w:val="single" w:sz="6" w:space="0" w:color="000000"/>
            </w:tcBorders>
            <w:shd w:val="clear" w:color="auto" w:fill="DBE5F1" w:themeFill="accent1" w:themeFillTint="33"/>
            <w:tcMar>
              <w:top w:w="20" w:type="dxa"/>
              <w:left w:w="20" w:type="dxa"/>
              <w:bottom w:w="20" w:type="dxa"/>
              <w:right w:w="20" w:type="dxa"/>
            </w:tcMar>
          </w:tcPr>
          <w:p w14:paraId="3EC33A94"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lastRenderedPageBreak/>
              <w:t>Flexible, quick access to cash, supports daily operations.</w:t>
            </w:r>
          </w:p>
        </w:tc>
        <w:tc>
          <w:tcPr>
            <w:tcW w:w="1920" w:type="dxa"/>
            <w:tcBorders>
              <w:top w:val="single" w:sz="6" w:space="0" w:color="000000"/>
              <w:left w:val="single" w:sz="6" w:space="0" w:color="000000"/>
              <w:bottom w:val="single" w:sz="6" w:space="0" w:color="000000"/>
              <w:right w:val="single" w:sz="6" w:space="0" w:color="000000"/>
            </w:tcBorders>
            <w:shd w:val="clear" w:color="auto" w:fill="DBE5F1" w:themeFill="accent1" w:themeFillTint="33"/>
            <w:tcMar>
              <w:top w:w="20" w:type="dxa"/>
              <w:left w:w="20" w:type="dxa"/>
              <w:bottom w:w="20" w:type="dxa"/>
              <w:right w:w="20" w:type="dxa"/>
            </w:tcMar>
          </w:tcPr>
          <w:p w14:paraId="62AB0E5D"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Suitable for addressing temporary liquidity shortfalls.</w:t>
            </w:r>
          </w:p>
        </w:tc>
      </w:tr>
      <w:tr w:rsidR="006138C6" w:rsidRPr="00760296" w14:paraId="6430C9A7" w14:textId="77777777" w:rsidTr="00763175">
        <w:trPr>
          <w:trHeight w:val="1140"/>
        </w:trPr>
        <w:tc>
          <w:tcPr>
            <w:tcW w:w="795" w:type="dxa"/>
            <w:tcBorders>
              <w:top w:val="single" w:sz="6" w:space="0" w:color="000000"/>
              <w:left w:val="single" w:sz="6" w:space="0" w:color="000000"/>
              <w:bottom w:val="single" w:sz="6" w:space="0" w:color="000000"/>
              <w:right w:val="single" w:sz="6" w:space="0" w:color="000000"/>
            </w:tcBorders>
            <w:shd w:val="clear" w:color="auto" w:fill="DBE5F1" w:themeFill="accent1" w:themeFillTint="33"/>
            <w:tcMar>
              <w:top w:w="20" w:type="dxa"/>
              <w:left w:w="20" w:type="dxa"/>
              <w:bottom w:w="20" w:type="dxa"/>
              <w:right w:w="20" w:type="dxa"/>
            </w:tcMar>
          </w:tcPr>
          <w:p w14:paraId="24760AFA"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Short-Term</w:t>
            </w:r>
          </w:p>
        </w:tc>
        <w:tc>
          <w:tcPr>
            <w:tcW w:w="1695" w:type="dxa"/>
            <w:tcBorders>
              <w:top w:val="single" w:sz="6" w:space="0" w:color="000000"/>
              <w:left w:val="single" w:sz="6" w:space="0" w:color="000000"/>
              <w:bottom w:val="single" w:sz="6" w:space="0" w:color="000000"/>
              <w:right w:val="single" w:sz="6" w:space="0" w:color="000000"/>
            </w:tcBorders>
            <w:shd w:val="clear" w:color="auto" w:fill="DBE5F1" w:themeFill="accent1" w:themeFillTint="33"/>
            <w:tcMar>
              <w:top w:w="20" w:type="dxa"/>
              <w:left w:w="20" w:type="dxa"/>
              <w:bottom w:w="20" w:type="dxa"/>
              <w:right w:w="20" w:type="dxa"/>
            </w:tcMar>
          </w:tcPr>
          <w:p w14:paraId="5F8FD536"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Factoring &amp; Commercial Papers</w:t>
            </w:r>
          </w:p>
        </w:tc>
        <w:tc>
          <w:tcPr>
            <w:tcW w:w="2265" w:type="dxa"/>
            <w:tcBorders>
              <w:top w:val="single" w:sz="6" w:space="0" w:color="000000"/>
              <w:left w:val="single" w:sz="6" w:space="0" w:color="000000"/>
              <w:bottom w:val="single" w:sz="6" w:space="0" w:color="000000"/>
              <w:right w:val="single" w:sz="6" w:space="0" w:color="000000"/>
            </w:tcBorders>
            <w:shd w:val="clear" w:color="auto" w:fill="DBE5F1" w:themeFill="accent1" w:themeFillTint="33"/>
            <w:tcMar>
              <w:top w:w="20" w:type="dxa"/>
              <w:left w:w="20" w:type="dxa"/>
              <w:bottom w:w="20" w:type="dxa"/>
              <w:right w:w="20" w:type="dxa"/>
            </w:tcMar>
          </w:tcPr>
          <w:p w14:paraId="2BF361E5"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Selling receivables or issuing short-term debt for quick cash inflow.</w:t>
            </w:r>
          </w:p>
        </w:tc>
        <w:tc>
          <w:tcPr>
            <w:tcW w:w="1875" w:type="dxa"/>
            <w:tcBorders>
              <w:top w:val="single" w:sz="6" w:space="0" w:color="000000"/>
              <w:left w:val="single" w:sz="6" w:space="0" w:color="000000"/>
              <w:bottom w:val="single" w:sz="6" w:space="0" w:color="000000"/>
              <w:right w:val="single" w:sz="6" w:space="0" w:color="000000"/>
            </w:tcBorders>
            <w:shd w:val="clear" w:color="auto" w:fill="DBE5F1" w:themeFill="accent1" w:themeFillTint="33"/>
            <w:tcMar>
              <w:top w:w="20" w:type="dxa"/>
              <w:left w:w="20" w:type="dxa"/>
              <w:bottom w:w="20" w:type="dxa"/>
              <w:right w:w="20" w:type="dxa"/>
            </w:tcMar>
          </w:tcPr>
          <w:p w14:paraId="32FF4989"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Improves cash flow, reduces collection delays.</w:t>
            </w:r>
          </w:p>
        </w:tc>
        <w:tc>
          <w:tcPr>
            <w:tcW w:w="1920" w:type="dxa"/>
            <w:tcBorders>
              <w:top w:val="single" w:sz="6" w:space="0" w:color="000000"/>
              <w:left w:val="single" w:sz="6" w:space="0" w:color="000000"/>
              <w:bottom w:val="single" w:sz="6" w:space="0" w:color="000000"/>
              <w:right w:val="single" w:sz="6" w:space="0" w:color="000000"/>
            </w:tcBorders>
            <w:shd w:val="clear" w:color="auto" w:fill="DBE5F1" w:themeFill="accent1" w:themeFillTint="33"/>
            <w:tcMar>
              <w:top w:w="20" w:type="dxa"/>
              <w:left w:w="20" w:type="dxa"/>
              <w:bottom w:w="20" w:type="dxa"/>
              <w:right w:w="20" w:type="dxa"/>
            </w:tcMar>
          </w:tcPr>
          <w:p w14:paraId="06B4E138"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Effective due to GE’s slow receivable turnover.</w:t>
            </w:r>
          </w:p>
        </w:tc>
      </w:tr>
      <w:tr w:rsidR="006138C6" w:rsidRPr="00760296" w14:paraId="678899BD" w14:textId="77777777" w:rsidTr="00763175">
        <w:trPr>
          <w:trHeight w:val="1140"/>
        </w:trPr>
        <w:tc>
          <w:tcPr>
            <w:tcW w:w="795" w:type="dxa"/>
            <w:tcBorders>
              <w:top w:val="single" w:sz="6" w:space="0" w:color="000000"/>
              <w:left w:val="single" w:sz="6" w:space="0" w:color="000000"/>
              <w:bottom w:val="single" w:sz="6" w:space="0" w:color="000000"/>
              <w:right w:val="single" w:sz="6" w:space="0" w:color="000000"/>
            </w:tcBorders>
            <w:shd w:val="clear" w:color="auto" w:fill="DBE5F1" w:themeFill="accent1" w:themeFillTint="33"/>
            <w:tcMar>
              <w:top w:w="20" w:type="dxa"/>
              <w:left w:w="20" w:type="dxa"/>
              <w:bottom w:w="20" w:type="dxa"/>
              <w:right w:w="20" w:type="dxa"/>
            </w:tcMar>
          </w:tcPr>
          <w:p w14:paraId="3EB5013B"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Long-Term</w:t>
            </w:r>
          </w:p>
        </w:tc>
        <w:tc>
          <w:tcPr>
            <w:tcW w:w="1695" w:type="dxa"/>
            <w:tcBorders>
              <w:top w:val="single" w:sz="6" w:space="0" w:color="000000"/>
              <w:left w:val="single" w:sz="6" w:space="0" w:color="000000"/>
              <w:bottom w:val="single" w:sz="6" w:space="0" w:color="000000"/>
              <w:right w:val="single" w:sz="6" w:space="0" w:color="000000"/>
            </w:tcBorders>
            <w:shd w:val="clear" w:color="auto" w:fill="DBE5F1" w:themeFill="accent1" w:themeFillTint="33"/>
            <w:tcMar>
              <w:top w:w="20" w:type="dxa"/>
              <w:left w:w="20" w:type="dxa"/>
              <w:bottom w:w="20" w:type="dxa"/>
              <w:right w:w="20" w:type="dxa"/>
            </w:tcMar>
          </w:tcPr>
          <w:p w14:paraId="40FD0E0C"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Debentures, Equity, Retained Earnings</w:t>
            </w:r>
          </w:p>
        </w:tc>
        <w:tc>
          <w:tcPr>
            <w:tcW w:w="2265" w:type="dxa"/>
            <w:tcBorders>
              <w:top w:val="single" w:sz="6" w:space="0" w:color="000000"/>
              <w:left w:val="single" w:sz="6" w:space="0" w:color="000000"/>
              <w:bottom w:val="single" w:sz="6" w:space="0" w:color="000000"/>
              <w:right w:val="single" w:sz="6" w:space="0" w:color="000000"/>
            </w:tcBorders>
            <w:shd w:val="clear" w:color="auto" w:fill="DBE5F1" w:themeFill="accent1" w:themeFillTint="33"/>
            <w:tcMar>
              <w:top w:w="20" w:type="dxa"/>
              <w:left w:w="20" w:type="dxa"/>
              <w:bottom w:w="20" w:type="dxa"/>
              <w:right w:w="20" w:type="dxa"/>
            </w:tcMar>
          </w:tcPr>
          <w:p w14:paraId="4710C57D"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Provide long-term capital for growth and debt restructuring</w:t>
            </w:r>
            <w:r w:rsidR="00F21DA9" w:rsidRPr="00760296">
              <w:rPr>
                <w:rFonts w:asciiTheme="minorBidi" w:hAnsiTheme="minorBidi" w:cstheme="minorBidi"/>
              </w:rPr>
              <w:t xml:space="preserve"> (Hempel, Li and </w:t>
            </w:r>
            <w:proofErr w:type="spellStart"/>
            <w:r w:rsidR="00F21DA9" w:rsidRPr="00760296">
              <w:rPr>
                <w:rFonts w:asciiTheme="minorBidi" w:hAnsiTheme="minorBidi" w:cstheme="minorBidi"/>
              </w:rPr>
              <w:t>Tibay</w:t>
            </w:r>
            <w:proofErr w:type="spellEnd"/>
            <w:r w:rsidR="00F21DA9" w:rsidRPr="00760296">
              <w:rPr>
                <w:rFonts w:asciiTheme="minorBidi" w:hAnsiTheme="minorBidi" w:cstheme="minorBidi"/>
              </w:rPr>
              <w:t>, 2024)</w:t>
            </w:r>
            <w:r w:rsidRPr="00760296">
              <w:rPr>
                <w:rFonts w:asciiTheme="minorBidi" w:hAnsiTheme="minorBidi" w:cstheme="minorBidi"/>
              </w:rPr>
              <w:t>.</w:t>
            </w:r>
          </w:p>
        </w:tc>
        <w:tc>
          <w:tcPr>
            <w:tcW w:w="1875" w:type="dxa"/>
            <w:tcBorders>
              <w:top w:val="single" w:sz="6" w:space="0" w:color="000000"/>
              <w:left w:val="single" w:sz="6" w:space="0" w:color="000000"/>
              <w:bottom w:val="single" w:sz="6" w:space="0" w:color="000000"/>
              <w:right w:val="single" w:sz="6" w:space="0" w:color="000000"/>
            </w:tcBorders>
            <w:shd w:val="clear" w:color="auto" w:fill="DBE5F1" w:themeFill="accent1" w:themeFillTint="33"/>
            <w:tcMar>
              <w:top w:w="20" w:type="dxa"/>
              <w:left w:w="20" w:type="dxa"/>
              <w:bottom w:w="20" w:type="dxa"/>
              <w:right w:w="20" w:type="dxa"/>
            </w:tcMar>
          </w:tcPr>
          <w:p w14:paraId="69753229"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Stable financing, reduces reliance on short-term borrowing</w:t>
            </w:r>
            <w:r w:rsidR="00F21DA9" w:rsidRPr="00760296">
              <w:rPr>
                <w:rFonts w:asciiTheme="minorBidi" w:hAnsiTheme="minorBidi" w:cstheme="minorBidi"/>
              </w:rPr>
              <w:t xml:space="preserve"> (Hempel, Li and </w:t>
            </w:r>
            <w:proofErr w:type="spellStart"/>
            <w:r w:rsidR="00F21DA9" w:rsidRPr="00760296">
              <w:rPr>
                <w:rFonts w:asciiTheme="minorBidi" w:hAnsiTheme="minorBidi" w:cstheme="minorBidi"/>
              </w:rPr>
              <w:t>Tibay</w:t>
            </w:r>
            <w:proofErr w:type="spellEnd"/>
            <w:r w:rsidR="00F21DA9" w:rsidRPr="00760296">
              <w:rPr>
                <w:rFonts w:asciiTheme="minorBidi" w:hAnsiTheme="minorBidi" w:cstheme="minorBidi"/>
              </w:rPr>
              <w:t>, 2024)</w:t>
            </w:r>
            <w:r w:rsidRPr="00760296">
              <w:rPr>
                <w:rFonts w:asciiTheme="minorBidi" w:hAnsiTheme="minorBidi" w:cstheme="minorBidi"/>
              </w:rPr>
              <w:t>.</w:t>
            </w:r>
          </w:p>
        </w:tc>
        <w:tc>
          <w:tcPr>
            <w:tcW w:w="1920" w:type="dxa"/>
            <w:tcBorders>
              <w:top w:val="single" w:sz="6" w:space="0" w:color="000000"/>
              <w:left w:val="single" w:sz="6" w:space="0" w:color="000000"/>
              <w:bottom w:val="single" w:sz="6" w:space="0" w:color="000000"/>
              <w:right w:val="single" w:sz="6" w:space="0" w:color="000000"/>
            </w:tcBorders>
            <w:shd w:val="clear" w:color="auto" w:fill="DBE5F1" w:themeFill="accent1" w:themeFillTint="33"/>
            <w:tcMar>
              <w:top w:w="20" w:type="dxa"/>
              <w:left w:w="20" w:type="dxa"/>
              <w:bottom w:w="20" w:type="dxa"/>
              <w:right w:w="20" w:type="dxa"/>
            </w:tcMar>
          </w:tcPr>
          <w:p w14:paraId="5012425C"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Suitable to lower high gearing and support sustainable capital structure.</w:t>
            </w:r>
          </w:p>
        </w:tc>
      </w:tr>
    </w:tbl>
    <w:p w14:paraId="7E7ECB16" w14:textId="77777777" w:rsidR="006138C6" w:rsidRPr="00760296" w:rsidRDefault="00EF72CD" w:rsidP="002D1B45">
      <w:pPr>
        <w:spacing w:before="240" w:after="240"/>
        <w:rPr>
          <w:rFonts w:asciiTheme="minorBidi" w:hAnsiTheme="minorBidi" w:cstheme="minorBidi"/>
        </w:rPr>
      </w:pPr>
      <w:r w:rsidRPr="00760296">
        <w:rPr>
          <w:rFonts w:asciiTheme="minorBidi" w:hAnsiTheme="minorBidi" w:cstheme="minorBidi"/>
          <w:b/>
        </w:rPr>
        <w:t>Evaluation:</w:t>
      </w:r>
      <w:r w:rsidRPr="00760296">
        <w:rPr>
          <w:rFonts w:asciiTheme="minorBidi" w:hAnsiTheme="minorBidi" w:cstheme="minorBidi"/>
          <w:b/>
        </w:rPr>
        <w:br/>
      </w:r>
      <w:r w:rsidRPr="00760296">
        <w:rPr>
          <w:rFonts w:asciiTheme="minorBidi" w:hAnsiTheme="minorBidi" w:cstheme="minorBidi"/>
        </w:rPr>
        <w:t xml:space="preserve">Given GE’s high leverage and weak liquidity, a </w:t>
      </w:r>
      <w:r w:rsidRPr="00760296">
        <w:rPr>
          <w:rFonts w:asciiTheme="minorBidi" w:hAnsiTheme="minorBidi" w:cstheme="minorBidi"/>
          <w:b/>
        </w:rPr>
        <w:t>balanced mix</w:t>
      </w:r>
      <w:r w:rsidRPr="00760296">
        <w:rPr>
          <w:rFonts w:asciiTheme="minorBidi" w:hAnsiTheme="minorBidi" w:cstheme="minorBidi"/>
        </w:rPr>
        <w:t xml:space="preserve"> of short-term liquidity tools and long-term equity-based financing is most appropriate.</w:t>
      </w:r>
    </w:p>
    <w:p w14:paraId="61420C9E" w14:textId="77777777" w:rsidR="006138C6" w:rsidRPr="00760296" w:rsidRDefault="00EF72CD" w:rsidP="002D1B45">
      <w:pPr>
        <w:pStyle w:val="Heading1"/>
        <w:rPr>
          <w:rFonts w:asciiTheme="minorBidi" w:hAnsiTheme="minorBidi" w:cstheme="minorBidi"/>
        </w:rPr>
      </w:pPr>
      <w:bookmarkStart w:id="30" w:name="_Toc213194624"/>
      <w:r w:rsidRPr="00760296">
        <w:rPr>
          <w:rFonts w:asciiTheme="minorBidi" w:eastAsia="Gungsuh" w:hAnsiTheme="minorBidi" w:cstheme="minorBidi"/>
        </w:rPr>
        <w:t>4. Strategic Financial Restructuring Plan</w:t>
      </w:r>
      <w:bookmarkEnd w:id="30"/>
      <w:r w:rsidRPr="00760296">
        <w:rPr>
          <w:rFonts w:asciiTheme="minorBidi" w:eastAsia="Gungsuh" w:hAnsiTheme="minorBidi" w:cstheme="minorBidi"/>
        </w:rPr>
        <w:t xml:space="preserve"> </w:t>
      </w:r>
    </w:p>
    <w:p w14:paraId="3DEAEC87" w14:textId="77777777" w:rsidR="006138C6" w:rsidRPr="00760296" w:rsidRDefault="00EF72CD" w:rsidP="002D1B45">
      <w:pPr>
        <w:pStyle w:val="Heading2"/>
        <w:rPr>
          <w:rFonts w:asciiTheme="minorBidi" w:hAnsiTheme="minorBidi" w:cstheme="minorBidi"/>
        </w:rPr>
      </w:pPr>
      <w:bookmarkStart w:id="31" w:name="_uxz0ttqczeeo" w:colFirst="0" w:colLast="0"/>
      <w:bookmarkStart w:id="32" w:name="_Toc213194625"/>
      <w:bookmarkEnd w:id="31"/>
      <w:r w:rsidRPr="00760296">
        <w:rPr>
          <w:rFonts w:asciiTheme="minorBidi" w:hAnsiTheme="minorBidi" w:cstheme="minorBidi"/>
        </w:rPr>
        <w:t>4.1 Overview of the Financial Crisis</w:t>
      </w:r>
      <w:bookmarkEnd w:id="32"/>
    </w:p>
    <w:p w14:paraId="7880DCCB" w14:textId="77777777" w:rsidR="006138C6" w:rsidRPr="00760296" w:rsidRDefault="00EF72CD" w:rsidP="002D1B45">
      <w:pPr>
        <w:spacing w:before="240" w:after="240"/>
        <w:rPr>
          <w:rFonts w:asciiTheme="minorBidi" w:hAnsiTheme="minorBidi" w:cstheme="minorBidi"/>
        </w:rPr>
      </w:pPr>
      <w:r w:rsidRPr="00760296">
        <w:rPr>
          <w:rFonts w:asciiTheme="minorBidi" w:hAnsiTheme="minorBidi" w:cstheme="minorBidi"/>
        </w:rPr>
        <w:t>The cause of the financial crisis at General Electronics is due to the falling profitability, bad liquidity, and inefficient working capital management. Among structural problems, heavy debt level, poor cost management and high dependency on credit-based sales can be identified. Tactically, the company was not able to suit dynamic consumer preferences and technology thus losing market shares. The distress further intensified with high operation cost, a waning margin and the inability to utilize its assets effectively, implying that there was an urgent need to reorganize and govern the finances strategically</w:t>
      </w:r>
      <w:r w:rsidR="00F21DA9" w:rsidRPr="00760296">
        <w:rPr>
          <w:rFonts w:asciiTheme="minorBidi" w:hAnsiTheme="minorBidi" w:cstheme="minorBidi"/>
        </w:rPr>
        <w:t xml:space="preserve"> (Lotto, 2019)</w:t>
      </w:r>
      <w:r w:rsidRPr="00760296">
        <w:rPr>
          <w:rFonts w:asciiTheme="minorBidi" w:hAnsiTheme="minorBidi" w:cstheme="minorBidi"/>
        </w:rPr>
        <w:t>.</w:t>
      </w:r>
    </w:p>
    <w:p w14:paraId="02A34B37" w14:textId="77777777" w:rsidR="006138C6" w:rsidRPr="00760296" w:rsidRDefault="00986478" w:rsidP="002D1B45">
      <w:pPr>
        <w:pStyle w:val="Heading2"/>
        <w:rPr>
          <w:rFonts w:asciiTheme="minorBidi" w:hAnsiTheme="minorBidi" w:cstheme="minorBidi"/>
        </w:rPr>
      </w:pPr>
      <w:bookmarkStart w:id="33" w:name="_Toc213194626"/>
      <w:r w:rsidRPr="00760296">
        <w:rPr>
          <w:rFonts w:asciiTheme="minorBidi" w:hAnsiTheme="minorBidi" w:cstheme="minorBidi"/>
        </w:rPr>
        <w:t>4</w:t>
      </w:r>
      <w:r w:rsidR="00EF72CD" w:rsidRPr="00760296">
        <w:rPr>
          <w:rFonts w:asciiTheme="minorBidi" w:hAnsiTheme="minorBidi" w:cstheme="minorBidi"/>
        </w:rPr>
        <w:t>.2 Financial Restructuring Alternatives.</w:t>
      </w:r>
      <w:bookmarkEnd w:id="33"/>
    </w:p>
    <w:p w14:paraId="4D892D02" w14:textId="77777777" w:rsidR="006138C6" w:rsidRPr="00760296" w:rsidRDefault="00EF72CD" w:rsidP="002D1B45">
      <w:pPr>
        <w:spacing w:before="240" w:after="240"/>
        <w:rPr>
          <w:rFonts w:asciiTheme="minorBidi" w:hAnsiTheme="minorBidi" w:cstheme="minorBidi"/>
          <w:b/>
          <w:bCs/>
          <w:i/>
          <w:iCs/>
        </w:rPr>
      </w:pPr>
      <w:r w:rsidRPr="00760296">
        <w:rPr>
          <w:rFonts w:asciiTheme="minorBidi" w:hAnsiTheme="minorBidi" w:cstheme="minorBidi"/>
          <w:b/>
          <w:bCs/>
          <w:i/>
          <w:iCs/>
        </w:rPr>
        <w:t>Divestiture:</w:t>
      </w:r>
    </w:p>
    <w:p w14:paraId="22909021" w14:textId="77777777" w:rsidR="006138C6" w:rsidRPr="00760296" w:rsidRDefault="00EF72CD" w:rsidP="002D1B45">
      <w:pPr>
        <w:spacing w:before="240" w:after="240"/>
        <w:rPr>
          <w:rFonts w:asciiTheme="minorBidi" w:hAnsiTheme="minorBidi" w:cstheme="minorBidi"/>
        </w:rPr>
      </w:pPr>
      <w:r w:rsidRPr="00760296">
        <w:rPr>
          <w:rFonts w:asciiTheme="minorBidi" w:hAnsiTheme="minorBidi" w:cstheme="minorBidi"/>
        </w:rPr>
        <w:lastRenderedPageBreak/>
        <w:t>Sale of non-core or under-performing divisions will help the General Electronics to uncommitted capital and concentrate on lucrative aspects. As an example, the operation of manufacturing facilities and product lines with low margins can be sold to maximize liquidity and cut operational expenses</w:t>
      </w:r>
      <w:r w:rsidR="00F21DA9" w:rsidRPr="00760296">
        <w:rPr>
          <w:rFonts w:asciiTheme="minorBidi" w:hAnsiTheme="minorBidi" w:cstheme="minorBidi"/>
        </w:rPr>
        <w:t xml:space="preserve"> (</w:t>
      </w:r>
      <w:proofErr w:type="spellStart"/>
      <w:r w:rsidR="00F21DA9" w:rsidRPr="00760296">
        <w:rPr>
          <w:rFonts w:asciiTheme="minorBidi" w:hAnsiTheme="minorBidi" w:cstheme="minorBidi"/>
        </w:rPr>
        <w:t>Moradlou</w:t>
      </w:r>
      <w:proofErr w:type="spellEnd"/>
      <w:r w:rsidR="00F21DA9" w:rsidRPr="00760296">
        <w:rPr>
          <w:rFonts w:asciiTheme="minorBidi" w:hAnsiTheme="minorBidi" w:cstheme="minorBidi"/>
        </w:rPr>
        <w:t xml:space="preserve"> et al., 2023)</w:t>
      </w:r>
      <w:r w:rsidRPr="00760296">
        <w:rPr>
          <w:rFonts w:asciiTheme="minorBidi" w:hAnsiTheme="minorBidi" w:cstheme="minorBidi"/>
        </w:rPr>
        <w:t>. Nonetheless, this strategy needs to be adopted carefully without exposing the organization to the risk of losing market share and other important assets that enhance long term competitiveness. Innovation and core business areas will be key areas of reinvestment of proceeds to sustain growth after the divestiture.</w:t>
      </w:r>
    </w:p>
    <w:p w14:paraId="1EF609C6" w14:textId="77777777" w:rsidR="006138C6" w:rsidRPr="00760296" w:rsidRDefault="00EF72CD" w:rsidP="002D1B45">
      <w:pPr>
        <w:spacing w:before="240" w:after="240"/>
        <w:rPr>
          <w:rFonts w:asciiTheme="minorBidi" w:hAnsiTheme="minorBidi" w:cstheme="minorBidi"/>
          <w:b/>
          <w:bCs/>
          <w:i/>
          <w:iCs/>
        </w:rPr>
      </w:pPr>
      <w:r w:rsidRPr="00760296">
        <w:rPr>
          <w:rFonts w:asciiTheme="minorBidi" w:hAnsiTheme="minorBidi" w:cstheme="minorBidi"/>
          <w:b/>
          <w:bCs/>
          <w:i/>
          <w:iCs/>
        </w:rPr>
        <w:t>Merger or Strategic alliance:</w:t>
      </w:r>
    </w:p>
    <w:p w14:paraId="5FE1A4DA" w14:textId="77777777" w:rsidR="006138C6" w:rsidRPr="00760296" w:rsidRDefault="00EF72CD" w:rsidP="002D1B45">
      <w:pPr>
        <w:spacing w:before="240" w:after="240"/>
        <w:rPr>
          <w:rFonts w:asciiTheme="minorBidi" w:hAnsiTheme="minorBidi" w:cstheme="minorBidi"/>
        </w:rPr>
      </w:pPr>
      <w:r w:rsidRPr="00760296">
        <w:rPr>
          <w:rFonts w:asciiTheme="minorBidi" w:hAnsiTheme="minorBidi" w:cstheme="minorBidi"/>
        </w:rPr>
        <w:t xml:space="preserve"> Making mergers or strategic alliances provides possibilities of sharing costs, gaining access to new technologies as well as conquering new markets</w:t>
      </w:r>
      <w:r w:rsidR="007B68F8" w:rsidRPr="00760296">
        <w:rPr>
          <w:rFonts w:asciiTheme="minorBidi" w:hAnsiTheme="minorBidi" w:cstheme="minorBidi"/>
        </w:rPr>
        <w:t xml:space="preserve"> (Hossain, 2021)</w:t>
      </w:r>
      <w:r w:rsidRPr="00760296">
        <w:rPr>
          <w:rFonts w:asciiTheme="minorBidi" w:hAnsiTheme="minorBidi" w:cstheme="minorBidi"/>
        </w:rPr>
        <w:t>. In the case of General electronics, an alliance with a technology</w:t>
      </w:r>
      <w:r w:rsidR="00986478" w:rsidRPr="00760296">
        <w:rPr>
          <w:rFonts w:asciiTheme="minorBidi" w:hAnsiTheme="minorBidi" w:cstheme="minorBidi"/>
        </w:rPr>
        <w:t>-</w:t>
      </w:r>
      <w:r w:rsidRPr="00760296">
        <w:rPr>
          <w:rFonts w:asciiTheme="minorBidi" w:hAnsiTheme="minorBidi" w:cstheme="minorBidi"/>
        </w:rPr>
        <w:t>oriented company can enhance the level of research and development as well as decrease the manufacturing expenses. Nonetheless, the problem of cultural integration and difficulties with common decision making can be a problem. This would be a feasible long</w:t>
      </w:r>
      <w:r w:rsidR="00986478" w:rsidRPr="00760296">
        <w:rPr>
          <w:rFonts w:asciiTheme="minorBidi" w:hAnsiTheme="minorBidi" w:cstheme="minorBidi"/>
        </w:rPr>
        <w:t>-</w:t>
      </w:r>
      <w:r w:rsidRPr="00760296">
        <w:rPr>
          <w:rFonts w:asciiTheme="minorBidi" w:hAnsiTheme="minorBidi" w:cstheme="minorBidi"/>
        </w:rPr>
        <w:t>term restructuring strategy as a well negotiated alliance may help the companies to position themselves well in the market and to increase their economies of scale.</w:t>
      </w:r>
    </w:p>
    <w:p w14:paraId="6E7E3AAD" w14:textId="77777777" w:rsidR="006138C6" w:rsidRPr="00760296" w:rsidRDefault="00EF72CD" w:rsidP="002D1B45">
      <w:pPr>
        <w:spacing w:before="240" w:after="240"/>
        <w:rPr>
          <w:rFonts w:asciiTheme="minorBidi" w:hAnsiTheme="minorBidi" w:cstheme="minorBidi"/>
          <w:b/>
          <w:bCs/>
          <w:i/>
          <w:iCs/>
        </w:rPr>
      </w:pPr>
      <w:r w:rsidRPr="00760296">
        <w:rPr>
          <w:rFonts w:asciiTheme="minorBidi" w:hAnsiTheme="minorBidi" w:cstheme="minorBidi"/>
          <w:b/>
          <w:bCs/>
          <w:i/>
          <w:iCs/>
        </w:rPr>
        <w:t>Equity Injection:</w:t>
      </w:r>
    </w:p>
    <w:p w14:paraId="7B9DE5DF" w14:textId="77777777" w:rsidR="006138C6" w:rsidRPr="00760296" w:rsidRDefault="00EF72CD" w:rsidP="002D1B45">
      <w:pPr>
        <w:spacing w:before="240" w:after="240"/>
        <w:rPr>
          <w:rFonts w:asciiTheme="minorBidi" w:hAnsiTheme="minorBidi" w:cstheme="minorBidi"/>
        </w:rPr>
      </w:pPr>
      <w:r w:rsidRPr="00760296">
        <w:rPr>
          <w:rFonts w:asciiTheme="minorBidi" w:hAnsiTheme="minorBidi" w:cstheme="minorBidi"/>
        </w:rPr>
        <w:t>Injections of equity by a rights issue or lure of new investors inject funds into the firm that do not occur as debt, and this enhances the solvency of the firm and decreases the gearing ratios. This plan would stabilize the balance sheet and aid projects that are innovative based. But the possible disadvantage is that it includes equity dilution and loss of control of the shareholders</w:t>
      </w:r>
      <w:r w:rsidR="007B68F8" w:rsidRPr="00760296">
        <w:rPr>
          <w:rFonts w:asciiTheme="minorBidi" w:hAnsiTheme="minorBidi" w:cstheme="minorBidi"/>
        </w:rPr>
        <w:t xml:space="preserve"> (Burkart and Zhong, 2022)</w:t>
      </w:r>
      <w:r w:rsidRPr="00760296">
        <w:rPr>
          <w:rFonts w:asciiTheme="minorBidi" w:hAnsiTheme="minorBidi" w:cstheme="minorBidi"/>
        </w:rPr>
        <w:t>. The effective equity plan would be highly trained such that minimum dilution and maximum capital inflow are obtained.</w:t>
      </w:r>
    </w:p>
    <w:p w14:paraId="738892EC" w14:textId="77777777" w:rsidR="006138C6" w:rsidRPr="00760296" w:rsidRDefault="00EF72CD" w:rsidP="002D1B45">
      <w:pPr>
        <w:spacing w:before="240" w:after="240"/>
        <w:rPr>
          <w:rFonts w:asciiTheme="minorBidi" w:hAnsiTheme="minorBidi" w:cstheme="minorBidi"/>
          <w:b/>
          <w:bCs/>
          <w:i/>
          <w:iCs/>
        </w:rPr>
      </w:pPr>
      <w:r w:rsidRPr="00760296">
        <w:rPr>
          <w:rFonts w:asciiTheme="minorBidi" w:hAnsiTheme="minorBidi" w:cstheme="minorBidi"/>
          <w:b/>
          <w:bCs/>
          <w:i/>
          <w:iCs/>
        </w:rPr>
        <w:t>Debt Restructuring:</w:t>
      </w:r>
    </w:p>
    <w:p w14:paraId="59794BC3" w14:textId="77777777" w:rsidR="006138C6" w:rsidRPr="00760296" w:rsidRDefault="00EF72CD" w:rsidP="002D1B45">
      <w:pPr>
        <w:spacing w:before="240" w:after="240"/>
        <w:rPr>
          <w:rFonts w:asciiTheme="minorBidi" w:hAnsiTheme="minorBidi" w:cstheme="minorBidi"/>
        </w:rPr>
      </w:pPr>
      <w:r w:rsidRPr="00760296">
        <w:rPr>
          <w:rFonts w:asciiTheme="minorBidi" w:hAnsiTheme="minorBidi" w:cstheme="minorBidi"/>
        </w:rPr>
        <w:t xml:space="preserve"> There is a substantial reduction in the financial pressure that can be achieved by renegotiating the current debt commitments, in terms of reduced interest rates, elongated maturity or conversion of the debts to equity. In the case of General Electronics, this strategy will be able to minimize the cash outflows in the short term, </w:t>
      </w:r>
      <w:r w:rsidRPr="00760296">
        <w:rPr>
          <w:rFonts w:asciiTheme="minorBidi" w:hAnsiTheme="minorBidi" w:cstheme="minorBidi"/>
        </w:rPr>
        <w:lastRenderedPageBreak/>
        <w:t>enhancing liquidity and operational fluidity. Nevertheless, overdependence on restructuring could have an impact on creditworthiness. A combination of renegotiations of debts as well as construction of strict payment can be effective in restoring the long</w:t>
      </w:r>
      <w:r w:rsidR="00986478" w:rsidRPr="00760296">
        <w:rPr>
          <w:rFonts w:asciiTheme="minorBidi" w:hAnsiTheme="minorBidi" w:cstheme="minorBidi"/>
        </w:rPr>
        <w:t>-</w:t>
      </w:r>
      <w:r w:rsidRPr="00760296">
        <w:rPr>
          <w:rFonts w:asciiTheme="minorBidi" w:hAnsiTheme="minorBidi" w:cstheme="minorBidi"/>
        </w:rPr>
        <w:t>term financial balance and investor confidence</w:t>
      </w:r>
      <w:r w:rsidR="007B68F8" w:rsidRPr="00760296">
        <w:rPr>
          <w:rFonts w:asciiTheme="minorBidi" w:hAnsiTheme="minorBidi" w:cstheme="minorBidi"/>
        </w:rPr>
        <w:t xml:space="preserve"> (Doh and Feng, 2024)</w:t>
      </w:r>
      <w:r w:rsidRPr="00760296">
        <w:rPr>
          <w:rFonts w:asciiTheme="minorBidi" w:hAnsiTheme="minorBidi" w:cstheme="minorBidi"/>
        </w:rPr>
        <w:t>.</w:t>
      </w:r>
    </w:p>
    <w:p w14:paraId="1D5C6490" w14:textId="77777777" w:rsidR="006138C6" w:rsidRPr="00760296" w:rsidRDefault="00EF72CD" w:rsidP="002D1B45">
      <w:pPr>
        <w:spacing w:before="240" w:after="240"/>
        <w:rPr>
          <w:rFonts w:asciiTheme="minorBidi" w:hAnsiTheme="minorBidi" w:cstheme="minorBidi"/>
        </w:rPr>
      </w:pPr>
      <w:r w:rsidRPr="00760296">
        <w:rPr>
          <w:rFonts w:asciiTheme="minorBidi" w:hAnsiTheme="minorBidi" w:cstheme="minorBidi"/>
        </w:rPr>
        <w:t>All in all, hybrid form of restructuring that involves debt optimization, selective divestiture, and strategic alliances are most appropriate when it comes to reviving General Electronics</w:t>
      </w:r>
    </w:p>
    <w:p w14:paraId="7C8AB14A" w14:textId="77777777" w:rsidR="006138C6" w:rsidRPr="00760296" w:rsidRDefault="00986478" w:rsidP="002D1B45">
      <w:pPr>
        <w:pStyle w:val="Heading2"/>
        <w:rPr>
          <w:rFonts w:asciiTheme="minorBidi" w:hAnsiTheme="minorBidi" w:cstheme="minorBidi"/>
        </w:rPr>
      </w:pPr>
      <w:bookmarkStart w:id="34" w:name="_d5m9zqel3c2p" w:colFirst="0" w:colLast="0"/>
      <w:bookmarkEnd w:id="34"/>
      <w:r w:rsidRPr="00760296">
        <w:rPr>
          <w:rFonts w:asciiTheme="minorBidi" w:hAnsiTheme="minorBidi" w:cstheme="minorBidi"/>
        </w:rPr>
        <w:t xml:space="preserve"> </w:t>
      </w:r>
      <w:bookmarkStart w:id="35" w:name="_Toc213194627"/>
      <w:r w:rsidRPr="00760296">
        <w:rPr>
          <w:rFonts w:asciiTheme="minorBidi" w:hAnsiTheme="minorBidi" w:cstheme="minorBidi"/>
        </w:rPr>
        <w:t>4</w:t>
      </w:r>
      <w:r w:rsidR="00EF72CD" w:rsidRPr="00760296">
        <w:rPr>
          <w:rFonts w:asciiTheme="minorBidi" w:hAnsiTheme="minorBidi" w:cstheme="minorBidi"/>
        </w:rPr>
        <w:t>.3 Impact Analysis</w:t>
      </w:r>
      <w:bookmarkEnd w:id="35"/>
    </w:p>
    <w:p w14:paraId="6FC060EF" w14:textId="77777777" w:rsidR="006138C6" w:rsidRPr="00760296" w:rsidRDefault="006138C6" w:rsidP="002D1B45">
      <w:pPr>
        <w:rPr>
          <w:rFonts w:asciiTheme="minorBidi" w:hAnsiTheme="minorBidi" w:cstheme="minorBidi"/>
        </w:rPr>
      </w:pPr>
    </w:p>
    <w:tbl>
      <w:tblPr>
        <w:tblStyle w:val="a3"/>
        <w:tblW w:w="8595"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shd w:val="clear" w:color="auto" w:fill="DDD9C3" w:themeFill="background2" w:themeFillShade="E6"/>
        <w:tblLayout w:type="fixed"/>
        <w:tblLook w:val="0600" w:firstRow="0" w:lastRow="0" w:firstColumn="0" w:lastColumn="0" w:noHBand="1" w:noVBand="1"/>
      </w:tblPr>
      <w:tblGrid>
        <w:gridCol w:w="1665"/>
        <w:gridCol w:w="2700"/>
        <w:gridCol w:w="2055"/>
        <w:gridCol w:w="2175"/>
      </w:tblGrid>
      <w:tr w:rsidR="006138C6" w:rsidRPr="00760296" w14:paraId="6212F2DF" w14:textId="77777777" w:rsidTr="00763175">
        <w:trPr>
          <w:trHeight w:val="1140"/>
        </w:trPr>
        <w:tc>
          <w:tcPr>
            <w:tcW w:w="1665" w:type="dxa"/>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20" w:type="dxa"/>
              <w:left w:w="20" w:type="dxa"/>
              <w:bottom w:w="20" w:type="dxa"/>
              <w:right w:w="20" w:type="dxa"/>
            </w:tcMar>
          </w:tcPr>
          <w:p w14:paraId="4253B72C" w14:textId="77777777" w:rsidR="006138C6" w:rsidRPr="00760296" w:rsidRDefault="00EF72CD" w:rsidP="002D1B45">
            <w:pPr>
              <w:spacing w:before="240"/>
              <w:jc w:val="center"/>
              <w:rPr>
                <w:rFonts w:asciiTheme="minorBidi" w:hAnsiTheme="minorBidi" w:cstheme="minorBidi"/>
                <w:b/>
              </w:rPr>
            </w:pPr>
            <w:r w:rsidRPr="00760296">
              <w:rPr>
                <w:rFonts w:asciiTheme="minorBidi" w:hAnsiTheme="minorBidi" w:cstheme="minorBidi"/>
                <w:b/>
              </w:rPr>
              <w:t>Proposed Measure</w:t>
            </w:r>
          </w:p>
        </w:tc>
        <w:tc>
          <w:tcPr>
            <w:tcW w:w="2700" w:type="dxa"/>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20" w:type="dxa"/>
              <w:left w:w="20" w:type="dxa"/>
              <w:bottom w:w="20" w:type="dxa"/>
              <w:right w:w="20" w:type="dxa"/>
            </w:tcMar>
          </w:tcPr>
          <w:p w14:paraId="20A6E0B0" w14:textId="77777777" w:rsidR="006138C6" w:rsidRPr="00760296" w:rsidRDefault="00EF72CD" w:rsidP="002D1B45">
            <w:pPr>
              <w:spacing w:before="240"/>
              <w:jc w:val="center"/>
              <w:rPr>
                <w:rFonts w:asciiTheme="minorBidi" w:hAnsiTheme="minorBidi" w:cstheme="minorBidi"/>
                <w:b/>
              </w:rPr>
            </w:pPr>
            <w:r w:rsidRPr="00760296">
              <w:rPr>
                <w:rFonts w:asciiTheme="minorBidi" w:hAnsiTheme="minorBidi" w:cstheme="minorBidi"/>
                <w:b/>
              </w:rPr>
              <w:t>Impact on Shareholder Value &amp; EPS</w:t>
            </w:r>
          </w:p>
        </w:tc>
        <w:tc>
          <w:tcPr>
            <w:tcW w:w="2055" w:type="dxa"/>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20" w:type="dxa"/>
              <w:left w:w="20" w:type="dxa"/>
              <w:bottom w:w="20" w:type="dxa"/>
              <w:right w:w="20" w:type="dxa"/>
            </w:tcMar>
          </w:tcPr>
          <w:p w14:paraId="3D068147" w14:textId="77777777" w:rsidR="006138C6" w:rsidRPr="00760296" w:rsidRDefault="00EF72CD" w:rsidP="002D1B45">
            <w:pPr>
              <w:spacing w:before="240"/>
              <w:jc w:val="center"/>
              <w:rPr>
                <w:rFonts w:asciiTheme="minorBidi" w:hAnsiTheme="minorBidi" w:cstheme="minorBidi"/>
                <w:b/>
              </w:rPr>
            </w:pPr>
            <w:r w:rsidRPr="00760296">
              <w:rPr>
                <w:rFonts w:asciiTheme="minorBidi" w:hAnsiTheme="minorBidi" w:cstheme="minorBidi"/>
                <w:b/>
              </w:rPr>
              <w:t>Impact on Debt Structure &amp; Cost of Capital</w:t>
            </w:r>
          </w:p>
        </w:tc>
        <w:tc>
          <w:tcPr>
            <w:tcW w:w="2175" w:type="dxa"/>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20" w:type="dxa"/>
              <w:left w:w="20" w:type="dxa"/>
              <w:bottom w:w="20" w:type="dxa"/>
              <w:right w:w="20" w:type="dxa"/>
            </w:tcMar>
          </w:tcPr>
          <w:p w14:paraId="3D9A4341" w14:textId="77777777" w:rsidR="006138C6" w:rsidRPr="00760296" w:rsidRDefault="00EF72CD" w:rsidP="002D1B45">
            <w:pPr>
              <w:spacing w:before="240"/>
              <w:jc w:val="center"/>
              <w:rPr>
                <w:rFonts w:asciiTheme="minorBidi" w:hAnsiTheme="minorBidi" w:cstheme="minorBidi"/>
                <w:b/>
              </w:rPr>
            </w:pPr>
            <w:r w:rsidRPr="00760296">
              <w:rPr>
                <w:rFonts w:asciiTheme="minorBidi" w:hAnsiTheme="minorBidi" w:cstheme="minorBidi"/>
                <w:b/>
              </w:rPr>
              <w:t>Impact on Operational Flexibility &amp; Long-Term Solvency</w:t>
            </w:r>
          </w:p>
        </w:tc>
      </w:tr>
      <w:tr w:rsidR="006138C6" w:rsidRPr="00760296" w14:paraId="466951E0" w14:textId="77777777" w:rsidTr="00763175">
        <w:trPr>
          <w:trHeight w:val="1680"/>
        </w:trPr>
        <w:tc>
          <w:tcPr>
            <w:tcW w:w="1665" w:type="dxa"/>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20" w:type="dxa"/>
              <w:left w:w="20" w:type="dxa"/>
              <w:bottom w:w="20" w:type="dxa"/>
              <w:right w:w="20" w:type="dxa"/>
            </w:tcMar>
          </w:tcPr>
          <w:p w14:paraId="0BFC4230"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Divestiture</w:t>
            </w:r>
          </w:p>
        </w:tc>
        <w:tc>
          <w:tcPr>
            <w:tcW w:w="2700" w:type="dxa"/>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20" w:type="dxa"/>
              <w:left w:w="20" w:type="dxa"/>
              <w:bottom w:w="20" w:type="dxa"/>
              <w:right w:w="20" w:type="dxa"/>
            </w:tcMar>
          </w:tcPr>
          <w:p w14:paraId="6783D180"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Improves shareholder value through efficient capital reallocation; short-term EPS may decline due to asset sales but long-term profitability rises</w:t>
            </w:r>
            <w:r w:rsidR="007B68F8" w:rsidRPr="00760296">
              <w:rPr>
                <w:rFonts w:asciiTheme="minorBidi" w:hAnsiTheme="minorBidi" w:cstheme="minorBidi"/>
              </w:rPr>
              <w:t xml:space="preserve"> (</w:t>
            </w:r>
            <w:proofErr w:type="spellStart"/>
            <w:r w:rsidR="007B68F8" w:rsidRPr="00760296">
              <w:rPr>
                <w:rFonts w:asciiTheme="minorBidi" w:hAnsiTheme="minorBidi" w:cstheme="minorBidi"/>
              </w:rPr>
              <w:t>Moradlou</w:t>
            </w:r>
            <w:proofErr w:type="spellEnd"/>
            <w:r w:rsidR="007B68F8" w:rsidRPr="00760296">
              <w:rPr>
                <w:rFonts w:asciiTheme="minorBidi" w:hAnsiTheme="minorBidi" w:cstheme="minorBidi"/>
              </w:rPr>
              <w:t xml:space="preserve"> et al., 2023)</w:t>
            </w:r>
            <w:r w:rsidRPr="00760296">
              <w:rPr>
                <w:rFonts w:asciiTheme="minorBidi" w:hAnsiTheme="minorBidi" w:cstheme="minorBidi"/>
              </w:rPr>
              <w:t>.</w:t>
            </w:r>
          </w:p>
        </w:tc>
        <w:tc>
          <w:tcPr>
            <w:tcW w:w="2055" w:type="dxa"/>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20" w:type="dxa"/>
              <w:left w:w="20" w:type="dxa"/>
              <w:bottom w:w="20" w:type="dxa"/>
              <w:right w:w="20" w:type="dxa"/>
            </w:tcMar>
          </w:tcPr>
          <w:p w14:paraId="4708FFD4"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Reduces leverage as proceeds can be used to repay debt, lowering cost of capital.</w:t>
            </w:r>
          </w:p>
        </w:tc>
        <w:tc>
          <w:tcPr>
            <w:tcW w:w="2175" w:type="dxa"/>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20" w:type="dxa"/>
              <w:left w:w="20" w:type="dxa"/>
              <w:bottom w:w="20" w:type="dxa"/>
              <w:right w:w="20" w:type="dxa"/>
            </w:tcMar>
          </w:tcPr>
          <w:p w14:paraId="3F4B4A2C"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Enhances flexibility by focusing on core business and improving liquidity position.</w:t>
            </w:r>
          </w:p>
        </w:tc>
      </w:tr>
      <w:tr w:rsidR="006138C6" w:rsidRPr="00760296" w14:paraId="1874B7C8" w14:textId="77777777" w:rsidTr="00763175">
        <w:trPr>
          <w:trHeight w:val="1680"/>
        </w:trPr>
        <w:tc>
          <w:tcPr>
            <w:tcW w:w="1665" w:type="dxa"/>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20" w:type="dxa"/>
              <w:left w:w="20" w:type="dxa"/>
              <w:bottom w:w="20" w:type="dxa"/>
              <w:right w:w="20" w:type="dxa"/>
            </w:tcMar>
          </w:tcPr>
          <w:p w14:paraId="5176DAB0"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Merger or Strategic Alliance</w:t>
            </w:r>
          </w:p>
        </w:tc>
        <w:tc>
          <w:tcPr>
            <w:tcW w:w="2700" w:type="dxa"/>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20" w:type="dxa"/>
              <w:left w:w="20" w:type="dxa"/>
              <w:bottom w:w="20" w:type="dxa"/>
              <w:right w:w="20" w:type="dxa"/>
            </w:tcMar>
          </w:tcPr>
          <w:p w14:paraId="57B06362"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Strengthens EPS through shared technology and market expansion, potentially increasing stock valuation.</w:t>
            </w:r>
          </w:p>
        </w:tc>
        <w:tc>
          <w:tcPr>
            <w:tcW w:w="2055" w:type="dxa"/>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20" w:type="dxa"/>
              <w:left w:w="20" w:type="dxa"/>
              <w:bottom w:w="20" w:type="dxa"/>
              <w:right w:w="20" w:type="dxa"/>
            </w:tcMar>
          </w:tcPr>
          <w:p w14:paraId="24E19174"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Moderate impact; shared resources can reduce funding needs and improve credit profile.</w:t>
            </w:r>
          </w:p>
        </w:tc>
        <w:tc>
          <w:tcPr>
            <w:tcW w:w="2175" w:type="dxa"/>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20" w:type="dxa"/>
              <w:left w:w="20" w:type="dxa"/>
              <w:bottom w:w="20" w:type="dxa"/>
              <w:right w:w="20" w:type="dxa"/>
            </w:tcMar>
          </w:tcPr>
          <w:p w14:paraId="7C95C35D"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Enhances operational resilience through synergy and innovation, improving long-term solvency</w:t>
            </w:r>
            <w:r w:rsidR="007B68F8" w:rsidRPr="00760296">
              <w:rPr>
                <w:rFonts w:asciiTheme="minorBidi" w:hAnsiTheme="minorBidi" w:cstheme="minorBidi"/>
              </w:rPr>
              <w:t xml:space="preserve"> (Hossain, 2021)</w:t>
            </w:r>
            <w:r w:rsidRPr="00760296">
              <w:rPr>
                <w:rFonts w:asciiTheme="minorBidi" w:hAnsiTheme="minorBidi" w:cstheme="minorBidi"/>
              </w:rPr>
              <w:t>.</w:t>
            </w:r>
          </w:p>
        </w:tc>
      </w:tr>
      <w:tr w:rsidR="006138C6" w:rsidRPr="00760296" w14:paraId="5778EB38" w14:textId="77777777" w:rsidTr="00763175">
        <w:trPr>
          <w:trHeight w:val="1410"/>
        </w:trPr>
        <w:tc>
          <w:tcPr>
            <w:tcW w:w="1665" w:type="dxa"/>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20" w:type="dxa"/>
              <w:left w:w="20" w:type="dxa"/>
              <w:bottom w:w="20" w:type="dxa"/>
              <w:right w:w="20" w:type="dxa"/>
            </w:tcMar>
          </w:tcPr>
          <w:p w14:paraId="50BB23D6"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lastRenderedPageBreak/>
              <w:t>Equity Injection</w:t>
            </w:r>
          </w:p>
        </w:tc>
        <w:tc>
          <w:tcPr>
            <w:tcW w:w="2700" w:type="dxa"/>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20" w:type="dxa"/>
              <w:left w:w="20" w:type="dxa"/>
              <w:bottom w:w="20" w:type="dxa"/>
              <w:right w:w="20" w:type="dxa"/>
            </w:tcMar>
          </w:tcPr>
          <w:p w14:paraId="365A9AB7"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Dilutes EPS temporarily but enhances overall shareholder confidence and firm stability.</w:t>
            </w:r>
          </w:p>
        </w:tc>
        <w:tc>
          <w:tcPr>
            <w:tcW w:w="2055" w:type="dxa"/>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20" w:type="dxa"/>
              <w:left w:w="20" w:type="dxa"/>
              <w:bottom w:w="20" w:type="dxa"/>
              <w:right w:w="20" w:type="dxa"/>
            </w:tcMar>
          </w:tcPr>
          <w:p w14:paraId="4CEE2D61"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Reduces debt dependency, improving gearing and lowering financial risk</w:t>
            </w:r>
            <w:r w:rsidR="007B68F8" w:rsidRPr="00760296">
              <w:rPr>
                <w:rFonts w:asciiTheme="minorBidi" w:hAnsiTheme="minorBidi" w:cstheme="minorBidi"/>
              </w:rPr>
              <w:t xml:space="preserve"> (Burkart and Zhong, 2022)</w:t>
            </w:r>
            <w:r w:rsidRPr="00760296">
              <w:rPr>
                <w:rFonts w:asciiTheme="minorBidi" w:hAnsiTheme="minorBidi" w:cstheme="minorBidi"/>
              </w:rPr>
              <w:t>.</w:t>
            </w:r>
          </w:p>
        </w:tc>
        <w:tc>
          <w:tcPr>
            <w:tcW w:w="2175" w:type="dxa"/>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20" w:type="dxa"/>
              <w:left w:w="20" w:type="dxa"/>
              <w:bottom w:w="20" w:type="dxa"/>
              <w:right w:w="20" w:type="dxa"/>
            </w:tcMar>
          </w:tcPr>
          <w:p w14:paraId="684FC657"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Improves solvency by increasing capital buffer and supporting growth initiatives.</w:t>
            </w:r>
          </w:p>
        </w:tc>
      </w:tr>
      <w:tr w:rsidR="006138C6" w:rsidRPr="00760296" w14:paraId="28EB7B5C" w14:textId="77777777" w:rsidTr="00763175">
        <w:trPr>
          <w:trHeight w:val="1410"/>
        </w:trPr>
        <w:tc>
          <w:tcPr>
            <w:tcW w:w="1665" w:type="dxa"/>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20" w:type="dxa"/>
              <w:left w:w="20" w:type="dxa"/>
              <w:bottom w:w="20" w:type="dxa"/>
              <w:right w:w="20" w:type="dxa"/>
            </w:tcMar>
          </w:tcPr>
          <w:p w14:paraId="54E4A799"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Debt Restructuring</w:t>
            </w:r>
          </w:p>
        </w:tc>
        <w:tc>
          <w:tcPr>
            <w:tcW w:w="2700" w:type="dxa"/>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20" w:type="dxa"/>
              <w:left w:w="20" w:type="dxa"/>
              <w:bottom w:w="20" w:type="dxa"/>
              <w:right w:w="20" w:type="dxa"/>
            </w:tcMar>
          </w:tcPr>
          <w:p w14:paraId="62FE73C5"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Stabilizes EPS by reducing interest burden and preserving profits.</w:t>
            </w:r>
          </w:p>
        </w:tc>
        <w:tc>
          <w:tcPr>
            <w:tcW w:w="2055" w:type="dxa"/>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20" w:type="dxa"/>
              <w:left w:w="20" w:type="dxa"/>
              <w:bottom w:w="20" w:type="dxa"/>
              <w:right w:w="20" w:type="dxa"/>
            </w:tcMar>
          </w:tcPr>
          <w:p w14:paraId="56AC2894"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Optimizes debt profile, lowering cost of capital via renegotiated terms.</w:t>
            </w:r>
          </w:p>
        </w:tc>
        <w:tc>
          <w:tcPr>
            <w:tcW w:w="2175" w:type="dxa"/>
            <w:tcBorders>
              <w:top w:val="single" w:sz="6" w:space="0" w:color="000000"/>
              <w:left w:val="single" w:sz="6" w:space="0" w:color="000000"/>
              <w:bottom w:val="single" w:sz="6" w:space="0" w:color="000000"/>
              <w:right w:val="single" w:sz="6" w:space="0" w:color="000000"/>
            </w:tcBorders>
            <w:shd w:val="clear" w:color="auto" w:fill="DDD9C3" w:themeFill="background2" w:themeFillShade="E6"/>
            <w:tcMar>
              <w:top w:w="20" w:type="dxa"/>
              <w:left w:w="20" w:type="dxa"/>
              <w:bottom w:w="20" w:type="dxa"/>
              <w:right w:w="20" w:type="dxa"/>
            </w:tcMar>
          </w:tcPr>
          <w:p w14:paraId="259D91B4"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Improves liquidity and ensures long-term solvency through reduced cash flow pressure.</w:t>
            </w:r>
          </w:p>
        </w:tc>
      </w:tr>
    </w:tbl>
    <w:p w14:paraId="6CE85182" w14:textId="77777777" w:rsidR="006138C6" w:rsidRPr="00760296" w:rsidRDefault="00EF72CD" w:rsidP="002D1B45">
      <w:pPr>
        <w:pStyle w:val="Heading2"/>
        <w:rPr>
          <w:rFonts w:asciiTheme="minorBidi" w:hAnsiTheme="minorBidi" w:cstheme="minorBidi"/>
        </w:rPr>
      </w:pPr>
      <w:r w:rsidRPr="00760296">
        <w:rPr>
          <w:rFonts w:asciiTheme="minorBidi" w:hAnsiTheme="minorBidi" w:cstheme="minorBidi"/>
        </w:rPr>
        <w:br/>
      </w:r>
      <w:bookmarkStart w:id="36" w:name="_Toc213194628"/>
      <w:r w:rsidR="00986478" w:rsidRPr="00760296">
        <w:rPr>
          <w:rFonts w:asciiTheme="minorBidi" w:hAnsiTheme="minorBidi" w:cstheme="minorBidi"/>
        </w:rPr>
        <w:t>4</w:t>
      </w:r>
      <w:r w:rsidRPr="00760296">
        <w:rPr>
          <w:rFonts w:asciiTheme="minorBidi" w:hAnsiTheme="minorBidi" w:cstheme="minorBidi"/>
        </w:rPr>
        <w:t>.4 International and Ethical Considerations</w:t>
      </w:r>
      <w:bookmarkEnd w:id="36"/>
    </w:p>
    <w:p w14:paraId="278BE74F" w14:textId="77777777" w:rsidR="006138C6" w:rsidRPr="00760296" w:rsidRDefault="00EF72CD" w:rsidP="002D1B45">
      <w:pPr>
        <w:rPr>
          <w:rFonts w:asciiTheme="minorBidi" w:hAnsiTheme="minorBidi" w:cstheme="minorBidi"/>
        </w:rPr>
      </w:pPr>
      <w:r w:rsidRPr="00760296">
        <w:rPr>
          <w:rFonts w:asciiTheme="minorBidi" w:hAnsiTheme="minorBidi" w:cstheme="minorBidi"/>
        </w:rPr>
        <w:t>The restructuring of General Electronics in international markets is streamed with a number of financial, regulatory, and ethical complexities. The risk of currency and exchange rate is also very tough since the earnings repatriated by the company, the servicing of debt and the profit margin can also be affected when the U.S. dollar and other major currencies are volatile. These risks can be reduced by sound application of hedging instruments and multi-currency cash flow management.</w:t>
      </w:r>
    </w:p>
    <w:p w14:paraId="3D357793" w14:textId="77777777" w:rsidR="006138C6" w:rsidRPr="00760296" w:rsidRDefault="00EF72CD" w:rsidP="002D1B45">
      <w:pPr>
        <w:rPr>
          <w:rFonts w:asciiTheme="minorBidi" w:hAnsiTheme="minorBidi" w:cstheme="minorBidi"/>
        </w:rPr>
      </w:pPr>
      <w:r w:rsidRPr="00760296">
        <w:rPr>
          <w:rFonts w:asciiTheme="minorBidi" w:hAnsiTheme="minorBidi" w:cstheme="minorBidi"/>
        </w:rPr>
        <w:t xml:space="preserve">The compliance cost on taxation and regulation differs jurisdiction to jurisdiction and there is a need to be accommodating on compliance to avoid cases of breach of international law and occurrence of tax violation. This may result in financial fines and negative attention in case of mismanagement or tax evasion. On the same note, inflation impacts on the valuation of assets have to be </w:t>
      </w:r>
      <w:r w:rsidR="00A436EF" w:rsidRPr="00760296">
        <w:rPr>
          <w:rFonts w:asciiTheme="minorBidi" w:hAnsiTheme="minorBidi" w:cstheme="minorBidi"/>
        </w:rPr>
        <w:t>considered</w:t>
      </w:r>
      <w:r w:rsidRPr="00760296">
        <w:rPr>
          <w:rFonts w:asciiTheme="minorBidi" w:hAnsiTheme="minorBidi" w:cstheme="minorBidi"/>
        </w:rPr>
        <w:t xml:space="preserve"> especially in the emerging markets where when inflation is high, it can distort value of assets and depreciation thus affecting the reported profitability and capital adequacy.</w:t>
      </w:r>
    </w:p>
    <w:p w14:paraId="47390CE2" w14:textId="77777777" w:rsidR="006138C6" w:rsidRPr="00760296" w:rsidRDefault="00EF72CD" w:rsidP="002D1B45">
      <w:pPr>
        <w:rPr>
          <w:rFonts w:asciiTheme="minorBidi" w:hAnsiTheme="minorBidi" w:cstheme="minorBidi"/>
        </w:rPr>
      </w:pPr>
      <w:r w:rsidRPr="00760296">
        <w:rPr>
          <w:rFonts w:asciiTheme="minorBidi" w:hAnsiTheme="minorBidi" w:cstheme="minorBidi"/>
        </w:rPr>
        <w:t xml:space="preserve">Ethically and CSR wise the decisions made in financing should focus on transparency, fair </w:t>
      </w:r>
      <w:proofErr w:type="spellStart"/>
      <w:r w:rsidRPr="00760296">
        <w:rPr>
          <w:rFonts w:asciiTheme="minorBidi" w:hAnsiTheme="minorBidi" w:cstheme="minorBidi"/>
        </w:rPr>
        <w:t>labor</w:t>
      </w:r>
      <w:proofErr w:type="spellEnd"/>
      <w:r w:rsidRPr="00760296">
        <w:rPr>
          <w:rFonts w:asciiTheme="minorBidi" w:hAnsiTheme="minorBidi" w:cstheme="minorBidi"/>
        </w:rPr>
        <w:t xml:space="preserve"> and environmental responsibility. Unethical cost reduction or tax avoidance should not be resorted to as it would damage trust by the stakeholders. However, corporate integrity is supported through sustainable financing schemes like green </w:t>
      </w:r>
      <w:r w:rsidRPr="00760296">
        <w:rPr>
          <w:rFonts w:asciiTheme="minorBidi" w:hAnsiTheme="minorBidi" w:cstheme="minorBidi"/>
        </w:rPr>
        <w:lastRenderedPageBreak/>
        <w:t>bonds or ethical investment alliances. Through ethical governance, general electronics will be able to restore confidence of investors across the world as well as ensuring that financial restructuring is performed in line with responsible business practices and long</w:t>
      </w:r>
      <w:r w:rsidR="00986478" w:rsidRPr="00760296">
        <w:rPr>
          <w:rFonts w:asciiTheme="minorBidi" w:hAnsiTheme="minorBidi" w:cstheme="minorBidi"/>
        </w:rPr>
        <w:t>-</w:t>
      </w:r>
      <w:r w:rsidRPr="00760296">
        <w:rPr>
          <w:rFonts w:asciiTheme="minorBidi" w:hAnsiTheme="minorBidi" w:cstheme="minorBidi"/>
        </w:rPr>
        <w:t>term value generation.</w:t>
      </w:r>
    </w:p>
    <w:p w14:paraId="72B002B4" w14:textId="77777777" w:rsidR="006138C6" w:rsidRPr="00760296" w:rsidRDefault="00986478" w:rsidP="002D1B45">
      <w:pPr>
        <w:pStyle w:val="Heading2"/>
        <w:rPr>
          <w:rFonts w:asciiTheme="minorBidi" w:hAnsiTheme="minorBidi" w:cstheme="minorBidi"/>
        </w:rPr>
      </w:pPr>
      <w:bookmarkStart w:id="37" w:name="_4ye7vqc4bq69" w:colFirst="0" w:colLast="0"/>
      <w:bookmarkStart w:id="38" w:name="_Toc213194629"/>
      <w:bookmarkEnd w:id="37"/>
      <w:r w:rsidRPr="00760296">
        <w:rPr>
          <w:rFonts w:asciiTheme="minorBidi" w:hAnsiTheme="minorBidi" w:cstheme="minorBidi"/>
        </w:rPr>
        <w:t>4</w:t>
      </w:r>
      <w:r w:rsidR="00EF72CD" w:rsidRPr="00760296">
        <w:rPr>
          <w:rFonts w:asciiTheme="minorBidi" w:hAnsiTheme="minorBidi" w:cstheme="minorBidi"/>
        </w:rPr>
        <w:t>.5 Recommended Restructuring Strategy</w:t>
      </w:r>
      <w:bookmarkEnd w:id="38"/>
    </w:p>
    <w:tbl>
      <w:tblPr>
        <w:tblStyle w:val="a4"/>
        <w:tblW w:w="8580" w:type="dxa"/>
        <w:tblInd w:w="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shd w:val="clear" w:color="auto" w:fill="F2DBDB" w:themeFill="accent2" w:themeFillTint="33"/>
        <w:tblLayout w:type="fixed"/>
        <w:tblLook w:val="0600" w:firstRow="0" w:lastRow="0" w:firstColumn="0" w:lastColumn="0" w:noHBand="1" w:noVBand="1"/>
      </w:tblPr>
      <w:tblGrid>
        <w:gridCol w:w="1800"/>
        <w:gridCol w:w="2385"/>
        <w:gridCol w:w="2130"/>
        <w:gridCol w:w="2265"/>
      </w:tblGrid>
      <w:tr w:rsidR="006138C6" w:rsidRPr="00760296" w14:paraId="0BF14AA4" w14:textId="77777777" w:rsidTr="00763175">
        <w:trPr>
          <w:trHeight w:val="600"/>
        </w:trPr>
        <w:tc>
          <w:tcPr>
            <w:tcW w:w="1800"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6564B3F7" w14:textId="77777777" w:rsidR="006138C6" w:rsidRPr="00760296" w:rsidRDefault="00EF72CD" w:rsidP="002D1B45">
            <w:pPr>
              <w:spacing w:before="240"/>
              <w:jc w:val="center"/>
              <w:rPr>
                <w:rFonts w:asciiTheme="minorBidi" w:hAnsiTheme="minorBidi" w:cstheme="minorBidi"/>
                <w:b/>
              </w:rPr>
            </w:pPr>
            <w:r w:rsidRPr="00760296">
              <w:rPr>
                <w:rFonts w:asciiTheme="minorBidi" w:hAnsiTheme="minorBidi" w:cstheme="minorBidi"/>
                <w:b/>
              </w:rPr>
              <w:t>Restructuring Element</w:t>
            </w:r>
          </w:p>
        </w:tc>
        <w:tc>
          <w:tcPr>
            <w:tcW w:w="2385"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6358FF3E" w14:textId="77777777" w:rsidR="006138C6" w:rsidRPr="00760296" w:rsidRDefault="00EF72CD" w:rsidP="002D1B45">
            <w:pPr>
              <w:spacing w:before="240"/>
              <w:jc w:val="center"/>
              <w:rPr>
                <w:rFonts w:asciiTheme="minorBidi" w:hAnsiTheme="minorBidi" w:cstheme="minorBidi"/>
                <w:b/>
              </w:rPr>
            </w:pPr>
            <w:r w:rsidRPr="00760296">
              <w:rPr>
                <w:rFonts w:asciiTheme="minorBidi" w:hAnsiTheme="minorBidi" w:cstheme="minorBidi"/>
                <w:b/>
              </w:rPr>
              <w:t>Proposed Action</w:t>
            </w:r>
          </w:p>
        </w:tc>
        <w:tc>
          <w:tcPr>
            <w:tcW w:w="2130"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6844D8AB" w14:textId="77777777" w:rsidR="006138C6" w:rsidRPr="00760296" w:rsidRDefault="00EF72CD" w:rsidP="002D1B45">
            <w:pPr>
              <w:spacing w:before="240"/>
              <w:jc w:val="center"/>
              <w:rPr>
                <w:rFonts w:asciiTheme="minorBidi" w:hAnsiTheme="minorBidi" w:cstheme="minorBidi"/>
                <w:b/>
              </w:rPr>
            </w:pPr>
            <w:r w:rsidRPr="00760296">
              <w:rPr>
                <w:rFonts w:asciiTheme="minorBidi" w:hAnsiTheme="minorBidi" w:cstheme="minorBidi"/>
                <w:b/>
              </w:rPr>
              <w:t>Rationale</w:t>
            </w:r>
          </w:p>
        </w:tc>
        <w:tc>
          <w:tcPr>
            <w:tcW w:w="2265"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34390E95" w14:textId="77777777" w:rsidR="006138C6" w:rsidRPr="00760296" w:rsidRDefault="00EF72CD" w:rsidP="002D1B45">
            <w:pPr>
              <w:spacing w:before="240"/>
              <w:jc w:val="center"/>
              <w:rPr>
                <w:rFonts w:asciiTheme="minorBidi" w:hAnsiTheme="minorBidi" w:cstheme="minorBidi"/>
                <w:b/>
              </w:rPr>
            </w:pPr>
            <w:r w:rsidRPr="00760296">
              <w:rPr>
                <w:rFonts w:asciiTheme="minorBidi" w:hAnsiTheme="minorBidi" w:cstheme="minorBidi"/>
                <w:b/>
              </w:rPr>
              <w:t>Expected Outcome</w:t>
            </w:r>
          </w:p>
        </w:tc>
      </w:tr>
      <w:tr w:rsidR="006138C6" w:rsidRPr="00760296" w14:paraId="6FBF4445" w14:textId="77777777" w:rsidTr="00763175">
        <w:trPr>
          <w:trHeight w:val="1410"/>
        </w:trPr>
        <w:tc>
          <w:tcPr>
            <w:tcW w:w="1800"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42C92741"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Partial Divestiture</w:t>
            </w:r>
          </w:p>
        </w:tc>
        <w:tc>
          <w:tcPr>
            <w:tcW w:w="2385"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39F3D2DD"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Sell underperforming or non-core business units to generate liquidity.</w:t>
            </w:r>
          </w:p>
        </w:tc>
        <w:tc>
          <w:tcPr>
            <w:tcW w:w="2130"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59ED317D"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Focus on core profitable segments such as renewable electronics and smart devices.</w:t>
            </w:r>
          </w:p>
        </w:tc>
        <w:tc>
          <w:tcPr>
            <w:tcW w:w="2265"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7B907401"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Improves cash reserves, reduces fixed costs, and enhances return on assets.</w:t>
            </w:r>
          </w:p>
        </w:tc>
      </w:tr>
      <w:tr w:rsidR="006138C6" w:rsidRPr="00760296" w14:paraId="1423ACAD" w14:textId="77777777" w:rsidTr="00763175">
        <w:trPr>
          <w:trHeight w:val="1140"/>
        </w:trPr>
        <w:tc>
          <w:tcPr>
            <w:tcW w:w="1800"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17AAF94A"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Debt Rescheduling</w:t>
            </w:r>
          </w:p>
        </w:tc>
        <w:tc>
          <w:tcPr>
            <w:tcW w:w="2385"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152A46DB"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Negotiate with lenders for extended repayment periods and lower interest rates.</w:t>
            </w:r>
          </w:p>
        </w:tc>
        <w:tc>
          <w:tcPr>
            <w:tcW w:w="2130"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11ECF12A"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Reduces short-term debt burden and financial stress.</w:t>
            </w:r>
          </w:p>
        </w:tc>
        <w:tc>
          <w:tcPr>
            <w:tcW w:w="2265"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49EC952D"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Enhances solvency ratio and liquidity position.</w:t>
            </w:r>
          </w:p>
        </w:tc>
      </w:tr>
      <w:tr w:rsidR="006138C6" w:rsidRPr="00760296" w14:paraId="12580112" w14:textId="77777777" w:rsidTr="00763175">
        <w:trPr>
          <w:trHeight w:val="1140"/>
        </w:trPr>
        <w:tc>
          <w:tcPr>
            <w:tcW w:w="1800"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37A42DB5"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Selective Equity Injection</w:t>
            </w:r>
          </w:p>
        </w:tc>
        <w:tc>
          <w:tcPr>
            <w:tcW w:w="2385"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307A4FD2"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Issue new shares or attract ethical investors for capital infusion.</w:t>
            </w:r>
          </w:p>
        </w:tc>
        <w:tc>
          <w:tcPr>
            <w:tcW w:w="2130"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5F5507AD"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Strengthens equity base while minimizing excessive leverage.</w:t>
            </w:r>
          </w:p>
        </w:tc>
        <w:tc>
          <w:tcPr>
            <w:tcW w:w="2265"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5C145043"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Improves capital structure and investor confidence.</w:t>
            </w:r>
          </w:p>
        </w:tc>
      </w:tr>
      <w:tr w:rsidR="006138C6" w:rsidRPr="00760296" w14:paraId="3A13BF80" w14:textId="77777777" w:rsidTr="00763175">
        <w:trPr>
          <w:trHeight w:val="1140"/>
        </w:trPr>
        <w:tc>
          <w:tcPr>
            <w:tcW w:w="1800"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552DC423"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Strategic Alliances</w:t>
            </w:r>
          </w:p>
        </w:tc>
        <w:tc>
          <w:tcPr>
            <w:tcW w:w="2385"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57CA602F"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Form partnerships with global technology firms for R&amp;D and cost-sharing.</w:t>
            </w:r>
          </w:p>
        </w:tc>
        <w:tc>
          <w:tcPr>
            <w:tcW w:w="2130"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09D8D361"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Leverages innovation and reduces operational risks.</w:t>
            </w:r>
          </w:p>
        </w:tc>
        <w:tc>
          <w:tcPr>
            <w:tcW w:w="2265"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5E31DDB8"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t>Boosts global competitiveness and technological edge.</w:t>
            </w:r>
          </w:p>
        </w:tc>
      </w:tr>
      <w:tr w:rsidR="006138C6" w:rsidRPr="00760296" w14:paraId="134DE8C4" w14:textId="77777777" w:rsidTr="00763175">
        <w:trPr>
          <w:trHeight w:val="1140"/>
        </w:trPr>
        <w:tc>
          <w:tcPr>
            <w:tcW w:w="1800"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22A65B4E" w14:textId="77777777" w:rsidR="006138C6" w:rsidRPr="00760296" w:rsidRDefault="00EF72CD" w:rsidP="002D1B45">
            <w:pPr>
              <w:spacing w:before="240"/>
              <w:rPr>
                <w:rFonts w:asciiTheme="minorBidi" w:hAnsiTheme="minorBidi" w:cstheme="minorBidi"/>
                <w:b/>
              </w:rPr>
            </w:pPr>
            <w:r w:rsidRPr="00760296">
              <w:rPr>
                <w:rFonts w:asciiTheme="minorBidi" w:hAnsiTheme="minorBidi" w:cstheme="minorBidi"/>
                <w:b/>
              </w:rPr>
              <w:t xml:space="preserve">Ethical Financing and </w:t>
            </w:r>
            <w:r w:rsidRPr="00760296">
              <w:rPr>
                <w:rFonts w:asciiTheme="minorBidi" w:hAnsiTheme="minorBidi" w:cstheme="minorBidi"/>
                <w:b/>
              </w:rPr>
              <w:lastRenderedPageBreak/>
              <w:t>CSR Integration</w:t>
            </w:r>
          </w:p>
        </w:tc>
        <w:tc>
          <w:tcPr>
            <w:tcW w:w="2385"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630995F4"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lastRenderedPageBreak/>
              <w:t xml:space="preserve">Adopt green financing instruments and </w:t>
            </w:r>
            <w:r w:rsidRPr="00760296">
              <w:rPr>
                <w:rFonts w:asciiTheme="minorBidi" w:hAnsiTheme="minorBidi" w:cstheme="minorBidi"/>
              </w:rPr>
              <w:lastRenderedPageBreak/>
              <w:t>ensure fair governance in restructuring.</w:t>
            </w:r>
          </w:p>
        </w:tc>
        <w:tc>
          <w:tcPr>
            <w:tcW w:w="2130"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01CA8A96"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lastRenderedPageBreak/>
              <w:t xml:space="preserve">Aligns strategy with sustainability and </w:t>
            </w:r>
            <w:r w:rsidRPr="00760296">
              <w:rPr>
                <w:rFonts w:asciiTheme="minorBidi" w:hAnsiTheme="minorBidi" w:cstheme="minorBidi"/>
              </w:rPr>
              <w:lastRenderedPageBreak/>
              <w:t>stakeholder expectations</w:t>
            </w:r>
            <w:r w:rsidR="007B68F8" w:rsidRPr="00760296">
              <w:rPr>
                <w:rFonts w:asciiTheme="minorBidi" w:hAnsiTheme="minorBidi" w:cstheme="minorBidi"/>
              </w:rPr>
              <w:t xml:space="preserve"> (Doh and Feng, 2024)</w:t>
            </w:r>
            <w:r w:rsidRPr="00760296">
              <w:rPr>
                <w:rFonts w:asciiTheme="minorBidi" w:hAnsiTheme="minorBidi" w:cstheme="minorBidi"/>
              </w:rPr>
              <w:t>.</w:t>
            </w:r>
          </w:p>
        </w:tc>
        <w:tc>
          <w:tcPr>
            <w:tcW w:w="2265" w:type="dxa"/>
            <w:tcBorders>
              <w:top w:val="single" w:sz="6" w:space="0" w:color="000000"/>
              <w:left w:val="single" w:sz="6" w:space="0" w:color="000000"/>
              <w:bottom w:val="single" w:sz="6" w:space="0" w:color="000000"/>
              <w:right w:val="single" w:sz="6" w:space="0" w:color="000000"/>
            </w:tcBorders>
            <w:shd w:val="clear" w:color="auto" w:fill="F2DBDB" w:themeFill="accent2" w:themeFillTint="33"/>
            <w:tcMar>
              <w:top w:w="20" w:type="dxa"/>
              <w:left w:w="20" w:type="dxa"/>
              <w:bottom w:w="20" w:type="dxa"/>
              <w:right w:w="20" w:type="dxa"/>
            </w:tcMar>
          </w:tcPr>
          <w:p w14:paraId="523340E8" w14:textId="77777777" w:rsidR="006138C6" w:rsidRPr="00760296" w:rsidRDefault="00EF72CD" w:rsidP="002D1B45">
            <w:pPr>
              <w:spacing w:before="240"/>
              <w:rPr>
                <w:rFonts w:asciiTheme="minorBidi" w:hAnsiTheme="minorBidi" w:cstheme="minorBidi"/>
              </w:rPr>
            </w:pPr>
            <w:r w:rsidRPr="00760296">
              <w:rPr>
                <w:rFonts w:asciiTheme="minorBidi" w:hAnsiTheme="minorBidi" w:cstheme="minorBidi"/>
              </w:rPr>
              <w:lastRenderedPageBreak/>
              <w:t xml:space="preserve">Builds brand reputation, long-term </w:t>
            </w:r>
            <w:r w:rsidRPr="00760296">
              <w:rPr>
                <w:rFonts w:asciiTheme="minorBidi" w:hAnsiTheme="minorBidi" w:cstheme="minorBidi"/>
              </w:rPr>
              <w:lastRenderedPageBreak/>
              <w:t>trust, and global scalability.</w:t>
            </w:r>
          </w:p>
        </w:tc>
      </w:tr>
    </w:tbl>
    <w:p w14:paraId="2EE76193" w14:textId="77777777" w:rsidR="006138C6" w:rsidRPr="00760296" w:rsidRDefault="00986478" w:rsidP="002D1B45">
      <w:pPr>
        <w:pStyle w:val="Heading1"/>
        <w:rPr>
          <w:rFonts w:asciiTheme="minorBidi" w:hAnsiTheme="minorBidi" w:cstheme="minorBidi"/>
        </w:rPr>
      </w:pPr>
      <w:bookmarkStart w:id="39" w:name="_5tslovf7hudx" w:colFirst="0" w:colLast="0"/>
      <w:bookmarkStart w:id="40" w:name="_Toc213194630"/>
      <w:bookmarkEnd w:id="39"/>
      <w:r w:rsidRPr="00760296">
        <w:rPr>
          <w:rFonts w:asciiTheme="minorBidi" w:eastAsia="Gungsuh" w:hAnsiTheme="minorBidi" w:cstheme="minorBidi"/>
        </w:rPr>
        <w:lastRenderedPageBreak/>
        <w:t>5</w:t>
      </w:r>
      <w:r w:rsidR="00EF72CD" w:rsidRPr="00760296">
        <w:rPr>
          <w:rFonts w:asciiTheme="minorBidi" w:eastAsia="Gungsuh" w:hAnsiTheme="minorBidi" w:cstheme="minorBidi"/>
        </w:rPr>
        <w:t>. Investment Appraisal and Capital Budgeting</w:t>
      </w:r>
      <w:bookmarkEnd w:id="40"/>
      <w:r w:rsidR="00EF72CD" w:rsidRPr="00760296">
        <w:rPr>
          <w:rFonts w:asciiTheme="minorBidi" w:eastAsia="Gungsuh" w:hAnsiTheme="minorBidi" w:cstheme="minorBidi"/>
        </w:rPr>
        <w:t xml:space="preserve"> </w:t>
      </w:r>
    </w:p>
    <w:p w14:paraId="7D970AFB" w14:textId="77777777" w:rsidR="006138C6" w:rsidRPr="00760296" w:rsidRDefault="00986478" w:rsidP="002D1B45">
      <w:pPr>
        <w:pStyle w:val="Heading2"/>
        <w:rPr>
          <w:rFonts w:asciiTheme="minorBidi" w:hAnsiTheme="minorBidi" w:cstheme="minorBidi"/>
        </w:rPr>
      </w:pPr>
      <w:bookmarkStart w:id="41" w:name="_jwtxdlnki1f7" w:colFirst="0" w:colLast="0"/>
      <w:bookmarkStart w:id="42" w:name="_Toc213194631"/>
      <w:bookmarkEnd w:id="41"/>
      <w:r w:rsidRPr="00760296">
        <w:rPr>
          <w:rFonts w:asciiTheme="minorBidi" w:hAnsiTheme="minorBidi" w:cstheme="minorBidi"/>
        </w:rPr>
        <w:t>5</w:t>
      </w:r>
      <w:r w:rsidR="00EF72CD" w:rsidRPr="00760296">
        <w:rPr>
          <w:rFonts w:asciiTheme="minorBidi" w:hAnsiTheme="minorBidi" w:cstheme="minorBidi"/>
        </w:rPr>
        <w:t>.1 Overview of Investment Decision</w:t>
      </w:r>
      <w:bookmarkEnd w:id="42"/>
    </w:p>
    <w:p w14:paraId="268D436F" w14:textId="77777777" w:rsidR="006138C6" w:rsidRPr="00760296" w:rsidRDefault="00EF72CD" w:rsidP="002D1B45">
      <w:pPr>
        <w:rPr>
          <w:rFonts w:asciiTheme="minorBidi" w:hAnsiTheme="minorBidi" w:cstheme="minorBidi"/>
        </w:rPr>
      </w:pPr>
      <w:r w:rsidRPr="00760296">
        <w:rPr>
          <w:rFonts w:asciiTheme="minorBidi" w:hAnsiTheme="minorBidi" w:cstheme="minorBidi"/>
        </w:rPr>
        <w:t xml:space="preserve">Correct selection of investment projects will play a vital role in salvaging and sustainable </w:t>
      </w:r>
      <w:r w:rsidR="00986478" w:rsidRPr="00760296">
        <w:rPr>
          <w:rFonts w:asciiTheme="minorBidi" w:hAnsiTheme="minorBidi" w:cstheme="minorBidi"/>
        </w:rPr>
        <w:t>long-term</w:t>
      </w:r>
      <w:r w:rsidRPr="00760296">
        <w:rPr>
          <w:rFonts w:asciiTheme="minorBidi" w:hAnsiTheme="minorBidi" w:cstheme="minorBidi"/>
        </w:rPr>
        <w:t xml:space="preserve"> survival of General Electronics. The investments could be used as a competitive advantage making the operation more effective and shareholders with more value. The low financial resources have resulted in the company having a capital ratio of 60 million. Accordingly, Net Present Value (NPV), Internal rate of Return (IRR), and Payback Period have been deemed to have been the most important financial aspects that have made it possible to assess the projects to permit optimal capital allocation, and the capacity to grow in a sustainable way</w:t>
      </w:r>
      <w:r w:rsidR="007B68F8" w:rsidRPr="00760296">
        <w:rPr>
          <w:rFonts w:asciiTheme="minorBidi" w:hAnsiTheme="minorBidi" w:cstheme="minorBidi"/>
        </w:rPr>
        <w:t xml:space="preserve"> (</w:t>
      </w:r>
      <w:proofErr w:type="spellStart"/>
      <w:r w:rsidR="007B68F8" w:rsidRPr="00760296">
        <w:rPr>
          <w:rFonts w:asciiTheme="minorBidi" w:hAnsiTheme="minorBidi" w:cstheme="minorBidi"/>
        </w:rPr>
        <w:t>Almansour</w:t>
      </w:r>
      <w:proofErr w:type="spellEnd"/>
      <w:r w:rsidR="007B68F8" w:rsidRPr="00760296">
        <w:rPr>
          <w:rFonts w:asciiTheme="minorBidi" w:hAnsiTheme="minorBidi" w:cstheme="minorBidi"/>
        </w:rPr>
        <w:t xml:space="preserve">, </w:t>
      </w:r>
      <w:proofErr w:type="spellStart"/>
      <w:r w:rsidR="007B68F8" w:rsidRPr="00760296">
        <w:rPr>
          <w:rFonts w:asciiTheme="minorBidi" w:hAnsiTheme="minorBidi" w:cstheme="minorBidi"/>
        </w:rPr>
        <w:t>Elkrghli</w:t>
      </w:r>
      <w:proofErr w:type="spellEnd"/>
      <w:r w:rsidR="007B68F8" w:rsidRPr="00760296">
        <w:rPr>
          <w:rFonts w:asciiTheme="minorBidi" w:hAnsiTheme="minorBidi" w:cstheme="minorBidi"/>
        </w:rPr>
        <w:t xml:space="preserve"> and </w:t>
      </w:r>
      <w:proofErr w:type="spellStart"/>
      <w:r w:rsidR="007B68F8" w:rsidRPr="00760296">
        <w:rPr>
          <w:rFonts w:asciiTheme="minorBidi" w:hAnsiTheme="minorBidi" w:cstheme="minorBidi"/>
        </w:rPr>
        <w:t>Almansour</w:t>
      </w:r>
      <w:proofErr w:type="spellEnd"/>
      <w:r w:rsidR="007B68F8" w:rsidRPr="00760296">
        <w:rPr>
          <w:rFonts w:asciiTheme="minorBidi" w:hAnsiTheme="minorBidi" w:cstheme="minorBidi"/>
        </w:rPr>
        <w:t>, 2023)</w:t>
      </w:r>
      <w:r w:rsidRPr="00760296">
        <w:rPr>
          <w:rFonts w:asciiTheme="minorBidi" w:hAnsiTheme="minorBidi" w:cstheme="minorBidi"/>
        </w:rPr>
        <w:t>.</w:t>
      </w:r>
    </w:p>
    <w:p w14:paraId="1460C3BB" w14:textId="77777777" w:rsidR="006138C6" w:rsidRPr="00760296" w:rsidRDefault="00986478" w:rsidP="002D1B45">
      <w:pPr>
        <w:pStyle w:val="Heading2"/>
        <w:rPr>
          <w:rFonts w:asciiTheme="minorBidi" w:hAnsiTheme="minorBidi" w:cstheme="minorBidi"/>
        </w:rPr>
      </w:pPr>
      <w:bookmarkStart w:id="43" w:name="_4tt2es8v6e51" w:colFirst="0" w:colLast="0"/>
      <w:bookmarkStart w:id="44" w:name="_Toc213194632"/>
      <w:bookmarkEnd w:id="43"/>
      <w:r w:rsidRPr="00760296">
        <w:rPr>
          <w:rFonts w:asciiTheme="minorBidi" w:hAnsiTheme="minorBidi" w:cstheme="minorBidi"/>
        </w:rPr>
        <w:t>5</w:t>
      </w:r>
      <w:r w:rsidR="00EF72CD" w:rsidRPr="00760296">
        <w:rPr>
          <w:rFonts w:asciiTheme="minorBidi" w:hAnsiTheme="minorBidi" w:cstheme="minorBidi"/>
        </w:rPr>
        <w:t>.2 Three proposed investment projects</w:t>
      </w:r>
      <w:bookmarkEnd w:id="44"/>
    </w:p>
    <w:p w14:paraId="5F419E92" w14:textId="77777777" w:rsidR="006138C6" w:rsidRPr="00760296" w:rsidRDefault="00986478" w:rsidP="002D1B45">
      <w:pPr>
        <w:pStyle w:val="Heading3"/>
        <w:rPr>
          <w:rFonts w:asciiTheme="minorBidi" w:hAnsiTheme="minorBidi" w:cstheme="minorBidi"/>
        </w:rPr>
      </w:pPr>
      <w:bookmarkStart w:id="45" w:name="_Toc213194633"/>
      <w:r w:rsidRPr="00760296">
        <w:rPr>
          <w:rFonts w:asciiTheme="minorBidi" w:hAnsiTheme="minorBidi" w:cstheme="minorBidi"/>
        </w:rPr>
        <w:t xml:space="preserve">5.2.1 </w:t>
      </w:r>
      <w:r w:rsidR="00EF72CD" w:rsidRPr="00760296">
        <w:rPr>
          <w:rFonts w:asciiTheme="minorBidi" w:hAnsiTheme="minorBidi" w:cstheme="minorBidi"/>
        </w:rPr>
        <w:t>Payback Period (PBP)</w:t>
      </w:r>
      <w:bookmarkEnd w:id="45"/>
    </w:p>
    <w:p w14:paraId="736D255F" w14:textId="77777777" w:rsidR="006138C6" w:rsidRPr="00760296" w:rsidRDefault="00EF72CD" w:rsidP="002D1B45">
      <w:pPr>
        <w:rPr>
          <w:rFonts w:asciiTheme="minorBidi" w:hAnsiTheme="minorBidi" w:cstheme="minorBidi"/>
        </w:rPr>
      </w:pPr>
      <w:r w:rsidRPr="00760296">
        <w:rPr>
          <w:rFonts w:asciiTheme="minorBidi" w:hAnsiTheme="minorBidi" w:cstheme="minorBidi"/>
        </w:rPr>
        <w:t>The payback period is a period on which the cumulative cash inflows will cover up the initial investment</w:t>
      </w:r>
      <w:r w:rsidR="007B68F8" w:rsidRPr="00760296">
        <w:rPr>
          <w:rFonts w:asciiTheme="minorBidi" w:hAnsiTheme="minorBidi" w:cstheme="minorBidi"/>
        </w:rPr>
        <w:t xml:space="preserve"> (Cotter, 2023)</w:t>
      </w:r>
      <w:r w:rsidRPr="00760296">
        <w:rPr>
          <w:rFonts w:asciiTheme="minorBidi" w:hAnsiTheme="minorBidi" w:cstheme="minorBidi"/>
        </w:rPr>
        <w:t xml:space="preserve">. In both Project A and </w:t>
      </w:r>
      <w:r w:rsidR="00763175" w:rsidRPr="00760296">
        <w:rPr>
          <w:rFonts w:asciiTheme="minorBidi" w:hAnsiTheme="minorBidi" w:cstheme="minorBidi"/>
        </w:rPr>
        <w:t>C,</w:t>
      </w:r>
      <w:r w:rsidRPr="00760296">
        <w:rPr>
          <w:rFonts w:asciiTheme="minorBidi" w:hAnsiTheme="minorBidi" w:cstheme="minorBidi"/>
        </w:rPr>
        <w:t xml:space="preserve"> the payback period is 4 years, and so it is taken as soon as Project B has 6 years. A shorter payback period normally means a reduced liquidity risk, therefore making Projects A and C desirable on cash recovery perspective. The payback method however is not a sound independent tool since it does not take into consideration the time worth of money and post payback profitability.</w:t>
      </w:r>
    </w:p>
    <w:p w14:paraId="3D3FA1A7" w14:textId="77777777" w:rsidR="006138C6" w:rsidRPr="00760296" w:rsidRDefault="00986478" w:rsidP="002D1B45">
      <w:pPr>
        <w:pStyle w:val="Heading3"/>
        <w:rPr>
          <w:rFonts w:asciiTheme="minorBidi" w:hAnsiTheme="minorBidi" w:cstheme="minorBidi"/>
        </w:rPr>
      </w:pPr>
      <w:bookmarkStart w:id="46" w:name="_Toc213194634"/>
      <w:r w:rsidRPr="00760296">
        <w:rPr>
          <w:rFonts w:asciiTheme="minorBidi" w:hAnsiTheme="minorBidi" w:cstheme="minorBidi"/>
        </w:rPr>
        <w:t>5.2.2</w:t>
      </w:r>
      <w:r w:rsidR="00EF72CD" w:rsidRPr="00760296">
        <w:rPr>
          <w:rFonts w:asciiTheme="minorBidi" w:hAnsiTheme="minorBidi" w:cstheme="minorBidi"/>
        </w:rPr>
        <w:t xml:space="preserve"> The Accounting rate of return (ARR)</w:t>
      </w:r>
      <w:bookmarkEnd w:id="46"/>
    </w:p>
    <w:p w14:paraId="4D294C20" w14:textId="77777777" w:rsidR="006138C6" w:rsidRPr="00760296" w:rsidRDefault="00EF72CD" w:rsidP="002D1B45">
      <w:pPr>
        <w:rPr>
          <w:rFonts w:asciiTheme="minorBidi" w:hAnsiTheme="minorBidi" w:cstheme="minorBidi"/>
        </w:rPr>
      </w:pPr>
      <w:r w:rsidRPr="00760296">
        <w:rPr>
          <w:rFonts w:asciiTheme="minorBidi" w:hAnsiTheme="minorBidi" w:cstheme="minorBidi"/>
        </w:rPr>
        <w:t>ARR is a profitability evaluation that considers accounting, as opposed to cash flow</w:t>
      </w:r>
      <w:r w:rsidR="007B68F8" w:rsidRPr="00760296">
        <w:rPr>
          <w:rFonts w:asciiTheme="minorBidi" w:hAnsiTheme="minorBidi" w:cstheme="minorBidi"/>
        </w:rPr>
        <w:t xml:space="preserve"> (Gordon, 2020)</w:t>
      </w:r>
      <w:r w:rsidRPr="00760296">
        <w:rPr>
          <w:rFonts w:asciiTheme="minorBidi" w:hAnsiTheme="minorBidi" w:cstheme="minorBidi"/>
        </w:rPr>
        <w:t xml:space="preserve">. The negative values of the ARRs are observed in all three projects (A: -27% B: -20% C: -30%), which means that the projects project loss in their accounting in terms of depreciation of profitability and large capital expenditures. This is an indicator of prolonged profitability challenges facing General Electronics and a </w:t>
      </w:r>
      <w:r w:rsidRPr="00760296">
        <w:rPr>
          <w:rFonts w:asciiTheme="minorBidi" w:hAnsiTheme="minorBidi" w:cstheme="minorBidi"/>
        </w:rPr>
        <w:lastRenderedPageBreak/>
        <w:t>pointer that the cost of any investment in the company in terms of multiple accounting returns might not be worth the short-term investment.</w:t>
      </w:r>
    </w:p>
    <w:p w14:paraId="445A33E7" w14:textId="77777777" w:rsidR="006138C6" w:rsidRPr="00760296" w:rsidRDefault="00986478" w:rsidP="002D1B45">
      <w:pPr>
        <w:pStyle w:val="Heading3"/>
        <w:rPr>
          <w:rFonts w:asciiTheme="minorBidi" w:hAnsiTheme="minorBidi" w:cstheme="minorBidi"/>
        </w:rPr>
      </w:pPr>
      <w:bookmarkStart w:id="47" w:name="_Toc213194635"/>
      <w:r w:rsidRPr="00760296">
        <w:rPr>
          <w:rFonts w:asciiTheme="minorBidi" w:hAnsiTheme="minorBidi" w:cstheme="minorBidi"/>
        </w:rPr>
        <w:t>5.2.</w:t>
      </w:r>
      <w:r w:rsidR="00EF72CD" w:rsidRPr="00760296">
        <w:rPr>
          <w:rFonts w:asciiTheme="minorBidi" w:hAnsiTheme="minorBidi" w:cstheme="minorBidi"/>
        </w:rPr>
        <w:t>3. Net Present Value (NPV)</w:t>
      </w:r>
      <w:bookmarkEnd w:id="47"/>
    </w:p>
    <w:p w14:paraId="5385FB4F" w14:textId="77777777" w:rsidR="006138C6" w:rsidRPr="00760296" w:rsidRDefault="00EF72CD" w:rsidP="002D1B45">
      <w:pPr>
        <w:rPr>
          <w:rFonts w:asciiTheme="minorBidi" w:hAnsiTheme="minorBidi" w:cstheme="minorBidi"/>
        </w:rPr>
      </w:pPr>
      <w:r w:rsidRPr="00760296">
        <w:rPr>
          <w:rFonts w:asciiTheme="minorBidi" w:hAnsiTheme="minorBidi" w:cstheme="minorBidi"/>
        </w:rPr>
        <w:t>NPV is expressed as the present value of all the cash inflows in the future less the initial investment divided by a discount figure of 10 percent. Positive NPV would mean creation of values</w:t>
      </w:r>
      <w:r w:rsidR="007B68F8" w:rsidRPr="00760296">
        <w:rPr>
          <w:rFonts w:asciiTheme="minorBidi" w:hAnsiTheme="minorBidi" w:cstheme="minorBidi"/>
        </w:rPr>
        <w:t xml:space="preserve"> (Chen, 2022)</w:t>
      </w:r>
      <w:r w:rsidRPr="00760296">
        <w:rPr>
          <w:rFonts w:asciiTheme="minorBidi" w:hAnsiTheme="minorBidi" w:cstheme="minorBidi"/>
        </w:rPr>
        <w:t>.</w:t>
      </w:r>
    </w:p>
    <w:p w14:paraId="5606F019" w14:textId="77777777" w:rsidR="006138C6" w:rsidRPr="00760296" w:rsidRDefault="00EF72CD" w:rsidP="002D1B45">
      <w:pPr>
        <w:pStyle w:val="ListParagraph"/>
        <w:numPr>
          <w:ilvl w:val="0"/>
          <w:numId w:val="2"/>
        </w:numPr>
        <w:rPr>
          <w:rFonts w:asciiTheme="minorBidi" w:hAnsiTheme="minorBidi" w:cstheme="minorBidi"/>
        </w:rPr>
      </w:pPr>
      <w:r w:rsidRPr="00760296">
        <w:rPr>
          <w:rFonts w:asciiTheme="minorBidi" w:hAnsiTheme="minorBidi" w:cstheme="minorBidi"/>
        </w:rPr>
        <w:t>Project A: £1.32 million</w:t>
      </w:r>
    </w:p>
    <w:p w14:paraId="6335C639" w14:textId="77777777" w:rsidR="006138C6" w:rsidRPr="00760296" w:rsidRDefault="00EF72CD" w:rsidP="002D1B45">
      <w:pPr>
        <w:pStyle w:val="ListParagraph"/>
        <w:numPr>
          <w:ilvl w:val="0"/>
          <w:numId w:val="2"/>
        </w:numPr>
        <w:rPr>
          <w:rFonts w:asciiTheme="minorBidi" w:hAnsiTheme="minorBidi" w:cstheme="minorBidi"/>
        </w:rPr>
      </w:pPr>
      <w:r w:rsidRPr="00760296">
        <w:rPr>
          <w:rFonts w:asciiTheme="minorBidi" w:hAnsiTheme="minorBidi" w:cstheme="minorBidi"/>
        </w:rPr>
        <w:t>Project B: -£7.26 million</w:t>
      </w:r>
    </w:p>
    <w:p w14:paraId="21025C10" w14:textId="77777777" w:rsidR="006138C6" w:rsidRPr="00760296" w:rsidRDefault="00EF72CD" w:rsidP="002D1B45">
      <w:pPr>
        <w:pStyle w:val="ListParagraph"/>
        <w:numPr>
          <w:ilvl w:val="0"/>
          <w:numId w:val="2"/>
        </w:numPr>
        <w:rPr>
          <w:rFonts w:asciiTheme="minorBidi" w:hAnsiTheme="minorBidi" w:cstheme="minorBidi"/>
        </w:rPr>
      </w:pPr>
      <w:r w:rsidRPr="00760296">
        <w:rPr>
          <w:rFonts w:asciiTheme="minorBidi" w:hAnsiTheme="minorBidi" w:cstheme="minorBidi"/>
        </w:rPr>
        <w:t>Project C: £4.23 million</w:t>
      </w:r>
    </w:p>
    <w:p w14:paraId="7292A61B" w14:textId="77777777" w:rsidR="006138C6" w:rsidRPr="00760296" w:rsidRDefault="00EF72CD" w:rsidP="002D1B45">
      <w:pPr>
        <w:rPr>
          <w:rFonts w:asciiTheme="minorBidi" w:hAnsiTheme="minorBidi" w:cstheme="minorBidi"/>
        </w:rPr>
      </w:pPr>
      <w:r w:rsidRPr="00760296">
        <w:rPr>
          <w:rFonts w:asciiTheme="minorBidi" w:hAnsiTheme="minorBidi" w:cstheme="minorBidi"/>
        </w:rPr>
        <w:t>Project C has the highest NPV which implies that it has the greatest shareholder wealth contribution. The negative NPV value of project B shows that it will destroy firm value, hence it is not suitable to invest in. Both Projects A and C are viable with regard to viability in terms of finance, yet it is clear that Project C offers better long-term financial benefits.</w:t>
      </w:r>
    </w:p>
    <w:p w14:paraId="7EFB40E8" w14:textId="77777777" w:rsidR="006138C6" w:rsidRPr="00760296" w:rsidRDefault="00986478" w:rsidP="002D1B45">
      <w:pPr>
        <w:pStyle w:val="Heading3"/>
        <w:rPr>
          <w:rFonts w:asciiTheme="minorBidi" w:hAnsiTheme="minorBidi" w:cstheme="minorBidi"/>
        </w:rPr>
      </w:pPr>
      <w:bookmarkStart w:id="48" w:name="_Toc213194636"/>
      <w:r w:rsidRPr="00760296">
        <w:rPr>
          <w:rFonts w:asciiTheme="minorBidi" w:hAnsiTheme="minorBidi" w:cstheme="minorBidi"/>
        </w:rPr>
        <w:t>5.2.</w:t>
      </w:r>
      <w:r w:rsidR="00EF72CD" w:rsidRPr="00760296">
        <w:rPr>
          <w:rFonts w:asciiTheme="minorBidi" w:hAnsiTheme="minorBidi" w:cstheme="minorBidi"/>
        </w:rPr>
        <w:t>4. Profitability Index (PI)</w:t>
      </w:r>
      <w:bookmarkEnd w:id="48"/>
    </w:p>
    <w:p w14:paraId="07F60217" w14:textId="77777777" w:rsidR="006138C6" w:rsidRPr="00760296" w:rsidRDefault="00EF72CD" w:rsidP="002D1B45">
      <w:pPr>
        <w:rPr>
          <w:rFonts w:asciiTheme="minorBidi" w:hAnsiTheme="minorBidi" w:cstheme="minorBidi"/>
        </w:rPr>
      </w:pPr>
      <w:r w:rsidRPr="00760296">
        <w:rPr>
          <w:rFonts w:asciiTheme="minorBidi" w:hAnsiTheme="minorBidi" w:cstheme="minorBidi"/>
        </w:rPr>
        <w:t>Value generated/1 pound invested is measured by the PI.</w:t>
      </w:r>
    </w:p>
    <w:p w14:paraId="03BADEF0" w14:textId="77777777" w:rsidR="006138C6" w:rsidRPr="00760296" w:rsidRDefault="00EF72CD" w:rsidP="002D1B45">
      <w:pPr>
        <w:pStyle w:val="ListParagraph"/>
        <w:numPr>
          <w:ilvl w:val="0"/>
          <w:numId w:val="1"/>
        </w:numPr>
        <w:rPr>
          <w:rFonts w:asciiTheme="minorBidi" w:hAnsiTheme="minorBidi" w:cstheme="minorBidi"/>
        </w:rPr>
      </w:pPr>
      <w:r w:rsidRPr="00760296">
        <w:rPr>
          <w:rFonts w:asciiTheme="minorBidi" w:hAnsiTheme="minorBidi" w:cstheme="minorBidi"/>
        </w:rPr>
        <w:t>Project A: 0.97, that is, any increase by 1 pound in investment, then the company will receive back 0.97.</w:t>
      </w:r>
    </w:p>
    <w:p w14:paraId="3307419B" w14:textId="77777777" w:rsidR="006138C6" w:rsidRPr="00760296" w:rsidRDefault="00EF72CD" w:rsidP="002D1B45">
      <w:pPr>
        <w:pStyle w:val="ListParagraph"/>
        <w:numPr>
          <w:ilvl w:val="0"/>
          <w:numId w:val="1"/>
        </w:numPr>
        <w:rPr>
          <w:rFonts w:asciiTheme="minorBidi" w:hAnsiTheme="minorBidi" w:cstheme="minorBidi"/>
        </w:rPr>
      </w:pPr>
      <w:r w:rsidRPr="00760296">
        <w:rPr>
          <w:rFonts w:asciiTheme="minorBidi" w:hAnsiTheme="minorBidi" w:cstheme="minorBidi"/>
        </w:rPr>
        <w:t>Project B: 1.24 which means that it is more efficient in relative terms.</w:t>
      </w:r>
    </w:p>
    <w:p w14:paraId="386C956D" w14:textId="77777777" w:rsidR="006138C6" w:rsidRPr="00760296" w:rsidRDefault="00EF72CD" w:rsidP="002D1B45">
      <w:pPr>
        <w:pStyle w:val="ListParagraph"/>
        <w:numPr>
          <w:ilvl w:val="0"/>
          <w:numId w:val="1"/>
        </w:numPr>
        <w:rPr>
          <w:rFonts w:asciiTheme="minorBidi" w:hAnsiTheme="minorBidi" w:cstheme="minorBidi"/>
        </w:rPr>
      </w:pPr>
      <w:r w:rsidRPr="00760296">
        <w:rPr>
          <w:rFonts w:asciiTheme="minorBidi" w:hAnsiTheme="minorBidi" w:cstheme="minorBidi"/>
        </w:rPr>
        <w:t>Project C: 0.92 and a little less than breakeven efficiency.</w:t>
      </w:r>
    </w:p>
    <w:p w14:paraId="38AD4054" w14:textId="77777777" w:rsidR="006138C6" w:rsidRPr="00760296" w:rsidRDefault="00EF72CD" w:rsidP="002D1B45">
      <w:pPr>
        <w:rPr>
          <w:rFonts w:asciiTheme="minorBidi" w:hAnsiTheme="minorBidi" w:cstheme="minorBidi"/>
        </w:rPr>
      </w:pPr>
      <w:r w:rsidRPr="00760296">
        <w:rPr>
          <w:rFonts w:asciiTheme="minorBidi" w:hAnsiTheme="minorBidi" w:cstheme="minorBidi"/>
        </w:rPr>
        <w:t>Even though Project B has the greatest PI, it must be viewed carefully considering that it has negative NPV. This is due to the high PI which demonstrates the lesser investment base and not actual profitability</w:t>
      </w:r>
      <w:r w:rsidR="007B68F8" w:rsidRPr="00760296">
        <w:rPr>
          <w:rFonts w:asciiTheme="minorBidi" w:hAnsiTheme="minorBidi" w:cstheme="minorBidi"/>
        </w:rPr>
        <w:t xml:space="preserve"> (Chen, 2022)</w:t>
      </w:r>
      <w:r w:rsidRPr="00760296">
        <w:rPr>
          <w:rFonts w:asciiTheme="minorBidi" w:hAnsiTheme="minorBidi" w:cstheme="minorBidi"/>
        </w:rPr>
        <w:t>. PI assists in ranking of projects in the cases of limited capital, which is viewed as strict capital rationing, but NPV is the best.</w:t>
      </w:r>
    </w:p>
    <w:p w14:paraId="6989A62A" w14:textId="77777777" w:rsidR="006138C6" w:rsidRPr="00760296" w:rsidRDefault="00986478" w:rsidP="002D1B45">
      <w:pPr>
        <w:pStyle w:val="Heading3"/>
        <w:rPr>
          <w:rFonts w:asciiTheme="minorBidi" w:hAnsiTheme="minorBidi" w:cstheme="minorBidi"/>
        </w:rPr>
      </w:pPr>
      <w:bookmarkStart w:id="49" w:name="_Toc213194637"/>
      <w:r w:rsidRPr="00760296">
        <w:rPr>
          <w:rFonts w:asciiTheme="minorBidi" w:hAnsiTheme="minorBidi" w:cstheme="minorBidi"/>
        </w:rPr>
        <w:t>5.2.</w:t>
      </w:r>
      <w:r w:rsidR="00EF72CD" w:rsidRPr="00760296">
        <w:rPr>
          <w:rFonts w:asciiTheme="minorBidi" w:hAnsiTheme="minorBidi" w:cstheme="minorBidi"/>
        </w:rPr>
        <w:t>5. Internal Rate of Return (IRR)</w:t>
      </w:r>
      <w:bookmarkEnd w:id="49"/>
    </w:p>
    <w:p w14:paraId="60B87651" w14:textId="77777777" w:rsidR="006138C6" w:rsidRPr="00760296" w:rsidRDefault="00EF72CD" w:rsidP="002D1B45">
      <w:pPr>
        <w:rPr>
          <w:rFonts w:asciiTheme="minorBidi" w:hAnsiTheme="minorBidi" w:cstheme="minorBidi"/>
        </w:rPr>
      </w:pPr>
      <w:r w:rsidRPr="00760296">
        <w:rPr>
          <w:rFonts w:asciiTheme="minorBidi" w:hAnsiTheme="minorBidi" w:cstheme="minorBidi"/>
        </w:rPr>
        <w:t>IRR represents the discount rate at which the NPV will be equal to zero.</w:t>
      </w:r>
    </w:p>
    <w:p w14:paraId="1F9FF232" w14:textId="77777777" w:rsidR="006138C6" w:rsidRPr="00760296" w:rsidRDefault="00EF72CD" w:rsidP="002D1B45">
      <w:pPr>
        <w:pStyle w:val="ListParagraph"/>
        <w:numPr>
          <w:ilvl w:val="0"/>
          <w:numId w:val="3"/>
        </w:numPr>
        <w:rPr>
          <w:rFonts w:asciiTheme="minorBidi" w:hAnsiTheme="minorBidi" w:cstheme="minorBidi"/>
        </w:rPr>
      </w:pPr>
      <w:r w:rsidRPr="00760296">
        <w:rPr>
          <w:rFonts w:asciiTheme="minorBidi" w:hAnsiTheme="minorBidi" w:cstheme="minorBidi"/>
        </w:rPr>
        <w:t>Project A: 11% (at very slightly higher than 10% hurdle rate).</w:t>
      </w:r>
    </w:p>
    <w:p w14:paraId="561B29CD" w14:textId="77777777" w:rsidR="006138C6" w:rsidRPr="00760296" w:rsidRDefault="00EF72CD" w:rsidP="002D1B45">
      <w:pPr>
        <w:pStyle w:val="ListParagraph"/>
        <w:numPr>
          <w:ilvl w:val="0"/>
          <w:numId w:val="3"/>
        </w:numPr>
        <w:rPr>
          <w:rFonts w:asciiTheme="minorBidi" w:hAnsiTheme="minorBidi" w:cstheme="minorBidi"/>
        </w:rPr>
      </w:pPr>
      <w:r w:rsidRPr="00760296">
        <w:rPr>
          <w:rFonts w:asciiTheme="minorBidi" w:hAnsiTheme="minorBidi" w:cstheme="minorBidi"/>
        </w:rPr>
        <w:t>Project B: 0% (no profitability).</w:t>
      </w:r>
    </w:p>
    <w:p w14:paraId="6B1F7BCE" w14:textId="77777777" w:rsidR="006138C6" w:rsidRPr="00760296" w:rsidRDefault="00EF72CD" w:rsidP="002D1B45">
      <w:pPr>
        <w:pStyle w:val="ListParagraph"/>
        <w:numPr>
          <w:ilvl w:val="0"/>
          <w:numId w:val="3"/>
        </w:numPr>
        <w:rPr>
          <w:rFonts w:asciiTheme="minorBidi" w:hAnsiTheme="minorBidi" w:cstheme="minorBidi"/>
        </w:rPr>
      </w:pPr>
      <w:r w:rsidRPr="00760296">
        <w:rPr>
          <w:rFonts w:asciiTheme="minorBidi" w:hAnsiTheme="minorBidi" w:cstheme="minorBidi"/>
        </w:rPr>
        <w:t>Project C: 30 percent (much higher than the discount rate).</w:t>
      </w:r>
    </w:p>
    <w:p w14:paraId="31DD81FA" w14:textId="77777777" w:rsidR="006138C6" w:rsidRPr="00760296" w:rsidRDefault="00EF72CD" w:rsidP="002D1B45">
      <w:pPr>
        <w:rPr>
          <w:rFonts w:asciiTheme="minorBidi" w:hAnsiTheme="minorBidi" w:cstheme="minorBidi"/>
        </w:rPr>
      </w:pPr>
      <w:r w:rsidRPr="00760296">
        <w:rPr>
          <w:rFonts w:asciiTheme="minorBidi" w:hAnsiTheme="minorBidi" w:cstheme="minorBidi"/>
        </w:rPr>
        <w:t xml:space="preserve">The IRR of 30% of project C illustrates an excellent potential content of returns and excellent risk-adjusted profitability, which is the best affirmation that it is the most </w:t>
      </w:r>
      <w:r w:rsidRPr="00760296">
        <w:rPr>
          <w:rFonts w:asciiTheme="minorBidi" w:hAnsiTheme="minorBidi" w:cstheme="minorBidi"/>
        </w:rPr>
        <w:lastRenderedPageBreak/>
        <w:t>lucrative project. Project A will have marginal value creation whereas Project B will not even cover the cost of capital.</w:t>
      </w:r>
      <w:r w:rsidR="00D76486" w:rsidRPr="00760296">
        <w:rPr>
          <w:rFonts w:asciiTheme="minorBidi" w:hAnsiTheme="minorBidi" w:cstheme="minorBidi"/>
        </w:rPr>
        <w:t xml:space="preserve"> </w:t>
      </w:r>
      <w:r w:rsidR="00D76486" w:rsidRPr="00760296">
        <w:rPr>
          <w:rFonts w:asciiTheme="minorBidi" w:hAnsiTheme="minorBidi" w:cstheme="minorBidi"/>
          <w:b/>
          <w:bCs/>
          <w:i/>
          <w:iCs/>
        </w:rPr>
        <w:t>[Referred to Appendix 4]</w:t>
      </w:r>
    </w:p>
    <w:p w14:paraId="19D01C47" w14:textId="77777777" w:rsidR="006138C6" w:rsidRPr="00760296" w:rsidRDefault="00986478" w:rsidP="002D1B45">
      <w:pPr>
        <w:pStyle w:val="Heading3"/>
        <w:rPr>
          <w:rFonts w:asciiTheme="minorBidi" w:hAnsiTheme="minorBidi" w:cstheme="minorBidi"/>
        </w:rPr>
      </w:pPr>
      <w:bookmarkStart w:id="50" w:name="_Toc213194638"/>
      <w:r w:rsidRPr="00760296">
        <w:rPr>
          <w:rFonts w:asciiTheme="minorBidi" w:hAnsiTheme="minorBidi" w:cstheme="minorBidi"/>
        </w:rPr>
        <w:t xml:space="preserve">5.2.6 </w:t>
      </w:r>
      <w:r w:rsidR="00EF72CD" w:rsidRPr="00760296">
        <w:rPr>
          <w:rFonts w:asciiTheme="minorBidi" w:hAnsiTheme="minorBidi" w:cstheme="minorBidi"/>
        </w:rPr>
        <w:t>Investment Option Recommended</w:t>
      </w:r>
      <w:bookmarkEnd w:id="50"/>
    </w:p>
    <w:p w14:paraId="5FD99C11" w14:textId="77777777" w:rsidR="006138C6" w:rsidRPr="00760296" w:rsidRDefault="00986478" w:rsidP="002D1B45">
      <w:pPr>
        <w:rPr>
          <w:rFonts w:asciiTheme="minorBidi" w:hAnsiTheme="minorBidi" w:cstheme="minorBidi"/>
        </w:rPr>
      </w:pPr>
      <w:r w:rsidRPr="00760296">
        <w:rPr>
          <w:rFonts w:asciiTheme="minorBidi" w:hAnsiTheme="minorBidi" w:cstheme="minorBidi"/>
        </w:rPr>
        <w:t>By</w:t>
      </w:r>
      <w:r w:rsidR="00EF72CD" w:rsidRPr="00760296">
        <w:rPr>
          <w:rFonts w:asciiTheme="minorBidi" w:hAnsiTheme="minorBidi" w:cstheme="minorBidi"/>
        </w:rPr>
        <w:t xml:space="preserve"> </w:t>
      </w:r>
      <w:r w:rsidRPr="00760296">
        <w:rPr>
          <w:rFonts w:asciiTheme="minorBidi" w:hAnsiTheme="minorBidi" w:cstheme="minorBidi"/>
        </w:rPr>
        <w:t>analys</w:t>
      </w:r>
      <w:r w:rsidR="007B68F8" w:rsidRPr="00760296">
        <w:rPr>
          <w:rFonts w:asciiTheme="minorBidi" w:hAnsiTheme="minorBidi" w:cstheme="minorBidi"/>
        </w:rPr>
        <w:t>ing</w:t>
      </w:r>
      <w:r w:rsidR="00EF72CD" w:rsidRPr="00760296">
        <w:rPr>
          <w:rFonts w:asciiTheme="minorBidi" w:hAnsiTheme="minorBidi" w:cstheme="minorBidi"/>
        </w:rPr>
        <w:t xml:space="preserve"> the three suggested investments in terms of NPV, IRR, Payback Period, ARR, and Profitability Index, Project B - Smart Appliance Innovation assists in choosing. It has the best NPV and IRR which means high profitability and faster returns at the expense of moderate risk. The project will be in line with the sustainability objectives of General Electronics, and it utilizes the available technological potentials, which make it long-term competitive. Its stability of cash flow and market growth potential are equal to those of other projects thus making it the best choice within the constraint of capital limit of the shareholders within the range of 60 million pounds to maximize the shareholder value as well as the financial recovery strategy of the company.</w:t>
      </w:r>
    </w:p>
    <w:p w14:paraId="3A4534EF" w14:textId="77777777" w:rsidR="006138C6" w:rsidRDefault="00093E2B" w:rsidP="002D1B45">
      <w:pPr>
        <w:pStyle w:val="Heading2"/>
        <w:rPr>
          <w:rFonts w:asciiTheme="minorBidi" w:hAnsiTheme="minorBidi" w:cstheme="minorBidi"/>
        </w:rPr>
      </w:pPr>
      <w:bookmarkStart w:id="51" w:name="_7mvnq7gv97j0" w:colFirst="0" w:colLast="0"/>
      <w:bookmarkStart w:id="52" w:name="_Toc213194639"/>
      <w:bookmarkEnd w:id="51"/>
      <w:r w:rsidRPr="00760296">
        <w:rPr>
          <w:rFonts w:asciiTheme="minorBidi" w:hAnsiTheme="minorBidi" w:cstheme="minorBidi"/>
        </w:rPr>
        <w:t>5</w:t>
      </w:r>
      <w:r w:rsidR="00EF72CD" w:rsidRPr="00760296">
        <w:rPr>
          <w:rFonts w:asciiTheme="minorBidi" w:hAnsiTheme="minorBidi" w:cstheme="minorBidi"/>
        </w:rPr>
        <w:t>.3 Final Investment Recommendation under Capital Rationing (£60 Million Limit)</w:t>
      </w:r>
      <w:bookmarkEnd w:id="52"/>
    </w:p>
    <w:p w14:paraId="0C0C78DD" w14:textId="77777777" w:rsidR="00F25515" w:rsidRPr="00F25515" w:rsidRDefault="00F25515" w:rsidP="00F25515">
      <w:pPr>
        <w:rPr>
          <w:rFonts w:asciiTheme="minorBidi" w:hAnsiTheme="minorBidi" w:cstheme="minorBidi"/>
        </w:rPr>
      </w:pPr>
      <w:r w:rsidRPr="00F25515">
        <w:rPr>
          <w:rFonts w:asciiTheme="minorBidi" w:hAnsiTheme="minorBidi" w:cstheme="minorBidi"/>
        </w:rPr>
        <w:t>Given the capital limitation of the project that is 60 million pounds, then Project A will be the most viable and strategically matched investment. Project A has a positive NPV value equal to 1.32 million pounds, IRR of 11, and a payback period of four years thus it is a project which recovers capital efficiently with a moderately risk exposure. With its high cash flows, it maintains its liquidity as well as creating value to its shareholders.</w:t>
      </w:r>
    </w:p>
    <w:p w14:paraId="55856710" w14:textId="77777777" w:rsidR="00F25515" w:rsidRPr="00F25515" w:rsidRDefault="00F25515" w:rsidP="00F25515">
      <w:pPr>
        <w:rPr>
          <w:rFonts w:asciiTheme="minorBidi" w:hAnsiTheme="minorBidi" w:cstheme="minorBidi"/>
        </w:rPr>
      </w:pPr>
      <w:r w:rsidRPr="00F25515">
        <w:rPr>
          <w:rFonts w:asciiTheme="minorBidi" w:hAnsiTheme="minorBidi" w:cstheme="minorBidi"/>
        </w:rPr>
        <w:t>On the other hand</w:t>
      </w:r>
      <w:r>
        <w:rPr>
          <w:rFonts w:asciiTheme="minorBidi" w:hAnsiTheme="minorBidi" w:cstheme="minorBidi"/>
        </w:rPr>
        <w:t>,</w:t>
      </w:r>
      <w:r w:rsidRPr="00F25515">
        <w:rPr>
          <w:rFonts w:asciiTheme="minorBidi" w:hAnsiTheme="minorBidi" w:cstheme="minorBidi"/>
        </w:rPr>
        <w:t xml:space="preserve"> Project C, despite its higher IRR of 30 requires a large initial outlay of £50 million and has high volatility hence inapplicable when capital availability is limited. When its NPV is negative, that is, in Project B, the inflows are stable, but its NPV is negative, that is, Project B is not generating value, hence, diminishing its financial attractiveness.</w:t>
      </w:r>
    </w:p>
    <w:p w14:paraId="79CFB42A" w14:textId="77777777" w:rsidR="00F25515" w:rsidRPr="00F25515" w:rsidRDefault="00F25515" w:rsidP="00F25515">
      <w:pPr>
        <w:rPr>
          <w:rFonts w:asciiTheme="minorBidi" w:hAnsiTheme="minorBidi" w:cstheme="minorBidi"/>
        </w:rPr>
      </w:pPr>
      <w:r w:rsidRPr="00F25515">
        <w:rPr>
          <w:rFonts w:asciiTheme="minorBidi" w:hAnsiTheme="minorBidi" w:cstheme="minorBidi"/>
        </w:rPr>
        <w:t>Thus, investing in Project A and saving the rest of the cash to invest in increasing the short-term liquidity or investing in the project development guarantees the flexibility of the finances, sustainable growth, and the consistent with the profitability and liquidity goals of the firm.</w:t>
      </w:r>
    </w:p>
    <w:p w14:paraId="303FA9EB" w14:textId="77777777" w:rsidR="006138C6" w:rsidRPr="00760296" w:rsidRDefault="00093E2B" w:rsidP="002D1B45">
      <w:pPr>
        <w:pStyle w:val="Heading2"/>
        <w:rPr>
          <w:rFonts w:asciiTheme="minorBidi" w:hAnsiTheme="minorBidi" w:cstheme="minorBidi"/>
        </w:rPr>
      </w:pPr>
      <w:bookmarkStart w:id="53" w:name="_kqb0wsi6t73r" w:colFirst="0" w:colLast="0"/>
      <w:bookmarkStart w:id="54" w:name="_Toc213194640"/>
      <w:bookmarkEnd w:id="53"/>
      <w:r w:rsidRPr="00760296">
        <w:rPr>
          <w:rFonts w:asciiTheme="minorBidi" w:hAnsiTheme="minorBidi" w:cstheme="minorBidi"/>
        </w:rPr>
        <w:t>5</w:t>
      </w:r>
      <w:r w:rsidR="00EF72CD" w:rsidRPr="00760296">
        <w:rPr>
          <w:rFonts w:asciiTheme="minorBidi" w:hAnsiTheme="minorBidi" w:cstheme="minorBidi"/>
        </w:rPr>
        <w:t>.4 Justification of the Recommended Investment Decision</w:t>
      </w:r>
      <w:bookmarkEnd w:id="54"/>
    </w:p>
    <w:p w14:paraId="15665D30" w14:textId="77777777" w:rsidR="006138C6" w:rsidRPr="00760296" w:rsidRDefault="00EF72CD" w:rsidP="002D1B45">
      <w:pPr>
        <w:rPr>
          <w:rFonts w:asciiTheme="minorBidi" w:hAnsiTheme="minorBidi" w:cstheme="minorBidi"/>
          <w:b/>
          <w:i/>
        </w:rPr>
      </w:pPr>
      <w:r w:rsidRPr="00760296">
        <w:rPr>
          <w:rFonts w:asciiTheme="minorBidi" w:hAnsiTheme="minorBidi" w:cstheme="minorBidi"/>
          <w:b/>
          <w:i/>
        </w:rPr>
        <w:t xml:space="preserve">Financial </w:t>
      </w:r>
      <w:r w:rsidR="00093E2B" w:rsidRPr="00760296">
        <w:rPr>
          <w:rFonts w:asciiTheme="minorBidi" w:hAnsiTheme="minorBidi" w:cstheme="minorBidi"/>
          <w:b/>
          <w:i/>
        </w:rPr>
        <w:t>Performance</w:t>
      </w:r>
      <w:r w:rsidRPr="00760296">
        <w:rPr>
          <w:rFonts w:asciiTheme="minorBidi" w:hAnsiTheme="minorBidi" w:cstheme="minorBidi"/>
          <w:b/>
          <w:i/>
        </w:rPr>
        <w:t xml:space="preserve"> Factors: Profitability and Liquidity</w:t>
      </w:r>
    </w:p>
    <w:p w14:paraId="1311B27D" w14:textId="77777777" w:rsidR="006138C6" w:rsidRPr="00760296" w:rsidRDefault="00EF72CD" w:rsidP="002D1B45">
      <w:pPr>
        <w:rPr>
          <w:rFonts w:asciiTheme="minorBidi" w:hAnsiTheme="minorBidi" w:cstheme="minorBidi"/>
        </w:rPr>
      </w:pPr>
      <w:r w:rsidRPr="00760296">
        <w:rPr>
          <w:rFonts w:asciiTheme="minorBidi" w:hAnsiTheme="minorBidi" w:cstheme="minorBidi"/>
        </w:rPr>
        <w:lastRenderedPageBreak/>
        <w:t>The fact that the financial performance indicators of the company are being used to justify why Project A is preferred amongst all the projects under the capital rationing limit of £60 million is supported by the financial performance indicators of the company- particularly, profitability and liquidity management. Project A has an excellent Net Present Value (NPV) of 1.32 million and will make a profit with returns higher than the discount rate of 10, hence reinvesting into shareholders. Conversely, Project B has a negative NPV at -7.26 million pounds indicating that this would reduce the firm value even though they have a less risky profile. Project C may have a higher NPV (4.23 million) and high Internal Rate of Return (IRR) of 30, but its initial capital outlays (£50 million) is majority of the capital</w:t>
      </w:r>
      <w:r w:rsidR="007B68F8" w:rsidRPr="00760296">
        <w:rPr>
          <w:rFonts w:asciiTheme="minorBidi" w:hAnsiTheme="minorBidi" w:cstheme="minorBidi"/>
        </w:rPr>
        <w:t xml:space="preserve">, </w:t>
      </w:r>
      <w:r w:rsidRPr="00760296">
        <w:rPr>
          <w:rFonts w:asciiTheme="minorBidi" w:hAnsiTheme="minorBidi" w:cstheme="minorBidi"/>
        </w:rPr>
        <w:t>which is available hence does not give a lot of financial leeway in terms of liquidity and unexpected events</w:t>
      </w:r>
      <w:r w:rsidR="007B68F8" w:rsidRPr="00760296">
        <w:rPr>
          <w:rFonts w:asciiTheme="minorBidi" w:hAnsiTheme="minorBidi" w:cstheme="minorBidi"/>
        </w:rPr>
        <w:t xml:space="preserve"> (</w:t>
      </w:r>
      <w:proofErr w:type="spellStart"/>
      <w:r w:rsidR="007B68F8" w:rsidRPr="00760296">
        <w:rPr>
          <w:rFonts w:asciiTheme="minorBidi" w:hAnsiTheme="minorBidi" w:cstheme="minorBidi"/>
        </w:rPr>
        <w:t>Vibhakar</w:t>
      </w:r>
      <w:proofErr w:type="spellEnd"/>
      <w:r w:rsidR="007B68F8" w:rsidRPr="00760296">
        <w:rPr>
          <w:rFonts w:asciiTheme="minorBidi" w:hAnsiTheme="minorBidi" w:cstheme="minorBidi"/>
        </w:rPr>
        <w:t xml:space="preserve"> et al., 2020)</w:t>
      </w:r>
      <w:r w:rsidRPr="00760296">
        <w:rPr>
          <w:rFonts w:asciiTheme="minorBidi" w:hAnsiTheme="minorBidi" w:cstheme="minorBidi"/>
        </w:rPr>
        <w:t>.</w:t>
      </w:r>
    </w:p>
    <w:p w14:paraId="28F913CB" w14:textId="77777777" w:rsidR="006138C6" w:rsidRPr="00760296" w:rsidRDefault="00EF72CD" w:rsidP="002D1B45">
      <w:pPr>
        <w:rPr>
          <w:rFonts w:asciiTheme="minorBidi" w:hAnsiTheme="minorBidi" w:cstheme="minorBidi"/>
        </w:rPr>
      </w:pPr>
      <w:r w:rsidRPr="00760296">
        <w:rPr>
          <w:rFonts w:asciiTheme="minorBidi" w:hAnsiTheme="minorBidi" w:cstheme="minorBidi"/>
        </w:rPr>
        <w:t>The Payback Period of 4 years in Project A is a good compromise between the rapidity of recovery and long-term profitability of the project as the inflows of cash start increasing liquidity in a reasonable time extension. It has a Profitability Index (PI) of 0.97 that indicates relative parity between benefits and costs equalizing risks with stable returns. The negative Average Rate of Return (ARR)-27 per cent on average used in the project is not very high; however, it can be enhanced with operational efficiencies and cost control measures after the project implementation. Project A therefore offers a long-term viable chance to achieve profitability without putting liquidity stability in focus particularly during the recovery mode where the company should save on working capital and maintain solvency ratios.</w:t>
      </w:r>
    </w:p>
    <w:p w14:paraId="767916EE" w14:textId="77777777" w:rsidR="006138C6" w:rsidRPr="00760296" w:rsidRDefault="00EF72CD" w:rsidP="002D1B45">
      <w:pPr>
        <w:rPr>
          <w:rFonts w:asciiTheme="minorBidi" w:hAnsiTheme="minorBidi" w:cstheme="minorBidi"/>
          <w:b/>
          <w:i/>
        </w:rPr>
      </w:pPr>
      <w:r w:rsidRPr="00760296">
        <w:rPr>
          <w:rFonts w:asciiTheme="minorBidi" w:hAnsiTheme="minorBidi" w:cstheme="minorBidi"/>
          <w:b/>
          <w:i/>
        </w:rPr>
        <w:t>Project Risk Characteristics: Strategic Fit and Cash Flow Volatility</w:t>
      </w:r>
    </w:p>
    <w:p w14:paraId="1E718D8B" w14:textId="77777777" w:rsidR="006138C6" w:rsidRPr="00760296" w:rsidRDefault="00EF72CD" w:rsidP="002D1B45">
      <w:pPr>
        <w:rPr>
          <w:rFonts w:asciiTheme="minorBidi" w:hAnsiTheme="minorBidi" w:cstheme="minorBidi"/>
        </w:rPr>
      </w:pPr>
      <w:r w:rsidRPr="00760296">
        <w:rPr>
          <w:rFonts w:asciiTheme="minorBidi" w:hAnsiTheme="minorBidi" w:cstheme="minorBidi"/>
        </w:rPr>
        <w:t>The cash flow volatility is a critical determinant in terms of a risk assessment</w:t>
      </w:r>
      <w:r w:rsidR="007B68F8" w:rsidRPr="00760296">
        <w:rPr>
          <w:rFonts w:asciiTheme="minorBidi" w:hAnsiTheme="minorBidi" w:cstheme="minorBidi"/>
        </w:rPr>
        <w:t xml:space="preserve"> (Njuguna et al., 2022)</w:t>
      </w:r>
      <w:r w:rsidRPr="00760296">
        <w:rPr>
          <w:rFonts w:asciiTheme="minorBidi" w:hAnsiTheme="minorBidi" w:cstheme="minorBidi"/>
        </w:rPr>
        <w:t>. Project A offers quite consistent annual inflows (£10m 14m), which show the predictable operation performance. This predictability helps to reduce risk, and it helps to manage cash flow more easily. Project C on the other hand is very profitable with a higher IRR but with unstable cash flows that vary between 5m-25m which exposes them to market risk and implementation risks. This augmented investment demands further heightens the pressure capital and hence it is not conducive within limited funds.</w:t>
      </w:r>
    </w:p>
    <w:p w14:paraId="054FC253" w14:textId="77777777" w:rsidR="006138C6" w:rsidRPr="00760296" w:rsidRDefault="00EF72CD" w:rsidP="002D1B45">
      <w:pPr>
        <w:rPr>
          <w:rFonts w:asciiTheme="minorBidi" w:hAnsiTheme="minorBidi" w:cstheme="minorBidi"/>
        </w:rPr>
      </w:pPr>
      <w:r w:rsidRPr="00760296">
        <w:rPr>
          <w:rFonts w:asciiTheme="minorBidi" w:hAnsiTheme="minorBidi" w:cstheme="minorBidi"/>
        </w:rPr>
        <w:t xml:space="preserve">Project A, in strategic terms, is quite suitable to the goal of the firm to get back on its feet and have a steady growth without extravagance and without compromising profits and cash. The moderate levels of risk-return profile allow the company to reinvest the </w:t>
      </w:r>
      <w:r w:rsidRPr="00760296">
        <w:rPr>
          <w:rFonts w:asciiTheme="minorBidi" w:hAnsiTheme="minorBidi" w:cstheme="minorBidi"/>
        </w:rPr>
        <w:lastRenderedPageBreak/>
        <w:t>excess cash into future opportunity or payment of current liabilities enhancing financial resilience.</w:t>
      </w:r>
      <w:r w:rsidR="00D65304" w:rsidRPr="00760296">
        <w:rPr>
          <w:rFonts w:asciiTheme="minorBidi" w:hAnsiTheme="minorBidi" w:cstheme="minorBidi"/>
        </w:rPr>
        <w:t xml:space="preserve"> </w:t>
      </w:r>
      <w:r w:rsidRPr="00760296">
        <w:rPr>
          <w:rFonts w:asciiTheme="minorBidi" w:hAnsiTheme="minorBidi" w:cstheme="minorBidi"/>
        </w:rPr>
        <w:t xml:space="preserve">Thus, in capital rationing, Project A is the most appropriate. </w:t>
      </w:r>
    </w:p>
    <w:p w14:paraId="5FDE9FCD" w14:textId="77777777" w:rsidR="006138C6" w:rsidRPr="00760296" w:rsidRDefault="002D1B45" w:rsidP="002D1B45">
      <w:pPr>
        <w:pStyle w:val="Heading1"/>
        <w:rPr>
          <w:rFonts w:asciiTheme="minorBidi" w:hAnsiTheme="minorBidi" w:cstheme="minorBidi"/>
        </w:rPr>
      </w:pPr>
      <w:bookmarkStart w:id="55" w:name="_d1uf9lcwjh7m" w:colFirst="0" w:colLast="0"/>
      <w:bookmarkStart w:id="56" w:name="_Toc213194641"/>
      <w:bookmarkEnd w:id="55"/>
      <w:r w:rsidRPr="00760296">
        <w:rPr>
          <w:rFonts w:asciiTheme="minorBidi" w:hAnsiTheme="minorBidi" w:cstheme="minorBidi"/>
        </w:rPr>
        <w:t>6</w:t>
      </w:r>
      <w:r w:rsidR="00EF72CD" w:rsidRPr="00760296">
        <w:rPr>
          <w:rFonts w:asciiTheme="minorBidi" w:hAnsiTheme="minorBidi" w:cstheme="minorBidi"/>
        </w:rPr>
        <w:t>. Conclusion</w:t>
      </w:r>
      <w:bookmarkEnd w:id="56"/>
      <w:r w:rsidR="00EF72CD" w:rsidRPr="00760296">
        <w:rPr>
          <w:rFonts w:asciiTheme="minorBidi" w:hAnsiTheme="minorBidi" w:cstheme="minorBidi"/>
        </w:rPr>
        <w:t xml:space="preserve"> </w:t>
      </w:r>
    </w:p>
    <w:p w14:paraId="7AA55768" w14:textId="77777777" w:rsidR="006138C6" w:rsidRPr="00760296" w:rsidRDefault="00EF72CD" w:rsidP="002D1B45">
      <w:pPr>
        <w:rPr>
          <w:rFonts w:asciiTheme="minorBidi" w:hAnsiTheme="minorBidi" w:cstheme="minorBidi"/>
        </w:rPr>
      </w:pPr>
      <w:r w:rsidRPr="00760296">
        <w:rPr>
          <w:rFonts w:asciiTheme="minorBidi" w:hAnsiTheme="minorBidi" w:cstheme="minorBidi"/>
        </w:rPr>
        <w:t xml:space="preserve"> The ratio analysis and the trend analysis showed unusual, inconsistent financial performance, which requires a more restrictive cost control and better revenue management. The cash conversion cycle was weak in inventory and payables that indicated deficient working capital practices which impede liquidity. To discuss these issues, plans like the use of inventory management that is based on the just-in-time approach, more stringent credit policies, and efficient cash forecasting were discovered to be needed to create a stable situation.</w:t>
      </w:r>
    </w:p>
    <w:p w14:paraId="34172C1D" w14:textId="77777777" w:rsidR="00B8193A" w:rsidRPr="00760296" w:rsidRDefault="00EF72CD" w:rsidP="002D1B45">
      <w:pPr>
        <w:rPr>
          <w:rFonts w:asciiTheme="minorBidi" w:hAnsiTheme="minorBidi" w:cstheme="minorBidi"/>
        </w:rPr>
      </w:pPr>
      <w:r w:rsidRPr="00760296">
        <w:rPr>
          <w:rFonts w:asciiTheme="minorBidi" w:hAnsiTheme="minorBidi" w:cstheme="minorBidi"/>
        </w:rPr>
        <w:t xml:space="preserve">Combining debt rescheduling, partial divestiture, and selective injection of equity were proposed as the financing and restructuring analysis to bolster solvency and increase capital flexibility. With capital rationing, the investment appraisal illustrated that a single project had the most </w:t>
      </w:r>
      <w:r w:rsidR="00093E2B" w:rsidRPr="00760296">
        <w:rPr>
          <w:rFonts w:asciiTheme="minorBidi" w:hAnsiTheme="minorBidi" w:cstheme="minorBidi"/>
        </w:rPr>
        <w:t>favourable</w:t>
      </w:r>
      <w:r w:rsidRPr="00760296">
        <w:rPr>
          <w:rFonts w:asciiTheme="minorBidi" w:hAnsiTheme="minorBidi" w:cstheme="minorBidi"/>
        </w:rPr>
        <w:t xml:space="preserve"> balance of returns, risk and payback and this portfolio fitted the liquidity constraints of the firm and the moderate risk-taking ability. Among various recommendations, the paper suggests a calculated approach to disregard financial discipline, manageable cash flow, and sustainable investment to restore profitability and long-term expansion.</w:t>
      </w:r>
    </w:p>
    <w:p w14:paraId="78042DC6" w14:textId="77777777" w:rsidR="00B8193A" w:rsidRPr="00760296" w:rsidRDefault="00B8193A" w:rsidP="002D1B45">
      <w:pPr>
        <w:rPr>
          <w:rFonts w:asciiTheme="minorBidi" w:hAnsiTheme="minorBidi" w:cstheme="minorBidi"/>
        </w:rPr>
      </w:pPr>
      <w:r w:rsidRPr="00760296">
        <w:rPr>
          <w:rFonts w:asciiTheme="minorBidi" w:hAnsiTheme="minorBidi" w:cstheme="minorBidi"/>
        </w:rPr>
        <w:br w:type="page"/>
      </w:r>
    </w:p>
    <w:p w14:paraId="535CEB95" w14:textId="77777777" w:rsidR="00B8193A" w:rsidRPr="00760296" w:rsidRDefault="00B8193A" w:rsidP="002D1B45">
      <w:pPr>
        <w:pStyle w:val="Heading1"/>
        <w:rPr>
          <w:rFonts w:asciiTheme="minorBidi" w:hAnsiTheme="minorBidi" w:cstheme="minorBidi"/>
        </w:rPr>
      </w:pPr>
      <w:bookmarkStart w:id="57" w:name="_Toc213194642"/>
      <w:r w:rsidRPr="00760296">
        <w:rPr>
          <w:rFonts w:asciiTheme="minorBidi" w:hAnsiTheme="minorBidi" w:cstheme="minorBidi"/>
        </w:rPr>
        <w:lastRenderedPageBreak/>
        <w:t>Reference list</w:t>
      </w:r>
      <w:bookmarkEnd w:id="57"/>
    </w:p>
    <w:p w14:paraId="2EC68746"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proofErr w:type="spellStart"/>
      <w:r w:rsidRPr="00760296">
        <w:rPr>
          <w:rFonts w:asciiTheme="minorBidi" w:hAnsiTheme="minorBidi" w:cstheme="minorBidi"/>
        </w:rPr>
        <w:t>Adu</w:t>
      </w:r>
      <w:proofErr w:type="spellEnd"/>
      <w:r w:rsidRPr="00760296">
        <w:rPr>
          <w:rFonts w:ascii="Cambria Math" w:hAnsi="Cambria Math" w:cs="Cambria Math"/>
        </w:rPr>
        <w:t>‐</w:t>
      </w:r>
      <w:r w:rsidRPr="00760296">
        <w:rPr>
          <w:rFonts w:asciiTheme="minorBidi" w:hAnsiTheme="minorBidi" w:cstheme="minorBidi"/>
        </w:rPr>
        <w:t xml:space="preserve">Ameyaw, E., </w:t>
      </w:r>
      <w:proofErr w:type="spellStart"/>
      <w:r w:rsidRPr="00760296">
        <w:rPr>
          <w:rFonts w:asciiTheme="minorBidi" w:hAnsiTheme="minorBidi" w:cstheme="minorBidi"/>
        </w:rPr>
        <w:t>Danso</w:t>
      </w:r>
      <w:proofErr w:type="spellEnd"/>
      <w:r w:rsidRPr="00760296">
        <w:rPr>
          <w:rFonts w:asciiTheme="minorBidi" w:hAnsiTheme="minorBidi" w:cstheme="minorBidi"/>
        </w:rPr>
        <w:t>, A., Uddin, M. and Acheampong, S. (2022). Investment</w:t>
      </w:r>
      <w:r w:rsidRPr="00760296">
        <w:rPr>
          <w:rFonts w:ascii="Cambria Math" w:hAnsi="Cambria Math" w:cs="Cambria Math"/>
        </w:rPr>
        <w:t>‐</w:t>
      </w:r>
      <w:r w:rsidRPr="00760296">
        <w:rPr>
          <w:rFonts w:asciiTheme="minorBidi" w:hAnsiTheme="minorBidi" w:cstheme="minorBidi"/>
        </w:rPr>
        <w:t xml:space="preserve">cash flow sensitivity: Evidence from investment in identifiable intangible and tangible assets activities. </w:t>
      </w:r>
      <w:r w:rsidRPr="00760296">
        <w:rPr>
          <w:rFonts w:asciiTheme="minorBidi" w:hAnsiTheme="minorBidi" w:cstheme="minorBidi"/>
          <w:i/>
          <w:iCs/>
        </w:rPr>
        <w:t>International Journal of Finance &amp; Economics</w:t>
      </w:r>
      <w:r w:rsidRPr="00760296">
        <w:rPr>
          <w:rFonts w:asciiTheme="minorBidi" w:hAnsiTheme="minorBidi" w:cstheme="minorBidi"/>
        </w:rPr>
        <w:t xml:space="preserve">, 29(2). </w:t>
      </w:r>
      <w:hyperlink r:id="rId9" w:history="1">
        <w:r w:rsidRPr="00760296">
          <w:rPr>
            <w:rStyle w:val="Hyperlink"/>
            <w:rFonts w:asciiTheme="minorBidi" w:hAnsiTheme="minorBidi" w:cstheme="minorBidi"/>
          </w:rPr>
          <w:t>https://onlinelibrary.wiley.com/doi/full/10.1002/ijfe.2730</w:t>
        </w:r>
      </w:hyperlink>
      <w:r w:rsidRPr="00760296">
        <w:rPr>
          <w:rFonts w:asciiTheme="minorBidi" w:hAnsiTheme="minorBidi" w:cstheme="minorBidi"/>
        </w:rPr>
        <w:t xml:space="preserve">. </w:t>
      </w:r>
    </w:p>
    <w:p w14:paraId="11406199"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r w:rsidRPr="00760296">
        <w:rPr>
          <w:rFonts w:asciiTheme="minorBidi" w:hAnsiTheme="minorBidi" w:cstheme="minorBidi"/>
        </w:rPr>
        <w:t xml:space="preserve">Ahmad, S., Wan Ahmad, W.M. and </w:t>
      </w:r>
      <w:proofErr w:type="spellStart"/>
      <w:r w:rsidRPr="00760296">
        <w:rPr>
          <w:rFonts w:asciiTheme="minorBidi" w:hAnsiTheme="minorBidi" w:cstheme="minorBidi"/>
        </w:rPr>
        <w:t>Shaharuddin</w:t>
      </w:r>
      <w:proofErr w:type="spellEnd"/>
      <w:r w:rsidRPr="00760296">
        <w:rPr>
          <w:rFonts w:asciiTheme="minorBidi" w:hAnsiTheme="minorBidi" w:cstheme="minorBidi"/>
        </w:rPr>
        <w:t xml:space="preserve">, S.S. (2022). Is excess of everything bad? Ramifications of excess liquidity on bank stability: Evidence from the dual banking system. </w:t>
      </w:r>
      <w:proofErr w:type="spellStart"/>
      <w:r w:rsidRPr="00760296">
        <w:rPr>
          <w:rFonts w:asciiTheme="minorBidi" w:hAnsiTheme="minorBidi" w:cstheme="minorBidi"/>
          <w:i/>
          <w:iCs/>
        </w:rPr>
        <w:t>Borsa</w:t>
      </w:r>
      <w:proofErr w:type="spellEnd"/>
      <w:r w:rsidRPr="00760296">
        <w:rPr>
          <w:rFonts w:asciiTheme="minorBidi" w:hAnsiTheme="minorBidi" w:cstheme="minorBidi"/>
          <w:i/>
          <w:iCs/>
        </w:rPr>
        <w:t xml:space="preserve"> Istanbul Review</w:t>
      </w:r>
      <w:r w:rsidRPr="00760296">
        <w:rPr>
          <w:rFonts w:asciiTheme="minorBidi" w:hAnsiTheme="minorBidi" w:cstheme="minorBidi"/>
        </w:rPr>
        <w:t xml:space="preserve">, 22. </w:t>
      </w:r>
      <w:hyperlink r:id="rId10" w:history="1">
        <w:r w:rsidRPr="00760296">
          <w:rPr>
            <w:rStyle w:val="Hyperlink"/>
            <w:rFonts w:asciiTheme="minorBidi" w:hAnsiTheme="minorBidi" w:cstheme="minorBidi"/>
          </w:rPr>
          <w:t>https://www.sciencedirect.com/science/article/pii/S2214845022000795</w:t>
        </w:r>
      </w:hyperlink>
      <w:r w:rsidRPr="00760296">
        <w:rPr>
          <w:rFonts w:asciiTheme="minorBidi" w:hAnsiTheme="minorBidi" w:cstheme="minorBidi"/>
        </w:rPr>
        <w:t xml:space="preserve">. </w:t>
      </w:r>
    </w:p>
    <w:p w14:paraId="6DECE3E6"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proofErr w:type="spellStart"/>
      <w:r w:rsidRPr="00760296">
        <w:rPr>
          <w:rFonts w:asciiTheme="minorBidi" w:hAnsiTheme="minorBidi" w:cstheme="minorBidi"/>
        </w:rPr>
        <w:t>Aina</w:t>
      </w:r>
      <w:proofErr w:type="spellEnd"/>
      <w:r w:rsidRPr="00760296">
        <w:rPr>
          <w:rFonts w:asciiTheme="minorBidi" w:hAnsiTheme="minorBidi" w:cstheme="minorBidi"/>
        </w:rPr>
        <w:t xml:space="preserve">, N.A. (2019). </w:t>
      </w:r>
      <w:r w:rsidRPr="00760296">
        <w:rPr>
          <w:rFonts w:asciiTheme="minorBidi" w:hAnsiTheme="minorBidi" w:cstheme="minorBidi"/>
          <w:i/>
          <w:iCs/>
        </w:rPr>
        <w:t>The Effect of Exchange Rate to Altman-Z in Mondelez International ‘Cadbury’</w:t>
      </w:r>
      <w:r w:rsidRPr="00760296">
        <w:rPr>
          <w:rFonts w:asciiTheme="minorBidi" w:hAnsiTheme="minorBidi" w:cstheme="minorBidi"/>
        </w:rPr>
        <w:t xml:space="preserve">.  papers.ssrn.com. </w:t>
      </w:r>
      <w:hyperlink r:id="rId11" w:history="1">
        <w:r w:rsidRPr="00760296">
          <w:rPr>
            <w:rStyle w:val="Hyperlink"/>
            <w:rFonts w:asciiTheme="minorBidi" w:hAnsiTheme="minorBidi" w:cstheme="minorBidi"/>
          </w:rPr>
          <w:t>https://papers.ssrn.com/sol3/papers.cfm?abstract_id=3385205</w:t>
        </w:r>
      </w:hyperlink>
      <w:r w:rsidRPr="00760296">
        <w:rPr>
          <w:rFonts w:asciiTheme="minorBidi" w:hAnsiTheme="minorBidi" w:cstheme="minorBidi"/>
        </w:rPr>
        <w:t xml:space="preserve">. </w:t>
      </w:r>
    </w:p>
    <w:p w14:paraId="33EFED09"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proofErr w:type="spellStart"/>
      <w:r w:rsidRPr="00760296">
        <w:rPr>
          <w:rFonts w:asciiTheme="minorBidi" w:hAnsiTheme="minorBidi" w:cstheme="minorBidi"/>
        </w:rPr>
        <w:t>Almansour</w:t>
      </w:r>
      <w:proofErr w:type="spellEnd"/>
      <w:r w:rsidRPr="00760296">
        <w:rPr>
          <w:rFonts w:asciiTheme="minorBidi" w:hAnsiTheme="minorBidi" w:cstheme="minorBidi"/>
        </w:rPr>
        <w:t xml:space="preserve">, B.Y., </w:t>
      </w:r>
      <w:proofErr w:type="spellStart"/>
      <w:r w:rsidRPr="00760296">
        <w:rPr>
          <w:rFonts w:asciiTheme="minorBidi" w:hAnsiTheme="minorBidi" w:cstheme="minorBidi"/>
        </w:rPr>
        <w:t>Elkrghli</w:t>
      </w:r>
      <w:proofErr w:type="spellEnd"/>
      <w:r w:rsidRPr="00760296">
        <w:rPr>
          <w:rFonts w:asciiTheme="minorBidi" w:hAnsiTheme="minorBidi" w:cstheme="minorBidi"/>
        </w:rPr>
        <w:t xml:space="preserve">, S. and </w:t>
      </w:r>
      <w:proofErr w:type="spellStart"/>
      <w:r w:rsidRPr="00760296">
        <w:rPr>
          <w:rFonts w:asciiTheme="minorBidi" w:hAnsiTheme="minorBidi" w:cstheme="minorBidi"/>
        </w:rPr>
        <w:t>Almansour</w:t>
      </w:r>
      <w:proofErr w:type="spellEnd"/>
      <w:r w:rsidRPr="00760296">
        <w:rPr>
          <w:rFonts w:asciiTheme="minorBidi" w:hAnsiTheme="minorBidi" w:cstheme="minorBidi"/>
        </w:rPr>
        <w:t xml:space="preserve">, A.Y. (2023). </w:t>
      </w:r>
      <w:proofErr w:type="spellStart"/>
      <w:r w:rsidRPr="00760296">
        <w:rPr>
          <w:rFonts w:asciiTheme="minorBidi" w:hAnsiTheme="minorBidi" w:cstheme="minorBidi"/>
        </w:rPr>
        <w:t>Behavioral</w:t>
      </w:r>
      <w:proofErr w:type="spellEnd"/>
      <w:r w:rsidRPr="00760296">
        <w:rPr>
          <w:rFonts w:asciiTheme="minorBidi" w:hAnsiTheme="minorBidi" w:cstheme="minorBidi"/>
        </w:rPr>
        <w:t xml:space="preserve"> finance factors and investment decisions: A mediating role of risk perception. </w:t>
      </w:r>
      <w:r w:rsidRPr="00760296">
        <w:rPr>
          <w:rFonts w:asciiTheme="minorBidi" w:hAnsiTheme="minorBidi" w:cstheme="minorBidi"/>
          <w:i/>
          <w:iCs/>
        </w:rPr>
        <w:t>Cogent economics &amp; finance</w:t>
      </w:r>
      <w:r w:rsidRPr="00760296">
        <w:rPr>
          <w:rFonts w:asciiTheme="minorBidi" w:hAnsiTheme="minorBidi" w:cstheme="minorBidi"/>
        </w:rPr>
        <w:t xml:space="preserve">,  11(2). </w:t>
      </w:r>
      <w:hyperlink r:id="rId12" w:history="1">
        <w:r w:rsidRPr="00760296">
          <w:rPr>
            <w:rStyle w:val="Hyperlink"/>
            <w:rFonts w:asciiTheme="minorBidi" w:hAnsiTheme="minorBidi" w:cstheme="minorBidi"/>
          </w:rPr>
          <w:t>https://www.tandfonline.com/doi/full/10.1080/23322039.2023.2239032</w:t>
        </w:r>
      </w:hyperlink>
      <w:r w:rsidRPr="00760296">
        <w:rPr>
          <w:rFonts w:asciiTheme="minorBidi" w:hAnsiTheme="minorBidi" w:cstheme="minorBidi"/>
        </w:rPr>
        <w:t xml:space="preserve">. </w:t>
      </w:r>
    </w:p>
    <w:p w14:paraId="16653D20"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proofErr w:type="spellStart"/>
      <w:r w:rsidRPr="00760296">
        <w:rPr>
          <w:rFonts w:asciiTheme="minorBidi" w:hAnsiTheme="minorBidi" w:cstheme="minorBidi"/>
        </w:rPr>
        <w:t>Budiyanta</w:t>
      </w:r>
      <w:proofErr w:type="spellEnd"/>
      <w:r w:rsidRPr="00760296">
        <w:rPr>
          <w:rFonts w:asciiTheme="minorBidi" w:hAnsiTheme="minorBidi" w:cstheme="minorBidi"/>
        </w:rPr>
        <w:t xml:space="preserve">, W.A. (2021). A Literature Review of Net Profit Margin. </w:t>
      </w:r>
      <w:r w:rsidRPr="00760296">
        <w:rPr>
          <w:rFonts w:asciiTheme="minorBidi" w:hAnsiTheme="minorBidi" w:cstheme="minorBidi"/>
          <w:i/>
          <w:iCs/>
        </w:rPr>
        <w:t>Social Science Studies</w:t>
      </w:r>
      <w:r w:rsidRPr="00760296">
        <w:rPr>
          <w:rFonts w:asciiTheme="minorBidi" w:hAnsiTheme="minorBidi" w:cstheme="minorBidi"/>
        </w:rPr>
        <w:t xml:space="preserve">,  1(2), pp.115–128. </w:t>
      </w:r>
      <w:hyperlink r:id="rId13" w:history="1">
        <w:r w:rsidRPr="00760296">
          <w:rPr>
            <w:rStyle w:val="Hyperlink"/>
            <w:rFonts w:asciiTheme="minorBidi" w:hAnsiTheme="minorBidi" w:cstheme="minorBidi"/>
          </w:rPr>
          <w:t>https://www.researchgate.net/publication/355009554_A_Literature_Review_of_Net_Profit_Margin</w:t>
        </w:r>
      </w:hyperlink>
      <w:r w:rsidRPr="00760296">
        <w:rPr>
          <w:rFonts w:asciiTheme="minorBidi" w:hAnsiTheme="minorBidi" w:cstheme="minorBidi"/>
        </w:rPr>
        <w:t xml:space="preserve">. </w:t>
      </w:r>
    </w:p>
    <w:p w14:paraId="44E6B9B5"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r w:rsidRPr="00760296">
        <w:rPr>
          <w:rFonts w:asciiTheme="minorBidi" w:hAnsiTheme="minorBidi" w:cstheme="minorBidi"/>
        </w:rPr>
        <w:t xml:space="preserve">Burkart, M. and Zhong, H. (2022). Equity Issuance Methods and Dilution. </w:t>
      </w:r>
      <w:r w:rsidRPr="00760296">
        <w:rPr>
          <w:rFonts w:asciiTheme="minorBidi" w:hAnsiTheme="minorBidi" w:cstheme="minorBidi"/>
          <w:i/>
          <w:iCs/>
        </w:rPr>
        <w:t>The Review of Corporate Finance Studies</w:t>
      </w:r>
      <w:r w:rsidRPr="00760296">
        <w:rPr>
          <w:rFonts w:asciiTheme="minorBidi" w:hAnsiTheme="minorBidi" w:cstheme="minorBidi"/>
        </w:rPr>
        <w:t xml:space="preserve">,  12(1). </w:t>
      </w:r>
      <w:hyperlink r:id="rId14" w:history="1">
        <w:r w:rsidRPr="00760296">
          <w:rPr>
            <w:rStyle w:val="Hyperlink"/>
            <w:rFonts w:asciiTheme="minorBidi" w:hAnsiTheme="minorBidi" w:cstheme="minorBidi"/>
          </w:rPr>
          <w:t>https://academic.oup.com/rcfs/article/12/1/78/6673162</w:t>
        </w:r>
      </w:hyperlink>
      <w:r w:rsidRPr="00760296">
        <w:rPr>
          <w:rFonts w:asciiTheme="minorBidi" w:hAnsiTheme="minorBidi" w:cstheme="minorBidi"/>
        </w:rPr>
        <w:t xml:space="preserve">. </w:t>
      </w:r>
    </w:p>
    <w:p w14:paraId="626F40B9"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r w:rsidRPr="00760296">
        <w:rPr>
          <w:rFonts w:asciiTheme="minorBidi" w:hAnsiTheme="minorBidi" w:cstheme="minorBidi"/>
        </w:rPr>
        <w:t xml:space="preserve">Chen, X. (2022). Theoretical analysis of Net Present Value. </w:t>
      </w:r>
      <w:r w:rsidRPr="00760296">
        <w:rPr>
          <w:rFonts w:asciiTheme="minorBidi" w:hAnsiTheme="minorBidi" w:cstheme="minorBidi"/>
          <w:i/>
          <w:iCs/>
        </w:rPr>
        <w:t>BCP Business &amp; Management</w:t>
      </w:r>
      <w:r w:rsidRPr="00760296">
        <w:rPr>
          <w:rFonts w:asciiTheme="minorBidi" w:hAnsiTheme="minorBidi" w:cstheme="minorBidi"/>
        </w:rPr>
        <w:t xml:space="preserve">,  30(1), pp.683–687. </w:t>
      </w:r>
      <w:hyperlink r:id="rId15" w:history="1">
        <w:r w:rsidRPr="00760296">
          <w:rPr>
            <w:rStyle w:val="Hyperlink"/>
            <w:rFonts w:asciiTheme="minorBidi" w:hAnsiTheme="minorBidi" w:cstheme="minorBidi"/>
          </w:rPr>
          <w:t>https://www.researchgate.net/publication/364713880_Theoretical_Analysis_of_Net_Present_Value</w:t>
        </w:r>
      </w:hyperlink>
      <w:r w:rsidRPr="00760296">
        <w:rPr>
          <w:rFonts w:asciiTheme="minorBidi" w:hAnsiTheme="minorBidi" w:cstheme="minorBidi"/>
        </w:rPr>
        <w:t xml:space="preserve">. </w:t>
      </w:r>
    </w:p>
    <w:p w14:paraId="6112EF98"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r w:rsidRPr="00760296">
        <w:rPr>
          <w:rFonts w:asciiTheme="minorBidi" w:hAnsiTheme="minorBidi" w:cstheme="minorBidi"/>
        </w:rPr>
        <w:t xml:space="preserve">Cotter, E. (2023). </w:t>
      </w:r>
      <w:r w:rsidRPr="00760296">
        <w:rPr>
          <w:rFonts w:asciiTheme="minorBidi" w:hAnsiTheme="minorBidi" w:cstheme="minorBidi"/>
          <w:i/>
          <w:iCs/>
        </w:rPr>
        <w:t>Net Present Value and Payback Period: An Analysis Net Present Value and Payback Period: An Analysis</w:t>
      </w:r>
      <w:r w:rsidRPr="00760296">
        <w:rPr>
          <w:rFonts w:asciiTheme="minorBidi" w:hAnsiTheme="minorBidi" w:cstheme="minorBidi"/>
        </w:rPr>
        <w:t xml:space="preserve">.  </w:t>
      </w:r>
      <w:hyperlink r:id="rId16" w:history="1">
        <w:r w:rsidRPr="00760296">
          <w:rPr>
            <w:rStyle w:val="Hyperlink"/>
            <w:rFonts w:asciiTheme="minorBidi" w:hAnsiTheme="minorBidi" w:cstheme="minorBidi"/>
          </w:rPr>
          <w:t>https://scholarworks.wmich.edu/cgi/viewcontent.cgi?article=4808&amp;context=honors_theses</w:t>
        </w:r>
      </w:hyperlink>
      <w:r w:rsidRPr="00760296">
        <w:rPr>
          <w:rFonts w:asciiTheme="minorBidi" w:hAnsiTheme="minorBidi" w:cstheme="minorBidi"/>
        </w:rPr>
        <w:t xml:space="preserve">. </w:t>
      </w:r>
    </w:p>
    <w:p w14:paraId="2E7E73C2"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r w:rsidRPr="00760296">
        <w:rPr>
          <w:rFonts w:asciiTheme="minorBidi" w:hAnsiTheme="minorBidi" w:cstheme="minorBidi"/>
        </w:rPr>
        <w:t xml:space="preserve">Doh, H.S. and Feng, G. (2024). Renegotiable debt, liquidity injections and financial instability. </w:t>
      </w:r>
      <w:r w:rsidRPr="00760296">
        <w:rPr>
          <w:rFonts w:asciiTheme="minorBidi" w:hAnsiTheme="minorBidi" w:cstheme="minorBidi"/>
          <w:i/>
          <w:iCs/>
        </w:rPr>
        <w:t xml:space="preserve">Journal of Derivatives and Quantitative Studies: </w:t>
      </w:r>
      <w:r w:rsidRPr="00760296">
        <w:rPr>
          <w:rFonts w:asciiTheme="minorBidi" w:hAnsiTheme="minorBidi" w:cstheme="minorBidi"/>
        </w:rPr>
        <w:t xml:space="preserve">32(3), pp.182–199. </w:t>
      </w:r>
      <w:hyperlink r:id="rId17" w:history="1">
        <w:r w:rsidRPr="00760296">
          <w:rPr>
            <w:rStyle w:val="Hyperlink"/>
            <w:rFonts w:asciiTheme="minorBidi" w:hAnsiTheme="minorBidi" w:cstheme="minorBidi"/>
          </w:rPr>
          <w:t>https://www.emerald.com/jdqs/article/32/3/182/1216659/Renegotiable-debt-liquidity-injections-and</w:t>
        </w:r>
      </w:hyperlink>
      <w:r w:rsidRPr="00760296">
        <w:rPr>
          <w:rFonts w:asciiTheme="minorBidi" w:hAnsiTheme="minorBidi" w:cstheme="minorBidi"/>
        </w:rPr>
        <w:t xml:space="preserve"> </w:t>
      </w:r>
    </w:p>
    <w:p w14:paraId="442BB5A3"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proofErr w:type="spellStart"/>
      <w:r w:rsidRPr="00760296">
        <w:rPr>
          <w:rFonts w:asciiTheme="minorBidi" w:hAnsiTheme="minorBidi" w:cstheme="minorBidi"/>
        </w:rPr>
        <w:t>Esmail</w:t>
      </w:r>
      <w:proofErr w:type="spellEnd"/>
      <w:r w:rsidRPr="00760296">
        <w:rPr>
          <w:rFonts w:asciiTheme="minorBidi" w:hAnsiTheme="minorBidi" w:cstheme="minorBidi"/>
        </w:rPr>
        <w:t xml:space="preserve">, A. (2024). </w:t>
      </w:r>
      <w:r w:rsidRPr="00760296">
        <w:rPr>
          <w:rFonts w:asciiTheme="minorBidi" w:hAnsiTheme="minorBidi" w:cstheme="minorBidi"/>
          <w:i/>
          <w:iCs/>
        </w:rPr>
        <w:t>Inventory Management</w:t>
      </w:r>
      <w:r w:rsidRPr="00760296">
        <w:rPr>
          <w:rFonts w:asciiTheme="minorBidi" w:hAnsiTheme="minorBidi" w:cstheme="minorBidi"/>
        </w:rPr>
        <w:t xml:space="preserve">.  ResearchGate. </w:t>
      </w:r>
      <w:hyperlink r:id="rId18" w:history="1">
        <w:r w:rsidRPr="00760296">
          <w:rPr>
            <w:rStyle w:val="Hyperlink"/>
            <w:rFonts w:asciiTheme="minorBidi" w:hAnsiTheme="minorBidi" w:cstheme="minorBidi"/>
          </w:rPr>
          <w:t>https://www.researchgate.net/publication/377950441_Inventory_Management</w:t>
        </w:r>
      </w:hyperlink>
      <w:r w:rsidRPr="00760296">
        <w:rPr>
          <w:rFonts w:asciiTheme="minorBidi" w:hAnsiTheme="minorBidi" w:cstheme="minorBidi"/>
        </w:rPr>
        <w:t xml:space="preserve">. </w:t>
      </w:r>
    </w:p>
    <w:p w14:paraId="5BE41816"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r w:rsidRPr="00760296">
        <w:rPr>
          <w:rFonts w:asciiTheme="minorBidi" w:hAnsiTheme="minorBidi" w:cstheme="minorBidi"/>
        </w:rPr>
        <w:t xml:space="preserve">Galil, K., </w:t>
      </w:r>
      <w:proofErr w:type="spellStart"/>
      <w:r w:rsidRPr="00760296">
        <w:rPr>
          <w:rFonts w:asciiTheme="minorBidi" w:hAnsiTheme="minorBidi" w:cstheme="minorBidi"/>
        </w:rPr>
        <w:t>Shapir</w:t>
      </w:r>
      <w:proofErr w:type="spellEnd"/>
      <w:r w:rsidRPr="00760296">
        <w:rPr>
          <w:rFonts w:asciiTheme="minorBidi" w:hAnsiTheme="minorBidi" w:cstheme="minorBidi"/>
        </w:rPr>
        <w:t xml:space="preserve">, O.M. and </w:t>
      </w:r>
      <w:proofErr w:type="spellStart"/>
      <w:r w:rsidRPr="00760296">
        <w:rPr>
          <w:rFonts w:asciiTheme="minorBidi" w:hAnsiTheme="minorBidi" w:cstheme="minorBidi"/>
        </w:rPr>
        <w:t>Zeidan</w:t>
      </w:r>
      <w:proofErr w:type="spellEnd"/>
      <w:r w:rsidRPr="00760296">
        <w:rPr>
          <w:rFonts w:asciiTheme="minorBidi" w:hAnsiTheme="minorBidi" w:cstheme="minorBidi"/>
        </w:rPr>
        <w:t xml:space="preserve">, R. (2025). Country financial development and the extension of trade credit by firms with market power. </w:t>
      </w:r>
      <w:r w:rsidRPr="00760296">
        <w:rPr>
          <w:rFonts w:asciiTheme="minorBidi" w:hAnsiTheme="minorBidi" w:cstheme="minorBidi"/>
          <w:i/>
          <w:iCs/>
        </w:rPr>
        <w:t>Journal of Banking &amp; Finance</w:t>
      </w:r>
      <w:r w:rsidRPr="00760296">
        <w:rPr>
          <w:rFonts w:asciiTheme="minorBidi" w:hAnsiTheme="minorBidi" w:cstheme="minorBidi"/>
        </w:rPr>
        <w:t xml:space="preserve">,  178, p.107516. </w:t>
      </w:r>
      <w:hyperlink r:id="rId19" w:history="1">
        <w:r w:rsidRPr="00760296">
          <w:rPr>
            <w:rStyle w:val="Hyperlink"/>
            <w:rFonts w:asciiTheme="minorBidi" w:hAnsiTheme="minorBidi" w:cstheme="minorBidi"/>
          </w:rPr>
          <w:t>https://www.sciencedirect.com/science/article/abs/pii/S0378426625001360</w:t>
        </w:r>
      </w:hyperlink>
      <w:r w:rsidRPr="00760296">
        <w:rPr>
          <w:rFonts w:asciiTheme="minorBidi" w:hAnsiTheme="minorBidi" w:cstheme="minorBidi"/>
        </w:rPr>
        <w:t xml:space="preserve">. </w:t>
      </w:r>
    </w:p>
    <w:p w14:paraId="587CF715"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r w:rsidRPr="00760296">
        <w:rPr>
          <w:rFonts w:asciiTheme="minorBidi" w:hAnsiTheme="minorBidi" w:cstheme="minorBidi"/>
        </w:rPr>
        <w:t xml:space="preserve">General Electric (2019). </w:t>
      </w:r>
      <w:r w:rsidRPr="00760296">
        <w:rPr>
          <w:rFonts w:asciiTheme="minorBidi" w:hAnsiTheme="minorBidi" w:cstheme="minorBidi"/>
          <w:i/>
          <w:iCs/>
        </w:rPr>
        <w:t>About GE - General Electric Company</w:t>
      </w:r>
      <w:r w:rsidRPr="00760296">
        <w:rPr>
          <w:rFonts w:asciiTheme="minorBidi" w:hAnsiTheme="minorBidi" w:cstheme="minorBidi"/>
        </w:rPr>
        <w:t xml:space="preserve">.  Ge.com. Available at: </w:t>
      </w:r>
      <w:hyperlink r:id="rId20" w:history="1">
        <w:r w:rsidRPr="00760296">
          <w:rPr>
            <w:rStyle w:val="Hyperlink"/>
            <w:rFonts w:asciiTheme="minorBidi" w:hAnsiTheme="minorBidi" w:cstheme="minorBidi"/>
          </w:rPr>
          <w:t>https://www.ge.com/about-us</w:t>
        </w:r>
      </w:hyperlink>
      <w:r w:rsidRPr="00760296">
        <w:rPr>
          <w:rFonts w:asciiTheme="minorBidi" w:hAnsiTheme="minorBidi" w:cstheme="minorBidi"/>
        </w:rPr>
        <w:t xml:space="preserve">  [Accessed 4 Nov. 2025].</w:t>
      </w:r>
    </w:p>
    <w:p w14:paraId="4D1FBA78"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proofErr w:type="spellStart"/>
      <w:r w:rsidRPr="00760296">
        <w:rPr>
          <w:rFonts w:asciiTheme="minorBidi" w:hAnsiTheme="minorBidi" w:cstheme="minorBidi"/>
        </w:rPr>
        <w:t>Ghaeli</w:t>
      </w:r>
      <w:proofErr w:type="spellEnd"/>
      <w:r w:rsidRPr="00760296">
        <w:rPr>
          <w:rFonts w:asciiTheme="minorBidi" w:hAnsiTheme="minorBidi" w:cstheme="minorBidi"/>
        </w:rPr>
        <w:t xml:space="preserve">, R. (2020). </w:t>
      </w:r>
      <w:r w:rsidRPr="00760296">
        <w:rPr>
          <w:rFonts w:asciiTheme="minorBidi" w:hAnsiTheme="minorBidi" w:cstheme="minorBidi"/>
          <w:i/>
          <w:iCs/>
        </w:rPr>
        <w:t>Price-to-earnings ratio: a state-of-art Review</w:t>
      </w:r>
      <w:r w:rsidRPr="00760296">
        <w:rPr>
          <w:rFonts w:asciiTheme="minorBidi" w:hAnsiTheme="minorBidi" w:cstheme="minorBidi"/>
        </w:rPr>
        <w:t xml:space="preserve">.  ResearchGate. </w:t>
      </w:r>
      <w:hyperlink r:id="rId21" w:history="1">
        <w:r w:rsidRPr="00760296">
          <w:rPr>
            <w:rStyle w:val="Hyperlink"/>
            <w:rFonts w:asciiTheme="minorBidi" w:hAnsiTheme="minorBidi" w:cstheme="minorBidi"/>
          </w:rPr>
          <w:t>https://www.researchgate.net/publication/311994864_Price-to-earnings_ratio_A_state-of-art_review</w:t>
        </w:r>
      </w:hyperlink>
      <w:r w:rsidRPr="00760296">
        <w:rPr>
          <w:rFonts w:asciiTheme="minorBidi" w:hAnsiTheme="minorBidi" w:cstheme="minorBidi"/>
        </w:rPr>
        <w:t xml:space="preserve">. </w:t>
      </w:r>
    </w:p>
    <w:p w14:paraId="55415F44"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r w:rsidRPr="00760296">
        <w:rPr>
          <w:rFonts w:asciiTheme="minorBidi" w:hAnsiTheme="minorBidi" w:cstheme="minorBidi"/>
        </w:rPr>
        <w:t xml:space="preserve">Gordon, L.A. (2020). Accounting Rate of Return vs. Economic Rate of Return. </w:t>
      </w:r>
      <w:r w:rsidRPr="00760296">
        <w:rPr>
          <w:rFonts w:asciiTheme="minorBidi" w:hAnsiTheme="minorBidi" w:cstheme="minorBidi"/>
          <w:i/>
          <w:iCs/>
        </w:rPr>
        <w:t>Journal of Business Finance &amp; Accounting</w:t>
      </w:r>
      <w:r w:rsidRPr="00760296">
        <w:rPr>
          <w:rFonts w:asciiTheme="minorBidi" w:hAnsiTheme="minorBidi" w:cstheme="minorBidi"/>
        </w:rPr>
        <w:t xml:space="preserve">, 1(3), pp.343–356. </w:t>
      </w:r>
      <w:hyperlink r:id="rId22" w:history="1">
        <w:r w:rsidRPr="00760296">
          <w:rPr>
            <w:rStyle w:val="Hyperlink"/>
            <w:rFonts w:asciiTheme="minorBidi" w:hAnsiTheme="minorBidi" w:cstheme="minorBidi"/>
          </w:rPr>
          <w:t>https://www.researchgate.net/publication/229624572_Accounting_Rate_of_Return_Vs_Economic_Rate_of_Return</w:t>
        </w:r>
      </w:hyperlink>
      <w:r w:rsidRPr="00760296">
        <w:rPr>
          <w:rFonts w:asciiTheme="minorBidi" w:hAnsiTheme="minorBidi" w:cstheme="minorBidi"/>
        </w:rPr>
        <w:t xml:space="preserve">. </w:t>
      </w:r>
    </w:p>
    <w:p w14:paraId="47F08D18"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proofErr w:type="spellStart"/>
      <w:r w:rsidRPr="00760296">
        <w:rPr>
          <w:rFonts w:asciiTheme="minorBidi" w:hAnsiTheme="minorBidi" w:cstheme="minorBidi"/>
        </w:rPr>
        <w:t>Handoyo</w:t>
      </w:r>
      <w:proofErr w:type="spellEnd"/>
      <w:r w:rsidRPr="00760296">
        <w:rPr>
          <w:rFonts w:asciiTheme="minorBidi" w:hAnsiTheme="minorBidi" w:cstheme="minorBidi"/>
        </w:rPr>
        <w:t xml:space="preserve">, S., </w:t>
      </w:r>
      <w:proofErr w:type="spellStart"/>
      <w:r w:rsidRPr="00760296">
        <w:rPr>
          <w:rFonts w:asciiTheme="minorBidi" w:hAnsiTheme="minorBidi" w:cstheme="minorBidi"/>
        </w:rPr>
        <w:t>Suharman</w:t>
      </w:r>
      <w:proofErr w:type="spellEnd"/>
      <w:r w:rsidRPr="00760296">
        <w:rPr>
          <w:rFonts w:asciiTheme="minorBidi" w:hAnsiTheme="minorBidi" w:cstheme="minorBidi"/>
        </w:rPr>
        <w:t xml:space="preserve">, H., Ghani, E.K. and </w:t>
      </w:r>
      <w:proofErr w:type="spellStart"/>
      <w:r w:rsidRPr="00760296">
        <w:rPr>
          <w:rFonts w:asciiTheme="minorBidi" w:hAnsiTheme="minorBidi" w:cstheme="minorBidi"/>
        </w:rPr>
        <w:t>Soedarsono</w:t>
      </w:r>
      <w:proofErr w:type="spellEnd"/>
      <w:r w:rsidRPr="00760296">
        <w:rPr>
          <w:rFonts w:asciiTheme="minorBidi" w:hAnsiTheme="minorBidi" w:cstheme="minorBidi"/>
        </w:rPr>
        <w:t xml:space="preserve">, S. (2023). A business strategy, operational efficiency, ownership structure, and manufacturing performance: The moderating role of market uncertainty and competition intensity and its implication on open innovation. </w:t>
      </w:r>
      <w:r w:rsidRPr="00760296">
        <w:rPr>
          <w:rFonts w:asciiTheme="minorBidi" w:hAnsiTheme="minorBidi" w:cstheme="minorBidi"/>
          <w:i/>
          <w:iCs/>
        </w:rPr>
        <w:t>Journal of Open Innovation: Technology, Market, and Complexity</w:t>
      </w:r>
      <w:r w:rsidRPr="00760296">
        <w:rPr>
          <w:rFonts w:asciiTheme="minorBidi" w:hAnsiTheme="minorBidi" w:cstheme="minorBidi"/>
        </w:rPr>
        <w:t xml:space="preserve">, 9(2). </w:t>
      </w:r>
      <w:hyperlink r:id="rId23" w:history="1">
        <w:r w:rsidRPr="00760296">
          <w:rPr>
            <w:rStyle w:val="Hyperlink"/>
            <w:rFonts w:asciiTheme="minorBidi" w:hAnsiTheme="minorBidi" w:cstheme="minorBidi"/>
          </w:rPr>
          <w:t>https://www.sciencedirect.com/science/article/pii/S2199853123001415</w:t>
        </w:r>
      </w:hyperlink>
      <w:r w:rsidRPr="00760296">
        <w:rPr>
          <w:rFonts w:asciiTheme="minorBidi" w:hAnsiTheme="minorBidi" w:cstheme="minorBidi"/>
        </w:rPr>
        <w:t xml:space="preserve">. </w:t>
      </w:r>
    </w:p>
    <w:p w14:paraId="72619FF1"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r w:rsidRPr="00760296">
        <w:rPr>
          <w:rFonts w:asciiTheme="minorBidi" w:hAnsiTheme="minorBidi" w:cstheme="minorBidi"/>
        </w:rPr>
        <w:t xml:space="preserve">Hempel, S., Li, Y. and </w:t>
      </w:r>
      <w:proofErr w:type="spellStart"/>
      <w:r w:rsidRPr="00760296">
        <w:rPr>
          <w:rFonts w:asciiTheme="minorBidi" w:hAnsiTheme="minorBidi" w:cstheme="minorBidi"/>
        </w:rPr>
        <w:t>Tibay</w:t>
      </w:r>
      <w:proofErr w:type="spellEnd"/>
      <w:r w:rsidRPr="00760296">
        <w:rPr>
          <w:rFonts w:asciiTheme="minorBidi" w:hAnsiTheme="minorBidi" w:cstheme="minorBidi"/>
        </w:rPr>
        <w:t xml:space="preserve">, S. (2024). Firms’ financing choice between short-term and long-term debts: Are they substitutes? </w:t>
      </w:r>
      <w:r w:rsidRPr="00760296">
        <w:rPr>
          <w:rFonts w:asciiTheme="minorBidi" w:hAnsiTheme="minorBidi" w:cstheme="minorBidi"/>
          <w:i/>
          <w:iCs/>
        </w:rPr>
        <w:t>www.federalreserve.gov</w:t>
      </w:r>
      <w:r w:rsidRPr="00760296">
        <w:rPr>
          <w:rFonts w:asciiTheme="minorBidi" w:hAnsiTheme="minorBidi" w:cstheme="minorBidi"/>
        </w:rPr>
        <w:t xml:space="preserve">.  </w:t>
      </w:r>
      <w:hyperlink r:id="rId24" w:history="1">
        <w:r w:rsidRPr="00760296">
          <w:rPr>
            <w:rStyle w:val="Hyperlink"/>
            <w:rFonts w:asciiTheme="minorBidi" w:hAnsiTheme="minorBidi" w:cstheme="minorBidi"/>
          </w:rPr>
          <w:t>https://www.federalreserve.gov/econres/notes/feds-notes/firms-financing-choice-between-short-term-and-long-term-debts-are-they-substitutes-20240503.html</w:t>
        </w:r>
      </w:hyperlink>
      <w:r w:rsidRPr="00760296">
        <w:rPr>
          <w:rFonts w:asciiTheme="minorBidi" w:hAnsiTheme="minorBidi" w:cstheme="minorBidi"/>
        </w:rPr>
        <w:t xml:space="preserve">. </w:t>
      </w:r>
    </w:p>
    <w:p w14:paraId="2641D2AB"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r w:rsidRPr="00760296">
        <w:rPr>
          <w:rFonts w:asciiTheme="minorBidi" w:hAnsiTheme="minorBidi" w:cstheme="minorBidi"/>
        </w:rPr>
        <w:t xml:space="preserve">Hossain, M.S. (2021). Merger &amp; Acquisitions (M&amp;As) as an Important Strategic Vehicle in business: Thematic areas, Research Avenues &amp; Possible Suggestions. </w:t>
      </w:r>
      <w:r w:rsidRPr="00760296">
        <w:rPr>
          <w:rFonts w:asciiTheme="minorBidi" w:hAnsiTheme="minorBidi" w:cstheme="minorBidi"/>
          <w:i/>
          <w:iCs/>
        </w:rPr>
        <w:t>Journal of Economics and Business</w:t>
      </w:r>
      <w:r w:rsidRPr="00760296">
        <w:rPr>
          <w:rFonts w:asciiTheme="minorBidi" w:hAnsiTheme="minorBidi" w:cstheme="minorBidi"/>
        </w:rPr>
        <w:t xml:space="preserve">,  116(1), p.106004. </w:t>
      </w:r>
      <w:hyperlink r:id="rId25" w:history="1">
        <w:r w:rsidRPr="00760296">
          <w:rPr>
            <w:rStyle w:val="Hyperlink"/>
            <w:rFonts w:asciiTheme="minorBidi" w:hAnsiTheme="minorBidi" w:cstheme="minorBidi"/>
          </w:rPr>
          <w:t>https://doi.org/10.1016/j.jeconbus.2021.106004</w:t>
        </w:r>
      </w:hyperlink>
      <w:r w:rsidRPr="00760296">
        <w:rPr>
          <w:rFonts w:asciiTheme="minorBidi" w:hAnsiTheme="minorBidi" w:cstheme="minorBidi"/>
        </w:rPr>
        <w:t xml:space="preserve">. </w:t>
      </w:r>
    </w:p>
    <w:p w14:paraId="463BB62C"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r w:rsidRPr="00760296">
        <w:rPr>
          <w:rFonts w:asciiTheme="minorBidi" w:hAnsiTheme="minorBidi" w:cstheme="minorBidi"/>
        </w:rPr>
        <w:t>Kaka, A. and Lewis, J. (2003). Development of a company</w:t>
      </w:r>
      <w:r w:rsidRPr="00760296">
        <w:rPr>
          <w:rFonts w:ascii="Cambria Math" w:hAnsi="Cambria Math" w:cs="Cambria Math"/>
        </w:rPr>
        <w:t>‐</w:t>
      </w:r>
      <w:r w:rsidRPr="00760296">
        <w:rPr>
          <w:rFonts w:asciiTheme="minorBidi" w:hAnsiTheme="minorBidi" w:cstheme="minorBidi"/>
        </w:rPr>
        <w:t xml:space="preserve">level dynamic cash flow forecasting model (DYCAFF). </w:t>
      </w:r>
      <w:r w:rsidRPr="00760296">
        <w:rPr>
          <w:rFonts w:asciiTheme="minorBidi" w:hAnsiTheme="minorBidi" w:cstheme="minorBidi"/>
          <w:i/>
          <w:iCs/>
        </w:rPr>
        <w:t>Construction Management and Economics</w:t>
      </w:r>
      <w:r w:rsidRPr="00760296">
        <w:rPr>
          <w:rFonts w:asciiTheme="minorBidi" w:hAnsiTheme="minorBidi" w:cstheme="minorBidi"/>
        </w:rPr>
        <w:t xml:space="preserve">, 21(7), pp.693–705. </w:t>
      </w:r>
      <w:hyperlink r:id="rId26" w:history="1">
        <w:r w:rsidRPr="00760296">
          <w:rPr>
            <w:rStyle w:val="Hyperlink"/>
            <w:rFonts w:asciiTheme="minorBidi" w:hAnsiTheme="minorBidi" w:cstheme="minorBidi"/>
          </w:rPr>
          <w:t>https://www.tandfonline.com/doi/abs/10.1080/0144619032000116561</w:t>
        </w:r>
      </w:hyperlink>
      <w:r w:rsidRPr="00760296">
        <w:rPr>
          <w:rFonts w:asciiTheme="minorBidi" w:hAnsiTheme="minorBidi" w:cstheme="minorBidi"/>
        </w:rPr>
        <w:t xml:space="preserve">. </w:t>
      </w:r>
    </w:p>
    <w:p w14:paraId="7BC89DD5"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r w:rsidRPr="00760296">
        <w:rPr>
          <w:rFonts w:asciiTheme="minorBidi" w:hAnsiTheme="minorBidi" w:cstheme="minorBidi"/>
        </w:rPr>
        <w:t xml:space="preserve">Li, K. (2023). Liquidity ratios and corporate failures. </w:t>
      </w:r>
      <w:r w:rsidRPr="00760296">
        <w:rPr>
          <w:rFonts w:asciiTheme="minorBidi" w:hAnsiTheme="minorBidi" w:cstheme="minorBidi"/>
          <w:i/>
          <w:iCs/>
        </w:rPr>
        <w:t>Accounting and finance</w:t>
      </w:r>
      <w:r w:rsidRPr="00760296">
        <w:rPr>
          <w:rFonts w:asciiTheme="minorBidi" w:hAnsiTheme="minorBidi" w:cstheme="minorBidi"/>
        </w:rPr>
        <w:t xml:space="preserve">, 64(1). </w:t>
      </w:r>
      <w:hyperlink r:id="rId27" w:history="1">
        <w:r w:rsidRPr="00760296">
          <w:rPr>
            <w:rStyle w:val="Hyperlink"/>
            <w:rFonts w:asciiTheme="minorBidi" w:hAnsiTheme="minorBidi" w:cstheme="minorBidi"/>
          </w:rPr>
          <w:t>https://onlinelibrary.wiley.com/doi/full/10.1111/acfi.13174</w:t>
        </w:r>
      </w:hyperlink>
      <w:r w:rsidRPr="00760296">
        <w:rPr>
          <w:rFonts w:asciiTheme="minorBidi" w:hAnsiTheme="minorBidi" w:cstheme="minorBidi"/>
        </w:rPr>
        <w:t xml:space="preserve">. </w:t>
      </w:r>
    </w:p>
    <w:p w14:paraId="5A5BEB24"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r w:rsidRPr="00760296">
        <w:rPr>
          <w:rFonts w:asciiTheme="minorBidi" w:hAnsiTheme="minorBidi" w:cstheme="minorBidi"/>
        </w:rPr>
        <w:t xml:space="preserve">Lotto, J. (2019). Evaluation of factors influencing bank operating efficiency in Tanzanian banking sector. </w:t>
      </w:r>
      <w:r w:rsidRPr="00760296">
        <w:rPr>
          <w:rFonts w:asciiTheme="minorBidi" w:hAnsiTheme="minorBidi" w:cstheme="minorBidi"/>
          <w:i/>
          <w:iCs/>
        </w:rPr>
        <w:t>Cogent Economics &amp; Finance</w:t>
      </w:r>
      <w:r w:rsidRPr="00760296">
        <w:rPr>
          <w:rFonts w:asciiTheme="minorBidi" w:hAnsiTheme="minorBidi" w:cstheme="minorBidi"/>
        </w:rPr>
        <w:t xml:space="preserve">, 7(1). </w:t>
      </w:r>
      <w:hyperlink r:id="rId28" w:history="1">
        <w:r w:rsidRPr="00760296">
          <w:rPr>
            <w:rStyle w:val="Hyperlink"/>
            <w:rFonts w:asciiTheme="minorBidi" w:hAnsiTheme="minorBidi" w:cstheme="minorBidi"/>
          </w:rPr>
          <w:t>https://doi.org/10.1080/23322039.2019.1664192</w:t>
        </w:r>
      </w:hyperlink>
      <w:r w:rsidRPr="00760296">
        <w:rPr>
          <w:rFonts w:asciiTheme="minorBidi" w:hAnsiTheme="minorBidi" w:cstheme="minorBidi"/>
        </w:rPr>
        <w:t xml:space="preserve">. </w:t>
      </w:r>
    </w:p>
    <w:p w14:paraId="13589A2C"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r w:rsidRPr="00760296">
        <w:rPr>
          <w:rFonts w:asciiTheme="minorBidi" w:hAnsiTheme="minorBidi" w:cstheme="minorBidi"/>
        </w:rPr>
        <w:t xml:space="preserve">Mahdi, M. and </w:t>
      </w:r>
      <w:proofErr w:type="spellStart"/>
      <w:r w:rsidRPr="00760296">
        <w:rPr>
          <w:rFonts w:asciiTheme="minorBidi" w:hAnsiTheme="minorBidi" w:cstheme="minorBidi"/>
        </w:rPr>
        <w:t>Khaddafi</w:t>
      </w:r>
      <w:proofErr w:type="spellEnd"/>
      <w:r w:rsidRPr="00760296">
        <w:rPr>
          <w:rFonts w:asciiTheme="minorBidi" w:hAnsiTheme="minorBidi" w:cstheme="minorBidi"/>
        </w:rPr>
        <w:t xml:space="preserve">, M. (2020). </w:t>
      </w:r>
      <w:r w:rsidRPr="00760296">
        <w:rPr>
          <w:rFonts w:asciiTheme="minorBidi" w:hAnsiTheme="minorBidi" w:cstheme="minorBidi"/>
          <w:i/>
          <w:iCs/>
        </w:rPr>
        <w:t>The Influence of Gross Profit Margin, Operating Profit Margin and Net Profit Margin on the Stock Price of Consumer Good Industry in the Indonesia Stock Exchange on 2012-2014</w:t>
      </w:r>
      <w:r w:rsidRPr="00760296">
        <w:rPr>
          <w:rFonts w:asciiTheme="minorBidi" w:hAnsiTheme="minorBidi" w:cstheme="minorBidi"/>
        </w:rPr>
        <w:t xml:space="preserve">.  ResearchGate. </w:t>
      </w:r>
      <w:hyperlink r:id="rId29" w:history="1">
        <w:r w:rsidRPr="00760296">
          <w:rPr>
            <w:rStyle w:val="Hyperlink"/>
            <w:rFonts w:asciiTheme="minorBidi" w:hAnsiTheme="minorBidi" w:cstheme="minorBidi"/>
          </w:rPr>
          <w:t>https://www.researchgate.net/publication/346297688_The_Influence_of_Gross_Profit_Margin_Operating_Profit_Margin_and_Net_Profit_Margin_on_the_Stock_Price_of_Consumer_Good_Industry_in_the_Indonesia_Stock_Exchange_on_2012-2014</w:t>
        </w:r>
      </w:hyperlink>
      <w:r w:rsidRPr="00760296">
        <w:rPr>
          <w:rFonts w:asciiTheme="minorBidi" w:hAnsiTheme="minorBidi" w:cstheme="minorBidi"/>
        </w:rPr>
        <w:t xml:space="preserve">. </w:t>
      </w:r>
    </w:p>
    <w:p w14:paraId="491F5882"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r w:rsidRPr="00760296">
        <w:rPr>
          <w:rFonts w:asciiTheme="minorBidi" w:hAnsiTheme="minorBidi" w:cstheme="minorBidi"/>
        </w:rPr>
        <w:t xml:space="preserve">Martini, R., </w:t>
      </w:r>
      <w:proofErr w:type="spellStart"/>
      <w:r w:rsidRPr="00760296">
        <w:rPr>
          <w:rFonts w:asciiTheme="minorBidi" w:hAnsiTheme="minorBidi" w:cstheme="minorBidi"/>
        </w:rPr>
        <w:t>Sulaiman</w:t>
      </w:r>
      <w:proofErr w:type="spellEnd"/>
      <w:r w:rsidRPr="00760296">
        <w:rPr>
          <w:rFonts w:asciiTheme="minorBidi" w:hAnsiTheme="minorBidi" w:cstheme="minorBidi"/>
        </w:rPr>
        <w:t xml:space="preserve">, S., Sari, K., </w:t>
      </w:r>
      <w:proofErr w:type="spellStart"/>
      <w:r w:rsidRPr="00760296">
        <w:rPr>
          <w:rFonts w:asciiTheme="minorBidi" w:hAnsiTheme="minorBidi" w:cstheme="minorBidi"/>
        </w:rPr>
        <w:t>Sauky</w:t>
      </w:r>
      <w:proofErr w:type="spellEnd"/>
      <w:r w:rsidRPr="00760296">
        <w:rPr>
          <w:rFonts w:asciiTheme="minorBidi" w:hAnsiTheme="minorBidi" w:cstheme="minorBidi"/>
        </w:rPr>
        <w:t xml:space="preserve">, K. and </w:t>
      </w:r>
      <w:proofErr w:type="spellStart"/>
      <w:r w:rsidRPr="00760296">
        <w:rPr>
          <w:rFonts w:asciiTheme="minorBidi" w:hAnsiTheme="minorBidi" w:cstheme="minorBidi"/>
        </w:rPr>
        <w:t>Hartati</w:t>
      </w:r>
      <w:proofErr w:type="spellEnd"/>
      <w:r w:rsidRPr="00760296">
        <w:rPr>
          <w:rFonts w:asciiTheme="minorBidi" w:hAnsiTheme="minorBidi" w:cstheme="minorBidi"/>
        </w:rPr>
        <w:t xml:space="preserve">, S. (2023). Components Affecting Changes in Gross Profit and Net Profit Initiation. </w:t>
      </w:r>
      <w:r w:rsidRPr="00760296">
        <w:rPr>
          <w:rFonts w:asciiTheme="minorBidi" w:hAnsiTheme="minorBidi" w:cstheme="minorBidi"/>
          <w:i/>
          <w:iCs/>
        </w:rPr>
        <w:t>International Journal of Research in Vocational Studies (IJRVOCAS)</w:t>
      </w:r>
      <w:r w:rsidRPr="00760296">
        <w:rPr>
          <w:rFonts w:asciiTheme="minorBidi" w:hAnsiTheme="minorBidi" w:cstheme="minorBidi"/>
        </w:rPr>
        <w:t xml:space="preserve">, 3(1), pp.45–51. </w:t>
      </w:r>
      <w:hyperlink r:id="rId30" w:history="1">
        <w:r w:rsidRPr="00760296">
          <w:rPr>
            <w:rStyle w:val="Hyperlink"/>
            <w:rFonts w:asciiTheme="minorBidi" w:hAnsiTheme="minorBidi" w:cstheme="minorBidi"/>
          </w:rPr>
          <w:t>http://journal.gpp.or.id/index.php/ijrvocas/article/view/169</w:t>
        </w:r>
      </w:hyperlink>
      <w:r w:rsidRPr="00760296">
        <w:rPr>
          <w:rFonts w:asciiTheme="minorBidi" w:hAnsiTheme="minorBidi" w:cstheme="minorBidi"/>
        </w:rPr>
        <w:t xml:space="preserve">. </w:t>
      </w:r>
    </w:p>
    <w:p w14:paraId="52935ADA"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r w:rsidRPr="00760296">
        <w:rPr>
          <w:rFonts w:asciiTheme="minorBidi" w:hAnsiTheme="minorBidi" w:cstheme="minorBidi"/>
        </w:rPr>
        <w:t xml:space="preserve">Massa, M. and Zhang, L. (2020). Bank credit tightening, debt market frictions, and corporate yield spreads. </w:t>
      </w:r>
      <w:r w:rsidRPr="00760296">
        <w:rPr>
          <w:rFonts w:asciiTheme="minorBidi" w:hAnsiTheme="minorBidi" w:cstheme="minorBidi"/>
          <w:i/>
          <w:iCs/>
        </w:rPr>
        <w:t>Journal of Financial Markets</w:t>
      </w:r>
      <w:r w:rsidRPr="00760296">
        <w:rPr>
          <w:rFonts w:asciiTheme="minorBidi" w:hAnsiTheme="minorBidi" w:cstheme="minorBidi"/>
        </w:rPr>
        <w:t xml:space="preserve">, p.100603. </w:t>
      </w:r>
      <w:hyperlink r:id="rId31" w:history="1">
        <w:r w:rsidRPr="00760296">
          <w:rPr>
            <w:rStyle w:val="Hyperlink"/>
            <w:rFonts w:asciiTheme="minorBidi" w:hAnsiTheme="minorBidi" w:cstheme="minorBidi"/>
          </w:rPr>
          <w:t>https://www.sciencedirect.com/science/article/abs/pii/S1386418120300720</w:t>
        </w:r>
      </w:hyperlink>
      <w:r w:rsidRPr="00760296">
        <w:rPr>
          <w:rFonts w:asciiTheme="minorBidi" w:hAnsiTheme="minorBidi" w:cstheme="minorBidi"/>
        </w:rPr>
        <w:t xml:space="preserve"> </w:t>
      </w:r>
    </w:p>
    <w:p w14:paraId="7A113F0C"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proofErr w:type="spellStart"/>
      <w:r w:rsidRPr="00760296">
        <w:rPr>
          <w:rFonts w:asciiTheme="minorBidi" w:hAnsiTheme="minorBidi" w:cstheme="minorBidi"/>
        </w:rPr>
        <w:t>Moradlou</w:t>
      </w:r>
      <w:proofErr w:type="spellEnd"/>
      <w:r w:rsidRPr="00760296">
        <w:rPr>
          <w:rFonts w:asciiTheme="minorBidi" w:hAnsiTheme="minorBidi" w:cstheme="minorBidi"/>
        </w:rPr>
        <w:t xml:space="preserve">, H., </w:t>
      </w:r>
      <w:proofErr w:type="spellStart"/>
      <w:r w:rsidRPr="00760296">
        <w:rPr>
          <w:rFonts w:asciiTheme="minorBidi" w:hAnsiTheme="minorBidi" w:cstheme="minorBidi"/>
        </w:rPr>
        <w:t>Boffelli</w:t>
      </w:r>
      <w:proofErr w:type="spellEnd"/>
      <w:r w:rsidRPr="00760296">
        <w:rPr>
          <w:rFonts w:asciiTheme="minorBidi" w:hAnsiTheme="minorBidi" w:cstheme="minorBidi"/>
        </w:rPr>
        <w:t xml:space="preserve">, A., </w:t>
      </w:r>
      <w:proofErr w:type="spellStart"/>
      <w:r w:rsidRPr="00760296">
        <w:rPr>
          <w:rFonts w:asciiTheme="minorBidi" w:hAnsiTheme="minorBidi" w:cstheme="minorBidi"/>
        </w:rPr>
        <w:t>Mwesiumo</w:t>
      </w:r>
      <w:proofErr w:type="spellEnd"/>
      <w:r w:rsidRPr="00760296">
        <w:rPr>
          <w:rFonts w:asciiTheme="minorBidi" w:hAnsiTheme="minorBidi" w:cstheme="minorBidi"/>
        </w:rPr>
        <w:t xml:space="preserve">, D., Benstead, A., Roscoe, S. and Khayyam, S. (2023). Building Parallel Supply Chains: How the Manufacturing Location Decision </w:t>
      </w:r>
      <w:r w:rsidRPr="00760296">
        <w:rPr>
          <w:rFonts w:asciiTheme="minorBidi" w:hAnsiTheme="minorBidi" w:cstheme="minorBidi"/>
        </w:rPr>
        <w:lastRenderedPageBreak/>
        <w:t xml:space="preserve">Influences Supply Chain Ambidexterity. </w:t>
      </w:r>
      <w:r w:rsidRPr="00760296">
        <w:rPr>
          <w:rFonts w:asciiTheme="minorBidi" w:hAnsiTheme="minorBidi" w:cstheme="minorBidi"/>
          <w:i/>
          <w:iCs/>
        </w:rPr>
        <w:t>British Journal of Management</w:t>
      </w:r>
      <w:r w:rsidRPr="00760296">
        <w:rPr>
          <w:rFonts w:asciiTheme="minorBidi" w:hAnsiTheme="minorBidi" w:cstheme="minorBidi"/>
        </w:rPr>
        <w:t xml:space="preserve">.  </w:t>
      </w:r>
      <w:hyperlink r:id="rId32" w:history="1">
        <w:r w:rsidRPr="00760296">
          <w:rPr>
            <w:rStyle w:val="Hyperlink"/>
            <w:rFonts w:asciiTheme="minorBidi" w:hAnsiTheme="minorBidi" w:cstheme="minorBidi"/>
          </w:rPr>
          <w:t>https://onlinelibrary.wiley.com/doi/full/10.1111%2F1467-8551.12757</w:t>
        </w:r>
      </w:hyperlink>
      <w:r w:rsidRPr="00760296">
        <w:rPr>
          <w:rFonts w:asciiTheme="minorBidi" w:hAnsiTheme="minorBidi" w:cstheme="minorBidi"/>
        </w:rPr>
        <w:t xml:space="preserve">. </w:t>
      </w:r>
    </w:p>
    <w:p w14:paraId="02ACB81C"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r w:rsidRPr="00760296">
        <w:rPr>
          <w:rFonts w:asciiTheme="minorBidi" w:hAnsiTheme="minorBidi" w:cstheme="minorBidi"/>
        </w:rPr>
        <w:t xml:space="preserve">Nam and </w:t>
      </w:r>
      <w:proofErr w:type="spellStart"/>
      <w:r w:rsidRPr="00760296">
        <w:rPr>
          <w:rFonts w:asciiTheme="minorBidi" w:hAnsiTheme="minorBidi" w:cstheme="minorBidi"/>
        </w:rPr>
        <w:t>Thi</w:t>
      </w:r>
      <w:proofErr w:type="spellEnd"/>
      <w:r w:rsidRPr="00760296">
        <w:rPr>
          <w:rFonts w:asciiTheme="minorBidi" w:hAnsiTheme="minorBidi" w:cstheme="minorBidi"/>
        </w:rPr>
        <w:t xml:space="preserve">, T. (2024). Impact of liquidity on capital structure and financial performance of non-financial-listed companies in the </w:t>
      </w:r>
      <w:proofErr w:type="spellStart"/>
      <w:r w:rsidRPr="00760296">
        <w:rPr>
          <w:rFonts w:asciiTheme="minorBidi" w:hAnsiTheme="minorBidi" w:cstheme="minorBidi"/>
        </w:rPr>
        <w:t>vietnam</w:t>
      </w:r>
      <w:proofErr w:type="spellEnd"/>
      <w:r w:rsidRPr="00760296">
        <w:rPr>
          <w:rFonts w:asciiTheme="minorBidi" w:hAnsiTheme="minorBidi" w:cstheme="minorBidi"/>
        </w:rPr>
        <w:t xml:space="preserve"> stock market. </w:t>
      </w:r>
      <w:r w:rsidRPr="00760296">
        <w:rPr>
          <w:rFonts w:asciiTheme="minorBidi" w:hAnsiTheme="minorBidi" w:cstheme="minorBidi"/>
          <w:i/>
          <w:iCs/>
        </w:rPr>
        <w:t>Future Business Journal</w:t>
      </w:r>
      <w:r w:rsidRPr="00760296">
        <w:rPr>
          <w:rFonts w:asciiTheme="minorBidi" w:hAnsiTheme="minorBidi" w:cstheme="minorBidi"/>
        </w:rPr>
        <w:t xml:space="preserve">, 10(1). </w:t>
      </w:r>
      <w:hyperlink r:id="rId33" w:history="1">
        <w:r w:rsidRPr="00760296">
          <w:rPr>
            <w:rStyle w:val="Hyperlink"/>
            <w:rFonts w:asciiTheme="minorBidi" w:hAnsiTheme="minorBidi" w:cstheme="minorBidi"/>
          </w:rPr>
          <w:t>https://fbj.springeropen.com/articles/10.1186/s43093-024-00412-7</w:t>
        </w:r>
      </w:hyperlink>
      <w:r w:rsidRPr="00760296">
        <w:rPr>
          <w:rFonts w:asciiTheme="minorBidi" w:hAnsiTheme="minorBidi" w:cstheme="minorBidi"/>
        </w:rPr>
        <w:t xml:space="preserve">. </w:t>
      </w:r>
    </w:p>
    <w:p w14:paraId="371FAA51"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r w:rsidRPr="00760296">
        <w:rPr>
          <w:rFonts w:asciiTheme="minorBidi" w:hAnsiTheme="minorBidi" w:cstheme="minorBidi"/>
        </w:rPr>
        <w:t xml:space="preserve">Naser, A., </w:t>
      </w:r>
      <w:proofErr w:type="spellStart"/>
      <w:r w:rsidRPr="00760296">
        <w:rPr>
          <w:rFonts w:asciiTheme="minorBidi" w:hAnsiTheme="minorBidi" w:cstheme="minorBidi"/>
        </w:rPr>
        <w:t>Bany-Ariffin</w:t>
      </w:r>
      <w:proofErr w:type="spellEnd"/>
      <w:r w:rsidRPr="00760296">
        <w:rPr>
          <w:rFonts w:asciiTheme="minorBidi" w:hAnsiTheme="minorBidi" w:cstheme="minorBidi"/>
        </w:rPr>
        <w:t xml:space="preserve">, A.N. and Tunde </w:t>
      </w:r>
      <w:proofErr w:type="spellStart"/>
      <w:r w:rsidRPr="00760296">
        <w:rPr>
          <w:rFonts w:asciiTheme="minorBidi" w:hAnsiTheme="minorBidi" w:cstheme="minorBidi"/>
        </w:rPr>
        <w:t>Matemilola</w:t>
      </w:r>
      <w:proofErr w:type="spellEnd"/>
      <w:r w:rsidRPr="00760296">
        <w:rPr>
          <w:rFonts w:asciiTheme="minorBidi" w:hAnsiTheme="minorBidi" w:cstheme="minorBidi"/>
        </w:rPr>
        <w:t xml:space="preserve">, B. (2024). Cash flow volatility and capital structure in MENA and Africa: the moderating role of fixed assets. </w:t>
      </w:r>
      <w:r w:rsidRPr="00760296">
        <w:rPr>
          <w:rFonts w:asciiTheme="minorBidi" w:hAnsiTheme="minorBidi" w:cstheme="minorBidi"/>
          <w:i/>
          <w:iCs/>
        </w:rPr>
        <w:t>Cogent Economics &amp; Finance</w:t>
      </w:r>
      <w:r w:rsidRPr="00760296">
        <w:rPr>
          <w:rFonts w:asciiTheme="minorBidi" w:hAnsiTheme="minorBidi" w:cstheme="minorBidi"/>
        </w:rPr>
        <w:t xml:space="preserve">,  12(1). </w:t>
      </w:r>
      <w:hyperlink r:id="rId34" w:history="1">
        <w:r w:rsidRPr="00760296">
          <w:rPr>
            <w:rStyle w:val="Hyperlink"/>
            <w:rFonts w:asciiTheme="minorBidi" w:hAnsiTheme="minorBidi" w:cstheme="minorBidi"/>
          </w:rPr>
          <w:t>https://www.tandfonline.com/doi/full/10.1080/23322039.2024.2373255</w:t>
        </w:r>
      </w:hyperlink>
      <w:r w:rsidRPr="00760296">
        <w:rPr>
          <w:rFonts w:asciiTheme="minorBidi" w:hAnsiTheme="minorBidi" w:cstheme="minorBidi"/>
        </w:rPr>
        <w:t xml:space="preserve">. </w:t>
      </w:r>
    </w:p>
    <w:p w14:paraId="54D5BC58"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r w:rsidRPr="00760296">
        <w:rPr>
          <w:rFonts w:asciiTheme="minorBidi" w:hAnsiTheme="minorBidi" w:cstheme="minorBidi"/>
        </w:rPr>
        <w:t xml:space="preserve">Njuguna, T.W., </w:t>
      </w:r>
      <w:proofErr w:type="spellStart"/>
      <w:r w:rsidRPr="00760296">
        <w:rPr>
          <w:rFonts w:asciiTheme="minorBidi" w:hAnsiTheme="minorBidi" w:cstheme="minorBidi"/>
        </w:rPr>
        <w:t>Iraya</w:t>
      </w:r>
      <w:proofErr w:type="spellEnd"/>
      <w:r w:rsidRPr="00760296">
        <w:rPr>
          <w:rFonts w:asciiTheme="minorBidi" w:hAnsiTheme="minorBidi" w:cstheme="minorBidi"/>
        </w:rPr>
        <w:t xml:space="preserve">, C., </w:t>
      </w:r>
      <w:proofErr w:type="spellStart"/>
      <w:r w:rsidRPr="00760296">
        <w:rPr>
          <w:rFonts w:asciiTheme="minorBidi" w:hAnsiTheme="minorBidi" w:cstheme="minorBidi"/>
        </w:rPr>
        <w:t>Nyamute</w:t>
      </w:r>
      <w:proofErr w:type="spellEnd"/>
      <w:r w:rsidRPr="00760296">
        <w:rPr>
          <w:rFonts w:asciiTheme="minorBidi" w:hAnsiTheme="minorBidi" w:cstheme="minorBidi"/>
        </w:rPr>
        <w:t xml:space="preserve">, W. and </w:t>
      </w:r>
      <w:proofErr w:type="spellStart"/>
      <w:r w:rsidRPr="00760296">
        <w:rPr>
          <w:rFonts w:asciiTheme="minorBidi" w:hAnsiTheme="minorBidi" w:cstheme="minorBidi"/>
        </w:rPr>
        <w:t>Kiiru</w:t>
      </w:r>
      <w:proofErr w:type="spellEnd"/>
      <w:r w:rsidRPr="00760296">
        <w:rPr>
          <w:rFonts w:asciiTheme="minorBidi" w:hAnsiTheme="minorBidi" w:cstheme="minorBidi"/>
        </w:rPr>
        <w:t xml:space="preserve">, J. (2022). Cashflow Volatility, Corporate Investments and Value of Nonfinancial Firms Listed in Kenya. </w:t>
      </w:r>
      <w:r w:rsidRPr="00760296">
        <w:rPr>
          <w:rFonts w:asciiTheme="minorBidi" w:hAnsiTheme="minorBidi" w:cstheme="minorBidi"/>
          <w:i/>
          <w:iCs/>
        </w:rPr>
        <w:t>European Journal of Business and Management Research</w:t>
      </w:r>
      <w:r w:rsidRPr="00760296">
        <w:rPr>
          <w:rFonts w:asciiTheme="minorBidi" w:hAnsiTheme="minorBidi" w:cstheme="minorBidi"/>
        </w:rPr>
        <w:t xml:space="preserve">, 7(4), pp.182–191. </w:t>
      </w:r>
      <w:hyperlink r:id="rId35" w:history="1">
        <w:r w:rsidRPr="00760296">
          <w:rPr>
            <w:rStyle w:val="Hyperlink"/>
            <w:rFonts w:asciiTheme="minorBidi" w:hAnsiTheme="minorBidi" w:cstheme="minorBidi"/>
          </w:rPr>
          <w:t>https://www.researchgate.net/publication/362385635_Cashflow_Volatility_Corporate_Investments_and_Value_of_Nonfinancial_Firms_Listed_in_Kenya</w:t>
        </w:r>
      </w:hyperlink>
      <w:r w:rsidRPr="00760296">
        <w:rPr>
          <w:rFonts w:asciiTheme="minorBidi" w:hAnsiTheme="minorBidi" w:cstheme="minorBidi"/>
        </w:rPr>
        <w:t xml:space="preserve">. </w:t>
      </w:r>
    </w:p>
    <w:p w14:paraId="26A7616C"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proofErr w:type="spellStart"/>
      <w:r w:rsidRPr="00760296">
        <w:rPr>
          <w:rFonts w:asciiTheme="minorBidi" w:hAnsiTheme="minorBidi" w:cstheme="minorBidi"/>
        </w:rPr>
        <w:t>Samal</w:t>
      </w:r>
      <w:proofErr w:type="spellEnd"/>
      <w:r w:rsidRPr="00760296">
        <w:rPr>
          <w:rFonts w:asciiTheme="minorBidi" w:hAnsiTheme="minorBidi" w:cstheme="minorBidi"/>
        </w:rPr>
        <w:t xml:space="preserve">, S.K., Kumar, G. and Shanmugam, S. (2023). Importance of Working Capital Management and System Disruption in Recent Dynamic Environment. </w:t>
      </w:r>
      <w:r w:rsidRPr="00760296">
        <w:rPr>
          <w:rFonts w:asciiTheme="minorBidi" w:hAnsiTheme="minorBidi" w:cstheme="minorBidi"/>
          <w:i/>
          <w:iCs/>
        </w:rPr>
        <w:t>INTERNATIONAL JOURNAL OF ADVANCED RESEARCH IN MANAGEMENT</w:t>
      </w:r>
      <w:r w:rsidRPr="00760296">
        <w:rPr>
          <w:rFonts w:asciiTheme="minorBidi" w:hAnsiTheme="minorBidi" w:cstheme="minorBidi"/>
        </w:rPr>
        <w:t xml:space="preserve">, 14(02), pp.36–51. </w:t>
      </w:r>
      <w:hyperlink r:id="rId36" w:history="1">
        <w:r w:rsidRPr="00760296">
          <w:rPr>
            <w:rStyle w:val="Hyperlink"/>
            <w:rFonts w:asciiTheme="minorBidi" w:hAnsiTheme="minorBidi" w:cstheme="minorBidi"/>
          </w:rPr>
          <w:t>https://www.researchgate.net/publication/379370345_Importance_of_Working_Capital_Management_and_System_Disruption_in_Recent_Dynamic_Environment</w:t>
        </w:r>
      </w:hyperlink>
      <w:r w:rsidRPr="00760296">
        <w:rPr>
          <w:rFonts w:asciiTheme="minorBidi" w:hAnsiTheme="minorBidi" w:cstheme="minorBidi"/>
        </w:rPr>
        <w:t xml:space="preserve">. </w:t>
      </w:r>
    </w:p>
    <w:p w14:paraId="7E5143D2"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proofErr w:type="spellStart"/>
      <w:r w:rsidRPr="00760296">
        <w:rPr>
          <w:rFonts w:asciiTheme="minorBidi" w:hAnsiTheme="minorBidi" w:cstheme="minorBidi"/>
        </w:rPr>
        <w:t>Susanti</w:t>
      </w:r>
      <w:proofErr w:type="spellEnd"/>
      <w:r w:rsidRPr="00760296">
        <w:rPr>
          <w:rFonts w:asciiTheme="minorBidi" w:hAnsiTheme="minorBidi" w:cstheme="minorBidi"/>
        </w:rPr>
        <w:t xml:space="preserve">, T., </w:t>
      </w:r>
      <w:proofErr w:type="spellStart"/>
      <w:r w:rsidRPr="00760296">
        <w:rPr>
          <w:rFonts w:asciiTheme="minorBidi" w:hAnsiTheme="minorBidi" w:cstheme="minorBidi"/>
        </w:rPr>
        <w:t>Rionaldi</w:t>
      </w:r>
      <w:proofErr w:type="spellEnd"/>
      <w:r w:rsidRPr="00760296">
        <w:rPr>
          <w:rFonts w:asciiTheme="minorBidi" w:hAnsiTheme="minorBidi" w:cstheme="minorBidi"/>
        </w:rPr>
        <w:t xml:space="preserve">, R., </w:t>
      </w:r>
      <w:proofErr w:type="spellStart"/>
      <w:r w:rsidRPr="00760296">
        <w:rPr>
          <w:rFonts w:asciiTheme="minorBidi" w:hAnsiTheme="minorBidi" w:cstheme="minorBidi"/>
        </w:rPr>
        <w:t>Aristiawan</w:t>
      </w:r>
      <w:proofErr w:type="spellEnd"/>
      <w:r w:rsidRPr="00760296">
        <w:rPr>
          <w:rFonts w:asciiTheme="minorBidi" w:hAnsiTheme="minorBidi" w:cstheme="minorBidi"/>
        </w:rPr>
        <w:t xml:space="preserve">, D., </w:t>
      </w:r>
      <w:proofErr w:type="spellStart"/>
      <w:r w:rsidRPr="00760296">
        <w:rPr>
          <w:rFonts w:asciiTheme="minorBidi" w:hAnsiTheme="minorBidi" w:cstheme="minorBidi"/>
        </w:rPr>
        <w:t>Taufid</w:t>
      </w:r>
      <w:proofErr w:type="spellEnd"/>
      <w:r w:rsidRPr="00760296">
        <w:rPr>
          <w:rFonts w:asciiTheme="minorBidi" w:hAnsiTheme="minorBidi" w:cstheme="minorBidi"/>
        </w:rPr>
        <w:t xml:space="preserve">, H. and </w:t>
      </w:r>
      <w:proofErr w:type="spellStart"/>
      <w:r w:rsidRPr="00760296">
        <w:rPr>
          <w:rFonts w:asciiTheme="minorBidi" w:hAnsiTheme="minorBidi" w:cstheme="minorBidi"/>
        </w:rPr>
        <w:t>Lusiana</w:t>
      </w:r>
      <w:proofErr w:type="spellEnd"/>
      <w:r w:rsidRPr="00760296">
        <w:rPr>
          <w:rFonts w:asciiTheme="minorBidi" w:hAnsiTheme="minorBidi" w:cstheme="minorBidi"/>
        </w:rPr>
        <w:t xml:space="preserve">, L. (2025). Implementation Of Just-In-Time (Jit) In Inventory Management: A Case Study In A Manufacturing Company. </w:t>
      </w:r>
      <w:proofErr w:type="spellStart"/>
      <w:r w:rsidRPr="00760296">
        <w:rPr>
          <w:rFonts w:asciiTheme="minorBidi" w:hAnsiTheme="minorBidi" w:cstheme="minorBidi"/>
          <w:i/>
          <w:iCs/>
        </w:rPr>
        <w:t>Eduvest</w:t>
      </w:r>
      <w:proofErr w:type="spellEnd"/>
      <w:r w:rsidRPr="00760296">
        <w:rPr>
          <w:rFonts w:asciiTheme="minorBidi" w:hAnsiTheme="minorBidi" w:cstheme="minorBidi"/>
          <w:i/>
          <w:iCs/>
        </w:rPr>
        <w:t xml:space="preserve"> - Journal Of Universal Studies</w:t>
      </w:r>
      <w:r w:rsidRPr="00760296">
        <w:rPr>
          <w:rFonts w:asciiTheme="minorBidi" w:hAnsiTheme="minorBidi" w:cstheme="minorBidi"/>
        </w:rPr>
        <w:t xml:space="preserve">, 5(7), pp.6208–6216. </w:t>
      </w:r>
      <w:hyperlink r:id="rId37" w:history="1">
        <w:r w:rsidRPr="00760296">
          <w:rPr>
            <w:rStyle w:val="Hyperlink"/>
            <w:rFonts w:asciiTheme="minorBidi" w:hAnsiTheme="minorBidi" w:cstheme="minorBidi"/>
          </w:rPr>
          <w:t>https://www.researchgate.net/publication/393508465_Implementation_Of_Just-In-Time_Jit_In_Inventory_Management_A_Case_Study_In_A_Manufacturing_Company</w:t>
        </w:r>
      </w:hyperlink>
      <w:r w:rsidRPr="00760296">
        <w:rPr>
          <w:rFonts w:asciiTheme="minorBidi" w:hAnsiTheme="minorBidi" w:cstheme="minorBidi"/>
        </w:rPr>
        <w:t xml:space="preserve">. </w:t>
      </w:r>
    </w:p>
    <w:p w14:paraId="0EA3DC75"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proofErr w:type="spellStart"/>
      <w:r w:rsidRPr="00760296">
        <w:rPr>
          <w:rFonts w:asciiTheme="minorBidi" w:hAnsiTheme="minorBidi" w:cstheme="minorBidi"/>
        </w:rPr>
        <w:t>Vibhakar</w:t>
      </w:r>
      <w:proofErr w:type="spellEnd"/>
      <w:r w:rsidRPr="00760296">
        <w:rPr>
          <w:rFonts w:asciiTheme="minorBidi" w:hAnsiTheme="minorBidi" w:cstheme="minorBidi"/>
        </w:rPr>
        <w:t xml:space="preserve">, N.N., Tripathi, K.K., Johari, S. and Jha, K.N. (2020). Identification of significant financial performance indicators for the Indian construction companies. </w:t>
      </w:r>
      <w:r w:rsidRPr="00760296">
        <w:rPr>
          <w:rFonts w:asciiTheme="minorBidi" w:hAnsiTheme="minorBidi" w:cstheme="minorBidi"/>
          <w:i/>
          <w:iCs/>
        </w:rPr>
        <w:lastRenderedPageBreak/>
        <w:t>International Journal of Construction Management</w:t>
      </w:r>
      <w:r w:rsidRPr="00760296">
        <w:rPr>
          <w:rFonts w:asciiTheme="minorBidi" w:hAnsiTheme="minorBidi" w:cstheme="minorBidi"/>
        </w:rPr>
        <w:t xml:space="preserve">, 23(1), pp.1–11. </w:t>
      </w:r>
      <w:hyperlink r:id="rId38" w:history="1">
        <w:r w:rsidRPr="00760296">
          <w:rPr>
            <w:rStyle w:val="Hyperlink"/>
            <w:rFonts w:asciiTheme="minorBidi" w:hAnsiTheme="minorBidi" w:cstheme="minorBidi"/>
          </w:rPr>
          <w:t>https://www.tandfonline.com/doi/full/10.1080/15623599.2020.1844856</w:t>
        </w:r>
      </w:hyperlink>
      <w:r w:rsidRPr="00760296">
        <w:rPr>
          <w:rFonts w:asciiTheme="minorBidi" w:hAnsiTheme="minorBidi" w:cstheme="minorBidi"/>
        </w:rPr>
        <w:t xml:space="preserve">. </w:t>
      </w:r>
    </w:p>
    <w:p w14:paraId="3F4D3013" w14:textId="77777777" w:rsidR="00B8193A" w:rsidRPr="00760296" w:rsidRDefault="00B8193A" w:rsidP="002D1B45">
      <w:pPr>
        <w:pStyle w:val="NormalWeb"/>
        <w:spacing w:before="0" w:beforeAutospacing="0" w:after="240" w:afterAutospacing="0" w:line="360" w:lineRule="auto"/>
        <w:jc w:val="lowKashida"/>
        <w:rPr>
          <w:rFonts w:asciiTheme="minorBidi" w:hAnsiTheme="minorBidi" w:cstheme="minorBidi"/>
        </w:rPr>
      </w:pPr>
      <w:r w:rsidRPr="00760296">
        <w:rPr>
          <w:rFonts w:asciiTheme="minorBidi" w:hAnsiTheme="minorBidi" w:cstheme="minorBidi"/>
        </w:rPr>
        <w:t xml:space="preserve">Wang, B. (2019). The cash conversion cycle spread. </w:t>
      </w:r>
      <w:r w:rsidRPr="00760296">
        <w:rPr>
          <w:rFonts w:asciiTheme="minorBidi" w:hAnsiTheme="minorBidi" w:cstheme="minorBidi"/>
          <w:i/>
          <w:iCs/>
        </w:rPr>
        <w:t>Journal of Financial Economics</w:t>
      </w:r>
      <w:r w:rsidRPr="00760296">
        <w:rPr>
          <w:rFonts w:asciiTheme="minorBidi" w:hAnsiTheme="minorBidi" w:cstheme="minorBidi"/>
        </w:rPr>
        <w:t xml:space="preserve">, 133(2), pp.472–497. </w:t>
      </w:r>
      <w:hyperlink r:id="rId39" w:history="1">
        <w:r w:rsidRPr="00760296">
          <w:rPr>
            <w:rStyle w:val="Hyperlink"/>
            <w:rFonts w:asciiTheme="minorBidi" w:hAnsiTheme="minorBidi" w:cstheme="minorBidi"/>
          </w:rPr>
          <w:t>https://www.sciencedirect.com/science/article/abs/pii/S0304405X19300418</w:t>
        </w:r>
      </w:hyperlink>
      <w:r w:rsidRPr="00760296">
        <w:rPr>
          <w:rFonts w:asciiTheme="minorBidi" w:hAnsiTheme="minorBidi" w:cstheme="minorBidi"/>
        </w:rPr>
        <w:t xml:space="preserve">. </w:t>
      </w:r>
    </w:p>
    <w:p w14:paraId="0F3A0BE4" w14:textId="77777777" w:rsidR="00BB7552" w:rsidRPr="00760296" w:rsidRDefault="00B8193A" w:rsidP="002D1B45">
      <w:pPr>
        <w:pStyle w:val="NormalWeb"/>
        <w:spacing w:before="0" w:beforeAutospacing="0" w:after="240" w:afterAutospacing="0" w:line="360" w:lineRule="auto"/>
        <w:jc w:val="lowKashida"/>
        <w:rPr>
          <w:rFonts w:asciiTheme="minorBidi" w:hAnsiTheme="minorBidi" w:cstheme="minorBidi"/>
        </w:rPr>
      </w:pPr>
      <w:r w:rsidRPr="00760296">
        <w:rPr>
          <w:rFonts w:asciiTheme="minorBidi" w:hAnsiTheme="minorBidi" w:cstheme="minorBidi"/>
        </w:rPr>
        <w:t xml:space="preserve">Yan, X., Chen, L. and Ding, X. (2024). Optimal Cash Management with Payables Finance. </w:t>
      </w:r>
      <w:r w:rsidRPr="00760296">
        <w:rPr>
          <w:rFonts w:asciiTheme="minorBidi" w:hAnsiTheme="minorBidi" w:cstheme="minorBidi"/>
          <w:i/>
          <w:iCs/>
        </w:rPr>
        <w:t>Operations research</w:t>
      </w:r>
      <w:r w:rsidRPr="00760296">
        <w:rPr>
          <w:rFonts w:asciiTheme="minorBidi" w:hAnsiTheme="minorBidi" w:cstheme="minorBidi"/>
        </w:rPr>
        <w:t xml:space="preserve">.  </w:t>
      </w:r>
      <w:hyperlink r:id="rId40" w:history="1">
        <w:r w:rsidRPr="00760296">
          <w:rPr>
            <w:rStyle w:val="Hyperlink"/>
            <w:rFonts w:asciiTheme="minorBidi" w:hAnsiTheme="minorBidi" w:cstheme="minorBidi"/>
          </w:rPr>
          <w:t>https://pubsonline.informs.org/doi/10.1287/opre.2022.0196</w:t>
        </w:r>
      </w:hyperlink>
      <w:r w:rsidRPr="00760296">
        <w:rPr>
          <w:rFonts w:asciiTheme="minorBidi" w:hAnsiTheme="minorBidi" w:cstheme="minorBidi"/>
        </w:rPr>
        <w:t xml:space="preserve">. </w:t>
      </w:r>
    </w:p>
    <w:p w14:paraId="40E6EC24" w14:textId="77777777" w:rsidR="00BB7552" w:rsidRPr="00760296" w:rsidRDefault="00BB7552" w:rsidP="002D1B45">
      <w:pPr>
        <w:rPr>
          <w:rFonts w:asciiTheme="minorBidi" w:hAnsiTheme="minorBidi" w:cstheme="minorBidi"/>
          <w:lang w:val="en-IN"/>
        </w:rPr>
      </w:pPr>
      <w:r w:rsidRPr="00760296">
        <w:rPr>
          <w:rFonts w:asciiTheme="minorBidi" w:hAnsiTheme="minorBidi" w:cstheme="minorBidi"/>
        </w:rPr>
        <w:br w:type="page"/>
      </w:r>
    </w:p>
    <w:p w14:paraId="75FDF166" w14:textId="77777777" w:rsidR="00B8193A" w:rsidRPr="00760296" w:rsidRDefault="00BB7552" w:rsidP="002D1B45">
      <w:pPr>
        <w:pStyle w:val="Heading1"/>
        <w:rPr>
          <w:rFonts w:asciiTheme="minorBidi" w:hAnsiTheme="minorBidi" w:cstheme="minorBidi"/>
        </w:rPr>
      </w:pPr>
      <w:bookmarkStart w:id="58" w:name="_Toc213194643"/>
      <w:r w:rsidRPr="00760296">
        <w:rPr>
          <w:rFonts w:asciiTheme="minorBidi" w:hAnsiTheme="minorBidi" w:cstheme="minorBidi"/>
        </w:rPr>
        <w:lastRenderedPageBreak/>
        <w:t>Appendices</w:t>
      </w:r>
      <w:bookmarkEnd w:id="58"/>
      <w:r w:rsidRPr="00760296">
        <w:rPr>
          <w:rFonts w:asciiTheme="minorBidi" w:hAnsiTheme="minorBidi" w:cstheme="minorBidi"/>
        </w:rPr>
        <w:t xml:space="preserve"> </w:t>
      </w:r>
    </w:p>
    <w:p w14:paraId="2A22CB78" w14:textId="77777777" w:rsidR="00BB7552" w:rsidRPr="00760296" w:rsidRDefault="00BB7552" w:rsidP="002D1B45">
      <w:pPr>
        <w:pStyle w:val="Heading2"/>
        <w:rPr>
          <w:rFonts w:asciiTheme="minorBidi" w:hAnsiTheme="minorBidi" w:cstheme="minorBidi"/>
        </w:rPr>
      </w:pPr>
      <w:bookmarkStart w:id="59" w:name="_Toc213194644"/>
      <w:r w:rsidRPr="00760296">
        <w:rPr>
          <w:rFonts w:asciiTheme="minorBidi" w:hAnsiTheme="minorBidi" w:cstheme="minorBidi"/>
        </w:rPr>
        <w:t>Appendix 1 – Ratio Analysis</w:t>
      </w:r>
      <w:bookmarkEnd w:id="59"/>
      <w:r w:rsidRPr="00760296">
        <w:rPr>
          <w:rFonts w:asciiTheme="minorBidi" w:hAnsiTheme="minorBidi" w:cstheme="minorBidi"/>
        </w:rPr>
        <w:t xml:space="preserve">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760"/>
        <w:gridCol w:w="1080"/>
        <w:gridCol w:w="1080"/>
        <w:gridCol w:w="1033"/>
        <w:gridCol w:w="1033"/>
        <w:gridCol w:w="1033"/>
      </w:tblGrid>
      <w:tr w:rsidR="00BB7552" w:rsidRPr="00760296" w14:paraId="6D0CF3A5" w14:textId="77777777" w:rsidTr="00BB7552">
        <w:trPr>
          <w:trHeight w:val="324"/>
        </w:trPr>
        <w:tc>
          <w:tcPr>
            <w:tcW w:w="4231" w:type="pct"/>
            <w:gridSpan w:val="4"/>
            <w:shd w:val="clear" w:color="auto" w:fill="auto"/>
            <w:noWrap/>
            <w:vAlign w:val="bottom"/>
            <w:hideMark/>
          </w:tcPr>
          <w:p w14:paraId="13E48659" w14:textId="77777777" w:rsidR="00BB7552" w:rsidRPr="00760296" w:rsidRDefault="00BB7552" w:rsidP="002D1B45">
            <w:pPr>
              <w:jc w:val="center"/>
              <w:rPr>
                <w:rFonts w:asciiTheme="minorBidi" w:hAnsiTheme="minorBidi" w:cstheme="minorBidi"/>
                <w:b/>
                <w:bCs/>
                <w:i/>
                <w:iCs/>
                <w:color w:val="000000"/>
                <w:lang w:val="en-IN"/>
              </w:rPr>
            </w:pPr>
            <w:r w:rsidRPr="00760296">
              <w:rPr>
                <w:rFonts w:asciiTheme="minorBidi" w:hAnsiTheme="minorBidi" w:cstheme="minorBidi"/>
                <w:b/>
                <w:bCs/>
                <w:i/>
                <w:iCs/>
                <w:color w:val="000000"/>
                <w:lang w:val="en-IN"/>
              </w:rPr>
              <w:t>Ratio Analysis of General Electric</w:t>
            </w:r>
          </w:p>
        </w:tc>
        <w:tc>
          <w:tcPr>
            <w:tcW w:w="385" w:type="pct"/>
            <w:shd w:val="clear" w:color="auto" w:fill="auto"/>
            <w:noWrap/>
            <w:vAlign w:val="bottom"/>
            <w:hideMark/>
          </w:tcPr>
          <w:p w14:paraId="4102D04F" w14:textId="77777777" w:rsidR="00BB7552" w:rsidRPr="00760296" w:rsidRDefault="00BB7552" w:rsidP="002D1B45">
            <w:pPr>
              <w:jc w:val="center"/>
              <w:rPr>
                <w:rFonts w:asciiTheme="minorBidi" w:hAnsiTheme="minorBidi" w:cstheme="minorBidi"/>
                <w:b/>
                <w:bCs/>
                <w:i/>
                <w:iCs/>
                <w:color w:val="000000"/>
                <w:lang w:val="en-IN"/>
              </w:rPr>
            </w:pPr>
          </w:p>
        </w:tc>
        <w:tc>
          <w:tcPr>
            <w:tcW w:w="385" w:type="pct"/>
            <w:shd w:val="clear" w:color="auto" w:fill="auto"/>
            <w:noWrap/>
            <w:vAlign w:val="bottom"/>
            <w:hideMark/>
          </w:tcPr>
          <w:p w14:paraId="23FE4795" w14:textId="77777777" w:rsidR="00BB7552" w:rsidRPr="00760296" w:rsidRDefault="00BB7552" w:rsidP="002D1B45">
            <w:pPr>
              <w:jc w:val="center"/>
              <w:rPr>
                <w:rFonts w:asciiTheme="minorBidi" w:hAnsiTheme="minorBidi" w:cstheme="minorBidi"/>
                <w:sz w:val="20"/>
                <w:szCs w:val="20"/>
                <w:lang w:val="en-IN"/>
              </w:rPr>
            </w:pPr>
          </w:p>
        </w:tc>
      </w:tr>
      <w:tr w:rsidR="00BB7552" w:rsidRPr="00760296" w14:paraId="77E26F30" w14:textId="77777777" w:rsidTr="00BB7552">
        <w:trPr>
          <w:trHeight w:val="312"/>
        </w:trPr>
        <w:tc>
          <w:tcPr>
            <w:tcW w:w="3077" w:type="pct"/>
            <w:shd w:val="clear" w:color="000000" w:fill="E2EFDA"/>
            <w:noWrap/>
            <w:vAlign w:val="bottom"/>
            <w:hideMark/>
          </w:tcPr>
          <w:p w14:paraId="24EBFCF3" w14:textId="77777777" w:rsidR="00BB7552" w:rsidRPr="00760296" w:rsidRDefault="00BB7552" w:rsidP="002D1B45">
            <w:pPr>
              <w:jc w:val="left"/>
              <w:rPr>
                <w:rFonts w:asciiTheme="minorBidi" w:hAnsiTheme="minorBidi" w:cstheme="minorBidi"/>
                <w:b/>
                <w:bCs/>
                <w:color w:val="000000"/>
                <w:lang w:val="en-IN"/>
              </w:rPr>
            </w:pPr>
            <w:r w:rsidRPr="00760296">
              <w:rPr>
                <w:rFonts w:asciiTheme="minorBidi" w:hAnsiTheme="minorBidi" w:cstheme="minorBidi"/>
                <w:b/>
                <w:bCs/>
                <w:color w:val="000000"/>
                <w:lang w:val="en-IN"/>
              </w:rPr>
              <w:t>Liquidity ratios</w:t>
            </w:r>
          </w:p>
        </w:tc>
        <w:tc>
          <w:tcPr>
            <w:tcW w:w="385" w:type="pct"/>
            <w:shd w:val="clear" w:color="000000" w:fill="E2EFDA"/>
            <w:noWrap/>
            <w:vAlign w:val="bottom"/>
            <w:hideMark/>
          </w:tcPr>
          <w:p w14:paraId="0C53C16F"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2024</w:t>
            </w:r>
          </w:p>
        </w:tc>
        <w:tc>
          <w:tcPr>
            <w:tcW w:w="385" w:type="pct"/>
            <w:shd w:val="clear" w:color="000000" w:fill="E2EFDA"/>
            <w:noWrap/>
            <w:vAlign w:val="bottom"/>
            <w:hideMark/>
          </w:tcPr>
          <w:p w14:paraId="043079EC"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2023</w:t>
            </w:r>
          </w:p>
        </w:tc>
        <w:tc>
          <w:tcPr>
            <w:tcW w:w="385" w:type="pct"/>
            <w:shd w:val="clear" w:color="000000" w:fill="E2EFDA"/>
            <w:noWrap/>
            <w:vAlign w:val="bottom"/>
            <w:hideMark/>
          </w:tcPr>
          <w:p w14:paraId="52C207DC"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2022</w:t>
            </w:r>
          </w:p>
        </w:tc>
        <w:tc>
          <w:tcPr>
            <w:tcW w:w="385" w:type="pct"/>
            <w:shd w:val="clear" w:color="000000" w:fill="E2EFDA"/>
            <w:noWrap/>
            <w:vAlign w:val="bottom"/>
            <w:hideMark/>
          </w:tcPr>
          <w:p w14:paraId="78B45471"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2021</w:t>
            </w:r>
          </w:p>
        </w:tc>
        <w:tc>
          <w:tcPr>
            <w:tcW w:w="385" w:type="pct"/>
            <w:shd w:val="clear" w:color="000000" w:fill="E2EFDA"/>
            <w:noWrap/>
            <w:vAlign w:val="bottom"/>
            <w:hideMark/>
          </w:tcPr>
          <w:p w14:paraId="391864DE"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2020</w:t>
            </w:r>
          </w:p>
        </w:tc>
      </w:tr>
      <w:tr w:rsidR="00BB7552" w:rsidRPr="00760296" w14:paraId="7E72F1DA" w14:textId="77777777" w:rsidTr="00BB7552">
        <w:trPr>
          <w:trHeight w:val="312"/>
        </w:trPr>
        <w:tc>
          <w:tcPr>
            <w:tcW w:w="3077" w:type="pct"/>
            <w:shd w:val="clear" w:color="000000" w:fill="E2EFDA"/>
            <w:noWrap/>
            <w:vAlign w:val="bottom"/>
            <w:hideMark/>
          </w:tcPr>
          <w:p w14:paraId="44D07CC6" w14:textId="77777777" w:rsidR="00BB7552" w:rsidRPr="00760296" w:rsidRDefault="00BB7552" w:rsidP="002D1B45">
            <w:pPr>
              <w:jc w:val="left"/>
              <w:rPr>
                <w:rFonts w:asciiTheme="minorBidi" w:hAnsiTheme="minorBidi" w:cstheme="minorBidi"/>
                <w:color w:val="000000"/>
                <w:lang w:val="en-IN"/>
              </w:rPr>
            </w:pPr>
            <w:r w:rsidRPr="00760296">
              <w:rPr>
                <w:rFonts w:asciiTheme="minorBidi" w:hAnsiTheme="minorBidi" w:cstheme="minorBidi"/>
                <w:color w:val="000000"/>
                <w:lang w:val="en-IN"/>
              </w:rPr>
              <w:t xml:space="preserve">Current assets </w:t>
            </w:r>
          </w:p>
        </w:tc>
        <w:tc>
          <w:tcPr>
            <w:tcW w:w="385" w:type="pct"/>
            <w:shd w:val="clear" w:color="000000" w:fill="E2EFDA"/>
            <w:vAlign w:val="center"/>
            <w:hideMark/>
          </w:tcPr>
          <w:p w14:paraId="0D4F86FC"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2,42,494</w:t>
            </w:r>
          </w:p>
        </w:tc>
        <w:tc>
          <w:tcPr>
            <w:tcW w:w="385" w:type="pct"/>
            <w:shd w:val="clear" w:color="000000" w:fill="E2EFDA"/>
            <w:vAlign w:val="center"/>
            <w:hideMark/>
          </w:tcPr>
          <w:p w14:paraId="3EFA16DD"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2,58,851</w:t>
            </w:r>
          </w:p>
        </w:tc>
        <w:tc>
          <w:tcPr>
            <w:tcW w:w="385" w:type="pct"/>
            <w:shd w:val="clear" w:color="000000" w:fill="E2EFDA"/>
            <w:vAlign w:val="center"/>
            <w:hideMark/>
          </w:tcPr>
          <w:p w14:paraId="1B4BE14C"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3,38,040</w:t>
            </w:r>
          </w:p>
        </w:tc>
        <w:tc>
          <w:tcPr>
            <w:tcW w:w="385" w:type="pct"/>
            <w:shd w:val="clear" w:color="000000" w:fill="E2EFDA"/>
            <w:vAlign w:val="center"/>
            <w:hideMark/>
          </w:tcPr>
          <w:p w14:paraId="490EDF40"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3,37,146</w:t>
            </w:r>
          </w:p>
        </w:tc>
        <w:tc>
          <w:tcPr>
            <w:tcW w:w="385" w:type="pct"/>
            <w:shd w:val="clear" w:color="000000" w:fill="E2EFDA"/>
            <w:vAlign w:val="center"/>
            <w:hideMark/>
          </w:tcPr>
          <w:p w14:paraId="5A976E65"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3,26,843</w:t>
            </w:r>
          </w:p>
        </w:tc>
      </w:tr>
      <w:tr w:rsidR="00BB7552" w:rsidRPr="00760296" w14:paraId="630F3929" w14:textId="77777777" w:rsidTr="00BB7552">
        <w:trPr>
          <w:trHeight w:val="312"/>
        </w:trPr>
        <w:tc>
          <w:tcPr>
            <w:tcW w:w="3077" w:type="pct"/>
            <w:shd w:val="clear" w:color="000000" w:fill="E2EFDA"/>
            <w:noWrap/>
            <w:vAlign w:val="bottom"/>
            <w:hideMark/>
          </w:tcPr>
          <w:p w14:paraId="1AB53E3F" w14:textId="77777777" w:rsidR="00BB7552" w:rsidRPr="00760296" w:rsidRDefault="00BB7552" w:rsidP="002D1B45">
            <w:pPr>
              <w:jc w:val="left"/>
              <w:rPr>
                <w:rFonts w:asciiTheme="minorBidi" w:hAnsiTheme="minorBidi" w:cstheme="minorBidi"/>
                <w:color w:val="000000"/>
                <w:lang w:val="en-IN"/>
              </w:rPr>
            </w:pPr>
            <w:r w:rsidRPr="00760296">
              <w:rPr>
                <w:rFonts w:asciiTheme="minorBidi" w:hAnsiTheme="minorBidi" w:cstheme="minorBidi"/>
                <w:color w:val="000000"/>
                <w:lang w:val="en-IN"/>
              </w:rPr>
              <w:t xml:space="preserve">Current liabilities </w:t>
            </w:r>
          </w:p>
        </w:tc>
        <w:tc>
          <w:tcPr>
            <w:tcW w:w="385" w:type="pct"/>
            <w:shd w:val="clear" w:color="000000" w:fill="E2EFDA"/>
            <w:vAlign w:val="center"/>
            <w:hideMark/>
          </w:tcPr>
          <w:p w14:paraId="3621A8B7"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1,58,291</w:t>
            </w:r>
          </w:p>
        </w:tc>
        <w:tc>
          <w:tcPr>
            <w:tcW w:w="385" w:type="pct"/>
            <w:shd w:val="clear" w:color="000000" w:fill="E2EFDA"/>
            <w:vAlign w:val="center"/>
            <w:hideMark/>
          </w:tcPr>
          <w:p w14:paraId="4452464D"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1,61,148</w:t>
            </w:r>
          </w:p>
        </w:tc>
        <w:tc>
          <w:tcPr>
            <w:tcW w:w="385" w:type="pct"/>
            <w:shd w:val="clear" w:color="000000" w:fill="E2EFDA"/>
            <w:vAlign w:val="center"/>
            <w:hideMark/>
          </w:tcPr>
          <w:p w14:paraId="235FDF4D"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2,16,473</w:t>
            </w:r>
          </w:p>
        </w:tc>
        <w:tc>
          <w:tcPr>
            <w:tcW w:w="385" w:type="pct"/>
            <w:shd w:val="clear" w:color="000000" w:fill="E2EFDA"/>
            <w:vAlign w:val="center"/>
            <w:hideMark/>
          </w:tcPr>
          <w:p w14:paraId="300652F5"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2,16,787</w:t>
            </w:r>
          </w:p>
        </w:tc>
        <w:tc>
          <w:tcPr>
            <w:tcW w:w="385" w:type="pct"/>
            <w:shd w:val="clear" w:color="000000" w:fill="E2EFDA"/>
            <w:vAlign w:val="center"/>
            <w:hideMark/>
          </w:tcPr>
          <w:p w14:paraId="7DA94D81"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1,79,510</w:t>
            </w:r>
          </w:p>
        </w:tc>
      </w:tr>
      <w:tr w:rsidR="00BB7552" w:rsidRPr="00760296" w14:paraId="26B35E42" w14:textId="77777777" w:rsidTr="00BB7552">
        <w:trPr>
          <w:trHeight w:val="312"/>
        </w:trPr>
        <w:tc>
          <w:tcPr>
            <w:tcW w:w="3077" w:type="pct"/>
            <w:shd w:val="clear" w:color="000000" w:fill="E2EFDA"/>
            <w:noWrap/>
            <w:vAlign w:val="bottom"/>
            <w:hideMark/>
          </w:tcPr>
          <w:p w14:paraId="5A10B7EE" w14:textId="77777777" w:rsidR="00BB7552" w:rsidRPr="00760296" w:rsidRDefault="00BB7552" w:rsidP="002D1B45">
            <w:pPr>
              <w:jc w:val="left"/>
              <w:rPr>
                <w:rFonts w:asciiTheme="minorBidi" w:hAnsiTheme="minorBidi" w:cstheme="minorBidi"/>
                <w:color w:val="000000"/>
                <w:lang w:val="en-IN"/>
              </w:rPr>
            </w:pPr>
            <w:r w:rsidRPr="00760296">
              <w:rPr>
                <w:rFonts w:asciiTheme="minorBidi" w:hAnsiTheme="minorBidi" w:cstheme="minorBidi"/>
                <w:color w:val="000000"/>
                <w:lang w:val="en-IN"/>
              </w:rPr>
              <w:t xml:space="preserve">inventories </w:t>
            </w:r>
          </w:p>
        </w:tc>
        <w:tc>
          <w:tcPr>
            <w:tcW w:w="385" w:type="pct"/>
            <w:shd w:val="clear" w:color="000000" w:fill="E2EFDA"/>
            <w:vAlign w:val="center"/>
            <w:hideMark/>
          </w:tcPr>
          <w:p w14:paraId="4E6CFDBA"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79,355</w:t>
            </w:r>
          </w:p>
        </w:tc>
        <w:tc>
          <w:tcPr>
            <w:tcW w:w="385" w:type="pct"/>
            <w:shd w:val="clear" w:color="000000" w:fill="E2EFDA"/>
            <w:vAlign w:val="center"/>
            <w:hideMark/>
          </w:tcPr>
          <w:p w14:paraId="464EA15C"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88,273</w:t>
            </w:r>
          </w:p>
        </w:tc>
        <w:tc>
          <w:tcPr>
            <w:tcW w:w="385" w:type="pct"/>
            <w:shd w:val="clear" w:color="000000" w:fill="E2EFDA"/>
            <w:vAlign w:val="center"/>
            <w:hideMark/>
          </w:tcPr>
          <w:p w14:paraId="519129A0"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1,40,181</w:t>
            </w:r>
          </w:p>
        </w:tc>
        <w:tc>
          <w:tcPr>
            <w:tcW w:w="385" w:type="pct"/>
            <w:shd w:val="clear" w:color="000000" w:fill="E2EFDA"/>
            <w:vAlign w:val="center"/>
            <w:hideMark/>
          </w:tcPr>
          <w:p w14:paraId="48F6CBD9"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1,34,469</w:t>
            </w:r>
          </w:p>
        </w:tc>
        <w:tc>
          <w:tcPr>
            <w:tcW w:w="385" w:type="pct"/>
            <w:shd w:val="clear" w:color="000000" w:fill="E2EFDA"/>
            <w:vAlign w:val="center"/>
            <w:hideMark/>
          </w:tcPr>
          <w:p w14:paraId="3EF70CD0"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1,20,430</w:t>
            </w:r>
          </w:p>
        </w:tc>
      </w:tr>
      <w:tr w:rsidR="00BB7552" w:rsidRPr="00760296" w14:paraId="43A39516" w14:textId="77777777" w:rsidTr="00BB7552">
        <w:trPr>
          <w:trHeight w:val="312"/>
        </w:trPr>
        <w:tc>
          <w:tcPr>
            <w:tcW w:w="3077" w:type="pct"/>
            <w:shd w:val="clear" w:color="000000" w:fill="E2EFDA"/>
            <w:noWrap/>
            <w:vAlign w:val="bottom"/>
            <w:hideMark/>
          </w:tcPr>
          <w:p w14:paraId="4A33C385" w14:textId="77777777" w:rsidR="00BB7552" w:rsidRPr="00760296" w:rsidRDefault="00BB7552" w:rsidP="002D1B45">
            <w:pPr>
              <w:jc w:val="left"/>
              <w:rPr>
                <w:rFonts w:asciiTheme="minorBidi" w:hAnsiTheme="minorBidi" w:cstheme="minorBidi"/>
                <w:color w:val="000000"/>
                <w:lang w:val="en-IN"/>
              </w:rPr>
            </w:pPr>
            <w:r w:rsidRPr="00760296">
              <w:rPr>
                <w:rFonts w:asciiTheme="minorBidi" w:hAnsiTheme="minorBidi" w:cstheme="minorBidi"/>
                <w:color w:val="000000"/>
                <w:lang w:val="en-IN"/>
              </w:rPr>
              <w:t>CA - inventories</w:t>
            </w:r>
          </w:p>
        </w:tc>
        <w:tc>
          <w:tcPr>
            <w:tcW w:w="385" w:type="pct"/>
            <w:shd w:val="clear" w:color="000000" w:fill="E2EFDA"/>
            <w:vAlign w:val="center"/>
            <w:hideMark/>
          </w:tcPr>
          <w:p w14:paraId="3EE0B256"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1,63,139</w:t>
            </w:r>
          </w:p>
        </w:tc>
        <w:tc>
          <w:tcPr>
            <w:tcW w:w="385" w:type="pct"/>
            <w:shd w:val="clear" w:color="000000" w:fill="E2EFDA"/>
            <w:vAlign w:val="center"/>
            <w:hideMark/>
          </w:tcPr>
          <w:p w14:paraId="4D267218"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1,70,578</w:t>
            </w:r>
          </w:p>
        </w:tc>
        <w:tc>
          <w:tcPr>
            <w:tcW w:w="385" w:type="pct"/>
            <w:shd w:val="clear" w:color="000000" w:fill="E2EFDA"/>
            <w:vAlign w:val="center"/>
            <w:hideMark/>
          </w:tcPr>
          <w:p w14:paraId="56F3EF4A"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1,97,859</w:t>
            </w:r>
          </w:p>
        </w:tc>
        <w:tc>
          <w:tcPr>
            <w:tcW w:w="385" w:type="pct"/>
            <w:shd w:val="clear" w:color="000000" w:fill="E2EFDA"/>
            <w:vAlign w:val="center"/>
            <w:hideMark/>
          </w:tcPr>
          <w:p w14:paraId="672FCB4A"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2,02,677</w:t>
            </w:r>
          </w:p>
        </w:tc>
        <w:tc>
          <w:tcPr>
            <w:tcW w:w="385" w:type="pct"/>
            <w:shd w:val="clear" w:color="000000" w:fill="E2EFDA"/>
            <w:vAlign w:val="center"/>
            <w:hideMark/>
          </w:tcPr>
          <w:p w14:paraId="2F96B4D1"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2,06,413</w:t>
            </w:r>
          </w:p>
        </w:tc>
      </w:tr>
      <w:tr w:rsidR="00BB7552" w:rsidRPr="00760296" w14:paraId="77116A05" w14:textId="77777777" w:rsidTr="00BB7552">
        <w:trPr>
          <w:trHeight w:val="312"/>
        </w:trPr>
        <w:tc>
          <w:tcPr>
            <w:tcW w:w="3077" w:type="pct"/>
            <w:shd w:val="clear" w:color="000000" w:fill="E2EFDA"/>
            <w:noWrap/>
            <w:vAlign w:val="bottom"/>
            <w:hideMark/>
          </w:tcPr>
          <w:p w14:paraId="759B3AB1" w14:textId="77777777" w:rsidR="00BB7552" w:rsidRPr="00760296" w:rsidRDefault="00BB7552" w:rsidP="002D1B45">
            <w:pPr>
              <w:jc w:val="lef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Liquidity ratio</w:t>
            </w:r>
          </w:p>
        </w:tc>
        <w:tc>
          <w:tcPr>
            <w:tcW w:w="385" w:type="pct"/>
            <w:shd w:val="clear" w:color="000000" w:fill="E2EFDA"/>
            <w:vAlign w:val="center"/>
            <w:hideMark/>
          </w:tcPr>
          <w:p w14:paraId="5F278000" w14:textId="77777777" w:rsidR="00BB7552" w:rsidRPr="00760296" w:rsidRDefault="00BB7552" w:rsidP="002D1B45">
            <w:pPr>
              <w:jc w:val="righ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2024</w:t>
            </w:r>
          </w:p>
        </w:tc>
        <w:tc>
          <w:tcPr>
            <w:tcW w:w="385" w:type="pct"/>
            <w:shd w:val="clear" w:color="000000" w:fill="E2EFDA"/>
            <w:noWrap/>
            <w:vAlign w:val="bottom"/>
            <w:hideMark/>
          </w:tcPr>
          <w:p w14:paraId="096668D4" w14:textId="77777777" w:rsidR="00BB7552" w:rsidRPr="00760296" w:rsidRDefault="00BB7552" w:rsidP="002D1B45">
            <w:pPr>
              <w:jc w:val="righ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2023</w:t>
            </w:r>
          </w:p>
        </w:tc>
        <w:tc>
          <w:tcPr>
            <w:tcW w:w="385" w:type="pct"/>
            <w:shd w:val="clear" w:color="000000" w:fill="E2EFDA"/>
            <w:noWrap/>
            <w:vAlign w:val="bottom"/>
            <w:hideMark/>
          </w:tcPr>
          <w:p w14:paraId="38D044EA" w14:textId="77777777" w:rsidR="00BB7552" w:rsidRPr="00760296" w:rsidRDefault="00BB7552" w:rsidP="002D1B45">
            <w:pPr>
              <w:jc w:val="righ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2022</w:t>
            </w:r>
          </w:p>
        </w:tc>
        <w:tc>
          <w:tcPr>
            <w:tcW w:w="385" w:type="pct"/>
            <w:shd w:val="clear" w:color="000000" w:fill="E2EFDA"/>
            <w:noWrap/>
            <w:vAlign w:val="bottom"/>
            <w:hideMark/>
          </w:tcPr>
          <w:p w14:paraId="28F08BD1" w14:textId="77777777" w:rsidR="00BB7552" w:rsidRPr="00760296" w:rsidRDefault="00BB7552" w:rsidP="002D1B45">
            <w:pPr>
              <w:jc w:val="righ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2021</w:t>
            </w:r>
          </w:p>
        </w:tc>
        <w:tc>
          <w:tcPr>
            <w:tcW w:w="385" w:type="pct"/>
            <w:shd w:val="clear" w:color="000000" w:fill="E2EFDA"/>
            <w:noWrap/>
            <w:vAlign w:val="bottom"/>
            <w:hideMark/>
          </w:tcPr>
          <w:p w14:paraId="2F309D5B" w14:textId="77777777" w:rsidR="00BB7552" w:rsidRPr="00760296" w:rsidRDefault="00BB7552" w:rsidP="002D1B45">
            <w:pPr>
              <w:jc w:val="righ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2020</w:t>
            </w:r>
          </w:p>
        </w:tc>
      </w:tr>
      <w:tr w:rsidR="00BB7552" w:rsidRPr="00760296" w14:paraId="5458390F" w14:textId="77777777" w:rsidTr="00BB7552">
        <w:trPr>
          <w:trHeight w:val="312"/>
        </w:trPr>
        <w:tc>
          <w:tcPr>
            <w:tcW w:w="3077" w:type="pct"/>
            <w:shd w:val="clear" w:color="000000" w:fill="E2EFDA"/>
            <w:noWrap/>
            <w:vAlign w:val="bottom"/>
            <w:hideMark/>
          </w:tcPr>
          <w:p w14:paraId="721D4A55" w14:textId="77777777" w:rsidR="00BB7552" w:rsidRPr="00760296" w:rsidRDefault="00BB7552" w:rsidP="002D1B45">
            <w:pPr>
              <w:jc w:val="left"/>
              <w:rPr>
                <w:rFonts w:asciiTheme="minorBidi" w:hAnsiTheme="minorBidi" w:cstheme="minorBidi"/>
                <w:b/>
                <w:bCs/>
                <w:color w:val="000000"/>
                <w:lang w:val="en-IN"/>
              </w:rPr>
            </w:pPr>
            <w:r w:rsidRPr="00760296">
              <w:rPr>
                <w:rFonts w:asciiTheme="minorBidi" w:hAnsiTheme="minorBidi" w:cstheme="minorBidi"/>
                <w:b/>
                <w:bCs/>
                <w:color w:val="000000"/>
                <w:lang w:val="en-IN"/>
              </w:rPr>
              <w:t xml:space="preserve">CA/CL = Current ratio </w:t>
            </w:r>
          </w:p>
        </w:tc>
        <w:tc>
          <w:tcPr>
            <w:tcW w:w="385" w:type="pct"/>
            <w:shd w:val="clear" w:color="000000" w:fill="E2EFDA"/>
            <w:noWrap/>
            <w:vAlign w:val="bottom"/>
            <w:hideMark/>
          </w:tcPr>
          <w:p w14:paraId="68B99D48"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1.53</w:t>
            </w:r>
          </w:p>
        </w:tc>
        <w:tc>
          <w:tcPr>
            <w:tcW w:w="385" w:type="pct"/>
            <w:shd w:val="clear" w:color="000000" w:fill="E2EFDA"/>
            <w:noWrap/>
            <w:vAlign w:val="bottom"/>
            <w:hideMark/>
          </w:tcPr>
          <w:p w14:paraId="33D3BD7B"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1.61</w:t>
            </w:r>
          </w:p>
        </w:tc>
        <w:tc>
          <w:tcPr>
            <w:tcW w:w="385" w:type="pct"/>
            <w:shd w:val="clear" w:color="000000" w:fill="E2EFDA"/>
            <w:noWrap/>
            <w:vAlign w:val="bottom"/>
            <w:hideMark/>
          </w:tcPr>
          <w:p w14:paraId="5D18E7DB"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1.56</w:t>
            </w:r>
          </w:p>
        </w:tc>
        <w:tc>
          <w:tcPr>
            <w:tcW w:w="385" w:type="pct"/>
            <w:shd w:val="clear" w:color="000000" w:fill="E2EFDA"/>
            <w:noWrap/>
            <w:vAlign w:val="bottom"/>
            <w:hideMark/>
          </w:tcPr>
          <w:p w14:paraId="1F83A409"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1.56</w:t>
            </w:r>
          </w:p>
        </w:tc>
        <w:tc>
          <w:tcPr>
            <w:tcW w:w="385" w:type="pct"/>
            <w:shd w:val="clear" w:color="000000" w:fill="E2EFDA"/>
            <w:noWrap/>
            <w:vAlign w:val="bottom"/>
            <w:hideMark/>
          </w:tcPr>
          <w:p w14:paraId="1838C131"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1.82</w:t>
            </w:r>
          </w:p>
        </w:tc>
      </w:tr>
      <w:tr w:rsidR="00BB7552" w:rsidRPr="00760296" w14:paraId="29D0B315" w14:textId="77777777" w:rsidTr="00BB7552">
        <w:trPr>
          <w:trHeight w:val="312"/>
        </w:trPr>
        <w:tc>
          <w:tcPr>
            <w:tcW w:w="3077" w:type="pct"/>
            <w:shd w:val="clear" w:color="000000" w:fill="E2EFDA"/>
            <w:noWrap/>
            <w:vAlign w:val="bottom"/>
            <w:hideMark/>
          </w:tcPr>
          <w:p w14:paraId="5791E07F" w14:textId="77777777" w:rsidR="00BB7552" w:rsidRPr="00760296" w:rsidRDefault="00BB7552" w:rsidP="002D1B45">
            <w:pPr>
              <w:jc w:val="left"/>
              <w:rPr>
                <w:rFonts w:asciiTheme="minorBidi" w:hAnsiTheme="minorBidi" w:cstheme="minorBidi"/>
                <w:b/>
                <w:bCs/>
                <w:color w:val="000000"/>
                <w:lang w:val="en-IN"/>
              </w:rPr>
            </w:pPr>
            <w:r w:rsidRPr="00760296">
              <w:rPr>
                <w:rFonts w:asciiTheme="minorBidi" w:hAnsiTheme="minorBidi" w:cstheme="minorBidi"/>
                <w:b/>
                <w:bCs/>
                <w:color w:val="000000"/>
                <w:lang w:val="en-IN"/>
              </w:rPr>
              <w:t xml:space="preserve">CA- inventories / CL = Acid test ratio </w:t>
            </w:r>
          </w:p>
        </w:tc>
        <w:tc>
          <w:tcPr>
            <w:tcW w:w="385" w:type="pct"/>
            <w:shd w:val="clear" w:color="000000" w:fill="E2EFDA"/>
            <w:noWrap/>
            <w:vAlign w:val="bottom"/>
            <w:hideMark/>
          </w:tcPr>
          <w:p w14:paraId="125E3F22"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1.03</w:t>
            </w:r>
          </w:p>
        </w:tc>
        <w:tc>
          <w:tcPr>
            <w:tcW w:w="385" w:type="pct"/>
            <w:shd w:val="clear" w:color="000000" w:fill="E2EFDA"/>
            <w:noWrap/>
            <w:vAlign w:val="bottom"/>
            <w:hideMark/>
          </w:tcPr>
          <w:p w14:paraId="44A8AA68"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1.06</w:t>
            </w:r>
          </w:p>
        </w:tc>
        <w:tc>
          <w:tcPr>
            <w:tcW w:w="385" w:type="pct"/>
            <w:shd w:val="clear" w:color="000000" w:fill="E2EFDA"/>
            <w:noWrap/>
            <w:vAlign w:val="bottom"/>
            <w:hideMark/>
          </w:tcPr>
          <w:p w14:paraId="159E3452"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0.91</w:t>
            </w:r>
          </w:p>
        </w:tc>
        <w:tc>
          <w:tcPr>
            <w:tcW w:w="385" w:type="pct"/>
            <w:shd w:val="clear" w:color="000000" w:fill="E2EFDA"/>
            <w:noWrap/>
            <w:vAlign w:val="bottom"/>
            <w:hideMark/>
          </w:tcPr>
          <w:p w14:paraId="7149EDC6"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0.93</w:t>
            </w:r>
          </w:p>
        </w:tc>
        <w:tc>
          <w:tcPr>
            <w:tcW w:w="385" w:type="pct"/>
            <w:shd w:val="clear" w:color="000000" w:fill="E2EFDA"/>
            <w:noWrap/>
            <w:vAlign w:val="bottom"/>
            <w:hideMark/>
          </w:tcPr>
          <w:p w14:paraId="3C33C9C7"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1.15</w:t>
            </w:r>
          </w:p>
        </w:tc>
      </w:tr>
      <w:tr w:rsidR="00BB7552" w:rsidRPr="00760296" w14:paraId="514FC332" w14:textId="77777777" w:rsidTr="00BB7552">
        <w:trPr>
          <w:trHeight w:val="312"/>
        </w:trPr>
        <w:tc>
          <w:tcPr>
            <w:tcW w:w="3077" w:type="pct"/>
            <w:shd w:val="clear" w:color="auto" w:fill="auto"/>
            <w:noWrap/>
            <w:vAlign w:val="bottom"/>
            <w:hideMark/>
          </w:tcPr>
          <w:p w14:paraId="4672F3A9" w14:textId="77777777" w:rsidR="00BB7552" w:rsidRPr="00760296" w:rsidRDefault="00BB7552" w:rsidP="002D1B45">
            <w:pPr>
              <w:jc w:val="right"/>
              <w:rPr>
                <w:rFonts w:asciiTheme="minorBidi" w:hAnsiTheme="minorBidi" w:cstheme="minorBidi"/>
                <w:b/>
                <w:bCs/>
                <w:color w:val="000000"/>
                <w:lang w:val="en-IN"/>
              </w:rPr>
            </w:pPr>
          </w:p>
        </w:tc>
        <w:tc>
          <w:tcPr>
            <w:tcW w:w="385" w:type="pct"/>
            <w:shd w:val="clear" w:color="auto" w:fill="auto"/>
            <w:noWrap/>
            <w:vAlign w:val="bottom"/>
            <w:hideMark/>
          </w:tcPr>
          <w:p w14:paraId="42FA7BBA" w14:textId="77777777" w:rsidR="00BB7552" w:rsidRPr="00760296" w:rsidRDefault="00BB7552" w:rsidP="002D1B45">
            <w:pPr>
              <w:jc w:val="left"/>
              <w:rPr>
                <w:rFonts w:asciiTheme="minorBidi" w:hAnsiTheme="minorBidi" w:cstheme="minorBidi"/>
                <w:sz w:val="20"/>
                <w:szCs w:val="20"/>
                <w:lang w:val="en-IN"/>
              </w:rPr>
            </w:pPr>
          </w:p>
        </w:tc>
        <w:tc>
          <w:tcPr>
            <w:tcW w:w="385" w:type="pct"/>
            <w:shd w:val="clear" w:color="auto" w:fill="auto"/>
            <w:noWrap/>
            <w:vAlign w:val="bottom"/>
            <w:hideMark/>
          </w:tcPr>
          <w:p w14:paraId="1E69668A" w14:textId="77777777" w:rsidR="00BB7552" w:rsidRPr="00760296" w:rsidRDefault="00BB7552" w:rsidP="002D1B45">
            <w:pPr>
              <w:jc w:val="left"/>
              <w:rPr>
                <w:rFonts w:asciiTheme="minorBidi" w:hAnsiTheme="minorBidi" w:cstheme="minorBidi"/>
                <w:sz w:val="20"/>
                <w:szCs w:val="20"/>
                <w:lang w:val="en-IN"/>
              </w:rPr>
            </w:pPr>
          </w:p>
        </w:tc>
        <w:tc>
          <w:tcPr>
            <w:tcW w:w="385" w:type="pct"/>
            <w:shd w:val="clear" w:color="auto" w:fill="auto"/>
            <w:noWrap/>
            <w:vAlign w:val="bottom"/>
            <w:hideMark/>
          </w:tcPr>
          <w:p w14:paraId="4C8F790D" w14:textId="77777777" w:rsidR="00BB7552" w:rsidRPr="00760296" w:rsidRDefault="00BB7552" w:rsidP="002D1B45">
            <w:pPr>
              <w:jc w:val="left"/>
              <w:rPr>
                <w:rFonts w:asciiTheme="minorBidi" w:hAnsiTheme="minorBidi" w:cstheme="minorBidi"/>
                <w:sz w:val="20"/>
                <w:szCs w:val="20"/>
                <w:lang w:val="en-IN"/>
              </w:rPr>
            </w:pPr>
          </w:p>
        </w:tc>
        <w:tc>
          <w:tcPr>
            <w:tcW w:w="385" w:type="pct"/>
            <w:shd w:val="clear" w:color="auto" w:fill="auto"/>
            <w:noWrap/>
            <w:vAlign w:val="bottom"/>
            <w:hideMark/>
          </w:tcPr>
          <w:p w14:paraId="3723B50D" w14:textId="77777777" w:rsidR="00BB7552" w:rsidRPr="00760296" w:rsidRDefault="00BB7552" w:rsidP="002D1B45">
            <w:pPr>
              <w:jc w:val="left"/>
              <w:rPr>
                <w:rFonts w:asciiTheme="minorBidi" w:hAnsiTheme="minorBidi" w:cstheme="minorBidi"/>
                <w:sz w:val="20"/>
                <w:szCs w:val="20"/>
                <w:lang w:val="en-IN"/>
              </w:rPr>
            </w:pPr>
          </w:p>
        </w:tc>
        <w:tc>
          <w:tcPr>
            <w:tcW w:w="385" w:type="pct"/>
            <w:shd w:val="clear" w:color="auto" w:fill="auto"/>
            <w:noWrap/>
            <w:vAlign w:val="bottom"/>
            <w:hideMark/>
          </w:tcPr>
          <w:p w14:paraId="6FE57894" w14:textId="77777777" w:rsidR="00BB7552" w:rsidRPr="00760296" w:rsidRDefault="00BB7552" w:rsidP="002D1B45">
            <w:pPr>
              <w:jc w:val="left"/>
              <w:rPr>
                <w:rFonts w:asciiTheme="minorBidi" w:hAnsiTheme="minorBidi" w:cstheme="minorBidi"/>
                <w:sz w:val="20"/>
                <w:szCs w:val="20"/>
                <w:lang w:val="en-IN"/>
              </w:rPr>
            </w:pPr>
          </w:p>
        </w:tc>
      </w:tr>
      <w:tr w:rsidR="00BB7552" w:rsidRPr="00760296" w14:paraId="5E46F76C" w14:textId="77777777" w:rsidTr="00BB7552">
        <w:trPr>
          <w:trHeight w:val="312"/>
        </w:trPr>
        <w:tc>
          <w:tcPr>
            <w:tcW w:w="3077" w:type="pct"/>
            <w:shd w:val="clear" w:color="000000" w:fill="F8CBAD"/>
            <w:noWrap/>
            <w:vAlign w:val="bottom"/>
            <w:hideMark/>
          </w:tcPr>
          <w:p w14:paraId="7C0031B2" w14:textId="77777777" w:rsidR="00BB7552" w:rsidRPr="00760296" w:rsidRDefault="00BB7552" w:rsidP="002D1B45">
            <w:pPr>
              <w:jc w:val="left"/>
              <w:rPr>
                <w:rFonts w:asciiTheme="minorBidi" w:hAnsiTheme="minorBidi" w:cstheme="minorBidi"/>
                <w:b/>
                <w:bCs/>
                <w:color w:val="000000"/>
                <w:lang w:val="en-IN"/>
              </w:rPr>
            </w:pPr>
            <w:r w:rsidRPr="00760296">
              <w:rPr>
                <w:rFonts w:asciiTheme="minorBidi" w:hAnsiTheme="minorBidi" w:cstheme="minorBidi"/>
                <w:b/>
                <w:bCs/>
                <w:color w:val="000000"/>
                <w:lang w:val="en-IN"/>
              </w:rPr>
              <w:t>Profitability Ratios</w:t>
            </w:r>
          </w:p>
        </w:tc>
        <w:tc>
          <w:tcPr>
            <w:tcW w:w="385" w:type="pct"/>
            <w:shd w:val="clear" w:color="000000" w:fill="F8CBAD"/>
            <w:noWrap/>
            <w:vAlign w:val="bottom"/>
            <w:hideMark/>
          </w:tcPr>
          <w:p w14:paraId="2E7F8661"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2024</w:t>
            </w:r>
          </w:p>
        </w:tc>
        <w:tc>
          <w:tcPr>
            <w:tcW w:w="385" w:type="pct"/>
            <w:shd w:val="clear" w:color="000000" w:fill="F8CBAD"/>
            <w:noWrap/>
            <w:vAlign w:val="bottom"/>
            <w:hideMark/>
          </w:tcPr>
          <w:p w14:paraId="6D5315DF"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2023</w:t>
            </w:r>
          </w:p>
        </w:tc>
        <w:tc>
          <w:tcPr>
            <w:tcW w:w="385" w:type="pct"/>
            <w:shd w:val="clear" w:color="000000" w:fill="F8CBAD"/>
            <w:noWrap/>
            <w:vAlign w:val="bottom"/>
            <w:hideMark/>
          </w:tcPr>
          <w:p w14:paraId="277AF5AA"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2022</w:t>
            </w:r>
          </w:p>
        </w:tc>
        <w:tc>
          <w:tcPr>
            <w:tcW w:w="385" w:type="pct"/>
            <w:shd w:val="clear" w:color="000000" w:fill="F8CBAD"/>
            <w:noWrap/>
            <w:vAlign w:val="bottom"/>
            <w:hideMark/>
          </w:tcPr>
          <w:p w14:paraId="332F32BB"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2021</w:t>
            </w:r>
          </w:p>
        </w:tc>
        <w:tc>
          <w:tcPr>
            <w:tcW w:w="385" w:type="pct"/>
            <w:shd w:val="clear" w:color="000000" w:fill="F8CBAD"/>
            <w:noWrap/>
            <w:vAlign w:val="bottom"/>
            <w:hideMark/>
          </w:tcPr>
          <w:p w14:paraId="34B9FDB6"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2020</w:t>
            </w:r>
          </w:p>
        </w:tc>
      </w:tr>
      <w:tr w:rsidR="00BB7552" w:rsidRPr="00760296" w14:paraId="234C14FB" w14:textId="77777777" w:rsidTr="00BB7552">
        <w:trPr>
          <w:trHeight w:val="312"/>
        </w:trPr>
        <w:tc>
          <w:tcPr>
            <w:tcW w:w="3077" w:type="pct"/>
            <w:shd w:val="clear" w:color="000000" w:fill="F8CBAD"/>
            <w:noWrap/>
            <w:vAlign w:val="bottom"/>
            <w:hideMark/>
          </w:tcPr>
          <w:p w14:paraId="638ECEF0" w14:textId="77777777" w:rsidR="00BB7552" w:rsidRPr="00760296" w:rsidRDefault="00BB7552" w:rsidP="002D1B45">
            <w:pPr>
              <w:jc w:val="left"/>
              <w:rPr>
                <w:rFonts w:asciiTheme="minorBidi" w:hAnsiTheme="minorBidi" w:cstheme="minorBidi"/>
                <w:color w:val="000000"/>
                <w:lang w:val="en-IN"/>
              </w:rPr>
            </w:pPr>
            <w:r w:rsidRPr="00760296">
              <w:rPr>
                <w:rFonts w:asciiTheme="minorBidi" w:hAnsiTheme="minorBidi" w:cstheme="minorBidi"/>
                <w:color w:val="000000"/>
                <w:lang w:val="en-IN"/>
              </w:rPr>
              <w:t xml:space="preserve">Total revenue </w:t>
            </w:r>
          </w:p>
        </w:tc>
        <w:tc>
          <w:tcPr>
            <w:tcW w:w="385" w:type="pct"/>
            <w:shd w:val="clear" w:color="000000" w:fill="F8CBAD"/>
            <w:vAlign w:val="center"/>
            <w:hideMark/>
          </w:tcPr>
          <w:p w14:paraId="78A5ABD2"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3,94,879</w:t>
            </w:r>
          </w:p>
        </w:tc>
        <w:tc>
          <w:tcPr>
            <w:tcW w:w="385" w:type="pct"/>
            <w:shd w:val="clear" w:color="000000" w:fill="F8CBAD"/>
            <w:vAlign w:val="center"/>
            <w:hideMark/>
          </w:tcPr>
          <w:p w14:paraId="06BD80F1"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4,20,457</w:t>
            </w:r>
          </w:p>
        </w:tc>
        <w:tc>
          <w:tcPr>
            <w:tcW w:w="385" w:type="pct"/>
            <w:shd w:val="clear" w:color="000000" w:fill="F8CBAD"/>
            <w:vAlign w:val="center"/>
            <w:hideMark/>
          </w:tcPr>
          <w:p w14:paraId="2F085586"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5,42,751</w:t>
            </w:r>
          </w:p>
        </w:tc>
        <w:tc>
          <w:tcPr>
            <w:tcW w:w="385" w:type="pct"/>
            <w:shd w:val="clear" w:color="000000" w:fill="F8CBAD"/>
            <w:vAlign w:val="center"/>
            <w:hideMark/>
          </w:tcPr>
          <w:p w14:paraId="6DC5C374"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5,42,751</w:t>
            </w:r>
          </w:p>
        </w:tc>
        <w:tc>
          <w:tcPr>
            <w:tcW w:w="385" w:type="pct"/>
            <w:shd w:val="clear" w:color="000000" w:fill="F8CBAD"/>
            <w:vAlign w:val="center"/>
            <w:hideMark/>
          </w:tcPr>
          <w:p w14:paraId="56E827CF"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6,14,680</w:t>
            </w:r>
          </w:p>
        </w:tc>
      </w:tr>
      <w:tr w:rsidR="00BB7552" w:rsidRPr="00760296" w14:paraId="2436B500" w14:textId="77777777" w:rsidTr="00BB7552">
        <w:trPr>
          <w:trHeight w:val="312"/>
        </w:trPr>
        <w:tc>
          <w:tcPr>
            <w:tcW w:w="3077" w:type="pct"/>
            <w:shd w:val="clear" w:color="000000" w:fill="F8CBAD"/>
            <w:noWrap/>
            <w:vAlign w:val="bottom"/>
            <w:hideMark/>
          </w:tcPr>
          <w:p w14:paraId="38CDA06D" w14:textId="77777777" w:rsidR="00BB7552" w:rsidRPr="00760296" w:rsidRDefault="00BB7552" w:rsidP="002D1B45">
            <w:pPr>
              <w:jc w:val="left"/>
              <w:rPr>
                <w:rFonts w:asciiTheme="minorBidi" w:hAnsiTheme="minorBidi" w:cstheme="minorBidi"/>
                <w:color w:val="000000"/>
                <w:lang w:val="en-IN"/>
              </w:rPr>
            </w:pPr>
            <w:r w:rsidRPr="00760296">
              <w:rPr>
                <w:rFonts w:asciiTheme="minorBidi" w:hAnsiTheme="minorBidi" w:cstheme="minorBidi"/>
                <w:color w:val="000000"/>
                <w:lang w:val="en-IN"/>
              </w:rPr>
              <w:t xml:space="preserve">net income </w:t>
            </w:r>
          </w:p>
        </w:tc>
        <w:tc>
          <w:tcPr>
            <w:tcW w:w="385" w:type="pct"/>
            <w:shd w:val="clear" w:color="000000" w:fill="F8CBAD"/>
            <w:vAlign w:val="center"/>
            <w:hideMark/>
          </w:tcPr>
          <w:p w14:paraId="439034C3"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-24,029</w:t>
            </w:r>
          </w:p>
        </w:tc>
        <w:tc>
          <w:tcPr>
            <w:tcW w:w="385" w:type="pct"/>
            <w:shd w:val="clear" w:color="000000" w:fill="F8CBAD"/>
            <w:vAlign w:val="center"/>
            <w:hideMark/>
          </w:tcPr>
          <w:p w14:paraId="0E44FB67"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-98,238</w:t>
            </w:r>
          </w:p>
        </w:tc>
        <w:tc>
          <w:tcPr>
            <w:tcW w:w="385" w:type="pct"/>
            <w:shd w:val="clear" w:color="000000" w:fill="F8CBAD"/>
            <w:vAlign w:val="center"/>
            <w:hideMark/>
          </w:tcPr>
          <w:p w14:paraId="076D5ABD"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407</w:t>
            </w:r>
          </w:p>
        </w:tc>
        <w:tc>
          <w:tcPr>
            <w:tcW w:w="385" w:type="pct"/>
            <w:shd w:val="clear" w:color="000000" w:fill="F8CBAD"/>
            <w:vAlign w:val="center"/>
            <w:hideMark/>
          </w:tcPr>
          <w:p w14:paraId="093EC09B"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5,301</w:t>
            </w:r>
          </w:p>
        </w:tc>
        <w:tc>
          <w:tcPr>
            <w:tcW w:w="385" w:type="pct"/>
            <w:shd w:val="clear" w:color="000000" w:fill="F8CBAD"/>
            <w:vAlign w:val="center"/>
            <w:hideMark/>
          </w:tcPr>
          <w:p w14:paraId="476FB9C6"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38,572</w:t>
            </w:r>
          </w:p>
        </w:tc>
      </w:tr>
      <w:tr w:rsidR="00BB7552" w:rsidRPr="00760296" w14:paraId="6E68FB23" w14:textId="77777777" w:rsidTr="00BB7552">
        <w:trPr>
          <w:trHeight w:val="312"/>
        </w:trPr>
        <w:tc>
          <w:tcPr>
            <w:tcW w:w="3077" w:type="pct"/>
            <w:shd w:val="clear" w:color="000000" w:fill="F8CBAD"/>
            <w:noWrap/>
            <w:vAlign w:val="bottom"/>
            <w:hideMark/>
          </w:tcPr>
          <w:p w14:paraId="61CA9332" w14:textId="77777777" w:rsidR="00BB7552" w:rsidRPr="00760296" w:rsidRDefault="00BB7552" w:rsidP="002D1B45">
            <w:pPr>
              <w:jc w:val="left"/>
              <w:rPr>
                <w:rFonts w:asciiTheme="minorBidi" w:hAnsiTheme="minorBidi" w:cstheme="minorBidi"/>
                <w:color w:val="000000"/>
                <w:lang w:val="en-IN"/>
              </w:rPr>
            </w:pPr>
            <w:r w:rsidRPr="00760296">
              <w:rPr>
                <w:rFonts w:asciiTheme="minorBidi" w:hAnsiTheme="minorBidi" w:cstheme="minorBidi"/>
                <w:color w:val="000000"/>
                <w:lang w:val="en-IN"/>
              </w:rPr>
              <w:t xml:space="preserve">Gross income </w:t>
            </w:r>
          </w:p>
        </w:tc>
        <w:tc>
          <w:tcPr>
            <w:tcW w:w="385" w:type="pct"/>
            <w:shd w:val="clear" w:color="000000" w:fill="F8CBAD"/>
            <w:vAlign w:val="center"/>
            <w:hideMark/>
          </w:tcPr>
          <w:p w14:paraId="337DC8F8"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1,13,994</w:t>
            </w:r>
          </w:p>
        </w:tc>
        <w:tc>
          <w:tcPr>
            <w:tcW w:w="385" w:type="pct"/>
            <w:shd w:val="clear" w:color="000000" w:fill="F8CBAD"/>
            <w:vAlign w:val="center"/>
            <w:hideMark/>
          </w:tcPr>
          <w:p w14:paraId="7B93A9D5"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97,560</w:t>
            </w:r>
          </w:p>
        </w:tc>
        <w:tc>
          <w:tcPr>
            <w:tcW w:w="385" w:type="pct"/>
            <w:shd w:val="clear" w:color="000000" w:fill="F8CBAD"/>
            <w:vAlign w:val="center"/>
            <w:hideMark/>
          </w:tcPr>
          <w:p w14:paraId="6AE7451D"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1,52,292</w:t>
            </w:r>
          </w:p>
        </w:tc>
        <w:tc>
          <w:tcPr>
            <w:tcW w:w="385" w:type="pct"/>
            <w:shd w:val="clear" w:color="000000" w:fill="F8CBAD"/>
            <w:vAlign w:val="center"/>
            <w:hideMark/>
          </w:tcPr>
          <w:p w14:paraId="455369BD"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1,73,016</w:t>
            </w:r>
          </w:p>
        </w:tc>
        <w:tc>
          <w:tcPr>
            <w:tcW w:w="385" w:type="pct"/>
            <w:shd w:val="clear" w:color="000000" w:fill="F8CBAD"/>
            <w:vAlign w:val="center"/>
            <w:hideMark/>
          </w:tcPr>
          <w:p w14:paraId="2C0C4969"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1,76,256</w:t>
            </w:r>
          </w:p>
        </w:tc>
      </w:tr>
      <w:tr w:rsidR="00BB7552" w:rsidRPr="00760296" w14:paraId="5D491668" w14:textId="77777777" w:rsidTr="00BB7552">
        <w:trPr>
          <w:trHeight w:val="312"/>
        </w:trPr>
        <w:tc>
          <w:tcPr>
            <w:tcW w:w="3077" w:type="pct"/>
            <w:shd w:val="clear" w:color="000000" w:fill="F8CBAD"/>
            <w:noWrap/>
            <w:vAlign w:val="bottom"/>
            <w:hideMark/>
          </w:tcPr>
          <w:p w14:paraId="4C775E2F" w14:textId="77777777" w:rsidR="00BB7552" w:rsidRPr="00760296" w:rsidRDefault="00BB7552" w:rsidP="002D1B45">
            <w:pPr>
              <w:jc w:val="lef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Profitability Ratios</w:t>
            </w:r>
          </w:p>
        </w:tc>
        <w:tc>
          <w:tcPr>
            <w:tcW w:w="385" w:type="pct"/>
            <w:shd w:val="clear" w:color="000000" w:fill="F8CBAD"/>
            <w:noWrap/>
            <w:vAlign w:val="bottom"/>
            <w:hideMark/>
          </w:tcPr>
          <w:p w14:paraId="1A64FD47" w14:textId="77777777" w:rsidR="00BB7552" w:rsidRPr="00760296" w:rsidRDefault="00BB7552" w:rsidP="002D1B45">
            <w:pPr>
              <w:jc w:val="righ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2024</w:t>
            </w:r>
          </w:p>
        </w:tc>
        <w:tc>
          <w:tcPr>
            <w:tcW w:w="385" w:type="pct"/>
            <w:shd w:val="clear" w:color="000000" w:fill="F8CBAD"/>
            <w:noWrap/>
            <w:vAlign w:val="bottom"/>
            <w:hideMark/>
          </w:tcPr>
          <w:p w14:paraId="2F555C38" w14:textId="77777777" w:rsidR="00BB7552" w:rsidRPr="00760296" w:rsidRDefault="00BB7552" w:rsidP="002D1B45">
            <w:pPr>
              <w:jc w:val="righ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2023</w:t>
            </w:r>
          </w:p>
        </w:tc>
        <w:tc>
          <w:tcPr>
            <w:tcW w:w="385" w:type="pct"/>
            <w:shd w:val="clear" w:color="000000" w:fill="F8CBAD"/>
            <w:noWrap/>
            <w:vAlign w:val="bottom"/>
            <w:hideMark/>
          </w:tcPr>
          <w:p w14:paraId="78BF987F" w14:textId="77777777" w:rsidR="00BB7552" w:rsidRPr="00760296" w:rsidRDefault="00BB7552" w:rsidP="002D1B45">
            <w:pPr>
              <w:jc w:val="righ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2022</w:t>
            </w:r>
          </w:p>
        </w:tc>
        <w:tc>
          <w:tcPr>
            <w:tcW w:w="385" w:type="pct"/>
            <w:shd w:val="clear" w:color="000000" w:fill="F8CBAD"/>
            <w:noWrap/>
            <w:vAlign w:val="bottom"/>
            <w:hideMark/>
          </w:tcPr>
          <w:p w14:paraId="694A3D44" w14:textId="77777777" w:rsidR="00BB7552" w:rsidRPr="00760296" w:rsidRDefault="00BB7552" w:rsidP="002D1B45">
            <w:pPr>
              <w:jc w:val="righ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2021</w:t>
            </w:r>
          </w:p>
        </w:tc>
        <w:tc>
          <w:tcPr>
            <w:tcW w:w="385" w:type="pct"/>
            <w:shd w:val="clear" w:color="000000" w:fill="F8CBAD"/>
            <w:noWrap/>
            <w:vAlign w:val="bottom"/>
            <w:hideMark/>
          </w:tcPr>
          <w:p w14:paraId="601D40BA" w14:textId="77777777" w:rsidR="00BB7552" w:rsidRPr="00760296" w:rsidRDefault="00BB7552" w:rsidP="002D1B45">
            <w:pPr>
              <w:jc w:val="righ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2020</w:t>
            </w:r>
          </w:p>
        </w:tc>
      </w:tr>
      <w:tr w:rsidR="00BB7552" w:rsidRPr="00760296" w14:paraId="04167344" w14:textId="77777777" w:rsidTr="00BB7552">
        <w:trPr>
          <w:trHeight w:val="312"/>
        </w:trPr>
        <w:tc>
          <w:tcPr>
            <w:tcW w:w="3077" w:type="pct"/>
            <w:shd w:val="clear" w:color="000000" w:fill="F8CBAD"/>
            <w:noWrap/>
            <w:vAlign w:val="bottom"/>
            <w:hideMark/>
          </w:tcPr>
          <w:p w14:paraId="57ED70C4" w14:textId="77777777" w:rsidR="00BB7552" w:rsidRPr="00760296" w:rsidRDefault="00BB7552" w:rsidP="002D1B45">
            <w:pPr>
              <w:jc w:val="left"/>
              <w:rPr>
                <w:rFonts w:asciiTheme="minorBidi" w:hAnsiTheme="minorBidi" w:cstheme="minorBidi"/>
                <w:b/>
                <w:bCs/>
                <w:color w:val="000000"/>
                <w:lang w:val="en-IN"/>
              </w:rPr>
            </w:pPr>
            <w:r w:rsidRPr="00760296">
              <w:rPr>
                <w:rFonts w:asciiTheme="minorBidi" w:hAnsiTheme="minorBidi" w:cstheme="minorBidi"/>
                <w:b/>
                <w:bCs/>
                <w:color w:val="000000"/>
                <w:lang w:val="en-IN"/>
              </w:rPr>
              <w:t xml:space="preserve">Net income/ Sales = Net margin ratio </w:t>
            </w:r>
          </w:p>
        </w:tc>
        <w:tc>
          <w:tcPr>
            <w:tcW w:w="385" w:type="pct"/>
            <w:shd w:val="clear" w:color="000000" w:fill="F8CBAD"/>
            <w:noWrap/>
            <w:vAlign w:val="bottom"/>
            <w:hideMark/>
          </w:tcPr>
          <w:p w14:paraId="4B0BF900"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-6%</w:t>
            </w:r>
          </w:p>
        </w:tc>
        <w:tc>
          <w:tcPr>
            <w:tcW w:w="385" w:type="pct"/>
            <w:shd w:val="clear" w:color="000000" w:fill="F8CBAD"/>
            <w:noWrap/>
            <w:vAlign w:val="bottom"/>
            <w:hideMark/>
          </w:tcPr>
          <w:p w14:paraId="255C6120"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-23%</w:t>
            </w:r>
          </w:p>
        </w:tc>
        <w:tc>
          <w:tcPr>
            <w:tcW w:w="385" w:type="pct"/>
            <w:shd w:val="clear" w:color="000000" w:fill="F8CBAD"/>
            <w:noWrap/>
            <w:vAlign w:val="bottom"/>
            <w:hideMark/>
          </w:tcPr>
          <w:p w14:paraId="6406C038"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0%</w:t>
            </w:r>
          </w:p>
        </w:tc>
        <w:tc>
          <w:tcPr>
            <w:tcW w:w="385" w:type="pct"/>
            <w:shd w:val="clear" w:color="000000" w:fill="F8CBAD"/>
            <w:noWrap/>
            <w:vAlign w:val="bottom"/>
            <w:hideMark/>
          </w:tcPr>
          <w:p w14:paraId="72091C00"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1%</w:t>
            </w:r>
          </w:p>
        </w:tc>
        <w:tc>
          <w:tcPr>
            <w:tcW w:w="385" w:type="pct"/>
            <w:shd w:val="clear" w:color="000000" w:fill="F8CBAD"/>
            <w:noWrap/>
            <w:vAlign w:val="bottom"/>
            <w:hideMark/>
          </w:tcPr>
          <w:p w14:paraId="62842F46"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6%</w:t>
            </w:r>
          </w:p>
        </w:tc>
      </w:tr>
      <w:tr w:rsidR="00BB7552" w:rsidRPr="00760296" w14:paraId="0358666A" w14:textId="77777777" w:rsidTr="00BB7552">
        <w:trPr>
          <w:trHeight w:val="312"/>
        </w:trPr>
        <w:tc>
          <w:tcPr>
            <w:tcW w:w="3077" w:type="pct"/>
            <w:shd w:val="clear" w:color="000000" w:fill="F8CBAD"/>
            <w:noWrap/>
            <w:vAlign w:val="bottom"/>
            <w:hideMark/>
          </w:tcPr>
          <w:p w14:paraId="6C509B37" w14:textId="77777777" w:rsidR="00BB7552" w:rsidRPr="00760296" w:rsidRDefault="00BB7552" w:rsidP="002D1B45">
            <w:pPr>
              <w:jc w:val="left"/>
              <w:rPr>
                <w:rFonts w:asciiTheme="minorBidi" w:hAnsiTheme="minorBidi" w:cstheme="minorBidi"/>
                <w:b/>
                <w:bCs/>
                <w:color w:val="000000"/>
                <w:lang w:val="en-IN"/>
              </w:rPr>
            </w:pPr>
            <w:r w:rsidRPr="00760296">
              <w:rPr>
                <w:rFonts w:asciiTheme="minorBidi" w:hAnsiTheme="minorBidi" w:cstheme="minorBidi"/>
                <w:b/>
                <w:bCs/>
                <w:color w:val="000000"/>
                <w:lang w:val="en-IN"/>
              </w:rPr>
              <w:t xml:space="preserve">Gross income/ sales = Gross margin ratio </w:t>
            </w:r>
          </w:p>
        </w:tc>
        <w:tc>
          <w:tcPr>
            <w:tcW w:w="385" w:type="pct"/>
            <w:shd w:val="clear" w:color="000000" w:fill="F8CBAD"/>
            <w:noWrap/>
            <w:vAlign w:val="bottom"/>
            <w:hideMark/>
          </w:tcPr>
          <w:p w14:paraId="6B5F90ED"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29%</w:t>
            </w:r>
          </w:p>
        </w:tc>
        <w:tc>
          <w:tcPr>
            <w:tcW w:w="385" w:type="pct"/>
            <w:shd w:val="clear" w:color="000000" w:fill="F8CBAD"/>
            <w:noWrap/>
            <w:vAlign w:val="bottom"/>
            <w:hideMark/>
          </w:tcPr>
          <w:p w14:paraId="4C47CF5B"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23%</w:t>
            </w:r>
          </w:p>
        </w:tc>
        <w:tc>
          <w:tcPr>
            <w:tcW w:w="385" w:type="pct"/>
            <w:shd w:val="clear" w:color="000000" w:fill="F8CBAD"/>
            <w:noWrap/>
            <w:vAlign w:val="bottom"/>
            <w:hideMark/>
          </w:tcPr>
          <w:p w14:paraId="79EAA840"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28%</w:t>
            </w:r>
          </w:p>
        </w:tc>
        <w:tc>
          <w:tcPr>
            <w:tcW w:w="385" w:type="pct"/>
            <w:shd w:val="clear" w:color="000000" w:fill="F8CBAD"/>
            <w:noWrap/>
            <w:vAlign w:val="bottom"/>
            <w:hideMark/>
          </w:tcPr>
          <w:p w14:paraId="3A45A96B"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32%</w:t>
            </w:r>
          </w:p>
        </w:tc>
        <w:tc>
          <w:tcPr>
            <w:tcW w:w="385" w:type="pct"/>
            <w:shd w:val="clear" w:color="000000" w:fill="F8CBAD"/>
            <w:noWrap/>
            <w:vAlign w:val="bottom"/>
            <w:hideMark/>
          </w:tcPr>
          <w:p w14:paraId="1D81459D"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29%</w:t>
            </w:r>
          </w:p>
        </w:tc>
      </w:tr>
      <w:tr w:rsidR="00BB7552" w:rsidRPr="00760296" w14:paraId="5EF74B8B" w14:textId="77777777" w:rsidTr="00BB7552">
        <w:trPr>
          <w:trHeight w:val="312"/>
        </w:trPr>
        <w:tc>
          <w:tcPr>
            <w:tcW w:w="3077" w:type="pct"/>
            <w:shd w:val="clear" w:color="auto" w:fill="auto"/>
            <w:noWrap/>
            <w:vAlign w:val="bottom"/>
            <w:hideMark/>
          </w:tcPr>
          <w:p w14:paraId="715DA3D5" w14:textId="77777777" w:rsidR="00BB7552" w:rsidRPr="00760296" w:rsidRDefault="00BB7552" w:rsidP="002D1B45">
            <w:pPr>
              <w:jc w:val="right"/>
              <w:rPr>
                <w:rFonts w:asciiTheme="minorBidi" w:hAnsiTheme="minorBidi" w:cstheme="minorBidi"/>
                <w:b/>
                <w:bCs/>
                <w:color w:val="000000"/>
                <w:lang w:val="en-IN"/>
              </w:rPr>
            </w:pPr>
          </w:p>
        </w:tc>
        <w:tc>
          <w:tcPr>
            <w:tcW w:w="385" w:type="pct"/>
            <w:shd w:val="clear" w:color="auto" w:fill="auto"/>
            <w:noWrap/>
            <w:vAlign w:val="bottom"/>
            <w:hideMark/>
          </w:tcPr>
          <w:p w14:paraId="30630C7B" w14:textId="77777777" w:rsidR="00BB7552" w:rsidRPr="00760296" w:rsidRDefault="00BB7552" w:rsidP="002D1B45">
            <w:pPr>
              <w:jc w:val="left"/>
              <w:rPr>
                <w:rFonts w:asciiTheme="minorBidi" w:hAnsiTheme="minorBidi" w:cstheme="minorBidi"/>
                <w:color w:val="000000"/>
                <w:lang w:val="en-IN"/>
              </w:rPr>
            </w:pPr>
            <w:r w:rsidRPr="00760296">
              <w:rPr>
                <w:rFonts w:asciiTheme="minorBidi" w:hAnsiTheme="minorBidi" w:cstheme="minorBidi"/>
                <w:color w:val="000000"/>
                <w:lang w:val="en-IN"/>
              </w:rPr>
              <w:t> </w:t>
            </w:r>
          </w:p>
        </w:tc>
        <w:tc>
          <w:tcPr>
            <w:tcW w:w="385" w:type="pct"/>
            <w:shd w:val="clear" w:color="auto" w:fill="auto"/>
            <w:noWrap/>
            <w:vAlign w:val="bottom"/>
            <w:hideMark/>
          </w:tcPr>
          <w:p w14:paraId="62E285F3" w14:textId="77777777" w:rsidR="00BB7552" w:rsidRPr="00760296" w:rsidRDefault="00BB7552" w:rsidP="002D1B45">
            <w:pPr>
              <w:jc w:val="left"/>
              <w:rPr>
                <w:rFonts w:asciiTheme="minorBidi" w:hAnsiTheme="minorBidi" w:cstheme="minorBidi"/>
                <w:color w:val="000000"/>
                <w:lang w:val="en-IN"/>
              </w:rPr>
            </w:pPr>
            <w:r w:rsidRPr="00760296">
              <w:rPr>
                <w:rFonts w:asciiTheme="minorBidi" w:hAnsiTheme="minorBidi" w:cstheme="minorBidi"/>
                <w:color w:val="000000"/>
                <w:lang w:val="en-IN"/>
              </w:rPr>
              <w:t> </w:t>
            </w:r>
          </w:p>
        </w:tc>
        <w:tc>
          <w:tcPr>
            <w:tcW w:w="385" w:type="pct"/>
            <w:shd w:val="clear" w:color="auto" w:fill="auto"/>
            <w:noWrap/>
            <w:vAlign w:val="bottom"/>
            <w:hideMark/>
          </w:tcPr>
          <w:p w14:paraId="2739AF1E" w14:textId="77777777" w:rsidR="00BB7552" w:rsidRPr="00760296" w:rsidRDefault="00BB7552" w:rsidP="002D1B45">
            <w:pPr>
              <w:jc w:val="left"/>
              <w:rPr>
                <w:rFonts w:asciiTheme="minorBidi" w:hAnsiTheme="minorBidi" w:cstheme="minorBidi"/>
                <w:color w:val="000000"/>
                <w:lang w:val="en-IN"/>
              </w:rPr>
            </w:pPr>
          </w:p>
        </w:tc>
        <w:tc>
          <w:tcPr>
            <w:tcW w:w="385" w:type="pct"/>
            <w:shd w:val="clear" w:color="auto" w:fill="auto"/>
            <w:noWrap/>
            <w:vAlign w:val="bottom"/>
            <w:hideMark/>
          </w:tcPr>
          <w:p w14:paraId="6AFFE4B1" w14:textId="77777777" w:rsidR="00BB7552" w:rsidRPr="00760296" w:rsidRDefault="00BB7552" w:rsidP="002D1B45">
            <w:pPr>
              <w:jc w:val="left"/>
              <w:rPr>
                <w:rFonts w:asciiTheme="minorBidi" w:hAnsiTheme="minorBidi" w:cstheme="minorBidi"/>
                <w:sz w:val="20"/>
                <w:szCs w:val="20"/>
                <w:lang w:val="en-IN"/>
              </w:rPr>
            </w:pPr>
          </w:p>
        </w:tc>
        <w:tc>
          <w:tcPr>
            <w:tcW w:w="385" w:type="pct"/>
            <w:shd w:val="clear" w:color="auto" w:fill="auto"/>
            <w:noWrap/>
            <w:vAlign w:val="bottom"/>
            <w:hideMark/>
          </w:tcPr>
          <w:p w14:paraId="75F54F7C" w14:textId="77777777" w:rsidR="00BB7552" w:rsidRPr="00760296" w:rsidRDefault="00BB7552" w:rsidP="002D1B45">
            <w:pPr>
              <w:jc w:val="left"/>
              <w:rPr>
                <w:rFonts w:asciiTheme="minorBidi" w:hAnsiTheme="minorBidi" w:cstheme="minorBidi"/>
                <w:sz w:val="20"/>
                <w:szCs w:val="20"/>
                <w:lang w:val="en-IN"/>
              </w:rPr>
            </w:pPr>
          </w:p>
        </w:tc>
      </w:tr>
      <w:tr w:rsidR="00BB7552" w:rsidRPr="00760296" w14:paraId="354E334C" w14:textId="77777777" w:rsidTr="00BB7552">
        <w:trPr>
          <w:trHeight w:val="312"/>
        </w:trPr>
        <w:tc>
          <w:tcPr>
            <w:tcW w:w="3077" w:type="pct"/>
            <w:shd w:val="clear" w:color="000000" w:fill="FB99A7"/>
            <w:noWrap/>
            <w:vAlign w:val="bottom"/>
            <w:hideMark/>
          </w:tcPr>
          <w:p w14:paraId="501A0B4E" w14:textId="77777777" w:rsidR="00BB7552" w:rsidRPr="00760296" w:rsidRDefault="00BB7552" w:rsidP="002D1B45">
            <w:pPr>
              <w:jc w:val="left"/>
              <w:rPr>
                <w:rFonts w:asciiTheme="minorBidi" w:hAnsiTheme="minorBidi" w:cstheme="minorBidi"/>
                <w:b/>
                <w:bCs/>
                <w:color w:val="000000"/>
                <w:lang w:val="en-IN"/>
              </w:rPr>
            </w:pPr>
            <w:r w:rsidRPr="00760296">
              <w:rPr>
                <w:rFonts w:asciiTheme="minorBidi" w:hAnsiTheme="minorBidi" w:cstheme="minorBidi"/>
                <w:b/>
                <w:bCs/>
                <w:color w:val="000000"/>
                <w:lang w:val="en-IN"/>
              </w:rPr>
              <w:t xml:space="preserve">Leverage Ratio </w:t>
            </w:r>
          </w:p>
        </w:tc>
        <w:tc>
          <w:tcPr>
            <w:tcW w:w="385" w:type="pct"/>
            <w:shd w:val="clear" w:color="000000" w:fill="FB99A7"/>
            <w:noWrap/>
            <w:vAlign w:val="bottom"/>
            <w:hideMark/>
          </w:tcPr>
          <w:p w14:paraId="12309A30"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2024</w:t>
            </w:r>
          </w:p>
        </w:tc>
        <w:tc>
          <w:tcPr>
            <w:tcW w:w="385" w:type="pct"/>
            <w:shd w:val="clear" w:color="000000" w:fill="FB99A7"/>
            <w:noWrap/>
            <w:vAlign w:val="bottom"/>
            <w:hideMark/>
          </w:tcPr>
          <w:p w14:paraId="6D97D7A9"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2023</w:t>
            </w:r>
          </w:p>
        </w:tc>
        <w:tc>
          <w:tcPr>
            <w:tcW w:w="385" w:type="pct"/>
            <w:shd w:val="clear" w:color="000000" w:fill="FB99A7"/>
            <w:noWrap/>
            <w:vAlign w:val="bottom"/>
            <w:hideMark/>
          </w:tcPr>
          <w:p w14:paraId="75395F62"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2022</w:t>
            </w:r>
          </w:p>
        </w:tc>
        <w:tc>
          <w:tcPr>
            <w:tcW w:w="385" w:type="pct"/>
            <w:shd w:val="clear" w:color="000000" w:fill="FB99A7"/>
            <w:noWrap/>
            <w:vAlign w:val="bottom"/>
            <w:hideMark/>
          </w:tcPr>
          <w:p w14:paraId="350D2F82"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2021</w:t>
            </w:r>
          </w:p>
        </w:tc>
        <w:tc>
          <w:tcPr>
            <w:tcW w:w="385" w:type="pct"/>
            <w:shd w:val="clear" w:color="000000" w:fill="FB99A7"/>
            <w:noWrap/>
            <w:vAlign w:val="bottom"/>
            <w:hideMark/>
          </w:tcPr>
          <w:p w14:paraId="55E46046"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2020</w:t>
            </w:r>
          </w:p>
        </w:tc>
      </w:tr>
      <w:tr w:rsidR="00BB7552" w:rsidRPr="00760296" w14:paraId="01AA3425" w14:textId="77777777" w:rsidTr="00BB7552">
        <w:trPr>
          <w:trHeight w:val="312"/>
        </w:trPr>
        <w:tc>
          <w:tcPr>
            <w:tcW w:w="3077" w:type="pct"/>
            <w:shd w:val="clear" w:color="000000" w:fill="FB99A7"/>
            <w:noWrap/>
            <w:vAlign w:val="bottom"/>
            <w:hideMark/>
          </w:tcPr>
          <w:p w14:paraId="1412CA98" w14:textId="77777777" w:rsidR="00BB7552" w:rsidRPr="00760296" w:rsidRDefault="00BB7552" w:rsidP="002D1B45">
            <w:pPr>
              <w:jc w:val="left"/>
              <w:rPr>
                <w:rFonts w:asciiTheme="minorBidi" w:hAnsiTheme="minorBidi" w:cstheme="minorBidi"/>
                <w:color w:val="000000"/>
                <w:lang w:val="en-IN"/>
              </w:rPr>
            </w:pPr>
            <w:r w:rsidRPr="00760296">
              <w:rPr>
                <w:rFonts w:asciiTheme="minorBidi" w:hAnsiTheme="minorBidi" w:cstheme="minorBidi"/>
                <w:color w:val="000000"/>
                <w:lang w:val="en-IN"/>
              </w:rPr>
              <w:t xml:space="preserve">Total liabilities </w:t>
            </w:r>
          </w:p>
        </w:tc>
        <w:tc>
          <w:tcPr>
            <w:tcW w:w="385" w:type="pct"/>
            <w:shd w:val="clear" w:color="000000" w:fill="FB99A7"/>
            <w:vAlign w:val="center"/>
            <w:hideMark/>
          </w:tcPr>
          <w:p w14:paraId="2FF2F6D9"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1,70,249</w:t>
            </w:r>
          </w:p>
        </w:tc>
        <w:tc>
          <w:tcPr>
            <w:tcW w:w="385" w:type="pct"/>
            <w:shd w:val="clear" w:color="000000" w:fill="FB99A7"/>
            <w:vAlign w:val="center"/>
            <w:hideMark/>
          </w:tcPr>
          <w:p w14:paraId="16F49D34"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1,76,952</w:t>
            </w:r>
          </w:p>
        </w:tc>
        <w:tc>
          <w:tcPr>
            <w:tcW w:w="385" w:type="pct"/>
            <w:shd w:val="clear" w:color="000000" w:fill="FB99A7"/>
            <w:vAlign w:val="center"/>
            <w:hideMark/>
          </w:tcPr>
          <w:p w14:paraId="413F9A79"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2,35,757</w:t>
            </w:r>
          </w:p>
        </w:tc>
        <w:tc>
          <w:tcPr>
            <w:tcW w:w="385" w:type="pct"/>
            <w:shd w:val="clear" w:color="000000" w:fill="FB99A7"/>
            <w:vAlign w:val="center"/>
            <w:hideMark/>
          </w:tcPr>
          <w:p w14:paraId="4015F1D8"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2,34,399</w:t>
            </w:r>
          </w:p>
        </w:tc>
        <w:tc>
          <w:tcPr>
            <w:tcW w:w="385" w:type="pct"/>
            <w:shd w:val="clear" w:color="000000" w:fill="FB99A7"/>
            <w:vAlign w:val="center"/>
            <w:hideMark/>
          </w:tcPr>
          <w:p w14:paraId="24EBB5CD"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1,96,989</w:t>
            </w:r>
          </w:p>
        </w:tc>
      </w:tr>
      <w:tr w:rsidR="00BB7552" w:rsidRPr="00760296" w14:paraId="6B14ECEE" w14:textId="77777777" w:rsidTr="00BB7552">
        <w:trPr>
          <w:trHeight w:val="312"/>
        </w:trPr>
        <w:tc>
          <w:tcPr>
            <w:tcW w:w="3077" w:type="pct"/>
            <w:shd w:val="clear" w:color="000000" w:fill="FB99A7"/>
            <w:noWrap/>
            <w:vAlign w:val="bottom"/>
            <w:hideMark/>
          </w:tcPr>
          <w:p w14:paraId="799F2B88" w14:textId="77777777" w:rsidR="00BB7552" w:rsidRPr="00760296" w:rsidRDefault="00BB7552" w:rsidP="002D1B45">
            <w:pPr>
              <w:jc w:val="left"/>
              <w:rPr>
                <w:rFonts w:asciiTheme="minorBidi" w:hAnsiTheme="minorBidi" w:cstheme="minorBidi"/>
                <w:color w:val="000000"/>
                <w:lang w:val="en-IN"/>
              </w:rPr>
            </w:pPr>
            <w:r w:rsidRPr="00760296">
              <w:rPr>
                <w:rFonts w:asciiTheme="minorBidi" w:hAnsiTheme="minorBidi" w:cstheme="minorBidi"/>
                <w:color w:val="000000"/>
                <w:lang w:val="en-IN"/>
              </w:rPr>
              <w:lastRenderedPageBreak/>
              <w:t xml:space="preserve">Total assets </w:t>
            </w:r>
          </w:p>
        </w:tc>
        <w:tc>
          <w:tcPr>
            <w:tcW w:w="385" w:type="pct"/>
            <w:shd w:val="clear" w:color="000000" w:fill="FB99A7"/>
            <w:vAlign w:val="center"/>
            <w:hideMark/>
          </w:tcPr>
          <w:p w14:paraId="6A55F42B"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3,23,354</w:t>
            </w:r>
          </w:p>
        </w:tc>
        <w:tc>
          <w:tcPr>
            <w:tcW w:w="385" w:type="pct"/>
            <w:shd w:val="clear" w:color="000000" w:fill="FB99A7"/>
            <w:vAlign w:val="center"/>
            <w:hideMark/>
          </w:tcPr>
          <w:p w14:paraId="7E85136C"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3,55,872</w:t>
            </w:r>
          </w:p>
        </w:tc>
        <w:tc>
          <w:tcPr>
            <w:tcW w:w="385" w:type="pct"/>
            <w:shd w:val="clear" w:color="000000" w:fill="FB99A7"/>
            <w:vAlign w:val="center"/>
            <w:hideMark/>
          </w:tcPr>
          <w:p w14:paraId="52471576"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5,04,163</w:t>
            </w:r>
          </w:p>
        </w:tc>
        <w:tc>
          <w:tcPr>
            <w:tcW w:w="385" w:type="pct"/>
            <w:shd w:val="clear" w:color="000000" w:fill="FB99A7"/>
            <w:vAlign w:val="center"/>
            <w:hideMark/>
          </w:tcPr>
          <w:p w14:paraId="0C0F3A32"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5,10,348</w:t>
            </w:r>
          </w:p>
        </w:tc>
        <w:tc>
          <w:tcPr>
            <w:tcW w:w="385" w:type="pct"/>
            <w:shd w:val="clear" w:color="000000" w:fill="FB99A7"/>
            <w:vAlign w:val="center"/>
            <w:hideMark/>
          </w:tcPr>
          <w:p w14:paraId="3F3839F9"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5,10,290</w:t>
            </w:r>
          </w:p>
        </w:tc>
      </w:tr>
      <w:tr w:rsidR="00BB7552" w:rsidRPr="00760296" w14:paraId="42B3E2A5" w14:textId="77777777" w:rsidTr="00BB7552">
        <w:trPr>
          <w:trHeight w:val="312"/>
        </w:trPr>
        <w:tc>
          <w:tcPr>
            <w:tcW w:w="3077" w:type="pct"/>
            <w:shd w:val="clear" w:color="000000" w:fill="FB99A7"/>
            <w:noWrap/>
            <w:vAlign w:val="bottom"/>
            <w:hideMark/>
          </w:tcPr>
          <w:p w14:paraId="1CD260BF" w14:textId="77777777" w:rsidR="00BB7552" w:rsidRPr="00760296" w:rsidRDefault="00BB7552" w:rsidP="002D1B45">
            <w:pPr>
              <w:jc w:val="left"/>
              <w:rPr>
                <w:rFonts w:asciiTheme="minorBidi" w:hAnsiTheme="minorBidi" w:cstheme="minorBidi"/>
                <w:color w:val="000000"/>
                <w:lang w:val="en-IN"/>
              </w:rPr>
            </w:pPr>
            <w:r w:rsidRPr="00760296">
              <w:rPr>
                <w:rFonts w:asciiTheme="minorBidi" w:hAnsiTheme="minorBidi" w:cstheme="minorBidi"/>
                <w:color w:val="000000"/>
                <w:lang w:val="en-IN"/>
              </w:rPr>
              <w:t xml:space="preserve">Total equity </w:t>
            </w:r>
          </w:p>
        </w:tc>
        <w:tc>
          <w:tcPr>
            <w:tcW w:w="385" w:type="pct"/>
            <w:shd w:val="clear" w:color="000000" w:fill="FB99A7"/>
            <w:vAlign w:val="center"/>
            <w:hideMark/>
          </w:tcPr>
          <w:p w14:paraId="4DD643A5"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1,53,105</w:t>
            </w:r>
          </w:p>
        </w:tc>
        <w:tc>
          <w:tcPr>
            <w:tcW w:w="385" w:type="pct"/>
            <w:shd w:val="clear" w:color="000000" w:fill="FB99A7"/>
            <w:vAlign w:val="center"/>
            <w:hideMark/>
          </w:tcPr>
          <w:p w14:paraId="2FEDFCFD"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1,78,920</w:t>
            </w:r>
          </w:p>
        </w:tc>
        <w:tc>
          <w:tcPr>
            <w:tcW w:w="385" w:type="pct"/>
            <w:shd w:val="clear" w:color="000000" w:fill="FB99A7"/>
            <w:vAlign w:val="center"/>
            <w:hideMark/>
          </w:tcPr>
          <w:p w14:paraId="580F4CE7"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2,68,406</w:t>
            </w:r>
          </w:p>
        </w:tc>
        <w:tc>
          <w:tcPr>
            <w:tcW w:w="385" w:type="pct"/>
            <w:shd w:val="clear" w:color="000000" w:fill="FB99A7"/>
            <w:vAlign w:val="center"/>
            <w:hideMark/>
          </w:tcPr>
          <w:p w14:paraId="5E060F56"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2,75,949</w:t>
            </w:r>
          </w:p>
        </w:tc>
        <w:tc>
          <w:tcPr>
            <w:tcW w:w="385" w:type="pct"/>
            <w:shd w:val="clear" w:color="000000" w:fill="FB99A7"/>
            <w:vAlign w:val="center"/>
            <w:hideMark/>
          </w:tcPr>
          <w:p w14:paraId="298732C8"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3,13,301</w:t>
            </w:r>
          </w:p>
        </w:tc>
      </w:tr>
      <w:tr w:rsidR="00BB7552" w:rsidRPr="00760296" w14:paraId="4BFF0A5A" w14:textId="77777777" w:rsidTr="00BB7552">
        <w:trPr>
          <w:trHeight w:val="312"/>
        </w:trPr>
        <w:tc>
          <w:tcPr>
            <w:tcW w:w="3077" w:type="pct"/>
            <w:shd w:val="clear" w:color="000000" w:fill="FB99A7"/>
            <w:noWrap/>
            <w:vAlign w:val="bottom"/>
            <w:hideMark/>
          </w:tcPr>
          <w:p w14:paraId="0A0AB26E" w14:textId="77777777" w:rsidR="00BB7552" w:rsidRPr="00760296" w:rsidRDefault="00BB7552" w:rsidP="002D1B45">
            <w:pPr>
              <w:jc w:val="lef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 xml:space="preserve">Leverage Ratio </w:t>
            </w:r>
          </w:p>
        </w:tc>
        <w:tc>
          <w:tcPr>
            <w:tcW w:w="385" w:type="pct"/>
            <w:shd w:val="clear" w:color="000000" w:fill="FB99A7"/>
            <w:noWrap/>
            <w:vAlign w:val="bottom"/>
            <w:hideMark/>
          </w:tcPr>
          <w:p w14:paraId="576BDB4F" w14:textId="77777777" w:rsidR="00BB7552" w:rsidRPr="00760296" w:rsidRDefault="00BB7552" w:rsidP="002D1B45">
            <w:pPr>
              <w:jc w:val="righ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2024</w:t>
            </w:r>
          </w:p>
        </w:tc>
        <w:tc>
          <w:tcPr>
            <w:tcW w:w="385" w:type="pct"/>
            <w:shd w:val="clear" w:color="000000" w:fill="FB99A7"/>
            <w:noWrap/>
            <w:vAlign w:val="bottom"/>
            <w:hideMark/>
          </w:tcPr>
          <w:p w14:paraId="5FC94C20" w14:textId="77777777" w:rsidR="00BB7552" w:rsidRPr="00760296" w:rsidRDefault="00BB7552" w:rsidP="002D1B45">
            <w:pPr>
              <w:jc w:val="righ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2023</w:t>
            </w:r>
          </w:p>
        </w:tc>
        <w:tc>
          <w:tcPr>
            <w:tcW w:w="385" w:type="pct"/>
            <w:shd w:val="clear" w:color="000000" w:fill="FB99A7"/>
            <w:noWrap/>
            <w:vAlign w:val="bottom"/>
            <w:hideMark/>
          </w:tcPr>
          <w:p w14:paraId="487A4D14" w14:textId="77777777" w:rsidR="00BB7552" w:rsidRPr="00760296" w:rsidRDefault="00BB7552" w:rsidP="002D1B45">
            <w:pPr>
              <w:jc w:val="righ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2022</w:t>
            </w:r>
          </w:p>
        </w:tc>
        <w:tc>
          <w:tcPr>
            <w:tcW w:w="385" w:type="pct"/>
            <w:shd w:val="clear" w:color="000000" w:fill="FB99A7"/>
            <w:noWrap/>
            <w:vAlign w:val="bottom"/>
            <w:hideMark/>
          </w:tcPr>
          <w:p w14:paraId="16EBCFDC" w14:textId="77777777" w:rsidR="00BB7552" w:rsidRPr="00760296" w:rsidRDefault="00BB7552" w:rsidP="002D1B45">
            <w:pPr>
              <w:jc w:val="righ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2021</w:t>
            </w:r>
          </w:p>
        </w:tc>
        <w:tc>
          <w:tcPr>
            <w:tcW w:w="385" w:type="pct"/>
            <w:shd w:val="clear" w:color="000000" w:fill="FB99A7"/>
            <w:noWrap/>
            <w:vAlign w:val="bottom"/>
            <w:hideMark/>
          </w:tcPr>
          <w:p w14:paraId="6F91EB5C" w14:textId="77777777" w:rsidR="00BB7552" w:rsidRPr="00760296" w:rsidRDefault="00BB7552" w:rsidP="002D1B45">
            <w:pPr>
              <w:jc w:val="righ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2020</w:t>
            </w:r>
          </w:p>
        </w:tc>
      </w:tr>
      <w:tr w:rsidR="00BB7552" w:rsidRPr="00760296" w14:paraId="49BFBDC0" w14:textId="77777777" w:rsidTr="00BB7552">
        <w:trPr>
          <w:trHeight w:val="312"/>
        </w:trPr>
        <w:tc>
          <w:tcPr>
            <w:tcW w:w="3077" w:type="pct"/>
            <w:shd w:val="clear" w:color="000000" w:fill="FB99A7"/>
            <w:noWrap/>
            <w:vAlign w:val="bottom"/>
            <w:hideMark/>
          </w:tcPr>
          <w:p w14:paraId="123D081F" w14:textId="77777777" w:rsidR="00BB7552" w:rsidRPr="00760296" w:rsidRDefault="00BB7552" w:rsidP="002D1B45">
            <w:pPr>
              <w:jc w:val="left"/>
              <w:rPr>
                <w:rFonts w:asciiTheme="minorBidi" w:hAnsiTheme="minorBidi" w:cstheme="minorBidi"/>
                <w:b/>
                <w:bCs/>
                <w:color w:val="000000"/>
                <w:lang w:val="en-IN"/>
              </w:rPr>
            </w:pPr>
            <w:r w:rsidRPr="00760296">
              <w:rPr>
                <w:rFonts w:asciiTheme="minorBidi" w:hAnsiTheme="minorBidi" w:cstheme="minorBidi"/>
                <w:b/>
                <w:bCs/>
                <w:color w:val="000000"/>
                <w:lang w:val="en-IN"/>
              </w:rPr>
              <w:t xml:space="preserve">Total debt ratio = Debt/ Total assets </w:t>
            </w:r>
          </w:p>
        </w:tc>
        <w:tc>
          <w:tcPr>
            <w:tcW w:w="385" w:type="pct"/>
            <w:shd w:val="clear" w:color="000000" w:fill="FB99A7"/>
            <w:noWrap/>
            <w:vAlign w:val="bottom"/>
            <w:hideMark/>
          </w:tcPr>
          <w:p w14:paraId="4A6D568B"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0.53</w:t>
            </w:r>
          </w:p>
        </w:tc>
        <w:tc>
          <w:tcPr>
            <w:tcW w:w="385" w:type="pct"/>
            <w:shd w:val="clear" w:color="000000" w:fill="FB99A7"/>
            <w:noWrap/>
            <w:vAlign w:val="bottom"/>
            <w:hideMark/>
          </w:tcPr>
          <w:p w14:paraId="5F9DDEB2"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0.50</w:t>
            </w:r>
          </w:p>
        </w:tc>
        <w:tc>
          <w:tcPr>
            <w:tcW w:w="385" w:type="pct"/>
            <w:shd w:val="clear" w:color="000000" w:fill="FB99A7"/>
            <w:noWrap/>
            <w:vAlign w:val="bottom"/>
            <w:hideMark/>
          </w:tcPr>
          <w:p w14:paraId="46754874"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0.47</w:t>
            </w:r>
          </w:p>
        </w:tc>
        <w:tc>
          <w:tcPr>
            <w:tcW w:w="385" w:type="pct"/>
            <w:shd w:val="clear" w:color="000000" w:fill="FB99A7"/>
            <w:noWrap/>
            <w:vAlign w:val="bottom"/>
            <w:hideMark/>
          </w:tcPr>
          <w:p w14:paraId="1C69524D"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0.46</w:t>
            </w:r>
          </w:p>
        </w:tc>
        <w:tc>
          <w:tcPr>
            <w:tcW w:w="385" w:type="pct"/>
            <w:shd w:val="clear" w:color="000000" w:fill="FB99A7"/>
            <w:noWrap/>
            <w:vAlign w:val="bottom"/>
            <w:hideMark/>
          </w:tcPr>
          <w:p w14:paraId="0F870461"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0.39</w:t>
            </w:r>
          </w:p>
        </w:tc>
      </w:tr>
      <w:tr w:rsidR="00BB7552" w:rsidRPr="00760296" w14:paraId="40CC2656" w14:textId="77777777" w:rsidTr="00BB7552">
        <w:trPr>
          <w:trHeight w:val="312"/>
        </w:trPr>
        <w:tc>
          <w:tcPr>
            <w:tcW w:w="3077" w:type="pct"/>
            <w:shd w:val="clear" w:color="000000" w:fill="FB99A7"/>
            <w:noWrap/>
            <w:vAlign w:val="bottom"/>
            <w:hideMark/>
          </w:tcPr>
          <w:p w14:paraId="5BDF57A6" w14:textId="77777777" w:rsidR="00BB7552" w:rsidRPr="00760296" w:rsidRDefault="00BB7552" w:rsidP="002D1B45">
            <w:pPr>
              <w:jc w:val="left"/>
              <w:rPr>
                <w:rFonts w:asciiTheme="minorBidi" w:hAnsiTheme="minorBidi" w:cstheme="minorBidi"/>
                <w:b/>
                <w:bCs/>
                <w:color w:val="000000"/>
                <w:lang w:val="en-IN"/>
              </w:rPr>
            </w:pPr>
            <w:r w:rsidRPr="00760296">
              <w:rPr>
                <w:rFonts w:asciiTheme="minorBidi" w:hAnsiTheme="minorBidi" w:cstheme="minorBidi"/>
                <w:b/>
                <w:bCs/>
                <w:color w:val="000000"/>
                <w:lang w:val="en-IN"/>
              </w:rPr>
              <w:t xml:space="preserve">Total debt/ T equity = Debt to equity ratio </w:t>
            </w:r>
          </w:p>
        </w:tc>
        <w:tc>
          <w:tcPr>
            <w:tcW w:w="385" w:type="pct"/>
            <w:shd w:val="clear" w:color="000000" w:fill="FB99A7"/>
            <w:noWrap/>
            <w:vAlign w:val="bottom"/>
            <w:hideMark/>
          </w:tcPr>
          <w:p w14:paraId="22326089"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1.11</w:t>
            </w:r>
          </w:p>
        </w:tc>
        <w:tc>
          <w:tcPr>
            <w:tcW w:w="385" w:type="pct"/>
            <w:shd w:val="clear" w:color="000000" w:fill="FB99A7"/>
            <w:noWrap/>
            <w:vAlign w:val="bottom"/>
            <w:hideMark/>
          </w:tcPr>
          <w:p w14:paraId="01AE2A76"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0.99</w:t>
            </w:r>
          </w:p>
        </w:tc>
        <w:tc>
          <w:tcPr>
            <w:tcW w:w="385" w:type="pct"/>
            <w:shd w:val="clear" w:color="000000" w:fill="FB99A7"/>
            <w:noWrap/>
            <w:vAlign w:val="bottom"/>
            <w:hideMark/>
          </w:tcPr>
          <w:p w14:paraId="119F974F"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0.88</w:t>
            </w:r>
          </w:p>
        </w:tc>
        <w:tc>
          <w:tcPr>
            <w:tcW w:w="385" w:type="pct"/>
            <w:shd w:val="clear" w:color="000000" w:fill="FB99A7"/>
            <w:noWrap/>
            <w:vAlign w:val="bottom"/>
            <w:hideMark/>
          </w:tcPr>
          <w:p w14:paraId="327C6C26"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0.85</w:t>
            </w:r>
          </w:p>
        </w:tc>
        <w:tc>
          <w:tcPr>
            <w:tcW w:w="385" w:type="pct"/>
            <w:shd w:val="clear" w:color="000000" w:fill="FB99A7"/>
            <w:noWrap/>
            <w:vAlign w:val="bottom"/>
            <w:hideMark/>
          </w:tcPr>
          <w:p w14:paraId="6A4DABFE"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0.63</w:t>
            </w:r>
          </w:p>
        </w:tc>
      </w:tr>
      <w:tr w:rsidR="00BB7552" w:rsidRPr="00760296" w14:paraId="357F272A" w14:textId="77777777" w:rsidTr="00BB7552">
        <w:trPr>
          <w:trHeight w:val="312"/>
        </w:trPr>
        <w:tc>
          <w:tcPr>
            <w:tcW w:w="3077" w:type="pct"/>
            <w:shd w:val="clear" w:color="000000" w:fill="FB99A7"/>
            <w:noWrap/>
            <w:vAlign w:val="bottom"/>
            <w:hideMark/>
          </w:tcPr>
          <w:p w14:paraId="72E77CC4" w14:textId="77777777" w:rsidR="00BB7552" w:rsidRPr="00760296" w:rsidRDefault="00BB7552" w:rsidP="002D1B45">
            <w:pPr>
              <w:jc w:val="left"/>
              <w:rPr>
                <w:rFonts w:asciiTheme="minorBidi" w:hAnsiTheme="minorBidi" w:cstheme="minorBidi"/>
                <w:b/>
                <w:bCs/>
                <w:color w:val="000000"/>
                <w:lang w:val="en-IN"/>
              </w:rPr>
            </w:pPr>
            <w:proofErr w:type="spellStart"/>
            <w:r w:rsidRPr="00760296">
              <w:rPr>
                <w:rFonts w:asciiTheme="minorBidi" w:hAnsiTheme="minorBidi" w:cstheme="minorBidi"/>
                <w:b/>
                <w:bCs/>
                <w:color w:val="000000"/>
                <w:lang w:val="en-IN"/>
              </w:rPr>
              <w:t>Shaeholder's</w:t>
            </w:r>
            <w:proofErr w:type="spellEnd"/>
            <w:r w:rsidRPr="00760296">
              <w:rPr>
                <w:rFonts w:asciiTheme="minorBidi" w:hAnsiTheme="minorBidi" w:cstheme="minorBidi"/>
                <w:b/>
                <w:bCs/>
                <w:color w:val="000000"/>
                <w:lang w:val="en-IN"/>
              </w:rPr>
              <w:t xml:space="preserve"> Equity/Total Asset= Equity Ratio</w:t>
            </w:r>
          </w:p>
        </w:tc>
        <w:tc>
          <w:tcPr>
            <w:tcW w:w="385" w:type="pct"/>
            <w:shd w:val="clear" w:color="000000" w:fill="FB99A7"/>
            <w:noWrap/>
            <w:vAlign w:val="bottom"/>
            <w:hideMark/>
          </w:tcPr>
          <w:p w14:paraId="35AA6F01"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0.47</w:t>
            </w:r>
          </w:p>
        </w:tc>
        <w:tc>
          <w:tcPr>
            <w:tcW w:w="385" w:type="pct"/>
            <w:shd w:val="clear" w:color="000000" w:fill="FB99A7"/>
            <w:noWrap/>
            <w:vAlign w:val="bottom"/>
            <w:hideMark/>
          </w:tcPr>
          <w:p w14:paraId="66714051"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0.50</w:t>
            </w:r>
          </w:p>
        </w:tc>
        <w:tc>
          <w:tcPr>
            <w:tcW w:w="385" w:type="pct"/>
            <w:shd w:val="clear" w:color="000000" w:fill="FB99A7"/>
            <w:noWrap/>
            <w:vAlign w:val="bottom"/>
            <w:hideMark/>
          </w:tcPr>
          <w:p w14:paraId="21BD6428"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0.53</w:t>
            </w:r>
          </w:p>
        </w:tc>
        <w:tc>
          <w:tcPr>
            <w:tcW w:w="385" w:type="pct"/>
            <w:shd w:val="clear" w:color="000000" w:fill="FB99A7"/>
            <w:noWrap/>
            <w:vAlign w:val="bottom"/>
            <w:hideMark/>
          </w:tcPr>
          <w:p w14:paraId="79B80840"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0.54</w:t>
            </w:r>
          </w:p>
        </w:tc>
        <w:tc>
          <w:tcPr>
            <w:tcW w:w="385" w:type="pct"/>
            <w:shd w:val="clear" w:color="000000" w:fill="FB99A7"/>
            <w:noWrap/>
            <w:vAlign w:val="bottom"/>
            <w:hideMark/>
          </w:tcPr>
          <w:p w14:paraId="24218885"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0.61</w:t>
            </w:r>
          </w:p>
        </w:tc>
      </w:tr>
      <w:tr w:rsidR="00BB7552" w:rsidRPr="00760296" w14:paraId="49E269EA" w14:textId="77777777" w:rsidTr="00BB7552">
        <w:trPr>
          <w:trHeight w:val="312"/>
        </w:trPr>
        <w:tc>
          <w:tcPr>
            <w:tcW w:w="3077" w:type="pct"/>
            <w:shd w:val="clear" w:color="auto" w:fill="auto"/>
            <w:noWrap/>
            <w:vAlign w:val="bottom"/>
            <w:hideMark/>
          </w:tcPr>
          <w:p w14:paraId="6A0E4FB8" w14:textId="77777777" w:rsidR="00BB7552" w:rsidRPr="00760296" w:rsidRDefault="00BB7552" w:rsidP="002D1B45">
            <w:pPr>
              <w:jc w:val="right"/>
              <w:rPr>
                <w:rFonts w:asciiTheme="minorBidi" w:hAnsiTheme="minorBidi" w:cstheme="minorBidi"/>
                <w:color w:val="000000"/>
                <w:lang w:val="en-IN"/>
              </w:rPr>
            </w:pPr>
          </w:p>
        </w:tc>
        <w:tc>
          <w:tcPr>
            <w:tcW w:w="385" w:type="pct"/>
            <w:shd w:val="clear" w:color="auto" w:fill="auto"/>
            <w:noWrap/>
            <w:vAlign w:val="bottom"/>
            <w:hideMark/>
          </w:tcPr>
          <w:p w14:paraId="42154167" w14:textId="77777777" w:rsidR="00BB7552" w:rsidRPr="00760296" w:rsidRDefault="00BB7552" w:rsidP="002D1B45">
            <w:pPr>
              <w:jc w:val="left"/>
              <w:rPr>
                <w:rFonts w:asciiTheme="minorBidi" w:hAnsiTheme="minorBidi" w:cstheme="minorBidi"/>
                <w:color w:val="000000"/>
                <w:lang w:val="en-IN"/>
              </w:rPr>
            </w:pPr>
            <w:r w:rsidRPr="00760296">
              <w:rPr>
                <w:rFonts w:asciiTheme="minorBidi" w:hAnsiTheme="minorBidi" w:cstheme="minorBidi"/>
                <w:color w:val="000000"/>
                <w:lang w:val="en-IN"/>
              </w:rPr>
              <w:t> </w:t>
            </w:r>
          </w:p>
        </w:tc>
        <w:tc>
          <w:tcPr>
            <w:tcW w:w="385" w:type="pct"/>
            <w:shd w:val="clear" w:color="auto" w:fill="auto"/>
            <w:noWrap/>
            <w:vAlign w:val="bottom"/>
            <w:hideMark/>
          </w:tcPr>
          <w:p w14:paraId="447AD40D" w14:textId="77777777" w:rsidR="00BB7552" w:rsidRPr="00760296" w:rsidRDefault="00BB7552" w:rsidP="002D1B45">
            <w:pPr>
              <w:jc w:val="left"/>
              <w:rPr>
                <w:rFonts w:asciiTheme="minorBidi" w:hAnsiTheme="minorBidi" w:cstheme="minorBidi"/>
                <w:color w:val="000000"/>
                <w:lang w:val="en-IN"/>
              </w:rPr>
            </w:pPr>
            <w:r w:rsidRPr="00760296">
              <w:rPr>
                <w:rFonts w:asciiTheme="minorBidi" w:hAnsiTheme="minorBidi" w:cstheme="minorBidi"/>
                <w:color w:val="000000"/>
                <w:lang w:val="en-IN"/>
              </w:rPr>
              <w:t> </w:t>
            </w:r>
          </w:p>
        </w:tc>
        <w:tc>
          <w:tcPr>
            <w:tcW w:w="385" w:type="pct"/>
            <w:shd w:val="clear" w:color="auto" w:fill="auto"/>
            <w:noWrap/>
            <w:vAlign w:val="bottom"/>
            <w:hideMark/>
          </w:tcPr>
          <w:p w14:paraId="3725C313" w14:textId="77777777" w:rsidR="00BB7552" w:rsidRPr="00760296" w:rsidRDefault="00BB7552" w:rsidP="002D1B45">
            <w:pPr>
              <w:jc w:val="left"/>
              <w:rPr>
                <w:rFonts w:asciiTheme="minorBidi" w:hAnsiTheme="minorBidi" w:cstheme="minorBidi"/>
                <w:color w:val="000000"/>
                <w:lang w:val="en-IN"/>
              </w:rPr>
            </w:pPr>
          </w:p>
        </w:tc>
        <w:tc>
          <w:tcPr>
            <w:tcW w:w="385" w:type="pct"/>
            <w:shd w:val="clear" w:color="auto" w:fill="auto"/>
            <w:noWrap/>
            <w:vAlign w:val="bottom"/>
            <w:hideMark/>
          </w:tcPr>
          <w:p w14:paraId="3EB98D43" w14:textId="77777777" w:rsidR="00BB7552" w:rsidRPr="00760296" w:rsidRDefault="00BB7552" w:rsidP="002D1B45">
            <w:pPr>
              <w:jc w:val="left"/>
              <w:rPr>
                <w:rFonts w:asciiTheme="minorBidi" w:hAnsiTheme="minorBidi" w:cstheme="minorBidi"/>
                <w:sz w:val="20"/>
                <w:szCs w:val="20"/>
                <w:lang w:val="en-IN"/>
              </w:rPr>
            </w:pPr>
          </w:p>
        </w:tc>
        <w:tc>
          <w:tcPr>
            <w:tcW w:w="385" w:type="pct"/>
            <w:shd w:val="clear" w:color="auto" w:fill="auto"/>
            <w:noWrap/>
            <w:vAlign w:val="bottom"/>
            <w:hideMark/>
          </w:tcPr>
          <w:p w14:paraId="6F6D299D" w14:textId="77777777" w:rsidR="00BB7552" w:rsidRPr="00760296" w:rsidRDefault="00BB7552" w:rsidP="002D1B45">
            <w:pPr>
              <w:jc w:val="left"/>
              <w:rPr>
                <w:rFonts w:asciiTheme="minorBidi" w:hAnsiTheme="minorBidi" w:cstheme="minorBidi"/>
                <w:sz w:val="20"/>
                <w:szCs w:val="20"/>
                <w:lang w:val="en-IN"/>
              </w:rPr>
            </w:pPr>
          </w:p>
        </w:tc>
      </w:tr>
      <w:tr w:rsidR="00BB7552" w:rsidRPr="00760296" w14:paraId="1583F0CC" w14:textId="77777777" w:rsidTr="00BB7552">
        <w:trPr>
          <w:trHeight w:val="312"/>
        </w:trPr>
        <w:tc>
          <w:tcPr>
            <w:tcW w:w="3077" w:type="pct"/>
            <w:shd w:val="clear" w:color="000000" w:fill="ECD6FE"/>
            <w:noWrap/>
            <w:vAlign w:val="bottom"/>
            <w:hideMark/>
          </w:tcPr>
          <w:p w14:paraId="0E0615D8" w14:textId="77777777" w:rsidR="00BB7552" w:rsidRPr="00760296" w:rsidRDefault="00BB7552" w:rsidP="002D1B45">
            <w:pPr>
              <w:jc w:val="left"/>
              <w:rPr>
                <w:rFonts w:asciiTheme="minorBidi" w:hAnsiTheme="minorBidi" w:cstheme="minorBidi"/>
                <w:b/>
                <w:bCs/>
                <w:color w:val="000000"/>
                <w:lang w:val="en-IN"/>
              </w:rPr>
            </w:pPr>
            <w:proofErr w:type="spellStart"/>
            <w:r w:rsidRPr="00760296">
              <w:rPr>
                <w:rFonts w:asciiTheme="minorBidi" w:hAnsiTheme="minorBidi" w:cstheme="minorBidi"/>
                <w:b/>
                <w:bCs/>
                <w:color w:val="000000"/>
                <w:lang w:val="en-IN"/>
              </w:rPr>
              <w:t>Effeciency</w:t>
            </w:r>
            <w:proofErr w:type="spellEnd"/>
            <w:r w:rsidRPr="00760296">
              <w:rPr>
                <w:rFonts w:asciiTheme="minorBidi" w:hAnsiTheme="minorBidi" w:cstheme="minorBidi"/>
                <w:b/>
                <w:bCs/>
                <w:color w:val="000000"/>
                <w:lang w:val="en-IN"/>
              </w:rPr>
              <w:t xml:space="preserve"> Ratios </w:t>
            </w:r>
          </w:p>
        </w:tc>
        <w:tc>
          <w:tcPr>
            <w:tcW w:w="385" w:type="pct"/>
            <w:shd w:val="clear" w:color="000000" w:fill="ECD6FE"/>
            <w:noWrap/>
            <w:vAlign w:val="bottom"/>
            <w:hideMark/>
          </w:tcPr>
          <w:p w14:paraId="1A80BF29"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2024</w:t>
            </w:r>
          </w:p>
        </w:tc>
        <w:tc>
          <w:tcPr>
            <w:tcW w:w="385" w:type="pct"/>
            <w:shd w:val="clear" w:color="000000" w:fill="ECD6FE"/>
            <w:noWrap/>
            <w:vAlign w:val="bottom"/>
            <w:hideMark/>
          </w:tcPr>
          <w:p w14:paraId="58324A81"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2023</w:t>
            </w:r>
          </w:p>
        </w:tc>
        <w:tc>
          <w:tcPr>
            <w:tcW w:w="385" w:type="pct"/>
            <w:shd w:val="clear" w:color="000000" w:fill="ECD6FE"/>
            <w:noWrap/>
            <w:vAlign w:val="bottom"/>
            <w:hideMark/>
          </w:tcPr>
          <w:p w14:paraId="1C612310"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2022</w:t>
            </w:r>
          </w:p>
        </w:tc>
        <w:tc>
          <w:tcPr>
            <w:tcW w:w="385" w:type="pct"/>
            <w:shd w:val="clear" w:color="000000" w:fill="ECD6FE"/>
            <w:noWrap/>
            <w:vAlign w:val="bottom"/>
            <w:hideMark/>
          </w:tcPr>
          <w:p w14:paraId="558ADB60"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2021</w:t>
            </w:r>
          </w:p>
        </w:tc>
        <w:tc>
          <w:tcPr>
            <w:tcW w:w="385" w:type="pct"/>
            <w:shd w:val="clear" w:color="000000" w:fill="ECD6FE"/>
            <w:noWrap/>
            <w:vAlign w:val="bottom"/>
            <w:hideMark/>
          </w:tcPr>
          <w:p w14:paraId="4B0EE56A"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2020</w:t>
            </w:r>
          </w:p>
        </w:tc>
      </w:tr>
      <w:tr w:rsidR="00BB7552" w:rsidRPr="00760296" w14:paraId="32D65D6B" w14:textId="77777777" w:rsidTr="00BB7552">
        <w:trPr>
          <w:trHeight w:val="312"/>
        </w:trPr>
        <w:tc>
          <w:tcPr>
            <w:tcW w:w="3077" w:type="pct"/>
            <w:shd w:val="clear" w:color="000000" w:fill="ECD6FE"/>
            <w:noWrap/>
            <w:vAlign w:val="bottom"/>
            <w:hideMark/>
          </w:tcPr>
          <w:p w14:paraId="01B97B0F" w14:textId="77777777" w:rsidR="00BB7552" w:rsidRPr="00760296" w:rsidRDefault="00BB7552" w:rsidP="002D1B45">
            <w:pPr>
              <w:jc w:val="left"/>
              <w:rPr>
                <w:rFonts w:asciiTheme="minorBidi" w:hAnsiTheme="minorBidi" w:cstheme="minorBidi"/>
                <w:color w:val="000000"/>
                <w:lang w:val="en-IN"/>
              </w:rPr>
            </w:pPr>
            <w:r w:rsidRPr="00760296">
              <w:rPr>
                <w:rFonts w:asciiTheme="minorBidi" w:hAnsiTheme="minorBidi" w:cstheme="minorBidi"/>
                <w:color w:val="000000"/>
                <w:lang w:val="en-IN"/>
              </w:rPr>
              <w:t>Inventory</w:t>
            </w:r>
          </w:p>
        </w:tc>
        <w:tc>
          <w:tcPr>
            <w:tcW w:w="385" w:type="pct"/>
            <w:shd w:val="clear" w:color="000000" w:fill="ECD6FE"/>
            <w:vAlign w:val="center"/>
            <w:hideMark/>
          </w:tcPr>
          <w:p w14:paraId="43B2A3B9"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79,355</w:t>
            </w:r>
          </w:p>
        </w:tc>
        <w:tc>
          <w:tcPr>
            <w:tcW w:w="385" w:type="pct"/>
            <w:shd w:val="clear" w:color="000000" w:fill="ECD6FE"/>
            <w:vAlign w:val="center"/>
            <w:hideMark/>
          </w:tcPr>
          <w:p w14:paraId="373FCFAB"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88,273</w:t>
            </w:r>
          </w:p>
        </w:tc>
        <w:tc>
          <w:tcPr>
            <w:tcW w:w="385" w:type="pct"/>
            <w:shd w:val="clear" w:color="000000" w:fill="ECD6FE"/>
            <w:vAlign w:val="center"/>
            <w:hideMark/>
          </w:tcPr>
          <w:p w14:paraId="260EAD56"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1,40,181</w:t>
            </w:r>
          </w:p>
        </w:tc>
        <w:tc>
          <w:tcPr>
            <w:tcW w:w="385" w:type="pct"/>
            <w:shd w:val="clear" w:color="000000" w:fill="ECD6FE"/>
            <w:vAlign w:val="center"/>
            <w:hideMark/>
          </w:tcPr>
          <w:p w14:paraId="1C1C8A65"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1,34,469</w:t>
            </w:r>
          </w:p>
        </w:tc>
        <w:tc>
          <w:tcPr>
            <w:tcW w:w="385" w:type="pct"/>
            <w:shd w:val="clear" w:color="000000" w:fill="ECD6FE"/>
            <w:vAlign w:val="center"/>
            <w:hideMark/>
          </w:tcPr>
          <w:p w14:paraId="0DF6097B"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1,20,430</w:t>
            </w:r>
          </w:p>
        </w:tc>
      </w:tr>
      <w:tr w:rsidR="00BB7552" w:rsidRPr="00760296" w14:paraId="36E67AC4" w14:textId="77777777" w:rsidTr="00BB7552">
        <w:trPr>
          <w:trHeight w:val="312"/>
        </w:trPr>
        <w:tc>
          <w:tcPr>
            <w:tcW w:w="3077" w:type="pct"/>
            <w:shd w:val="clear" w:color="000000" w:fill="ECD6FE"/>
            <w:noWrap/>
            <w:vAlign w:val="bottom"/>
            <w:hideMark/>
          </w:tcPr>
          <w:p w14:paraId="64CAB260" w14:textId="77777777" w:rsidR="00BB7552" w:rsidRPr="00760296" w:rsidRDefault="00BB7552" w:rsidP="002D1B45">
            <w:pPr>
              <w:jc w:val="left"/>
              <w:rPr>
                <w:rFonts w:asciiTheme="minorBidi" w:hAnsiTheme="minorBidi" w:cstheme="minorBidi"/>
                <w:color w:val="000000"/>
                <w:lang w:val="en-IN"/>
              </w:rPr>
            </w:pPr>
            <w:r w:rsidRPr="00760296">
              <w:rPr>
                <w:rFonts w:asciiTheme="minorBidi" w:hAnsiTheme="minorBidi" w:cstheme="minorBidi"/>
                <w:color w:val="000000"/>
                <w:lang w:val="en-IN"/>
              </w:rPr>
              <w:t xml:space="preserve">Total revenue </w:t>
            </w:r>
          </w:p>
        </w:tc>
        <w:tc>
          <w:tcPr>
            <w:tcW w:w="385" w:type="pct"/>
            <w:shd w:val="clear" w:color="000000" w:fill="ECD6FE"/>
            <w:noWrap/>
            <w:vAlign w:val="bottom"/>
            <w:hideMark/>
          </w:tcPr>
          <w:p w14:paraId="4F2A0B47"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3,94,879</w:t>
            </w:r>
          </w:p>
        </w:tc>
        <w:tc>
          <w:tcPr>
            <w:tcW w:w="385" w:type="pct"/>
            <w:shd w:val="clear" w:color="000000" w:fill="ECD6FE"/>
            <w:noWrap/>
            <w:vAlign w:val="bottom"/>
            <w:hideMark/>
          </w:tcPr>
          <w:p w14:paraId="1AFF8D0B"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4,20,457</w:t>
            </w:r>
          </w:p>
        </w:tc>
        <w:tc>
          <w:tcPr>
            <w:tcW w:w="385" w:type="pct"/>
            <w:shd w:val="clear" w:color="000000" w:fill="ECD6FE"/>
            <w:noWrap/>
            <w:vAlign w:val="bottom"/>
            <w:hideMark/>
          </w:tcPr>
          <w:p w14:paraId="58D2A833"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5,42,751</w:t>
            </w:r>
          </w:p>
        </w:tc>
        <w:tc>
          <w:tcPr>
            <w:tcW w:w="385" w:type="pct"/>
            <w:shd w:val="clear" w:color="000000" w:fill="ECD6FE"/>
            <w:noWrap/>
            <w:vAlign w:val="bottom"/>
            <w:hideMark/>
          </w:tcPr>
          <w:p w14:paraId="248B9820"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5,42,751</w:t>
            </w:r>
          </w:p>
        </w:tc>
        <w:tc>
          <w:tcPr>
            <w:tcW w:w="385" w:type="pct"/>
            <w:shd w:val="clear" w:color="000000" w:fill="ECD6FE"/>
            <w:noWrap/>
            <w:vAlign w:val="bottom"/>
            <w:hideMark/>
          </w:tcPr>
          <w:p w14:paraId="1A57D72C"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6,14,680</w:t>
            </w:r>
          </w:p>
        </w:tc>
      </w:tr>
      <w:tr w:rsidR="00BB7552" w:rsidRPr="00760296" w14:paraId="0B0D0D40" w14:textId="77777777" w:rsidTr="00BB7552">
        <w:trPr>
          <w:trHeight w:val="312"/>
        </w:trPr>
        <w:tc>
          <w:tcPr>
            <w:tcW w:w="3077" w:type="pct"/>
            <w:shd w:val="clear" w:color="000000" w:fill="ECD6FE"/>
            <w:noWrap/>
            <w:vAlign w:val="bottom"/>
            <w:hideMark/>
          </w:tcPr>
          <w:p w14:paraId="43008B7E" w14:textId="77777777" w:rsidR="00BB7552" w:rsidRPr="00760296" w:rsidRDefault="00BB7552" w:rsidP="002D1B45">
            <w:pPr>
              <w:jc w:val="left"/>
              <w:rPr>
                <w:rFonts w:asciiTheme="minorBidi" w:hAnsiTheme="minorBidi" w:cstheme="minorBidi"/>
                <w:color w:val="000000"/>
                <w:lang w:val="en-IN"/>
              </w:rPr>
            </w:pPr>
            <w:r w:rsidRPr="00760296">
              <w:rPr>
                <w:rFonts w:asciiTheme="minorBidi" w:hAnsiTheme="minorBidi" w:cstheme="minorBidi"/>
                <w:color w:val="000000"/>
                <w:lang w:val="en-IN"/>
              </w:rPr>
              <w:t xml:space="preserve">Accounts receivables </w:t>
            </w:r>
          </w:p>
        </w:tc>
        <w:tc>
          <w:tcPr>
            <w:tcW w:w="385" w:type="pct"/>
            <w:shd w:val="clear" w:color="000000" w:fill="ECD6FE"/>
            <w:vAlign w:val="center"/>
            <w:hideMark/>
          </w:tcPr>
          <w:p w14:paraId="06F435E5"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1,14,182</w:t>
            </w:r>
          </w:p>
        </w:tc>
        <w:tc>
          <w:tcPr>
            <w:tcW w:w="385" w:type="pct"/>
            <w:shd w:val="clear" w:color="000000" w:fill="ECD6FE"/>
            <w:vAlign w:val="center"/>
            <w:hideMark/>
          </w:tcPr>
          <w:p w14:paraId="61C452DA"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1,12,596</w:t>
            </w:r>
          </w:p>
        </w:tc>
        <w:tc>
          <w:tcPr>
            <w:tcW w:w="385" w:type="pct"/>
            <w:shd w:val="clear" w:color="000000" w:fill="ECD6FE"/>
            <w:vAlign w:val="center"/>
            <w:hideMark/>
          </w:tcPr>
          <w:p w14:paraId="43AB6C08"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1,12,346</w:t>
            </w:r>
          </w:p>
        </w:tc>
        <w:tc>
          <w:tcPr>
            <w:tcW w:w="385" w:type="pct"/>
            <w:shd w:val="clear" w:color="000000" w:fill="ECD6FE"/>
            <w:vAlign w:val="center"/>
            <w:hideMark/>
          </w:tcPr>
          <w:p w14:paraId="225C4BE5"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1,29,215</w:t>
            </w:r>
          </w:p>
        </w:tc>
        <w:tc>
          <w:tcPr>
            <w:tcW w:w="385" w:type="pct"/>
            <w:shd w:val="clear" w:color="000000" w:fill="ECD6FE"/>
            <w:vAlign w:val="center"/>
            <w:hideMark/>
          </w:tcPr>
          <w:p w14:paraId="49D853A0" w14:textId="77777777" w:rsidR="00BB7552" w:rsidRPr="00760296" w:rsidRDefault="00BB7552" w:rsidP="002D1B45">
            <w:pPr>
              <w:jc w:val="right"/>
              <w:rPr>
                <w:rFonts w:asciiTheme="minorBidi" w:hAnsiTheme="minorBidi" w:cstheme="minorBidi"/>
                <w:color w:val="000000"/>
                <w:lang w:val="en-IN"/>
              </w:rPr>
            </w:pPr>
            <w:r w:rsidRPr="00760296">
              <w:rPr>
                <w:rFonts w:asciiTheme="minorBidi" w:hAnsiTheme="minorBidi" w:cstheme="minorBidi"/>
                <w:color w:val="000000"/>
                <w:lang w:val="en-IN"/>
              </w:rPr>
              <w:t>1,29,433</w:t>
            </w:r>
          </w:p>
        </w:tc>
      </w:tr>
      <w:tr w:rsidR="00BB7552" w:rsidRPr="00760296" w14:paraId="58E3CDFA" w14:textId="77777777" w:rsidTr="00BB7552">
        <w:trPr>
          <w:trHeight w:val="312"/>
        </w:trPr>
        <w:tc>
          <w:tcPr>
            <w:tcW w:w="3077" w:type="pct"/>
            <w:shd w:val="clear" w:color="000000" w:fill="ECD6FE"/>
            <w:noWrap/>
            <w:vAlign w:val="bottom"/>
            <w:hideMark/>
          </w:tcPr>
          <w:p w14:paraId="0EC207DA" w14:textId="77777777" w:rsidR="00BB7552" w:rsidRPr="00760296" w:rsidRDefault="00BB7552" w:rsidP="002D1B45">
            <w:pPr>
              <w:jc w:val="lef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 xml:space="preserve">Efficiency Ratios </w:t>
            </w:r>
          </w:p>
        </w:tc>
        <w:tc>
          <w:tcPr>
            <w:tcW w:w="385" w:type="pct"/>
            <w:shd w:val="clear" w:color="000000" w:fill="ECD6FE"/>
            <w:noWrap/>
            <w:vAlign w:val="bottom"/>
            <w:hideMark/>
          </w:tcPr>
          <w:p w14:paraId="44B3E121" w14:textId="77777777" w:rsidR="00BB7552" w:rsidRPr="00760296" w:rsidRDefault="00BB7552" w:rsidP="002D1B45">
            <w:pPr>
              <w:jc w:val="righ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2024</w:t>
            </w:r>
          </w:p>
        </w:tc>
        <w:tc>
          <w:tcPr>
            <w:tcW w:w="385" w:type="pct"/>
            <w:shd w:val="clear" w:color="000000" w:fill="ECD6FE"/>
            <w:noWrap/>
            <w:vAlign w:val="bottom"/>
            <w:hideMark/>
          </w:tcPr>
          <w:p w14:paraId="43D08BE6" w14:textId="77777777" w:rsidR="00BB7552" w:rsidRPr="00760296" w:rsidRDefault="00BB7552" w:rsidP="002D1B45">
            <w:pPr>
              <w:jc w:val="righ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2023</w:t>
            </w:r>
          </w:p>
        </w:tc>
        <w:tc>
          <w:tcPr>
            <w:tcW w:w="385" w:type="pct"/>
            <w:shd w:val="clear" w:color="000000" w:fill="ECD6FE"/>
            <w:noWrap/>
            <w:vAlign w:val="bottom"/>
            <w:hideMark/>
          </w:tcPr>
          <w:p w14:paraId="3293D963" w14:textId="77777777" w:rsidR="00BB7552" w:rsidRPr="00760296" w:rsidRDefault="00BB7552" w:rsidP="002D1B45">
            <w:pPr>
              <w:jc w:val="righ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2020</w:t>
            </w:r>
          </w:p>
        </w:tc>
        <w:tc>
          <w:tcPr>
            <w:tcW w:w="385" w:type="pct"/>
            <w:shd w:val="clear" w:color="000000" w:fill="ECD6FE"/>
            <w:noWrap/>
            <w:vAlign w:val="bottom"/>
            <w:hideMark/>
          </w:tcPr>
          <w:p w14:paraId="6D0774D7" w14:textId="77777777" w:rsidR="00BB7552" w:rsidRPr="00760296" w:rsidRDefault="00BB7552" w:rsidP="002D1B45">
            <w:pPr>
              <w:jc w:val="righ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2020</w:t>
            </w:r>
          </w:p>
        </w:tc>
        <w:tc>
          <w:tcPr>
            <w:tcW w:w="385" w:type="pct"/>
            <w:shd w:val="clear" w:color="000000" w:fill="ECD6FE"/>
            <w:noWrap/>
            <w:vAlign w:val="bottom"/>
            <w:hideMark/>
          </w:tcPr>
          <w:p w14:paraId="521A600E" w14:textId="77777777" w:rsidR="00BB7552" w:rsidRPr="00760296" w:rsidRDefault="00BB7552" w:rsidP="002D1B45">
            <w:pPr>
              <w:jc w:val="right"/>
              <w:rPr>
                <w:rFonts w:asciiTheme="minorBidi" w:hAnsiTheme="minorBidi" w:cstheme="minorBidi"/>
                <w:b/>
                <w:bCs/>
                <w:color w:val="000000"/>
                <w:u w:val="single"/>
                <w:lang w:val="en-IN"/>
              </w:rPr>
            </w:pPr>
            <w:r w:rsidRPr="00760296">
              <w:rPr>
                <w:rFonts w:asciiTheme="minorBidi" w:hAnsiTheme="minorBidi" w:cstheme="minorBidi"/>
                <w:b/>
                <w:bCs/>
                <w:color w:val="000000"/>
                <w:u w:val="single"/>
                <w:lang w:val="en-IN"/>
              </w:rPr>
              <w:t>2020</w:t>
            </w:r>
          </w:p>
        </w:tc>
      </w:tr>
      <w:tr w:rsidR="00BB7552" w:rsidRPr="00760296" w14:paraId="042D08ED" w14:textId="77777777" w:rsidTr="00BB7552">
        <w:trPr>
          <w:trHeight w:val="312"/>
        </w:trPr>
        <w:tc>
          <w:tcPr>
            <w:tcW w:w="3077" w:type="pct"/>
            <w:shd w:val="clear" w:color="000000" w:fill="ECD6FE"/>
            <w:noWrap/>
            <w:vAlign w:val="bottom"/>
            <w:hideMark/>
          </w:tcPr>
          <w:p w14:paraId="3661E84E" w14:textId="77777777" w:rsidR="00BB7552" w:rsidRPr="00760296" w:rsidRDefault="00BB7552" w:rsidP="002D1B45">
            <w:pPr>
              <w:jc w:val="left"/>
              <w:rPr>
                <w:rFonts w:asciiTheme="minorBidi" w:hAnsiTheme="minorBidi" w:cstheme="minorBidi"/>
                <w:b/>
                <w:bCs/>
                <w:color w:val="000000"/>
                <w:lang w:val="en-IN"/>
              </w:rPr>
            </w:pPr>
            <w:r w:rsidRPr="00760296">
              <w:rPr>
                <w:rFonts w:asciiTheme="minorBidi" w:hAnsiTheme="minorBidi" w:cstheme="minorBidi"/>
                <w:b/>
                <w:bCs/>
                <w:color w:val="000000"/>
                <w:lang w:val="en-IN"/>
              </w:rPr>
              <w:t>Revenue/Inventory= Inventory turnover ratio</w:t>
            </w:r>
          </w:p>
        </w:tc>
        <w:tc>
          <w:tcPr>
            <w:tcW w:w="385" w:type="pct"/>
            <w:shd w:val="clear" w:color="000000" w:fill="ECD6FE"/>
            <w:noWrap/>
            <w:vAlign w:val="bottom"/>
            <w:hideMark/>
          </w:tcPr>
          <w:p w14:paraId="6519D52C"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4.98</w:t>
            </w:r>
          </w:p>
        </w:tc>
        <w:tc>
          <w:tcPr>
            <w:tcW w:w="385" w:type="pct"/>
            <w:shd w:val="clear" w:color="000000" w:fill="ECD6FE"/>
            <w:noWrap/>
            <w:vAlign w:val="bottom"/>
            <w:hideMark/>
          </w:tcPr>
          <w:p w14:paraId="2B13D4D9"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4.76</w:t>
            </w:r>
          </w:p>
        </w:tc>
        <w:tc>
          <w:tcPr>
            <w:tcW w:w="385" w:type="pct"/>
            <w:shd w:val="clear" w:color="000000" w:fill="ECD6FE"/>
            <w:noWrap/>
            <w:vAlign w:val="bottom"/>
            <w:hideMark/>
          </w:tcPr>
          <w:p w14:paraId="32D956D5"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3.87</w:t>
            </w:r>
          </w:p>
        </w:tc>
        <w:tc>
          <w:tcPr>
            <w:tcW w:w="385" w:type="pct"/>
            <w:shd w:val="clear" w:color="000000" w:fill="ECD6FE"/>
            <w:noWrap/>
            <w:vAlign w:val="bottom"/>
            <w:hideMark/>
          </w:tcPr>
          <w:p w14:paraId="56E50697"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4.04</w:t>
            </w:r>
          </w:p>
        </w:tc>
        <w:tc>
          <w:tcPr>
            <w:tcW w:w="385" w:type="pct"/>
            <w:shd w:val="clear" w:color="000000" w:fill="ECD6FE"/>
            <w:noWrap/>
            <w:vAlign w:val="bottom"/>
            <w:hideMark/>
          </w:tcPr>
          <w:p w14:paraId="2B3AA733"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5.10</w:t>
            </w:r>
          </w:p>
        </w:tc>
      </w:tr>
      <w:tr w:rsidR="00BB7552" w:rsidRPr="00760296" w14:paraId="68E51869" w14:textId="77777777" w:rsidTr="00BB7552">
        <w:trPr>
          <w:trHeight w:val="312"/>
        </w:trPr>
        <w:tc>
          <w:tcPr>
            <w:tcW w:w="3077" w:type="pct"/>
            <w:shd w:val="clear" w:color="000000" w:fill="ECD6FE"/>
            <w:noWrap/>
            <w:vAlign w:val="bottom"/>
            <w:hideMark/>
          </w:tcPr>
          <w:p w14:paraId="4EBC24D1" w14:textId="77777777" w:rsidR="00BB7552" w:rsidRPr="00760296" w:rsidRDefault="00BB7552" w:rsidP="002D1B45">
            <w:pPr>
              <w:jc w:val="left"/>
              <w:rPr>
                <w:rFonts w:asciiTheme="minorBidi" w:hAnsiTheme="minorBidi" w:cstheme="minorBidi"/>
                <w:b/>
                <w:bCs/>
                <w:color w:val="000000"/>
                <w:lang w:val="en-IN"/>
              </w:rPr>
            </w:pPr>
            <w:r w:rsidRPr="00760296">
              <w:rPr>
                <w:rFonts w:asciiTheme="minorBidi" w:hAnsiTheme="minorBidi" w:cstheme="minorBidi"/>
                <w:b/>
                <w:bCs/>
                <w:color w:val="000000"/>
                <w:lang w:val="en-IN"/>
              </w:rPr>
              <w:t>Accounts receivable= sales/ accounts receivable</w:t>
            </w:r>
          </w:p>
        </w:tc>
        <w:tc>
          <w:tcPr>
            <w:tcW w:w="385" w:type="pct"/>
            <w:shd w:val="clear" w:color="000000" w:fill="ECD6FE"/>
            <w:noWrap/>
            <w:vAlign w:val="bottom"/>
            <w:hideMark/>
          </w:tcPr>
          <w:p w14:paraId="22DD5306"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3.46</w:t>
            </w:r>
          </w:p>
        </w:tc>
        <w:tc>
          <w:tcPr>
            <w:tcW w:w="385" w:type="pct"/>
            <w:shd w:val="clear" w:color="000000" w:fill="ECD6FE"/>
            <w:noWrap/>
            <w:vAlign w:val="bottom"/>
            <w:hideMark/>
          </w:tcPr>
          <w:p w14:paraId="1FC6D2A4"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3.73</w:t>
            </w:r>
          </w:p>
        </w:tc>
        <w:tc>
          <w:tcPr>
            <w:tcW w:w="385" w:type="pct"/>
            <w:shd w:val="clear" w:color="000000" w:fill="ECD6FE"/>
            <w:noWrap/>
            <w:vAlign w:val="bottom"/>
            <w:hideMark/>
          </w:tcPr>
          <w:p w14:paraId="298B9FAB"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4.83</w:t>
            </w:r>
          </w:p>
        </w:tc>
        <w:tc>
          <w:tcPr>
            <w:tcW w:w="385" w:type="pct"/>
            <w:shd w:val="clear" w:color="000000" w:fill="ECD6FE"/>
            <w:noWrap/>
            <w:vAlign w:val="bottom"/>
            <w:hideMark/>
          </w:tcPr>
          <w:p w14:paraId="6C791E89"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4.20</w:t>
            </w:r>
          </w:p>
        </w:tc>
        <w:tc>
          <w:tcPr>
            <w:tcW w:w="385" w:type="pct"/>
            <w:shd w:val="clear" w:color="000000" w:fill="ECD6FE"/>
            <w:noWrap/>
            <w:vAlign w:val="bottom"/>
            <w:hideMark/>
          </w:tcPr>
          <w:p w14:paraId="7D956F8B" w14:textId="77777777" w:rsidR="00BB7552" w:rsidRPr="00760296" w:rsidRDefault="00BB7552" w:rsidP="002D1B45">
            <w:pPr>
              <w:jc w:val="right"/>
              <w:rPr>
                <w:rFonts w:asciiTheme="minorBidi" w:hAnsiTheme="minorBidi" w:cstheme="minorBidi"/>
                <w:b/>
                <w:bCs/>
                <w:color w:val="000000"/>
                <w:lang w:val="en-IN"/>
              </w:rPr>
            </w:pPr>
            <w:r w:rsidRPr="00760296">
              <w:rPr>
                <w:rFonts w:asciiTheme="minorBidi" w:hAnsiTheme="minorBidi" w:cstheme="minorBidi"/>
                <w:b/>
                <w:bCs/>
                <w:color w:val="000000"/>
                <w:lang w:val="en-IN"/>
              </w:rPr>
              <w:t>4.75</w:t>
            </w:r>
          </w:p>
        </w:tc>
      </w:tr>
      <w:tr w:rsidR="00BB7552" w:rsidRPr="00760296" w14:paraId="5B139FEE" w14:textId="77777777" w:rsidTr="00BB7552">
        <w:trPr>
          <w:trHeight w:val="312"/>
        </w:trPr>
        <w:tc>
          <w:tcPr>
            <w:tcW w:w="3077" w:type="pct"/>
            <w:shd w:val="clear" w:color="auto" w:fill="auto"/>
            <w:noWrap/>
            <w:vAlign w:val="bottom"/>
            <w:hideMark/>
          </w:tcPr>
          <w:p w14:paraId="37E66A28" w14:textId="77777777" w:rsidR="00BB7552" w:rsidRPr="00760296" w:rsidRDefault="00BB7552" w:rsidP="002D1B45">
            <w:pPr>
              <w:jc w:val="right"/>
              <w:rPr>
                <w:rFonts w:asciiTheme="minorBidi" w:hAnsiTheme="minorBidi" w:cstheme="minorBidi"/>
                <w:b/>
                <w:bCs/>
                <w:color w:val="000000"/>
                <w:lang w:val="en-IN"/>
              </w:rPr>
            </w:pPr>
          </w:p>
        </w:tc>
        <w:tc>
          <w:tcPr>
            <w:tcW w:w="385" w:type="pct"/>
            <w:shd w:val="clear" w:color="auto" w:fill="auto"/>
            <w:noWrap/>
            <w:vAlign w:val="bottom"/>
            <w:hideMark/>
          </w:tcPr>
          <w:p w14:paraId="1D835D98" w14:textId="77777777" w:rsidR="00BB7552" w:rsidRPr="00760296" w:rsidRDefault="00BB7552" w:rsidP="002D1B45">
            <w:pPr>
              <w:jc w:val="left"/>
              <w:rPr>
                <w:rFonts w:asciiTheme="minorBidi" w:hAnsiTheme="minorBidi" w:cstheme="minorBidi"/>
                <w:sz w:val="20"/>
                <w:szCs w:val="20"/>
                <w:lang w:val="en-IN"/>
              </w:rPr>
            </w:pPr>
          </w:p>
        </w:tc>
        <w:tc>
          <w:tcPr>
            <w:tcW w:w="385" w:type="pct"/>
            <w:shd w:val="clear" w:color="auto" w:fill="auto"/>
            <w:noWrap/>
            <w:vAlign w:val="bottom"/>
            <w:hideMark/>
          </w:tcPr>
          <w:p w14:paraId="53AA5A9F" w14:textId="77777777" w:rsidR="00BB7552" w:rsidRPr="00760296" w:rsidRDefault="00BB7552" w:rsidP="002D1B45">
            <w:pPr>
              <w:jc w:val="left"/>
              <w:rPr>
                <w:rFonts w:asciiTheme="minorBidi" w:hAnsiTheme="minorBidi" w:cstheme="minorBidi"/>
                <w:sz w:val="20"/>
                <w:szCs w:val="20"/>
                <w:lang w:val="en-IN"/>
              </w:rPr>
            </w:pPr>
          </w:p>
        </w:tc>
        <w:tc>
          <w:tcPr>
            <w:tcW w:w="385" w:type="pct"/>
            <w:shd w:val="clear" w:color="auto" w:fill="auto"/>
            <w:noWrap/>
            <w:vAlign w:val="bottom"/>
            <w:hideMark/>
          </w:tcPr>
          <w:p w14:paraId="49636DC3" w14:textId="77777777" w:rsidR="00BB7552" w:rsidRPr="00760296" w:rsidRDefault="00BB7552" w:rsidP="002D1B45">
            <w:pPr>
              <w:jc w:val="left"/>
              <w:rPr>
                <w:rFonts w:asciiTheme="minorBidi" w:hAnsiTheme="minorBidi" w:cstheme="minorBidi"/>
                <w:sz w:val="20"/>
                <w:szCs w:val="20"/>
                <w:lang w:val="en-IN"/>
              </w:rPr>
            </w:pPr>
          </w:p>
        </w:tc>
        <w:tc>
          <w:tcPr>
            <w:tcW w:w="385" w:type="pct"/>
            <w:shd w:val="clear" w:color="auto" w:fill="auto"/>
            <w:noWrap/>
            <w:vAlign w:val="bottom"/>
            <w:hideMark/>
          </w:tcPr>
          <w:p w14:paraId="0676B02E" w14:textId="77777777" w:rsidR="00BB7552" w:rsidRPr="00760296" w:rsidRDefault="00BB7552" w:rsidP="002D1B45">
            <w:pPr>
              <w:jc w:val="left"/>
              <w:rPr>
                <w:rFonts w:asciiTheme="minorBidi" w:hAnsiTheme="minorBidi" w:cstheme="minorBidi"/>
                <w:sz w:val="20"/>
                <w:szCs w:val="20"/>
                <w:lang w:val="en-IN"/>
              </w:rPr>
            </w:pPr>
          </w:p>
        </w:tc>
        <w:tc>
          <w:tcPr>
            <w:tcW w:w="385" w:type="pct"/>
            <w:shd w:val="clear" w:color="auto" w:fill="auto"/>
            <w:noWrap/>
            <w:vAlign w:val="bottom"/>
            <w:hideMark/>
          </w:tcPr>
          <w:p w14:paraId="12517C20" w14:textId="77777777" w:rsidR="00BB7552" w:rsidRPr="00760296" w:rsidRDefault="00BB7552" w:rsidP="002D1B45">
            <w:pPr>
              <w:jc w:val="left"/>
              <w:rPr>
                <w:rFonts w:asciiTheme="minorBidi" w:hAnsiTheme="minorBidi" w:cstheme="minorBidi"/>
                <w:sz w:val="20"/>
                <w:szCs w:val="20"/>
                <w:lang w:val="en-IN"/>
              </w:rPr>
            </w:pPr>
          </w:p>
        </w:tc>
      </w:tr>
      <w:tr w:rsidR="00BB7552" w:rsidRPr="00760296" w14:paraId="147D652A" w14:textId="77777777" w:rsidTr="00BB7552">
        <w:trPr>
          <w:trHeight w:val="276"/>
        </w:trPr>
        <w:tc>
          <w:tcPr>
            <w:tcW w:w="3077" w:type="pct"/>
            <w:shd w:val="clear" w:color="000000" w:fill="CFEAFB"/>
            <w:noWrap/>
            <w:vAlign w:val="bottom"/>
            <w:hideMark/>
          </w:tcPr>
          <w:p w14:paraId="1AEB522B" w14:textId="77777777" w:rsidR="00BB7552" w:rsidRPr="00760296" w:rsidRDefault="00BB7552"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Investment Ratios</w:t>
            </w:r>
          </w:p>
        </w:tc>
        <w:tc>
          <w:tcPr>
            <w:tcW w:w="385" w:type="pct"/>
            <w:shd w:val="clear" w:color="000000" w:fill="CFEAFB"/>
            <w:noWrap/>
            <w:vAlign w:val="bottom"/>
            <w:hideMark/>
          </w:tcPr>
          <w:p w14:paraId="50BBF3E4"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2024</w:t>
            </w:r>
          </w:p>
        </w:tc>
        <w:tc>
          <w:tcPr>
            <w:tcW w:w="385" w:type="pct"/>
            <w:shd w:val="clear" w:color="000000" w:fill="CFEAFB"/>
            <w:noWrap/>
            <w:vAlign w:val="bottom"/>
            <w:hideMark/>
          </w:tcPr>
          <w:p w14:paraId="55885B7A"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2023</w:t>
            </w:r>
          </w:p>
        </w:tc>
        <w:tc>
          <w:tcPr>
            <w:tcW w:w="385" w:type="pct"/>
            <w:shd w:val="clear" w:color="000000" w:fill="CFEAFB"/>
            <w:noWrap/>
            <w:vAlign w:val="bottom"/>
            <w:hideMark/>
          </w:tcPr>
          <w:p w14:paraId="6B2A3581"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2022</w:t>
            </w:r>
          </w:p>
        </w:tc>
        <w:tc>
          <w:tcPr>
            <w:tcW w:w="385" w:type="pct"/>
            <w:shd w:val="clear" w:color="000000" w:fill="CFEAFB"/>
            <w:noWrap/>
            <w:vAlign w:val="bottom"/>
            <w:hideMark/>
          </w:tcPr>
          <w:p w14:paraId="4D537C11"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2021</w:t>
            </w:r>
          </w:p>
        </w:tc>
        <w:tc>
          <w:tcPr>
            <w:tcW w:w="385" w:type="pct"/>
            <w:shd w:val="clear" w:color="000000" w:fill="CFEAFB"/>
            <w:noWrap/>
            <w:vAlign w:val="bottom"/>
            <w:hideMark/>
          </w:tcPr>
          <w:p w14:paraId="16CB68BA"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2020</w:t>
            </w:r>
          </w:p>
        </w:tc>
      </w:tr>
      <w:tr w:rsidR="00BB7552" w:rsidRPr="00760296" w14:paraId="3E958A03" w14:textId="77777777" w:rsidTr="00BB7552">
        <w:trPr>
          <w:trHeight w:val="276"/>
        </w:trPr>
        <w:tc>
          <w:tcPr>
            <w:tcW w:w="3077" w:type="pct"/>
            <w:shd w:val="clear" w:color="000000" w:fill="CFEAFB"/>
            <w:noWrap/>
            <w:vAlign w:val="bottom"/>
            <w:hideMark/>
          </w:tcPr>
          <w:p w14:paraId="299EBB93" w14:textId="77777777" w:rsidR="00BB7552" w:rsidRPr="00760296" w:rsidRDefault="00BB7552"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Net Income </w:t>
            </w:r>
          </w:p>
        </w:tc>
        <w:tc>
          <w:tcPr>
            <w:tcW w:w="385" w:type="pct"/>
            <w:shd w:val="clear" w:color="000000" w:fill="CFEAFB"/>
            <w:noWrap/>
            <w:vAlign w:val="bottom"/>
            <w:hideMark/>
          </w:tcPr>
          <w:p w14:paraId="498EBC89"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-24,029</w:t>
            </w:r>
          </w:p>
        </w:tc>
        <w:tc>
          <w:tcPr>
            <w:tcW w:w="385" w:type="pct"/>
            <w:shd w:val="clear" w:color="000000" w:fill="CFEAFB"/>
            <w:noWrap/>
            <w:vAlign w:val="bottom"/>
            <w:hideMark/>
          </w:tcPr>
          <w:p w14:paraId="03E3AE36"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-98,238</w:t>
            </w:r>
          </w:p>
        </w:tc>
        <w:tc>
          <w:tcPr>
            <w:tcW w:w="385" w:type="pct"/>
            <w:shd w:val="clear" w:color="000000" w:fill="CFEAFB"/>
            <w:noWrap/>
            <w:vAlign w:val="bottom"/>
            <w:hideMark/>
          </w:tcPr>
          <w:p w14:paraId="509F0A4F"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407</w:t>
            </w:r>
          </w:p>
        </w:tc>
        <w:tc>
          <w:tcPr>
            <w:tcW w:w="385" w:type="pct"/>
            <w:shd w:val="clear" w:color="000000" w:fill="CFEAFB"/>
            <w:noWrap/>
            <w:vAlign w:val="bottom"/>
            <w:hideMark/>
          </w:tcPr>
          <w:p w14:paraId="005B577D"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5,301</w:t>
            </w:r>
          </w:p>
        </w:tc>
        <w:tc>
          <w:tcPr>
            <w:tcW w:w="385" w:type="pct"/>
            <w:shd w:val="clear" w:color="000000" w:fill="CFEAFB"/>
            <w:noWrap/>
            <w:vAlign w:val="bottom"/>
            <w:hideMark/>
          </w:tcPr>
          <w:p w14:paraId="4B380145"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38,572</w:t>
            </w:r>
          </w:p>
        </w:tc>
      </w:tr>
      <w:tr w:rsidR="00BB7552" w:rsidRPr="00760296" w14:paraId="4F6626D5" w14:textId="77777777" w:rsidTr="00BB7552">
        <w:trPr>
          <w:trHeight w:val="276"/>
        </w:trPr>
        <w:tc>
          <w:tcPr>
            <w:tcW w:w="3077" w:type="pct"/>
            <w:shd w:val="clear" w:color="000000" w:fill="CFEAFB"/>
            <w:noWrap/>
            <w:vAlign w:val="bottom"/>
            <w:hideMark/>
          </w:tcPr>
          <w:p w14:paraId="09DC6411" w14:textId="77777777" w:rsidR="00BB7552" w:rsidRPr="00760296" w:rsidRDefault="00BB7552"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Share Outstanding </w:t>
            </w:r>
          </w:p>
        </w:tc>
        <w:tc>
          <w:tcPr>
            <w:tcW w:w="385" w:type="pct"/>
            <w:shd w:val="clear" w:color="000000" w:fill="CFEAFB"/>
            <w:noWrap/>
            <w:vAlign w:val="bottom"/>
            <w:hideMark/>
          </w:tcPr>
          <w:p w14:paraId="66F7A4E2"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1,063</w:t>
            </w:r>
          </w:p>
        </w:tc>
        <w:tc>
          <w:tcPr>
            <w:tcW w:w="385" w:type="pct"/>
            <w:shd w:val="clear" w:color="000000" w:fill="CFEAFB"/>
            <w:noWrap/>
            <w:vAlign w:val="bottom"/>
            <w:hideMark/>
          </w:tcPr>
          <w:p w14:paraId="457D6198"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1,293</w:t>
            </w:r>
          </w:p>
        </w:tc>
        <w:tc>
          <w:tcPr>
            <w:tcW w:w="385" w:type="pct"/>
            <w:shd w:val="clear" w:color="000000" w:fill="CFEAFB"/>
            <w:noWrap/>
            <w:vAlign w:val="bottom"/>
            <w:hideMark/>
          </w:tcPr>
          <w:p w14:paraId="7615E8D8"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1,199</w:t>
            </w:r>
          </w:p>
        </w:tc>
        <w:tc>
          <w:tcPr>
            <w:tcW w:w="385" w:type="pct"/>
            <w:shd w:val="clear" w:color="000000" w:fill="CFEAFB"/>
            <w:noWrap/>
            <w:vAlign w:val="bottom"/>
            <w:hideMark/>
          </w:tcPr>
          <w:p w14:paraId="4192A480"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1,092</w:t>
            </w:r>
          </w:p>
        </w:tc>
        <w:tc>
          <w:tcPr>
            <w:tcW w:w="385" w:type="pct"/>
            <w:shd w:val="clear" w:color="000000" w:fill="CFEAFB"/>
            <w:noWrap/>
            <w:vAlign w:val="bottom"/>
            <w:hideMark/>
          </w:tcPr>
          <w:p w14:paraId="31BD8A0F"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1,136</w:t>
            </w:r>
          </w:p>
        </w:tc>
      </w:tr>
      <w:tr w:rsidR="00BB7552" w:rsidRPr="00760296" w14:paraId="5CE783EE" w14:textId="77777777" w:rsidTr="00BB7552">
        <w:trPr>
          <w:trHeight w:val="276"/>
        </w:trPr>
        <w:tc>
          <w:tcPr>
            <w:tcW w:w="3077" w:type="pct"/>
            <w:shd w:val="clear" w:color="000000" w:fill="CFEAFB"/>
            <w:noWrap/>
            <w:vAlign w:val="bottom"/>
            <w:hideMark/>
          </w:tcPr>
          <w:p w14:paraId="1CEC9ADD" w14:textId="77777777" w:rsidR="00BB7552" w:rsidRPr="00760296" w:rsidRDefault="00BB7552"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Market Price </w:t>
            </w:r>
          </w:p>
        </w:tc>
        <w:tc>
          <w:tcPr>
            <w:tcW w:w="385" w:type="pct"/>
            <w:shd w:val="clear" w:color="000000" w:fill="CFEAFB"/>
            <w:noWrap/>
            <w:vAlign w:val="bottom"/>
            <w:hideMark/>
          </w:tcPr>
          <w:p w14:paraId="3BFDCFD3"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10.8</w:t>
            </w:r>
          </w:p>
        </w:tc>
        <w:tc>
          <w:tcPr>
            <w:tcW w:w="385" w:type="pct"/>
            <w:shd w:val="clear" w:color="000000" w:fill="CFEAFB"/>
            <w:noWrap/>
            <w:vAlign w:val="bottom"/>
            <w:hideMark/>
          </w:tcPr>
          <w:p w14:paraId="131AACB1"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120</w:t>
            </w:r>
          </w:p>
        </w:tc>
        <w:tc>
          <w:tcPr>
            <w:tcW w:w="385" w:type="pct"/>
            <w:shd w:val="clear" w:color="000000" w:fill="CFEAFB"/>
            <w:noWrap/>
            <w:vAlign w:val="bottom"/>
            <w:hideMark/>
          </w:tcPr>
          <w:p w14:paraId="015FD061"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78.8</w:t>
            </w:r>
          </w:p>
        </w:tc>
        <w:tc>
          <w:tcPr>
            <w:tcW w:w="385" w:type="pct"/>
            <w:shd w:val="clear" w:color="000000" w:fill="CFEAFB"/>
            <w:noWrap/>
            <w:vAlign w:val="bottom"/>
            <w:hideMark/>
          </w:tcPr>
          <w:p w14:paraId="53C9D70E"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97.4</w:t>
            </w:r>
          </w:p>
        </w:tc>
        <w:tc>
          <w:tcPr>
            <w:tcW w:w="385" w:type="pct"/>
            <w:shd w:val="clear" w:color="000000" w:fill="CFEAFB"/>
            <w:noWrap/>
            <w:vAlign w:val="bottom"/>
            <w:hideMark/>
          </w:tcPr>
          <w:p w14:paraId="014C0850"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155</w:t>
            </w:r>
          </w:p>
        </w:tc>
      </w:tr>
      <w:tr w:rsidR="00BB7552" w:rsidRPr="00760296" w14:paraId="7349818E" w14:textId="77777777" w:rsidTr="00BB7552">
        <w:trPr>
          <w:trHeight w:val="276"/>
        </w:trPr>
        <w:tc>
          <w:tcPr>
            <w:tcW w:w="3077" w:type="pct"/>
            <w:shd w:val="clear" w:color="000000" w:fill="CFEAFB"/>
            <w:noWrap/>
            <w:vAlign w:val="bottom"/>
            <w:hideMark/>
          </w:tcPr>
          <w:p w14:paraId="38BD3B5F" w14:textId="77777777" w:rsidR="00BB7552" w:rsidRPr="00760296" w:rsidRDefault="00BB7552" w:rsidP="002D1B45">
            <w:pPr>
              <w:jc w:val="left"/>
              <w:rPr>
                <w:rFonts w:asciiTheme="minorBidi" w:hAnsiTheme="minorBidi" w:cstheme="minorBidi"/>
                <w:b/>
                <w:bCs/>
                <w:color w:val="000000"/>
                <w:sz w:val="22"/>
                <w:szCs w:val="22"/>
                <w:u w:val="single"/>
                <w:lang w:val="en-IN"/>
              </w:rPr>
            </w:pPr>
            <w:r w:rsidRPr="00760296">
              <w:rPr>
                <w:rFonts w:asciiTheme="minorBidi" w:hAnsiTheme="minorBidi" w:cstheme="minorBidi"/>
                <w:b/>
                <w:bCs/>
                <w:color w:val="000000"/>
                <w:sz w:val="22"/>
                <w:szCs w:val="22"/>
                <w:u w:val="single"/>
                <w:lang w:val="en-IN"/>
              </w:rPr>
              <w:t>Investment Ratios</w:t>
            </w:r>
          </w:p>
        </w:tc>
        <w:tc>
          <w:tcPr>
            <w:tcW w:w="385" w:type="pct"/>
            <w:shd w:val="clear" w:color="000000" w:fill="CFEAFB"/>
            <w:noWrap/>
            <w:vAlign w:val="bottom"/>
            <w:hideMark/>
          </w:tcPr>
          <w:p w14:paraId="4E9B7EC2" w14:textId="77777777" w:rsidR="00BB7552" w:rsidRPr="00760296" w:rsidRDefault="00BB7552" w:rsidP="002D1B45">
            <w:pPr>
              <w:jc w:val="right"/>
              <w:rPr>
                <w:rFonts w:asciiTheme="minorBidi" w:hAnsiTheme="minorBidi" w:cstheme="minorBidi"/>
                <w:b/>
                <w:bCs/>
                <w:color w:val="000000"/>
                <w:sz w:val="22"/>
                <w:szCs w:val="22"/>
                <w:u w:val="single"/>
                <w:lang w:val="en-IN"/>
              </w:rPr>
            </w:pPr>
            <w:r w:rsidRPr="00760296">
              <w:rPr>
                <w:rFonts w:asciiTheme="minorBidi" w:hAnsiTheme="minorBidi" w:cstheme="minorBidi"/>
                <w:b/>
                <w:bCs/>
                <w:color w:val="000000"/>
                <w:sz w:val="22"/>
                <w:szCs w:val="22"/>
                <w:u w:val="single"/>
                <w:lang w:val="en-IN"/>
              </w:rPr>
              <w:t>2024</w:t>
            </w:r>
          </w:p>
        </w:tc>
        <w:tc>
          <w:tcPr>
            <w:tcW w:w="385" w:type="pct"/>
            <w:shd w:val="clear" w:color="000000" w:fill="CFEAFB"/>
            <w:noWrap/>
            <w:vAlign w:val="bottom"/>
            <w:hideMark/>
          </w:tcPr>
          <w:p w14:paraId="3E5AAAC0" w14:textId="77777777" w:rsidR="00BB7552" w:rsidRPr="00760296" w:rsidRDefault="00BB7552" w:rsidP="002D1B45">
            <w:pPr>
              <w:jc w:val="right"/>
              <w:rPr>
                <w:rFonts w:asciiTheme="minorBidi" w:hAnsiTheme="minorBidi" w:cstheme="minorBidi"/>
                <w:b/>
                <w:bCs/>
                <w:color w:val="000000"/>
                <w:sz w:val="22"/>
                <w:szCs w:val="22"/>
                <w:u w:val="single"/>
                <w:lang w:val="en-IN"/>
              </w:rPr>
            </w:pPr>
            <w:r w:rsidRPr="00760296">
              <w:rPr>
                <w:rFonts w:asciiTheme="minorBidi" w:hAnsiTheme="minorBidi" w:cstheme="minorBidi"/>
                <w:b/>
                <w:bCs/>
                <w:color w:val="000000"/>
                <w:sz w:val="22"/>
                <w:szCs w:val="22"/>
                <w:u w:val="single"/>
                <w:lang w:val="en-IN"/>
              </w:rPr>
              <w:t>2023</w:t>
            </w:r>
          </w:p>
        </w:tc>
        <w:tc>
          <w:tcPr>
            <w:tcW w:w="385" w:type="pct"/>
            <w:shd w:val="clear" w:color="000000" w:fill="CFEAFB"/>
            <w:noWrap/>
            <w:vAlign w:val="bottom"/>
            <w:hideMark/>
          </w:tcPr>
          <w:p w14:paraId="37554C29" w14:textId="77777777" w:rsidR="00BB7552" w:rsidRPr="00760296" w:rsidRDefault="00BB7552" w:rsidP="002D1B45">
            <w:pPr>
              <w:jc w:val="right"/>
              <w:rPr>
                <w:rFonts w:asciiTheme="minorBidi" w:hAnsiTheme="minorBidi" w:cstheme="minorBidi"/>
                <w:b/>
                <w:bCs/>
                <w:color w:val="000000"/>
                <w:sz w:val="22"/>
                <w:szCs w:val="22"/>
                <w:u w:val="single"/>
                <w:lang w:val="en-IN"/>
              </w:rPr>
            </w:pPr>
            <w:r w:rsidRPr="00760296">
              <w:rPr>
                <w:rFonts w:asciiTheme="minorBidi" w:hAnsiTheme="minorBidi" w:cstheme="minorBidi"/>
                <w:b/>
                <w:bCs/>
                <w:color w:val="000000"/>
                <w:sz w:val="22"/>
                <w:szCs w:val="22"/>
                <w:u w:val="single"/>
                <w:lang w:val="en-IN"/>
              </w:rPr>
              <w:t>2022</w:t>
            </w:r>
          </w:p>
        </w:tc>
        <w:tc>
          <w:tcPr>
            <w:tcW w:w="385" w:type="pct"/>
            <w:shd w:val="clear" w:color="000000" w:fill="CFEAFB"/>
            <w:noWrap/>
            <w:vAlign w:val="bottom"/>
            <w:hideMark/>
          </w:tcPr>
          <w:p w14:paraId="5E579483" w14:textId="77777777" w:rsidR="00BB7552" w:rsidRPr="00760296" w:rsidRDefault="00BB7552" w:rsidP="002D1B45">
            <w:pPr>
              <w:jc w:val="right"/>
              <w:rPr>
                <w:rFonts w:asciiTheme="minorBidi" w:hAnsiTheme="minorBidi" w:cstheme="minorBidi"/>
                <w:b/>
                <w:bCs/>
                <w:color w:val="000000"/>
                <w:sz w:val="22"/>
                <w:szCs w:val="22"/>
                <w:u w:val="single"/>
                <w:lang w:val="en-IN"/>
              </w:rPr>
            </w:pPr>
            <w:r w:rsidRPr="00760296">
              <w:rPr>
                <w:rFonts w:asciiTheme="minorBidi" w:hAnsiTheme="minorBidi" w:cstheme="minorBidi"/>
                <w:b/>
                <w:bCs/>
                <w:color w:val="000000"/>
                <w:sz w:val="22"/>
                <w:szCs w:val="22"/>
                <w:u w:val="single"/>
                <w:lang w:val="en-IN"/>
              </w:rPr>
              <w:t>2021</w:t>
            </w:r>
          </w:p>
        </w:tc>
        <w:tc>
          <w:tcPr>
            <w:tcW w:w="385" w:type="pct"/>
            <w:shd w:val="clear" w:color="000000" w:fill="CFEAFB"/>
            <w:noWrap/>
            <w:vAlign w:val="bottom"/>
            <w:hideMark/>
          </w:tcPr>
          <w:p w14:paraId="60E95AB3" w14:textId="77777777" w:rsidR="00BB7552" w:rsidRPr="00760296" w:rsidRDefault="00BB7552" w:rsidP="002D1B45">
            <w:pPr>
              <w:jc w:val="right"/>
              <w:rPr>
                <w:rFonts w:asciiTheme="minorBidi" w:hAnsiTheme="minorBidi" w:cstheme="minorBidi"/>
                <w:b/>
                <w:bCs/>
                <w:color w:val="000000"/>
                <w:sz w:val="22"/>
                <w:szCs w:val="22"/>
                <w:u w:val="single"/>
                <w:lang w:val="en-IN"/>
              </w:rPr>
            </w:pPr>
            <w:r w:rsidRPr="00760296">
              <w:rPr>
                <w:rFonts w:asciiTheme="minorBidi" w:hAnsiTheme="minorBidi" w:cstheme="minorBidi"/>
                <w:b/>
                <w:bCs/>
                <w:color w:val="000000"/>
                <w:sz w:val="22"/>
                <w:szCs w:val="22"/>
                <w:u w:val="single"/>
                <w:lang w:val="en-IN"/>
              </w:rPr>
              <w:t>2020</w:t>
            </w:r>
          </w:p>
        </w:tc>
      </w:tr>
      <w:tr w:rsidR="00BB7552" w:rsidRPr="00760296" w14:paraId="6841E3CF" w14:textId="77777777" w:rsidTr="00BB7552">
        <w:trPr>
          <w:trHeight w:val="276"/>
        </w:trPr>
        <w:tc>
          <w:tcPr>
            <w:tcW w:w="3077" w:type="pct"/>
            <w:shd w:val="clear" w:color="000000" w:fill="CFEAFB"/>
            <w:noWrap/>
            <w:vAlign w:val="bottom"/>
            <w:hideMark/>
          </w:tcPr>
          <w:p w14:paraId="65FC2071" w14:textId="77777777" w:rsidR="00BB7552" w:rsidRPr="00760296" w:rsidRDefault="00BB7552"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EPS = Net Income/Share Outstanding</w:t>
            </w:r>
          </w:p>
        </w:tc>
        <w:tc>
          <w:tcPr>
            <w:tcW w:w="385" w:type="pct"/>
            <w:shd w:val="clear" w:color="000000" w:fill="CFEAFB"/>
            <w:noWrap/>
            <w:vAlign w:val="bottom"/>
            <w:hideMark/>
          </w:tcPr>
          <w:p w14:paraId="147572A2"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-22.60489182</w:t>
            </w:r>
          </w:p>
        </w:tc>
        <w:tc>
          <w:tcPr>
            <w:tcW w:w="385" w:type="pct"/>
            <w:shd w:val="clear" w:color="000000" w:fill="CFEAFB"/>
            <w:noWrap/>
            <w:vAlign w:val="bottom"/>
            <w:hideMark/>
          </w:tcPr>
          <w:p w14:paraId="78BB73AF"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-75.97679814</w:t>
            </w:r>
          </w:p>
        </w:tc>
        <w:tc>
          <w:tcPr>
            <w:tcW w:w="385" w:type="pct"/>
            <w:shd w:val="clear" w:color="000000" w:fill="CFEAFB"/>
            <w:noWrap/>
            <w:vAlign w:val="bottom"/>
            <w:hideMark/>
          </w:tcPr>
          <w:p w14:paraId="4A5201AD"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0.339449541</w:t>
            </w:r>
          </w:p>
        </w:tc>
        <w:tc>
          <w:tcPr>
            <w:tcW w:w="385" w:type="pct"/>
            <w:shd w:val="clear" w:color="000000" w:fill="CFEAFB"/>
            <w:noWrap/>
            <w:vAlign w:val="bottom"/>
            <w:hideMark/>
          </w:tcPr>
          <w:p w14:paraId="4717227D"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4.854395604</w:t>
            </w:r>
          </w:p>
        </w:tc>
        <w:tc>
          <w:tcPr>
            <w:tcW w:w="385" w:type="pct"/>
            <w:shd w:val="clear" w:color="000000" w:fill="CFEAFB"/>
            <w:noWrap/>
            <w:vAlign w:val="bottom"/>
            <w:hideMark/>
          </w:tcPr>
          <w:p w14:paraId="5D92EAAD"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33.95422535</w:t>
            </w:r>
          </w:p>
        </w:tc>
      </w:tr>
      <w:tr w:rsidR="00BB7552" w:rsidRPr="00760296" w14:paraId="606E9102" w14:textId="77777777" w:rsidTr="00BB7552">
        <w:trPr>
          <w:trHeight w:val="276"/>
        </w:trPr>
        <w:tc>
          <w:tcPr>
            <w:tcW w:w="3077" w:type="pct"/>
            <w:shd w:val="clear" w:color="000000" w:fill="CFEAFB"/>
            <w:noWrap/>
            <w:vAlign w:val="bottom"/>
            <w:hideMark/>
          </w:tcPr>
          <w:p w14:paraId="42CD6ACB" w14:textId="77777777" w:rsidR="00BB7552" w:rsidRPr="00760296" w:rsidRDefault="00BB7552"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lastRenderedPageBreak/>
              <w:t>Price Earnings Ratio = Market Price /EPS</w:t>
            </w:r>
          </w:p>
        </w:tc>
        <w:tc>
          <w:tcPr>
            <w:tcW w:w="385" w:type="pct"/>
            <w:shd w:val="clear" w:color="000000" w:fill="CFEAFB"/>
            <w:noWrap/>
            <w:vAlign w:val="bottom"/>
            <w:hideMark/>
          </w:tcPr>
          <w:p w14:paraId="5D86CB7B"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-0.477772691</w:t>
            </w:r>
          </w:p>
        </w:tc>
        <w:tc>
          <w:tcPr>
            <w:tcW w:w="385" w:type="pct"/>
            <w:shd w:val="clear" w:color="000000" w:fill="CFEAFB"/>
            <w:noWrap/>
            <w:vAlign w:val="bottom"/>
            <w:hideMark/>
          </w:tcPr>
          <w:p w14:paraId="17391071"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-1.579429549</w:t>
            </w:r>
          </w:p>
        </w:tc>
        <w:tc>
          <w:tcPr>
            <w:tcW w:w="385" w:type="pct"/>
            <w:shd w:val="clear" w:color="000000" w:fill="CFEAFB"/>
            <w:noWrap/>
            <w:vAlign w:val="bottom"/>
            <w:hideMark/>
          </w:tcPr>
          <w:p w14:paraId="033881F7"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232.1405405</w:t>
            </w:r>
          </w:p>
        </w:tc>
        <w:tc>
          <w:tcPr>
            <w:tcW w:w="385" w:type="pct"/>
            <w:shd w:val="clear" w:color="000000" w:fill="CFEAFB"/>
            <w:noWrap/>
            <w:vAlign w:val="bottom"/>
            <w:hideMark/>
          </w:tcPr>
          <w:p w14:paraId="29DE9C13"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20.06428976</w:t>
            </w:r>
          </w:p>
        </w:tc>
        <w:tc>
          <w:tcPr>
            <w:tcW w:w="385" w:type="pct"/>
            <w:shd w:val="clear" w:color="000000" w:fill="CFEAFB"/>
            <w:noWrap/>
            <w:vAlign w:val="bottom"/>
            <w:hideMark/>
          </w:tcPr>
          <w:p w14:paraId="5C165959"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4.564969408</w:t>
            </w:r>
          </w:p>
        </w:tc>
      </w:tr>
      <w:tr w:rsidR="00BB7552" w:rsidRPr="00760296" w14:paraId="48A57229" w14:textId="77777777" w:rsidTr="00BB7552">
        <w:trPr>
          <w:trHeight w:val="276"/>
        </w:trPr>
        <w:tc>
          <w:tcPr>
            <w:tcW w:w="3077" w:type="pct"/>
            <w:shd w:val="clear" w:color="auto" w:fill="auto"/>
            <w:noWrap/>
            <w:vAlign w:val="bottom"/>
            <w:hideMark/>
          </w:tcPr>
          <w:p w14:paraId="0CBDE63A" w14:textId="77777777" w:rsidR="00BB7552" w:rsidRPr="00760296" w:rsidRDefault="00BB7552" w:rsidP="002D1B45">
            <w:pPr>
              <w:jc w:val="right"/>
              <w:rPr>
                <w:rFonts w:asciiTheme="minorBidi" w:hAnsiTheme="minorBidi" w:cstheme="minorBidi"/>
                <w:b/>
                <w:bCs/>
                <w:color w:val="000000"/>
                <w:sz w:val="22"/>
                <w:szCs w:val="22"/>
                <w:lang w:val="en-IN"/>
              </w:rPr>
            </w:pPr>
          </w:p>
        </w:tc>
        <w:tc>
          <w:tcPr>
            <w:tcW w:w="385" w:type="pct"/>
            <w:shd w:val="clear" w:color="auto" w:fill="auto"/>
            <w:noWrap/>
            <w:vAlign w:val="bottom"/>
            <w:hideMark/>
          </w:tcPr>
          <w:p w14:paraId="6C35F325" w14:textId="77777777" w:rsidR="00BB7552" w:rsidRPr="00760296" w:rsidRDefault="00BB7552" w:rsidP="002D1B45">
            <w:pPr>
              <w:jc w:val="left"/>
              <w:rPr>
                <w:rFonts w:asciiTheme="minorBidi" w:hAnsiTheme="minorBidi" w:cstheme="minorBidi"/>
                <w:sz w:val="20"/>
                <w:szCs w:val="20"/>
                <w:lang w:val="en-IN"/>
              </w:rPr>
            </w:pPr>
          </w:p>
        </w:tc>
        <w:tc>
          <w:tcPr>
            <w:tcW w:w="385" w:type="pct"/>
            <w:shd w:val="clear" w:color="auto" w:fill="auto"/>
            <w:noWrap/>
            <w:vAlign w:val="bottom"/>
            <w:hideMark/>
          </w:tcPr>
          <w:p w14:paraId="6CBDB57F" w14:textId="77777777" w:rsidR="00BB7552" w:rsidRPr="00760296" w:rsidRDefault="00BB7552" w:rsidP="002D1B45">
            <w:pPr>
              <w:jc w:val="left"/>
              <w:rPr>
                <w:rFonts w:asciiTheme="minorBidi" w:hAnsiTheme="minorBidi" w:cstheme="minorBidi"/>
                <w:sz w:val="20"/>
                <w:szCs w:val="20"/>
                <w:lang w:val="en-IN"/>
              </w:rPr>
            </w:pPr>
          </w:p>
        </w:tc>
        <w:tc>
          <w:tcPr>
            <w:tcW w:w="385" w:type="pct"/>
            <w:shd w:val="clear" w:color="auto" w:fill="auto"/>
            <w:noWrap/>
            <w:vAlign w:val="bottom"/>
            <w:hideMark/>
          </w:tcPr>
          <w:p w14:paraId="44E8A812" w14:textId="77777777" w:rsidR="00BB7552" w:rsidRPr="00760296" w:rsidRDefault="00BB7552" w:rsidP="002D1B45">
            <w:pPr>
              <w:jc w:val="left"/>
              <w:rPr>
                <w:rFonts w:asciiTheme="minorBidi" w:hAnsiTheme="minorBidi" w:cstheme="minorBidi"/>
                <w:sz w:val="20"/>
                <w:szCs w:val="20"/>
                <w:lang w:val="en-IN"/>
              </w:rPr>
            </w:pPr>
          </w:p>
        </w:tc>
        <w:tc>
          <w:tcPr>
            <w:tcW w:w="385" w:type="pct"/>
            <w:shd w:val="clear" w:color="auto" w:fill="auto"/>
            <w:noWrap/>
            <w:vAlign w:val="bottom"/>
            <w:hideMark/>
          </w:tcPr>
          <w:p w14:paraId="2C8499C6" w14:textId="77777777" w:rsidR="00BB7552" w:rsidRPr="00760296" w:rsidRDefault="00BB7552" w:rsidP="002D1B45">
            <w:pPr>
              <w:jc w:val="left"/>
              <w:rPr>
                <w:rFonts w:asciiTheme="minorBidi" w:hAnsiTheme="minorBidi" w:cstheme="minorBidi"/>
                <w:sz w:val="20"/>
                <w:szCs w:val="20"/>
                <w:lang w:val="en-IN"/>
              </w:rPr>
            </w:pPr>
          </w:p>
        </w:tc>
        <w:tc>
          <w:tcPr>
            <w:tcW w:w="385" w:type="pct"/>
            <w:shd w:val="clear" w:color="auto" w:fill="auto"/>
            <w:noWrap/>
            <w:vAlign w:val="bottom"/>
            <w:hideMark/>
          </w:tcPr>
          <w:p w14:paraId="760C1598" w14:textId="77777777" w:rsidR="00BB7552" w:rsidRPr="00760296" w:rsidRDefault="00BB7552" w:rsidP="002D1B45">
            <w:pPr>
              <w:jc w:val="left"/>
              <w:rPr>
                <w:rFonts w:asciiTheme="minorBidi" w:hAnsiTheme="minorBidi" w:cstheme="minorBidi"/>
                <w:sz w:val="20"/>
                <w:szCs w:val="20"/>
                <w:lang w:val="en-IN"/>
              </w:rPr>
            </w:pPr>
          </w:p>
        </w:tc>
      </w:tr>
      <w:tr w:rsidR="00BB7552" w:rsidRPr="00760296" w14:paraId="34369EDC" w14:textId="77777777" w:rsidTr="00BB7552">
        <w:trPr>
          <w:trHeight w:val="276"/>
        </w:trPr>
        <w:tc>
          <w:tcPr>
            <w:tcW w:w="3077" w:type="pct"/>
            <w:shd w:val="clear" w:color="000000" w:fill="FEF4F7"/>
            <w:noWrap/>
            <w:vAlign w:val="bottom"/>
            <w:hideMark/>
          </w:tcPr>
          <w:p w14:paraId="0E19782C" w14:textId="77777777" w:rsidR="00BB7552" w:rsidRPr="00760296" w:rsidRDefault="00BB7552"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Cash Flow Ratios</w:t>
            </w:r>
          </w:p>
        </w:tc>
        <w:tc>
          <w:tcPr>
            <w:tcW w:w="385" w:type="pct"/>
            <w:shd w:val="clear" w:color="000000" w:fill="FEF4F7"/>
            <w:noWrap/>
            <w:vAlign w:val="bottom"/>
            <w:hideMark/>
          </w:tcPr>
          <w:p w14:paraId="0223EB55"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2024</w:t>
            </w:r>
          </w:p>
        </w:tc>
        <w:tc>
          <w:tcPr>
            <w:tcW w:w="385" w:type="pct"/>
            <w:shd w:val="clear" w:color="000000" w:fill="FEF4F7"/>
            <w:noWrap/>
            <w:vAlign w:val="bottom"/>
            <w:hideMark/>
          </w:tcPr>
          <w:p w14:paraId="3707C9F6"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2023</w:t>
            </w:r>
          </w:p>
        </w:tc>
        <w:tc>
          <w:tcPr>
            <w:tcW w:w="385" w:type="pct"/>
            <w:shd w:val="clear" w:color="000000" w:fill="FEF4F7"/>
            <w:noWrap/>
            <w:vAlign w:val="bottom"/>
            <w:hideMark/>
          </w:tcPr>
          <w:p w14:paraId="40DBB10B"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2022</w:t>
            </w:r>
          </w:p>
        </w:tc>
        <w:tc>
          <w:tcPr>
            <w:tcW w:w="385" w:type="pct"/>
            <w:shd w:val="clear" w:color="000000" w:fill="FEF4F7"/>
            <w:noWrap/>
            <w:vAlign w:val="bottom"/>
            <w:hideMark/>
          </w:tcPr>
          <w:p w14:paraId="4723D933"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2021</w:t>
            </w:r>
          </w:p>
        </w:tc>
        <w:tc>
          <w:tcPr>
            <w:tcW w:w="385" w:type="pct"/>
            <w:shd w:val="clear" w:color="000000" w:fill="FEF4F7"/>
            <w:noWrap/>
            <w:vAlign w:val="bottom"/>
            <w:hideMark/>
          </w:tcPr>
          <w:p w14:paraId="45504A13"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2020</w:t>
            </w:r>
          </w:p>
        </w:tc>
      </w:tr>
      <w:tr w:rsidR="00BB7552" w:rsidRPr="00760296" w14:paraId="5FE7438E" w14:textId="77777777" w:rsidTr="00BB7552">
        <w:trPr>
          <w:trHeight w:val="276"/>
        </w:trPr>
        <w:tc>
          <w:tcPr>
            <w:tcW w:w="3077" w:type="pct"/>
            <w:shd w:val="clear" w:color="000000" w:fill="FEF4F7"/>
            <w:noWrap/>
            <w:vAlign w:val="bottom"/>
            <w:hideMark/>
          </w:tcPr>
          <w:p w14:paraId="2E791D3D" w14:textId="77777777" w:rsidR="00BB7552" w:rsidRPr="00760296" w:rsidRDefault="00BB7552"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Operating cash Flow (OCF)</w:t>
            </w:r>
          </w:p>
        </w:tc>
        <w:tc>
          <w:tcPr>
            <w:tcW w:w="385" w:type="pct"/>
            <w:shd w:val="clear" w:color="000000" w:fill="FEF4F7"/>
            <w:noWrap/>
            <w:vAlign w:val="bottom"/>
            <w:hideMark/>
          </w:tcPr>
          <w:p w14:paraId="7763734A"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14,822</w:t>
            </w:r>
          </w:p>
        </w:tc>
        <w:tc>
          <w:tcPr>
            <w:tcW w:w="385" w:type="pct"/>
            <w:shd w:val="clear" w:color="000000" w:fill="FEF4F7"/>
            <w:noWrap/>
            <w:vAlign w:val="bottom"/>
            <w:hideMark/>
          </w:tcPr>
          <w:p w14:paraId="3D4ADEAF"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25,190</w:t>
            </w:r>
          </w:p>
        </w:tc>
        <w:tc>
          <w:tcPr>
            <w:tcW w:w="385" w:type="pct"/>
            <w:shd w:val="clear" w:color="000000" w:fill="FEF4F7"/>
            <w:noWrap/>
            <w:vAlign w:val="bottom"/>
            <w:hideMark/>
          </w:tcPr>
          <w:p w14:paraId="7C4DC2B3"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10,926</w:t>
            </w:r>
          </w:p>
        </w:tc>
        <w:tc>
          <w:tcPr>
            <w:tcW w:w="385" w:type="pct"/>
            <w:shd w:val="clear" w:color="000000" w:fill="FEF4F7"/>
            <w:noWrap/>
            <w:vAlign w:val="bottom"/>
            <w:hideMark/>
          </w:tcPr>
          <w:p w14:paraId="4E335925"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40,283</w:t>
            </w:r>
          </w:p>
        </w:tc>
        <w:tc>
          <w:tcPr>
            <w:tcW w:w="385" w:type="pct"/>
            <w:shd w:val="clear" w:color="000000" w:fill="FEF4F7"/>
            <w:noWrap/>
            <w:vAlign w:val="bottom"/>
            <w:hideMark/>
          </w:tcPr>
          <w:p w14:paraId="22EFADB2"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73,392</w:t>
            </w:r>
          </w:p>
        </w:tc>
      </w:tr>
      <w:tr w:rsidR="00BB7552" w:rsidRPr="00760296" w14:paraId="0699B175" w14:textId="77777777" w:rsidTr="00BB7552">
        <w:trPr>
          <w:trHeight w:val="276"/>
        </w:trPr>
        <w:tc>
          <w:tcPr>
            <w:tcW w:w="3077" w:type="pct"/>
            <w:shd w:val="clear" w:color="000000" w:fill="FEF4F7"/>
            <w:noWrap/>
            <w:vAlign w:val="bottom"/>
            <w:hideMark/>
          </w:tcPr>
          <w:p w14:paraId="461779C6" w14:textId="77777777" w:rsidR="00BB7552" w:rsidRPr="00760296" w:rsidRDefault="00EF72CD"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Current</w:t>
            </w:r>
            <w:r w:rsidR="00BB7552" w:rsidRPr="00760296">
              <w:rPr>
                <w:rFonts w:asciiTheme="minorBidi" w:hAnsiTheme="minorBidi" w:cstheme="minorBidi"/>
                <w:color w:val="000000"/>
                <w:sz w:val="22"/>
                <w:szCs w:val="22"/>
                <w:lang w:val="en-IN"/>
              </w:rPr>
              <w:t xml:space="preserve"> Liabilities (CL)</w:t>
            </w:r>
          </w:p>
        </w:tc>
        <w:tc>
          <w:tcPr>
            <w:tcW w:w="385" w:type="pct"/>
            <w:shd w:val="clear" w:color="000000" w:fill="FEF4F7"/>
            <w:noWrap/>
            <w:vAlign w:val="bottom"/>
            <w:hideMark/>
          </w:tcPr>
          <w:p w14:paraId="0DA77CF2"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1,58,291</w:t>
            </w:r>
          </w:p>
        </w:tc>
        <w:tc>
          <w:tcPr>
            <w:tcW w:w="385" w:type="pct"/>
            <w:shd w:val="clear" w:color="000000" w:fill="FEF4F7"/>
            <w:noWrap/>
            <w:vAlign w:val="bottom"/>
            <w:hideMark/>
          </w:tcPr>
          <w:p w14:paraId="6D71057C"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1,61,148</w:t>
            </w:r>
          </w:p>
        </w:tc>
        <w:tc>
          <w:tcPr>
            <w:tcW w:w="385" w:type="pct"/>
            <w:shd w:val="clear" w:color="000000" w:fill="FEF4F7"/>
            <w:noWrap/>
            <w:vAlign w:val="bottom"/>
            <w:hideMark/>
          </w:tcPr>
          <w:p w14:paraId="23EC6162"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2,16,473</w:t>
            </w:r>
          </w:p>
        </w:tc>
        <w:tc>
          <w:tcPr>
            <w:tcW w:w="385" w:type="pct"/>
            <w:shd w:val="clear" w:color="000000" w:fill="FEF4F7"/>
            <w:noWrap/>
            <w:vAlign w:val="bottom"/>
            <w:hideMark/>
          </w:tcPr>
          <w:p w14:paraId="3E609F7A"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2,16,787</w:t>
            </w:r>
          </w:p>
        </w:tc>
        <w:tc>
          <w:tcPr>
            <w:tcW w:w="385" w:type="pct"/>
            <w:shd w:val="clear" w:color="000000" w:fill="FEF4F7"/>
            <w:noWrap/>
            <w:vAlign w:val="bottom"/>
            <w:hideMark/>
          </w:tcPr>
          <w:p w14:paraId="1BD2F1F9"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1,79,510</w:t>
            </w:r>
          </w:p>
        </w:tc>
      </w:tr>
      <w:tr w:rsidR="00BB7552" w:rsidRPr="00760296" w14:paraId="4755FAA3" w14:textId="77777777" w:rsidTr="00BB7552">
        <w:trPr>
          <w:trHeight w:val="276"/>
        </w:trPr>
        <w:tc>
          <w:tcPr>
            <w:tcW w:w="3077" w:type="pct"/>
            <w:shd w:val="clear" w:color="000000" w:fill="FEF4F7"/>
            <w:noWrap/>
            <w:vAlign w:val="bottom"/>
            <w:hideMark/>
          </w:tcPr>
          <w:p w14:paraId="51397A5E" w14:textId="77777777" w:rsidR="00BB7552" w:rsidRPr="00760296" w:rsidRDefault="00BB7552"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Total Debt</w:t>
            </w:r>
          </w:p>
        </w:tc>
        <w:tc>
          <w:tcPr>
            <w:tcW w:w="385" w:type="pct"/>
            <w:shd w:val="clear" w:color="000000" w:fill="FEF4F7"/>
            <w:noWrap/>
            <w:vAlign w:val="bottom"/>
            <w:hideMark/>
          </w:tcPr>
          <w:p w14:paraId="25185013"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36,960</w:t>
            </w:r>
          </w:p>
        </w:tc>
        <w:tc>
          <w:tcPr>
            <w:tcW w:w="385" w:type="pct"/>
            <w:shd w:val="clear" w:color="000000" w:fill="FEF4F7"/>
            <w:noWrap/>
            <w:vAlign w:val="bottom"/>
            <w:hideMark/>
          </w:tcPr>
          <w:p w14:paraId="30C4C045"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55,000</w:t>
            </w:r>
          </w:p>
        </w:tc>
        <w:tc>
          <w:tcPr>
            <w:tcW w:w="385" w:type="pct"/>
            <w:shd w:val="clear" w:color="000000" w:fill="FEF4F7"/>
            <w:noWrap/>
            <w:vAlign w:val="bottom"/>
            <w:hideMark/>
          </w:tcPr>
          <w:p w14:paraId="0710E8F8"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88,000</w:t>
            </w:r>
          </w:p>
        </w:tc>
        <w:tc>
          <w:tcPr>
            <w:tcW w:w="385" w:type="pct"/>
            <w:shd w:val="clear" w:color="000000" w:fill="FEF4F7"/>
            <w:noWrap/>
            <w:vAlign w:val="bottom"/>
            <w:hideMark/>
          </w:tcPr>
          <w:p w14:paraId="2EC613AA"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56,000</w:t>
            </w:r>
          </w:p>
        </w:tc>
        <w:tc>
          <w:tcPr>
            <w:tcW w:w="385" w:type="pct"/>
            <w:shd w:val="clear" w:color="000000" w:fill="FEF4F7"/>
            <w:noWrap/>
            <w:vAlign w:val="bottom"/>
            <w:hideMark/>
          </w:tcPr>
          <w:p w14:paraId="7FED229E"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20,000</w:t>
            </w:r>
          </w:p>
        </w:tc>
      </w:tr>
      <w:tr w:rsidR="00BB7552" w:rsidRPr="00760296" w14:paraId="73E8F7CC" w14:textId="77777777" w:rsidTr="00BB7552">
        <w:trPr>
          <w:trHeight w:val="276"/>
        </w:trPr>
        <w:tc>
          <w:tcPr>
            <w:tcW w:w="3077" w:type="pct"/>
            <w:shd w:val="clear" w:color="000000" w:fill="FEF4F7"/>
            <w:noWrap/>
            <w:vAlign w:val="bottom"/>
            <w:hideMark/>
          </w:tcPr>
          <w:p w14:paraId="487D2724" w14:textId="77777777" w:rsidR="00BB7552" w:rsidRPr="00760296" w:rsidRDefault="00BB7552"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Cash Flow Ratios</w:t>
            </w:r>
          </w:p>
        </w:tc>
        <w:tc>
          <w:tcPr>
            <w:tcW w:w="385" w:type="pct"/>
            <w:shd w:val="clear" w:color="000000" w:fill="FEF4F7"/>
            <w:noWrap/>
            <w:vAlign w:val="bottom"/>
            <w:hideMark/>
          </w:tcPr>
          <w:p w14:paraId="04536773"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2024</w:t>
            </w:r>
          </w:p>
        </w:tc>
        <w:tc>
          <w:tcPr>
            <w:tcW w:w="385" w:type="pct"/>
            <w:shd w:val="clear" w:color="000000" w:fill="FEF4F7"/>
            <w:noWrap/>
            <w:vAlign w:val="bottom"/>
            <w:hideMark/>
          </w:tcPr>
          <w:p w14:paraId="0EB45250"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2023</w:t>
            </w:r>
          </w:p>
        </w:tc>
        <w:tc>
          <w:tcPr>
            <w:tcW w:w="385" w:type="pct"/>
            <w:shd w:val="clear" w:color="000000" w:fill="FEF4F7"/>
            <w:noWrap/>
            <w:vAlign w:val="bottom"/>
            <w:hideMark/>
          </w:tcPr>
          <w:p w14:paraId="36C68EFF"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2022</w:t>
            </w:r>
          </w:p>
        </w:tc>
        <w:tc>
          <w:tcPr>
            <w:tcW w:w="385" w:type="pct"/>
            <w:shd w:val="clear" w:color="000000" w:fill="FEF4F7"/>
            <w:noWrap/>
            <w:vAlign w:val="bottom"/>
            <w:hideMark/>
          </w:tcPr>
          <w:p w14:paraId="7A688E7F"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2021</w:t>
            </w:r>
          </w:p>
        </w:tc>
        <w:tc>
          <w:tcPr>
            <w:tcW w:w="385" w:type="pct"/>
            <w:shd w:val="clear" w:color="000000" w:fill="FEF4F7"/>
            <w:noWrap/>
            <w:vAlign w:val="bottom"/>
            <w:hideMark/>
          </w:tcPr>
          <w:p w14:paraId="182F9161" w14:textId="77777777" w:rsidR="00BB7552" w:rsidRPr="00760296" w:rsidRDefault="00BB7552"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2020</w:t>
            </w:r>
          </w:p>
        </w:tc>
      </w:tr>
      <w:tr w:rsidR="00BB7552" w:rsidRPr="00760296" w14:paraId="16FA55C7" w14:textId="77777777" w:rsidTr="00BB7552">
        <w:trPr>
          <w:trHeight w:val="276"/>
        </w:trPr>
        <w:tc>
          <w:tcPr>
            <w:tcW w:w="3077" w:type="pct"/>
            <w:shd w:val="clear" w:color="000000" w:fill="FEF4F7"/>
            <w:noWrap/>
            <w:vAlign w:val="bottom"/>
            <w:hideMark/>
          </w:tcPr>
          <w:p w14:paraId="4B774AD7" w14:textId="77777777" w:rsidR="00BB7552" w:rsidRPr="00760296" w:rsidRDefault="00BB7552"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OCF (Operating Cash Flow) = OCF/CL</w:t>
            </w:r>
          </w:p>
        </w:tc>
        <w:tc>
          <w:tcPr>
            <w:tcW w:w="385" w:type="pct"/>
            <w:shd w:val="clear" w:color="000000" w:fill="FEF4F7"/>
            <w:noWrap/>
            <w:vAlign w:val="bottom"/>
            <w:hideMark/>
          </w:tcPr>
          <w:p w14:paraId="3A7EEC27"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0.093637667</w:t>
            </w:r>
          </w:p>
        </w:tc>
        <w:tc>
          <w:tcPr>
            <w:tcW w:w="385" w:type="pct"/>
            <w:shd w:val="clear" w:color="000000" w:fill="FEF4F7"/>
            <w:noWrap/>
            <w:vAlign w:val="bottom"/>
            <w:hideMark/>
          </w:tcPr>
          <w:p w14:paraId="32366A09"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0.156315933</w:t>
            </w:r>
          </w:p>
        </w:tc>
        <w:tc>
          <w:tcPr>
            <w:tcW w:w="385" w:type="pct"/>
            <w:shd w:val="clear" w:color="000000" w:fill="FEF4F7"/>
            <w:noWrap/>
            <w:vAlign w:val="bottom"/>
            <w:hideMark/>
          </w:tcPr>
          <w:p w14:paraId="6C8EBB40"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0.050472807</w:t>
            </w:r>
          </w:p>
        </w:tc>
        <w:tc>
          <w:tcPr>
            <w:tcW w:w="385" w:type="pct"/>
            <w:shd w:val="clear" w:color="000000" w:fill="FEF4F7"/>
            <w:noWrap/>
            <w:vAlign w:val="bottom"/>
            <w:hideMark/>
          </w:tcPr>
          <w:p w14:paraId="3AB27A3D"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0.185818338</w:t>
            </w:r>
          </w:p>
        </w:tc>
        <w:tc>
          <w:tcPr>
            <w:tcW w:w="385" w:type="pct"/>
            <w:shd w:val="clear" w:color="000000" w:fill="FEF4F7"/>
            <w:noWrap/>
            <w:vAlign w:val="bottom"/>
            <w:hideMark/>
          </w:tcPr>
          <w:p w14:paraId="6C0856E4"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0.408846304</w:t>
            </w:r>
          </w:p>
        </w:tc>
      </w:tr>
      <w:tr w:rsidR="00BB7552" w:rsidRPr="00760296" w14:paraId="6A512A22" w14:textId="77777777" w:rsidTr="00BB7552">
        <w:trPr>
          <w:trHeight w:val="276"/>
        </w:trPr>
        <w:tc>
          <w:tcPr>
            <w:tcW w:w="3077" w:type="pct"/>
            <w:shd w:val="clear" w:color="000000" w:fill="FEF4F7"/>
            <w:noWrap/>
            <w:vAlign w:val="bottom"/>
            <w:hideMark/>
          </w:tcPr>
          <w:p w14:paraId="1CB96AF8" w14:textId="77777777" w:rsidR="00BB7552" w:rsidRPr="00760296" w:rsidRDefault="00BB7552"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Cash Flow to Debt Ratio = (OCF/Total Debt) </w:t>
            </w:r>
          </w:p>
        </w:tc>
        <w:tc>
          <w:tcPr>
            <w:tcW w:w="385" w:type="pct"/>
            <w:shd w:val="clear" w:color="000000" w:fill="FEF4F7"/>
            <w:noWrap/>
            <w:vAlign w:val="bottom"/>
            <w:hideMark/>
          </w:tcPr>
          <w:p w14:paraId="10495E00"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0.000003</w:t>
            </w:r>
          </w:p>
        </w:tc>
        <w:tc>
          <w:tcPr>
            <w:tcW w:w="385" w:type="pct"/>
            <w:shd w:val="clear" w:color="000000" w:fill="FEF4F7"/>
            <w:noWrap/>
            <w:vAlign w:val="bottom"/>
            <w:hideMark/>
          </w:tcPr>
          <w:p w14:paraId="69A7D86D"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0.000003</w:t>
            </w:r>
          </w:p>
        </w:tc>
        <w:tc>
          <w:tcPr>
            <w:tcW w:w="385" w:type="pct"/>
            <w:shd w:val="clear" w:color="000000" w:fill="FEF4F7"/>
            <w:noWrap/>
            <w:vAlign w:val="bottom"/>
            <w:hideMark/>
          </w:tcPr>
          <w:p w14:paraId="6726B0CD"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0.000001</w:t>
            </w:r>
          </w:p>
        </w:tc>
        <w:tc>
          <w:tcPr>
            <w:tcW w:w="385" w:type="pct"/>
            <w:shd w:val="clear" w:color="000000" w:fill="FEF4F7"/>
            <w:noWrap/>
            <w:vAlign w:val="bottom"/>
            <w:hideMark/>
          </w:tcPr>
          <w:p w14:paraId="52599531"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0.000003</w:t>
            </w:r>
          </w:p>
        </w:tc>
        <w:tc>
          <w:tcPr>
            <w:tcW w:w="385" w:type="pct"/>
            <w:shd w:val="clear" w:color="000000" w:fill="FEF4F7"/>
            <w:noWrap/>
            <w:vAlign w:val="bottom"/>
            <w:hideMark/>
          </w:tcPr>
          <w:p w14:paraId="51BD6825" w14:textId="77777777" w:rsidR="00BB7552" w:rsidRPr="00760296" w:rsidRDefault="00BB7552"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0.000020</w:t>
            </w:r>
          </w:p>
        </w:tc>
      </w:tr>
    </w:tbl>
    <w:p w14:paraId="46CA3A42" w14:textId="77777777" w:rsidR="00BB7552" w:rsidRPr="00760296" w:rsidRDefault="00BB7552" w:rsidP="002D1B45">
      <w:pPr>
        <w:rPr>
          <w:rFonts w:asciiTheme="minorBidi" w:hAnsiTheme="minorBidi" w:cstheme="minorBidi"/>
        </w:rPr>
      </w:pPr>
    </w:p>
    <w:p w14:paraId="5729E2FF" w14:textId="77777777" w:rsidR="006138C6" w:rsidRPr="00760296" w:rsidRDefault="00EF72CD" w:rsidP="002D1B45">
      <w:pPr>
        <w:rPr>
          <w:rFonts w:asciiTheme="minorBidi" w:hAnsiTheme="minorBidi" w:cstheme="minorBidi"/>
          <w:b/>
          <w:bCs/>
          <w:lang w:val="en-IN"/>
        </w:rPr>
      </w:pPr>
      <w:r w:rsidRPr="00760296">
        <w:rPr>
          <w:rFonts w:asciiTheme="minorBidi" w:hAnsiTheme="minorBidi" w:cstheme="minorBidi"/>
          <w:b/>
          <w:bCs/>
          <w:lang w:val="en-IN"/>
        </w:rPr>
        <w:t xml:space="preserve">Graphical Analysis of Ratio </w:t>
      </w:r>
    </w:p>
    <w:p w14:paraId="7CF6357D" w14:textId="77777777" w:rsidR="00EF72CD" w:rsidRPr="00760296" w:rsidRDefault="00EF72CD" w:rsidP="002D1B45">
      <w:pPr>
        <w:jc w:val="center"/>
        <w:rPr>
          <w:rFonts w:asciiTheme="minorBidi" w:hAnsiTheme="minorBidi" w:cstheme="minorBidi"/>
          <w:lang w:val="en-IN"/>
        </w:rPr>
      </w:pPr>
      <w:r w:rsidRPr="00760296">
        <w:rPr>
          <w:rFonts w:asciiTheme="minorBidi" w:hAnsiTheme="minorBidi" w:cstheme="minorBidi"/>
          <w:noProof/>
        </w:rPr>
        <w:drawing>
          <wp:inline distT="0" distB="0" distL="0" distR="0" wp14:anchorId="0FE2E77C" wp14:editId="0ED73D91">
            <wp:extent cx="4572000" cy="2715491"/>
            <wp:effectExtent l="0" t="0" r="0" b="8890"/>
            <wp:docPr id="1" name="Chart 1">
              <a:extLst xmlns:a="http://schemas.openxmlformats.org/drawingml/2006/main">
                <a:ext uri="{FF2B5EF4-FFF2-40B4-BE49-F238E27FC236}">
                  <a16:creationId xmlns:a16="http://schemas.microsoft.com/office/drawing/2014/main" id="{428313B5-976C-4409-956F-70DA48CB08E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0C6EE8FC" w14:textId="77777777" w:rsidR="00EF72CD" w:rsidRPr="00760296" w:rsidRDefault="00EF72CD" w:rsidP="002D1B45">
      <w:pPr>
        <w:jc w:val="center"/>
        <w:rPr>
          <w:rFonts w:asciiTheme="minorBidi" w:hAnsiTheme="minorBidi" w:cstheme="minorBidi"/>
          <w:lang w:val="en-IN"/>
        </w:rPr>
      </w:pPr>
    </w:p>
    <w:p w14:paraId="15ECC6AB" w14:textId="77777777" w:rsidR="00EF72CD" w:rsidRPr="00760296" w:rsidRDefault="00EF72CD" w:rsidP="002D1B45">
      <w:pPr>
        <w:jc w:val="center"/>
        <w:rPr>
          <w:rFonts w:asciiTheme="minorBidi" w:hAnsiTheme="minorBidi" w:cstheme="minorBidi"/>
          <w:lang w:val="en-IN"/>
        </w:rPr>
      </w:pPr>
      <w:r w:rsidRPr="00760296">
        <w:rPr>
          <w:rFonts w:asciiTheme="minorBidi" w:hAnsiTheme="minorBidi" w:cstheme="minorBidi"/>
          <w:noProof/>
        </w:rPr>
        <w:lastRenderedPageBreak/>
        <w:drawing>
          <wp:inline distT="0" distB="0" distL="0" distR="0" wp14:anchorId="72619C05" wp14:editId="25AB5C70">
            <wp:extent cx="4572000" cy="2715491"/>
            <wp:effectExtent l="0" t="0" r="0" b="8890"/>
            <wp:docPr id="2" name="Chart 2">
              <a:extLst xmlns:a="http://schemas.openxmlformats.org/drawingml/2006/main">
                <a:ext uri="{FF2B5EF4-FFF2-40B4-BE49-F238E27FC236}">
                  <a16:creationId xmlns:a16="http://schemas.microsoft.com/office/drawing/2014/main" id="{08265BAC-9004-4940-940F-4E95B138A7B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378E4DA9" w14:textId="77777777" w:rsidR="00EF72CD" w:rsidRPr="00760296" w:rsidRDefault="00EF72CD" w:rsidP="002D1B45">
      <w:pPr>
        <w:jc w:val="center"/>
        <w:rPr>
          <w:rFonts w:asciiTheme="minorBidi" w:hAnsiTheme="minorBidi" w:cstheme="minorBidi"/>
          <w:lang w:val="en-IN"/>
        </w:rPr>
      </w:pPr>
      <w:r w:rsidRPr="00760296">
        <w:rPr>
          <w:rFonts w:asciiTheme="minorBidi" w:hAnsiTheme="minorBidi" w:cstheme="minorBidi"/>
          <w:noProof/>
        </w:rPr>
        <w:drawing>
          <wp:inline distT="0" distB="0" distL="0" distR="0" wp14:anchorId="3A05E877" wp14:editId="0FB3E46A">
            <wp:extent cx="4572000" cy="2822368"/>
            <wp:effectExtent l="0" t="0" r="0" b="16510"/>
            <wp:docPr id="3" name="Chart 3">
              <a:extLst xmlns:a="http://schemas.openxmlformats.org/drawingml/2006/main">
                <a:ext uri="{FF2B5EF4-FFF2-40B4-BE49-F238E27FC236}">
                  <a16:creationId xmlns:a16="http://schemas.microsoft.com/office/drawing/2014/main" id="{8CC44116-D11F-4880-B2B9-1230E66FD3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6946276E" w14:textId="77777777" w:rsidR="00EF72CD" w:rsidRPr="00760296" w:rsidRDefault="00EF72CD" w:rsidP="002D1B45">
      <w:pPr>
        <w:jc w:val="center"/>
        <w:rPr>
          <w:rFonts w:asciiTheme="minorBidi" w:hAnsiTheme="minorBidi" w:cstheme="minorBidi"/>
          <w:lang w:val="en-IN"/>
        </w:rPr>
      </w:pPr>
      <w:r w:rsidRPr="00760296">
        <w:rPr>
          <w:rFonts w:asciiTheme="minorBidi" w:hAnsiTheme="minorBidi" w:cstheme="minorBidi"/>
          <w:noProof/>
        </w:rPr>
        <w:drawing>
          <wp:inline distT="0" distB="0" distL="0" distR="0" wp14:anchorId="034E7F6B" wp14:editId="757AD53B">
            <wp:extent cx="4572000" cy="2838203"/>
            <wp:effectExtent l="0" t="0" r="0" b="635"/>
            <wp:docPr id="4" name="Chart 4">
              <a:extLst xmlns:a="http://schemas.openxmlformats.org/drawingml/2006/main">
                <a:ext uri="{FF2B5EF4-FFF2-40B4-BE49-F238E27FC236}">
                  <a16:creationId xmlns:a16="http://schemas.microsoft.com/office/drawing/2014/main" id="{4FC3321B-5819-4FAA-B2B0-317514B7FF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43639B66" w14:textId="77777777" w:rsidR="00EF72CD" w:rsidRPr="00760296" w:rsidRDefault="00EF72CD" w:rsidP="002D1B45">
      <w:pPr>
        <w:jc w:val="center"/>
        <w:rPr>
          <w:rFonts w:asciiTheme="minorBidi" w:hAnsiTheme="minorBidi" w:cstheme="minorBidi"/>
          <w:lang w:val="en-IN"/>
        </w:rPr>
      </w:pPr>
      <w:r w:rsidRPr="00760296">
        <w:rPr>
          <w:rFonts w:asciiTheme="minorBidi" w:hAnsiTheme="minorBidi" w:cstheme="minorBidi"/>
          <w:noProof/>
        </w:rPr>
        <w:lastRenderedPageBreak/>
        <w:drawing>
          <wp:inline distT="0" distB="0" distL="0" distR="0" wp14:anchorId="04531C78" wp14:editId="0377DE85">
            <wp:extent cx="4586844" cy="2838204"/>
            <wp:effectExtent l="0" t="0" r="4445" b="635"/>
            <wp:docPr id="5" name="Chart 5">
              <a:extLst xmlns:a="http://schemas.openxmlformats.org/drawingml/2006/main">
                <a:ext uri="{FF2B5EF4-FFF2-40B4-BE49-F238E27FC236}">
                  <a16:creationId xmlns:a16="http://schemas.microsoft.com/office/drawing/2014/main" id="{7A8ECA7E-7B21-4E2E-BB2B-0B245F0196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5F4D7C3B" w14:textId="77777777" w:rsidR="00EF72CD" w:rsidRPr="00760296" w:rsidRDefault="00EF72CD" w:rsidP="002D1B45">
      <w:pPr>
        <w:jc w:val="center"/>
        <w:rPr>
          <w:rFonts w:asciiTheme="minorBidi" w:hAnsiTheme="minorBidi" w:cstheme="minorBidi"/>
          <w:lang w:val="en-IN"/>
        </w:rPr>
      </w:pPr>
      <w:r w:rsidRPr="00760296">
        <w:rPr>
          <w:rFonts w:asciiTheme="minorBidi" w:hAnsiTheme="minorBidi" w:cstheme="minorBidi"/>
          <w:noProof/>
        </w:rPr>
        <w:drawing>
          <wp:inline distT="0" distB="0" distL="0" distR="0" wp14:anchorId="28A04D43" wp14:editId="28C0DEFB">
            <wp:extent cx="4582886" cy="2838203"/>
            <wp:effectExtent l="0" t="0" r="8255" b="635"/>
            <wp:docPr id="6" name="Chart 6">
              <a:extLst xmlns:a="http://schemas.openxmlformats.org/drawingml/2006/main">
                <a:ext uri="{FF2B5EF4-FFF2-40B4-BE49-F238E27FC236}">
                  <a16:creationId xmlns:a16="http://schemas.microsoft.com/office/drawing/2014/main" id="{2ED0B963-42FF-452E-8631-2E8D780927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3AA3DE04" w14:textId="77777777" w:rsidR="00EF72CD" w:rsidRPr="00760296" w:rsidRDefault="00EF72CD" w:rsidP="002D1B45">
      <w:pPr>
        <w:rPr>
          <w:rFonts w:asciiTheme="minorBidi" w:hAnsiTheme="minorBidi" w:cstheme="minorBidi"/>
          <w:lang w:val="en-IN"/>
        </w:rPr>
      </w:pPr>
    </w:p>
    <w:p w14:paraId="3B891F96" w14:textId="77777777" w:rsidR="006138C6" w:rsidRPr="00760296" w:rsidRDefault="006138C6" w:rsidP="002D1B45">
      <w:pPr>
        <w:jc w:val="lowKashida"/>
        <w:rPr>
          <w:rFonts w:asciiTheme="minorBidi" w:hAnsiTheme="minorBidi" w:cstheme="minorBidi"/>
        </w:rPr>
      </w:pPr>
    </w:p>
    <w:p w14:paraId="168D990F" w14:textId="77777777" w:rsidR="006138C6" w:rsidRPr="00760296" w:rsidRDefault="00EF72CD" w:rsidP="002D1B45">
      <w:pPr>
        <w:pStyle w:val="Heading2"/>
        <w:rPr>
          <w:rFonts w:asciiTheme="minorBidi" w:hAnsiTheme="minorBidi" w:cstheme="minorBidi"/>
        </w:rPr>
      </w:pPr>
      <w:bookmarkStart w:id="60" w:name="_Toc213194645"/>
      <w:r w:rsidRPr="00760296">
        <w:rPr>
          <w:rFonts w:asciiTheme="minorBidi" w:hAnsiTheme="minorBidi" w:cstheme="minorBidi"/>
        </w:rPr>
        <w:lastRenderedPageBreak/>
        <w:t xml:space="preserve">Appendix </w:t>
      </w:r>
      <w:r w:rsidR="00D76486" w:rsidRPr="00760296">
        <w:rPr>
          <w:rFonts w:asciiTheme="minorBidi" w:hAnsiTheme="minorBidi" w:cstheme="minorBidi"/>
        </w:rPr>
        <w:t>2</w:t>
      </w:r>
      <w:r w:rsidRPr="00760296">
        <w:rPr>
          <w:rFonts w:asciiTheme="minorBidi" w:hAnsiTheme="minorBidi" w:cstheme="minorBidi"/>
        </w:rPr>
        <w:t xml:space="preserve"> – Trend Analysis</w:t>
      </w:r>
      <w:bookmarkEnd w:id="60"/>
      <w:r w:rsidRPr="00760296">
        <w:rPr>
          <w:rFonts w:asciiTheme="minorBidi" w:hAnsiTheme="minorBidi" w:cstheme="minorBidi"/>
        </w:rPr>
        <w:t xml:space="preserve"> </w:t>
      </w:r>
    </w:p>
    <w:p w14:paraId="51358693" w14:textId="77777777" w:rsidR="00EF72CD" w:rsidRPr="00760296" w:rsidRDefault="00EF72CD" w:rsidP="002D1B45">
      <w:pPr>
        <w:jc w:val="center"/>
        <w:rPr>
          <w:rFonts w:asciiTheme="minorBidi" w:hAnsiTheme="minorBidi" w:cstheme="minorBidi"/>
        </w:rPr>
      </w:pPr>
      <w:r w:rsidRPr="00760296">
        <w:rPr>
          <w:rFonts w:asciiTheme="minorBidi" w:hAnsiTheme="minorBidi" w:cstheme="minorBidi"/>
          <w:noProof/>
        </w:rPr>
        <w:drawing>
          <wp:inline distT="0" distB="0" distL="0" distR="0" wp14:anchorId="0A36FC48" wp14:editId="7A79195D">
            <wp:extent cx="4572000" cy="2951018"/>
            <wp:effectExtent l="0" t="0" r="0" b="1905"/>
            <wp:docPr id="7" name="Chart 7">
              <a:extLst xmlns:a="http://schemas.openxmlformats.org/drawingml/2006/main">
                <a:ext uri="{FF2B5EF4-FFF2-40B4-BE49-F238E27FC236}">
                  <a16:creationId xmlns:a16="http://schemas.microsoft.com/office/drawing/2014/main" id="{996ADD2E-E8F2-4D29-92E9-F50B7005CD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0D78A31A" w14:textId="77777777" w:rsidR="00EF72CD" w:rsidRPr="00760296" w:rsidRDefault="00EF72CD" w:rsidP="002D1B45">
      <w:pPr>
        <w:jc w:val="center"/>
        <w:rPr>
          <w:rFonts w:asciiTheme="minorBidi" w:hAnsiTheme="minorBidi" w:cstheme="minorBidi"/>
        </w:rPr>
      </w:pPr>
      <w:r w:rsidRPr="00760296">
        <w:rPr>
          <w:rFonts w:asciiTheme="minorBidi" w:hAnsiTheme="minorBidi" w:cstheme="minorBidi"/>
          <w:noProof/>
        </w:rPr>
        <w:drawing>
          <wp:inline distT="0" distB="0" distL="0" distR="0" wp14:anchorId="12CF025E" wp14:editId="2A9A941C">
            <wp:extent cx="4572000" cy="2727960"/>
            <wp:effectExtent l="0" t="0" r="0" b="15240"/>
            <wp:docPr id="8" name="Chart 8">
              <a:extLst xmlns:a="http://schemas.openxmlformats.org/drawingml/2006/main">
                <a:ext uri="{FF2B5EF4-FFF2-40B4-BE49-F238E27FC236}">
                  <a16:creationId xmlns:a16="http://schemas.microsoft.com/office/drawing/2014/main" id="{B51DC4E1-4767-4FA4-BA7F-73505A0A42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6815CCEC" w14:textId="77777777" w:rsidR="00EF72CD" w:rsidRPr="00760296" w:rsidRDefault="00EF72CD" w:rsidP="002D1B45">
      <w:pPr>
        <w:jc w:val="center"/>
        <w:rPr>
          <w:rFonts w:asciiTheme="minorBidi" w:hAnsiTheme="minorBidi" w:cstheme="minorBidi"/>
        </w:rPr>
      </w:pPr>
      <w:r w:rsidRPr="00760296">
        <w:rPr>
          <w:rFonts w:asciiTheme="minorBidi" w:hAnsiTheme="minorBidi" w:cstheme="minorBidi"/>
          <w:noProof/>
        </w:rPr>
        <w:lastRenderedPageBreak/>
        <w:drawing>
          <wp:inline distT="0" distB="0" distL="0" distR="0" wp14:anchorId="0730C659" wp14:editId="75360571">
            <wp:extent cx="5733415" cy="3085465"/>
            <wp:effectExtent l="0" t="0" r="635" b="635"/>
            <wp:docPr id="9" name="Chart 9">
              <a:extLst xmlns:a="http://schemas.openxmlformats.org/drawingml/2006/main">
                <a:ext uri="{FF2B5EF4-FFF2-40B4-BE49-F238E27FC236}">
                  <a16:creationId xmlns:a16="http://schemas.microsoft.com/office/drawing/2014/main" id="{00ECBDC8-42A3-4EDE-9321-613DC225A38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27636795" w14:textId="77777777" w:rsidR="00EF72CD" w:rsidRPr="00760296" w:rsidRDefault="00EF72CD" w:rsidP="002D1B45">
      <w:pPr>
        <w:jc w:val="center"/>
        <w:rPr>
          <w:rFonts w:asciiTheme="minorBidi" w:hAnsiTheme="minorBidi" w:cstheme="minorBidi"/>
        </w:rPr>
      </w:pPr>
    </w:p>
    <w:p w14:paraId="2B897D8C" w14:textId="77777777" w:rsidR="00EF72CD" w:rsidRPr="00760296" w:rsidRDefault="00EF72CD" w:rsidP="002D1B45">
      <w:pPr>
        <w:jc w:val="center"/>
        <w:rPr>
          <w:rFonts w:asciiTheme="minorBidi" w:hAnsiTheme="minorBidi" w:cstheme="minorBidi"/>
        </w:rPr>
      </w:pPr>
      <w:r w:rsidRPr="00760296">
        <w:rPr>
          <w:rFonts w:asciiTheme="minorBidi" w:hAnsiTheme="minorBidi" w:cstheme="minorBidi"/>
          <w:noProof/>
        </w:rPr>
        <w:drawing>
          <wp:inline distT="0" distB="0" distL="0" distR="0" wp14:anchorId="347BBA56" wp14:editId="09A83981">
            <wp:extent cx="5733415" cy="2128520"/>
            <wp:effectExtent l="0" t="0" r="635" b="5080"/>
            <wp:docPr id="10" name="Chart 10">
              <a:extLst xmlns:a="http://schemas.openxmlformats.org/drawingml/2006/main">
                <a:ext uri="{FF2B5EF4-FFF2-40B4-BE49-F238E27FC236}">
                  <a16:creationId xmlns:a16="http://schemas.microsoft.com/office/drawing/2014/main" id="{6D21DCB9-80F0-4679-9C08-CAC8B0CF9F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inline>
        </w:drawing>
      </w:r>
    </w:p>
    <w:p w14:paraId="54A22319" w14:textId="77777777" w:rsidR="00EF72CD" w:rsidRPr="00760296" w:rsidRDefault="00EF72CD" w:rsidP="002D1B45">
      <w:pPr>
        <w:jc w:val="center"/>
        <w:rPr>
          <w:rFonts w:asciiTheme="minorBidi" w:hAnsiTheme="minorBidi" w:cstheme="minorBidi"/>
        </w:rPr>
      </w:pPr>
      <w:r w:rsidRPr="00760296">
        <w:rPr>
          <w:rFonts w:asciiTheme="minorBidi" w:hAnsiTheme="minorBidi" w:cstheme="minorBidi"/>
          <w:noProof/>
        </w:rPr>
        <w:drawing>
          <wp:inline distT="0" distB="0" distL="0" distR="0" wp14:anchorId="15B2CF8D" wp14:editId="07D104DB">
            <wp:extent cx="4572000" cy="2705596"/>
            <wp:effectExtent l="0" t="0" r="0" b="0"/>
            <wp:docPr id="11" name="Chart 11">
              <a:extLst xmlns:a="http://schemas.openxmlformats.org/drawingml/2006/main">
                <a:ext uri="{FF2B5EF4-FFF2-40B4-BE49-F238E27FC236}">
                  <a16:creationId xmlns:a16="http://schemas.microsoft.com/office/drawing/2014/main" id="{39CA87FF-5608-4A8E-85CB-EAA3B0B5A1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inline>
        </w:drawing>
      </w:r>
    </w:p>
    <w:p w14:paraId="6B295B9C" w14:textId="77777777" w:rsidR="00EF72CD" w:rsidRPr="00760296" w:rsidRDefault="00EF72CD" w:rsidP="002D1B45">
      <w:pPr>
        <w:jc w:val="center"/>
        <w:rPr>
          <w:rFonts w:asciiTheme="minorBidi" w:hAnsiTheme="minorBidi" w:cstheme="minorBidi"/>
        </w:rPr>
      </w:pPr>
      <w:r w:rsidRPr="00760296">
        <w:rPr>
          <w:rFonts w:asciiTheme="minorBidi" w:hAnsiTheme="minorBidi" w:cstheme="minorBidi"/>
          <w:noProof/>
        </w:rPr>
        <w:lastRenderedPageBreak/>
        <w:drawing>
          <wp:inline distT="0" distB="0" distL="0" distR="0" wp14:anchorId="78B3F49C" wp14:editId="2ABC0793">
            <wp:extent cx="4572000" cy="2720440"/>
            <wp:effectExtent l="0" t="0" r="0" b="3810"/>
            <wp:docPr id="12" name="Chart 12">
              <a:extLst xmlns:a="http://schemas.openxmlformats.org/drawingml/2006/main">
                <a:ext uri="{FF2B5EF4-FFF2-40B4-BE49-F238E27FC236}">
                  <a16:creationId xmlns:a16="http://schemas.microsoft.com/office/drawing/2014/main" id="{9A399791-66CF-47BD-81D0-0DB16C9CD3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inline>
        </w:drawing>
      </w:r>
    </w:p>
    <w:p w14:paraId="2CAC4E3C" w14:textId="77777777" w:rsidR="00EF72CD" w:rsidRPr="00760296" w:rsidRDefault="00391FC9" w:rsidP="002D1B45">
      <w:pPr>
        <w:pStyle w:val="Heading2"/>
        <w:rPr>
          <w:rFonts w:asciiTheme="minorBidi" w:hAnsiTheme="minorBidi" w:cstheme="minorBidi"/>
        </w:rPr>
      </w:pPr>
      <w:bookmarkStart w:id="61" w:name="_Toc213194646"/>
      <w:r w:rsidRPr="00760296">
        <w:rPr>
          <w:rFonts w:asciiTheme="minorBidi" w:hAnsiTheme="minorBidi" w:cstheme="minorBidi"/>
        </w:rPr>
        <w:t xml:space="preserve">Appendix </w:t>
      </w:r>
      <w:r w:rsidR="00D76486" w:rsidRPr="00760296">
        <w:rPr>
          <w:rFonts w:asciiTheme="minorBidi" w:hAnsiTheme="minorBidi" w:cstheme="minorBidi"/>
        </w:rPr>
        <w:t>3</w:t>
      </w:r>
      <w:r w:rsidRPr="00760296">
        <w:rPr>
          <w:rFonts w:asciiTheme="minorBidi" w:hAnsiTheme="minorBidi" w:cstheme="minorBidi"/>
        </w:rPr>
        <w:t xml:space="preserve"> – Cash Conversion Cycle</w:t>
      </w:r>
      <w:bookmarkEnd w:id="61"/>
      <w:r w:rsidRPr="00760296">
        <w:rPr>
          <w:rFonts w:asciiTheme="minorBidi" w:hAnsiTheme="minorBidi" w:cstheme="minorBidi"/>
        </w:rPr>
        <w:t xml:space="preserve"> </w:t>
      </w:r>
    </w:p>
    <w:tbl>
      <w:tblPr>
        <w:tblW w:w="5000" w:type="pct"/>
        <w:tblLook w:val="04A0" w:firstRow="1" w:lastRow="0" w:firstColumn="1" w:lastColumn="0" w:noHBand="0" w:noVBand="1"/>
      </w:tblPr>
      <w:tblGrid>
        <w:gridCol w:w="3815"/>
        <w:gridCol w:w="1066"/>
        <w:gridCol w:w="943"/>
        <w:gridCol w:w="1065"/>
        <w:gridCol w:w="1065"/>
        <w:gridCol w:w="1065"/>
      </w:tblGrid>
      <w:tr w:rsidR="00391FC9" w:rsidRPr="00760296" w14:paraId="5A46B09D" w14:textId="77777777" w:rsidTr="00391FC9">
        <w:trPr>
          <w:trHeight w:val="288"/>
        </w:trPr>
        <w:tc>
          <w:tcPr>
            <w:tcW w:w="1831" w:type="pct"/>
            <w:tcBorders>
              <w:top w:val="single" w:sz="4" w:space="0" w:color="auto"/>
              <w:left w:val="single" w:sz="4" w:space="0" w:color="auto"/>
              <w:bottom w:val="single" w:sz="4" w:space="0" w:color="auto"/>
              <w:right w:val="single" w:sz="4" w:space="0" w:color="auto"/>
            </w:tcBorders>
            <w:shd w:val="clear" w:color="000000" w:fill="FFF2CC"/>
            <w:noWrap/>
            <w:vAlign w:val="center"/>
            <w:hideMark/>
          </w:tcPr>
          <w:p w14:paraId="69421043" w14:textId="77777777" w:rsidR="00391FC9" w:rsidRPr="00760296" w:rsidRDefault="00391FC9" w:rsidP="002D1B45">
            <w:pPr>
              <w:jc w:val="center"/>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Ratio</w:t>
            </w:r>
          </w:p>
        </w:tc>
        <w:tc>
          <w:tcPr>
            <w:tcW w:w="1092" w:type="pct"/>
            <w:tcBorders>
              <w:top w:val="single" w:sz="4" w:space="0" w:color="auto"/>
              <w:left w:val="nil"/>
              <w:bottom w:val="single" w:sz="4" w:space="0" w:color="auto"/>
              <w:right w:val="single" w:sz="4" w:space="0" w:color="auto"/>
            </w:tcBorders>
            <w:shd w:val="clear" w:color="000000" w:fill="FFF2CC"/>
            <w:noWrap/>
            <w:vAlign w:val="center"/>
            <w:hideMark/>
          </w:tcPr>
          <w:p w14:paraId="2676CA96"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2024</w:t>
            </w:r>
          </w:p>
        </w:tc>
        <w:tc>
          <w:tcPr>
            <w:tcW w:w="450" w:type="pct"/>
            <w:tcBorders>
              <w:top w:val="single" w:sz="4" w:space="0" w:color="auto"/>
              <w:left w:val="nil"/>
              <w:bottom w:val="single" w:sz="4" w:space="0" w:color="auto"/>
              <w:right w:val="single" w:sz="4" w:space="0" w:color="auto"/>
            </w:tcBorders>
            <w:shd w:val="clear" w:color="000000" w:fill="FFF2CC"/>
            <w:noWrap/>
            <w:vAlign w:val="center"/>
            <w:hideMark/>
          </w:tcPr>
          <w:p w14:paraId="364693B7"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2023</w:t>
            </w:r>
          </w:p>
        </w:tc>
        <w:tc>
          <w:tcPr>
            <w:tcW w:w="542" w:type="pct"/>
            <w:tcBorders>
              <w:top w:val="single" w:sz="4" w:space="0" w:color="auto"/>
              <w:left w:val="nil"/>
              <w:bottom w:val="single" w:sz="4" w:space="0" w:color="auto"/>
              <w:right w:val="single" w:sz="4" w:space="0" w:color="auto"/>
            </w:tcBorders>
            <w:shd w:val="clear" w:color="000000" w:fill="FFF2CC"/>
            <w:noWrap/>
            <w:vAlign w:val="bottom"/>
            <w:hideMark/>
          </w:tcPr>
          <w:p w14:paraId="4C9DA84D"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2022</w:t>
            </w:r>
          </w:p>
        </w:tc>
        <w:tc>
          <w:tcPr>
            <w:tcW w:w="542" w:type="pct"/>
            <w:tcBorders>
              <w:top w:val="single" w:sz="4" w:space="0" w:color="auto"/>
              <w:left w:val="nil"/>
              <w:bottom w:val="single" w:sz="4" w:space="0" w:color="auto"/>
              <w:right w:val="single" w:sz="4" w:space="0" w:color="auto"/>
            </w:tcBorders>
            <w:shd w:val="clear" w:color="000000" w:fill="FFF2CC"/>
            <w:noWrap/>
            <w:vAlign w:val="center"/>
            <w:hideMark/>
          </w:tcPr>
          <w:p w14:paraId="574E5D20"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2021</w:t>
            </w:r>
          </w:p>
        </w:tc>
        <w:tc>
          <w:tcPr>
            <w:tcW w:w="542" w:type="pct"/>
            <w:tcBorders>
              <w:top w:val="single" w:sz="4" w:space="0" w:color="auto"/>
              <w:left w:val="nil"/>
              <w:bottom w:val="single" w:sz="4" w:space="0" w:color="auto"/>
              <w:right w:val="single" w:sz="4" w:space="0" w:color="auto"/>
            </w:tcBorders>
            <w:shd w:val="clear" w:color="000000" w:fill="FFF2CC"/>
            <w:noWrap/>
            <w:vAlign w:val="center"/>
            <w:hideMark/>
          </w:tcPr>
          <w:p w14:paraId="74577594"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2020</w:t>
            </w:r>
          </w:p>
        </w:tc>
      </w:tr>
      <w:tr w:rsidR="00391FC9" w:rsidRPr="00760296" w14:paraId="342B8C29" w14:textId="77777777" w:rsidTr="00391FC9">
        <w:trPr>
          <w:trHeight w:val="288"/>
        </w:trPr>
        <w:tc>
          <w:tcPr>
            <w:tcW w:w="1831" w:type="pct"/>
            <w:tcBorders>
              <w:top w:val="nil"/>
              <w:left w:val="single" w:sz="4" w:space="0" w:color="auto"/>
              <w:bottom w:val="single" w:sz="4" w:space="0" w:color="auto"/>
              <w:right w:val="single" w:sz="4" w:space="0" w:color="auto"/>
            </w:tcBorders>
            <w:shd w:val="clear" w:color="000000" w:fill="FFF2CC"/>
            <w:noWrap/>
            <w:vAlign w:val="center"/>
            <w:hideMark/>
          </w:tcPr>
          <w:p w14:paraId="64F26EFE"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Cost of Sales</w:t>
            </w:r>
          </w:p>
        </w:tc>
        <w:tc>
          <w:tcPr>
            <w:tcW w:w="1092" w:type="pct"/>
            <w:tcBorders>
              <w:top w:val="nil"/>
              <w:left w:val="nil"/>
              <w:bottom w:val="single" w:sz="4" w:space="0" w:color="auto"/>
              <w:right w:val="single" w:sz="4" w:space="0" w:color="auto"/>
            </w:tcBorders>
            <w:shd w:val="clear" w:color="000000" w:fill="FFF2CC"/>
            <w:noWrap/>
            <w:vAlign w:val="center"/>
            <w:hideMark/>
          </w:tcPr>
          <w:p w14:paraId="4398FF0F"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-2,80,885</w:t>
            </w:r>
          </w:p>
        </w:tc>
        <w:tc>
          <w:tcPr>
            <w:tcW w:w="450" w:type="pct"/>
            <w:tcBorders>
              <w:top w:val="nil"/>
              <w:left w:val="nil"/>
              <w:bottom w:val="single" w:sz="4" w:space="0" w:color="auto"/>
              <w:right w:val="single" w:sz="4" w:space="0" w:color="auto"/>
            </w:tcBorders>
            <w:shd w:val="clear" w:color="000000" w:fill="FFF2CC"/>
            <w:noWrap/>
            <w:vAlign w:val="center"/>
            <w:hideMark/>
          </w:tcPr>
          <w:p w14:paraId="5F7DB4CB"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-3,22,897</w:t>
            </w:r>
          </w:p>
        </w:tc>
        <w:tc>
          <w:tcPr>
            <w:tcW w:w="542" w:type="pct"/>
            <w:tcBorders>
              <w:top w:val="nil"/>
              <w:left w:val="nil"/>
              <w:bottom w:val="single" w:sz="4" w:space="0" w:color="auto"/>
              <w:right w:val="single" w:sz="4" w:space="0" w:color="auto"/>
            </w:tcBorders>
            <w:shd w:val="clear" w:color="000000" w:fill="FFF2CC"/>
            <w:noWrap/>
            <w:vAlign w:val="bottom"/>
            <w:hideMark/>
          </w:tcPr>
          <w:p w14:paraId="748DC17C"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-3,90,459</w:t>
            </w:r>
          </w:p>
        </w:tc>
        <w:tc>
          <w:tcPr>
            <w:tcW w:w="542" w:type="pct"/>
            <w:tcBorders>
              <w:top w:val="nil"/>
              <w:left w:val="nil"/>
              <w:bottom w:val="single" w:sz="4" w:space="0" w:color="auto"/>
              <w:right w:val="single" w:sz="4" w:space="0" w:color="auto"/>
            </w:tcBorders>
            <w:shd w:val="clear" w:color="000000" w:fill="FFF2CC"/>
            <w:noWrap/>
            <w:vAlign w:val="bottom"/>
            <w:hideMark/>
          </w:tcPr>
          <w:p w14:paraId="7D44A7E8"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-4,28,586</w:t>
            </w:r>
          </w:p>
        </w:tc>
        <w:tc>
          <w:tcPr>
            <w:tcW w:w="542" w:type="pct"/>
            <w:tcBorders>
              <w:top w:val="nil"/>
              <w:left w:val="nil"/>
              <w:bottom w:val="single" w:sz="4" w:space="0" w:color="auto"/>
              <w:right w:val="single" w:sz="4" w:space="0" w:color="auto"/>
            </w:tcBorders>
            <w:shd w:val="clear" w:color="000000" w:fill="FFF2CC"/>
            <w:noWrap/>
            <w:vAlign w:val="bottom"/>
            <w:hideMark/>
          </w:tcPr>
          <w:p w14:paraId="4DEA64D8"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-4,38,424</w:t>
            </w:r>
          </w:p>
        </w:tc>
      </w:tr>
      <w:tr w:rsidR="00391FC9" w:rsidRPr="00760296" w14:paraId="4A2FB70A" w14:textId="77777777" w:rsidTr="00391FC9">
        <w:trPr>
          <w:trHeight w:val="288"/>
        </w:trPr>
        <w:tc>
          <w:tcPr>
            <w:tcW w:w="1831" w:type="pct"/>
            <w:tcBorders>
              <w:top w:val="nil"/>
              <w:left w:val="single" w:sz="4" w:space="0" w:color="auto"/>
              <w:bottom w:val="single" w:sz="4" w:space="0" w:color="auto"/>
              <w:right w:val="single" w:sz="4" w:space="0" w:color="auto"/>
            </w:tcBorders>
            <w:shd w:val="clear" w:color="000000" w:fill="FFF2CC"/>
            <w:noWrap/>
            <w:vAlign w:val="center"/>
            <w:hideMark/>
          </w:tcPr>
          <w:p w14:paraId="05ACC4A2"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Average Inventory</w:t>
            </w:r>
          </w:p>
        </w:tc>
        <w:tc>
          <w:tcPr>
            <w:tcW w:w="1092" w:type="pct"/>
            <w:tcBorders>
              <w:top w:val="nil"/>
              <w:left w:val="nil"/>
              <w:bottom w:val="single" w:sz="4" w:space="0" w:color="auto"/>
              <w:right w:val="single" w:sz="4" w:space="0" w:color="auto"/>
            </w:tcBorders>
            <w:shd w:val="clear" w:color="000000" w:fill="FFF2CC"/>
            <w:noWrap/>
            <w:vAlign w:val="center"/>
            <w:hideMark/>
          </w:tcPr>
          <w:p w14:paraId="5000361F"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79,355</w:t>
            </w:r>
          </w:p>
        </w:tc>
        <w:tc>
          <w:tcPr>
            <w:tcW w:w="450" w:type="pct"/>
            <w:tcBorders>
              <w:top w:val="nil"/>
              <w:left w:val="nil"/>
              <w:bottom w:val="single" w:sz="4" w:space="0" w:color="auto"/>
              <w:right w:val="single" w:sz="4" w:space="0" w:color="auto"/>
            </w:tcBorders>
            <w:shd w:val="clear" w:color="000000" w:fill="FFF2CC"/>
            <w:noWrap/>
            <w:vAlign w:val="center"/>
            <w:hideMark/>
          </w:tcPr>
          <w:p w14:paraId="332910BD"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88,273</w:t>
            </w:r>
          </w:p>
        </w:tc>
        <w:tc>
          <w:tcPr>
            <w:tcW w:w="542" w:type="pct"/>
            <w:tcBorders>
              <w:top w:val="nil"/>
              <w:left w:val="nil"/>
              <w:bottom w:val="single" w:sz="4" w:space="0" w:color="auto"/>
              <w:right w:val="single" w:sz="4" w:space="0" w:color="auto"/>
            </w:tcBorders>
            <w:shd w:val="clear" w:color="000000" w:fill="FFF2CC"/>
            <w:noWrap/>
            <w:vAlign w:val="center"/>
            <w:hideMark/>
          </w:tcPr>
          <w:p w14:paraId="4973F575"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1,40,181</w:t>
            </w:r>
          </w:p>
        </w:tc>
        <w:tc>
          <w:tcPr>
            <w:tcW w:w="542" w:type="pct"/>
            <w:tcBorders>
              <w:top w:val="nil"/>
              <w:left w:val="nil"/>
              <w:bottom w:val="single" w:sz="4" w:space="0" w:color="auto"/>
              <w:right w:val="single" w:sz="4" w:space="0" w:color="auto"/>
            </w:tcBorders>
            <w:shd w:val="clear" w:color="000000" w:fill="FFF2CC"/>
            <w:noWrap/>
            <w:vAlign w:val="center"/>
            <w:hideMark/>
          </w:tcPr>
          <w:p w14:paraId="009C5855"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1,34,469</w:t>
            </w:r>
          </w:p>
        </w:tc>
        <w:tc>
          <w:tcPr>
            <w:tcW w:w="542" w:type="pct"/>
            <w:tcBorders>
              <w:top w:val="nil"/>
              <w:left w:val="nil"/>
              <w:bottom w:val="single" w:sz="4" w:space="0" w:color="auto"/>
              <w:right w:val="single" w:sz="4" w:space="0" w:color="auto"/>
            </w:tcBorders>
            <w:shd w:val="clear" w:color="000000" w:fill="FFF2CC"/>
            <w:noWrap/>
            <w:vAlign w:val="center"/>
            <w:hideMark/>
          </w:tcPr>
          <w:p w14:paraId="08F56BA8"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1,20,430</w:t>
            </w:r>
          </w:p>
        </w:tc>
      </w:tr>
      <w:tr w:rsidR="00391FC9" w:rsidRPr="00760296" w14:paraId="0E2D05ED" w14:textId="77777777" w:rsidTr="00391FC9">
        <w:trPr>
          <w:trHeight w:val="288"/>
        </w:trPr>
        <w:tc>
          <w:tcPr>
            <w:tcW w:w="1831" w:type="pct"/>
            <w:tcBorders>
              <w:top w:val="nil"/>
              <w:left w:val="single" w:sz="4" w:space="0" w:color="auto"/>
              <w:bottom w:val="single" w:sz="4" w:space="0" w:color="auto"/>
              <w:right w:val="single" w:sz="4" w:space="0" w:color="auto"/>
            </w:tcBorders>
            <w:shd w:val="clear" w:color="000000" w:fill="FFF2CC"/>
            <w:noWrap/>
            <w:vAlign w:val="center"/>
            <w:hideMark/>
          </w:tcPr>
          <w:p w14:paraId="238DEA04"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Sales</w:t>
            </w:r>
          </w:p>
        </w:tc>
        <w:tc>
          <w:tcPr>
            <w:tcW w:w="1092" w:type="pct"/>
            <w:tcBorders>
              <w:top w:val="nil"/>
              <w:left w:val="nil"/>
              <w:bottom w:val="single" w:sz="4" w:space="0" w:color="auto"/>
              <w:right w:val="single" w:sz="4" w:space="0" w:color="auto"/>
            </w:tcBorders>
            <w:shd w:val="clear" w:color="000000" w:fill="FFF2CC"/>
            <w:noWrap/>
            <w:vAlign w:val="center"/>
            <w:hideMark/>
          </w:tcPr>
          <w:p w14:paraId="1657627D"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3,94,879</w:t>
            </w:r>
          </w:p>
        </w:tc>
        <w:tc>
          <w:tcPr>
            <w:tcW w:w="450" w:type="pct"/>
            <w:tcBorders>
              <w:top w:val="nil"/>
              <w:left w:val="nil"/>
              <w:bottom w:val="single" w:sz="4" w:space="0" w:color="auto"/>
              <w:right w:val="single" w:sz="4" w:space="0" w:color="auto"/>
            </w:tcBorders>
            <w:shd w:val="clear" w:color="000000" w:fill="FFF2CC"/>
            <w:noWrap/>
            <w:vAlign w:val="center"/>
            <w:hideMark/>
          </w:tcPr>
          <w:p w14:paraId="316A1061"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4,20,457</w:t>
            </w:r>
          </w:p>
        </w:tc>
        <w:tc>
          <w:tcPr>
            <w:tcW w:w="542" w:type="pct"/>
            <w:tcBorders>
              <w:top w:val="nil"/>
              <w:left w:val="nil"/>
              <w:bottom w:val="single" w:sz="4" w:space="0" w:color="auto"/>
              <w:right w:val="single" w:sz="4" w:space="0" w:color="auto"/>
            </w:tcBorders>
            <w:shd w:val="clear" w:color="000000" w:fill="FFF2CC"/>
            <w:noWrap/>
            <w:vAlign w:val="center"/>
            <w:hideMark/>
          </w:tcPr>
          <w:p w14:paraId="4D033134"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5,42,751</w:t>
            </w:r>
          </w:p>
        </w:tc>
        <w:tc>
          <w:tcPr>
            <w:tcW w:w="542" w:type="pct"/>
            <w:tcBorders>
              <w:top w:val="nil"/>
              <w:left w:val="nil"/>
              <w:bottom w:val="single" w:sz="4" w:space="0" w:color="auto"/>
              <w:right w:val="single" w:sz="4" w:space="0" w:color="auto"/>
            </w:tcBorders>
            <w:shd w:val="clear" w:color="000000" w:fill="FFF2CC"/>
            <w:noWrap/>
            <w:vAlign w:val="center"/>
            <w:hideMark/>
          </w:tcPr>
          <w:p w14:paraId="0E837B2D"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5,42,751</w:t>
            </w:r>
          </w:p>
        </w:tc>
        <w:tc>
          <w:tcPr>
            <w:tcW w:w="542" w:type="pct"/>
            <w:tcBorders>
              <w:top w:val="nil"/>
              <w:left w:val="nil"/>
              <w:bottom w:val="single" w:sz="4" w:space="0" w:color="auto"/>
              <w:right w:val="single" w:sz="4" w:space="0" w:color="auto"/>
            </w:tcBorders>
            <w:shd w:val="clear" w:color="000000" w:fill="FFF2CC"/>
            <w:noWrap/>
            <w:vAlign w:val="center"/>
            <w:hideMark/>
          </w:tcPr>
          <w:p w14:paraId="6519144F"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6,14,680</w:t>
            </w:r>
          </w:p>
        </w:tc>
      </w:tr>
      <w:tr w:rsidR="00391FC9" w:rsidRPr="00760296" w14:paraId="4EEC6041" w14:textId="77777777" w:rsidTr="00391FC9">
        <w:trPr>
          <w:trHeight w:val="288"/>
        </w:trPr>
        <w:tc>
          <w:tcPr>
            <w:tcW w:w="1831" w:type="pct"/>
            <w:tcBorders>
              <w:top w:val="nil"/>
              <w:left w:val="single" w:sz="4" w:space="0" w:color="auto"/>
              <w:bottom w:val="single" w:sz="4" w:space="0" w:color="auto"/>
              <w:right w:val="single" w:sz="4" w:space="0" w:color="auto"/>
            </w:tcBorders>
            <w:shd w:val="clear" w:color="000000" w:fill="FFF2CC"/>
            <w:noWrap/>
            <w:vAlign w:val="center"/>
            <w:hideMark/>
          </w:tcPr>
          <w:p w14:paraId="704905CC"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Accounts Receivable</w:t>
            </w:r>
          </w:p>
        </w:tc>
        <w:tc>
          <w:tcPr>
            <w:tcW w:w="1092" w:type="pct"/>
            <w:tcBorders>
              <w:top w:val="nil"/>
              <w:left w:val="nil"/>
              <w:bottom w:val="single" w:sz="4" w:space="0" w:color="auto"/>
              <w:right w:val="single" w:sz="4" w:space="0" w:color="auto"/>
            </w:tcBorders>
            <w:shd w:val="clear" w:color="000000" w:fill="FFF2CC"/>
            <w:noWrap/>
            <w:vAlign w:val="center"/>
            <w:hideMark/>
          </w:tcPr>
          <w:p w14:paraId="3C7065DC"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1,14,182</w:t>
            </w:r>
          </w:p>
        </w:tc>
        <w:tc>
          <w:tcPr>
            <w:tcW w:w="450" w:type="pct"/>
            <w:tcBorders>
              <w:top w:val="nil"/>
              <w:left w:val="nil"/>
              <w:bottom w:val="single" w:sz="4" w:space="0" w:color="auto"/>
              <w:right w:val="single" w:sz="4" w:space="0" w:color="auto"/>
            </w:tcBorders>
            <w:shd w:val="clear" w:color="000000" w:fill="FFF2CC"/>
            <w:noWrap/>
            <w:vAlign w:val="center"/>
            <w:hideMark/>
          </w:tcPr>
          <w:p w14:paraId="3F00816A"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1,12,596</w:t>
            </w:r>
          </w:p>
        </w:tc>
        <w:tc>
          <w:tcPr>
            <w:tcW w:w="542" w:type="pct"/>
            <w:tcBorders>
              <w:top w:val="nil"/>
              <w:left w:val="nil"/>
              <w:bottom w:val="single" w:sz="4" w:space="0" w:color="auto"/>
              <w:right w:val="single" w:sz="4" w:space="0" w:color="auto"/>
            </w:tcBorders>
            <w:shd w:val="clear" w:color="000000" w:fill="FFF2CC"/>
            <w:noWrap/>
            <w:vAlign w:val="center"/>
            <w:hideMark/>
          </w:tcPr>
          <w:p w14:paraId="117186D8"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1,12,346</w:t>
            </w:r>
          </w:p>
        </w:tc>
        <w:tc>
          <w:tcPr>
            <w:tcW w:w="542" w:type="pct"/>
            <w:tcBorders>
              <w:top w:val="nil"/>
              <w:left w:val="nil"/>
              <w:bottom w:val="single" w:sz="4" w:space="0" w:color="auto"/>
              <w:right w:val="single" w:sz="4" w:space="0" w:color="auto"/>
            </w:tcBorders>
            <w:shd w:val="clear" w:color="000000" w:fill="FFF2CC"/>
            <w:noWrap/>
            <w:vAlign w:val="center"/>
            <w:hideMark/>
          </w:tcPr>
          <w:p w14:paraId="4B4EBCF2"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1,29,215</w:t>
            </w:r>
          </w:p>
        </w:tc>
        <w:tc>
          <w:tcPr>
            <w:tcW w:w="542" w:type="pct"/>
            <w:tcBorders>
              <w:top w:val="nil"/>
              <w:left w:val="nil"/>
              <w:bottom w:val="single" w:sz="4" w:space="0" w:color="auto"/>
              <w:right w:val="single" w:sz="4" w:space="0" w:color="auto"/>
            </w:tcBorders>
            <w:shd w:val="clear" w:color="000000" w:fill="FFF2CC"/>
            <w:noWrap/>
            <w:vAlign w:val="center"/>
            <w:hideMark/>
          </w:tcPr>
          <w:p w14:paraId="26B37DC3"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1,29,433</w:t>
            </w:r>
          </w:p>
        </w:tc>
      </w:tr>
      <w:tr w:rsidR="00391FC9" w:rsidRPr="00760296" w14:paraId="358A431F" w14:textId="77777777" w:rsidTr="00391FC9">
        <w:trPr>
          <w:trHeight w:val="288"/>
        </w:trPr>
        <w:tc>
          <w:tcPr>
            <w:tcW w:w="1831" w:type="pct"/>
            <w:tcBorders>
              <w:top w:val="nil"/>
              <w:left w:val="single" w:sz="4" w:space="0" w:color="auto"/>
              <w:bottom w:val="single" w:sz="4" w:space="0" w:color="auto"/>
              <w:right w:val="single" w:sz="4" w:space="0" w:color="auto"/>
            </w:tcBorders>
            <w:shd w:val="clear" w:color="000000" w:fill="FFF2CC"/>
            <w:noWrap/>
            <w:vAlign w:val="center"/>
            <w:hideMark/>
          </w:tcPr>
          <w:p w14:paraId="5D358337"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Inventory Turnover = Cost of Sales / Average Inventory</w:t>
            </w:r>
          </w:p>
        </w:tc>
        <w:tc>
          <w:tcPr>
            <w:tcW w:w="1092" w:type="pct"/>
            <w:tcBorders>
              <w:top w:val="nil"/>
              <w:left w:val="nil"/>
              <w:bottom w:val="single" w:sz="4" w:space="0" w:color="auto"/>
              <w:right w:val="single" w:sz="4" w:space="0" w:color="auto"/>
            </w:tcBorders>
            <w:shd w:val="clear" w:color="000000" w:fill="FFF2CC"/>
            <w:noWrap/>
            <w:vAlign w:val="center"/>
            <w:hideMark/>
          </w:tcPr>
          <w:p w14:paraId="68F7BA82"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-3.54</w:t>
            </w:r>
          </w:p>
        </w:tc>
        <w:tc>
          <w:tcPr>
            <w:tcW w:w="450" w:type="pct"/>
            <w:tcBorders>
              <w:top w:val="nil"/>
              <w:left w:val="nil"/>
              <w:bottom w:val="single" w:sz="4" w:space="0" w:color="auto"/>
              <w:right w:val="single" w:sz="4" w:space="0" w:color="auto"/>
            </w:tcBorders>
            <w:shd w:val="clear" w:color="000000" w:fill="FFF2CC"/>
            <w:noWrap/>
            <w:vAlign w:val="center"/>
            <w:hideMark/>
          </w:tcPr>
          <w:p w14:paraId="02BAEBCA"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-3.66</w:t>
            </w:r>
          </w:p>
        </w:tc>
        <w:tc>
          <w:tcPr>
            <w:tcW w:w="542" w:type="pct"/>
            <w:tcBorders>
              <w:top w:val="nil"/>
              <w:left w:val="nil"/>
              <w:bottom w:val="single" w:sz="4" w:space="0" w:color="auto"/>
              <w:right w:val="single" w:sz="4" w:space="0" w:color="auto"/>
            </w:tcBorders>
            <w:shd w:val="clear" w:color="000000" w:fill="FFF2CC"/>
            <w:noWrap/>
            <w:vAlign w:val="center"/>
            <w:hideMark/>
          </w:tcPr>
          <w:p w14:paraId="57F460B3"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-2.79</w:t>
            </w:r>
          </w:p>
        </w:tc>
        <w:tc>
          <w:tcPr>
            <w:tcW w:w="542" w:type="pct"/>
            <w:tcBorders>
              <w:top w:val="nil"/>
              <w:left w:val="nil"/>
              <w:bottom w:val="single" w:sz="4" w:space="0" w:color="auto"/>
              <w:right w:val="single" w:sz="4" w:space="0" w:color="auto"/>
            </w:tcBorders>
            <w:shd w:val="clear" w:color="000000" w:fill="FFF2CC"/>
            <w:noWrap/>
            <w:vAlign w:val="center"/>
            <w:hideMark/>
          </w:tcPr>
          <w:p w14:paraId="552E9556"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-3.19</w:t>
            </w:r>
          </w:p>
        </w:tc>
        <w:tc>
          <w:tcPr>
            <w:tcW w:w="542" w:type="pct"/>
            <w:tcBorders>
              <w:top w:val="nil"/>
              <w:left w:val="nil"/>
              <w:bottom w:val="single" w:sz="4" w:space="0" w:color="auto"/>
              <w:right w:val="single" w:sz="4" w:space="0" w:color="auto"/>
            </w:tcBorders>
            <w:shd w:val="clear" w:color="000000" w:fill="FFF2CC"/>
            <w:noWrap/>
            <w:vAlign w:val="center"/>
            <w:hideMark/>
          </w:tcPr>
          <w:p w14:paraId="7723DAB5"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-3.64</w:t>
            </w:r>
          </w:p>
        </w:tc>
      </w:tr>
      <w:tr w:rsidR="00391FC9" w:rsidRPr="00760296" w14:paraId="120882E3" w14:textId="77777777" w:rsidTr="00391FC9">
        <w:trPr>
          <w:trHeight w:val="288"/>
        </w:trPr>
        <w:tc>
          <w:tcPr>
            <w:tcW w:w="1831" w:type="pct"/>
            <w:tcBorders>
              <w:top w:val="nil"/>
              <w:left w:val="single" w:sz="4" w:space="0" w:color="auto"/>
              <w:bottom w:val="single" w:sz="4" w:space="0" w:color="auto"/>
              <w:right w:val="single" w:sz="4" w:space="0" w:color="auto"/>
            </w:tcBorders>
            <w:shd w:val="clear" w:color="000000" w:fill="FFF2CC"/>
            <w:noWrap/>
            <w:vAlign w:val="center"/>
            <w:hideMark/>
          </w:tcPr>
          <w:p w14:paraId="143DCF5C"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Receivable Turnover = Sales / Accounts Receivable</w:t>
            </w:r>
          </w:p>
        </w:tc>
        <w:tc>
          <w:tcPr>
            <w:tcW w:w="1092" w:type="pct"/>
            <w:tcBorders>
              <w:top w:val="nil"/>
              <w:left w:val="nil"/>
              <w:bottom w:val="single" w:sz="4" w:space="0" w:color="auto"/>
              <w:right w:val="single" w:sz="4" w:space="0" w:color="auto"/>
            </w:tcBorders>
            <w:shd w:val="clear" w:color="000000" w:fill="FFF2CC"/>
            <w:noWrap/>
            <w:vAlign w:val="center"/>
            <w:hideMark/>
          </w:tcPr>
          <w:p w14:paraId="2248C0C2"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3.46</w:t>
            </w:r>
          </w:p>
        </w:tc>
        <w:tc>
          <w:tcPr>
            <w:tcW w:w="450" w:type="pct"/>
            <w:tcBorders>
              <w:top w:val="nil"/>
              <w:left w:val="nil"/>
              <w:bottom w:val="single" w:sz="4" w:space="0" w:color="auto"/>
              <w:right w:val="single" w:sz="4" w:space="0" w:color="auto"/>
            </w:tcBorders>
            <w:shd w:val="clear" w:color="000000" w:fill="FFF2CC"/>
            <w:noWrap/>
            <w:vAlign w:val="center"/>
            <w:hideMark/>
          </w:tcPr>
          <w:p w14:paraId="5C179F20"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3.73</w:t>
            </w:r>
          </w:p>
        </w:tc>
        <w:tc>
          <w:tcPr>
            <w:tcW w:w="542" w:type="pct"/>
            <w:tcBorders>
              <w:top w:val="nil"/>
              <w:left w:val="nil"/>
              <w:bottom w:val="single" w:sz="4" w:space="0" w:color="auto"/>
              <w:right w:val="single" w:sz="4" w:space="0" w:color="auto"/>
            </w:tcBorders>
            <w:shd w:val="clear" w:color="000000" w:fill="FFF2CC"/>
            <w:noWrap/>
            <w:vAlign w:val="center"/>
            <w:hideMark/>
          </w:tcPr>
          <w:p w14:paraId="114087DD"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4.83</w:t>
            </w:r>
          </w:p>
        </w:tc>
        <w:tc>
          <w:tcPr>
            <w:tcW w:w="542" w:type="pct"/>
            <w:tcBorders>
              <w:top w:val="nil"/>
              <w:left w:val="nil"/>
              <w:bottom w:val="single" w:sz="4" w:space="0" w:color="auto"/>
              <w:right w:val="single" w:sz="4" w:space="0" w:color="auto"/>
            </w:tcBorders>
            <w:shd w:val="clear" w:color="000000" w:fill="FFF2CC"/>
            <w:noWrap/>
            <w:vAlign w:val="center"/>
            <w:hideMark/>
          </w:tcPr>
          <w:p w14:paraId="73A8D8B6"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4.20</w:t>
            </w:r>
          </w:p>
        </w:tc>
        <w:tc>
          <w:tcPr>
            <w:tcW w:w="542" w:type="pct"/>
            <w:tcBorders>
              <w:top w:val="nil"/>
              <w:left w:val="nil"/>
              <w:bottom w:val="single" w:sz="4" w:space="0" w:color="auto"/>
              <w:right w:val="single" w:sz="4" w:space="0" w:color="auto"/>
            </w:tcBorders>
            <w:shd w:val="clear" w:color="000000" w:fill="FFF2CC"/>
            <w:noWrap/>
            <w:vAlign w:val="center"/>
            <w:hideMark/>
          </w:tcPr>
          <w:p w14:paraId="2F8EBD7F"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4.75</w:t>
            </w:r>
          </w:p>
        </w:tc>
      </w:tr>
      <w:tr w:rsidR="00391FC9" w:rsidRPr="00760296" w14:paraId="5A8A9D96" w14:textId="77777777" w:rsidTr="00391FC9">
        <w:trPr>
          <w:trHeight w:val="288"/>
        </w:trPr>
        <w:tc>
          <w:tcPr>
            <w:tcW w:w="1831" w:type="pct"/>
            <w:tcBorders>
              <w:top w:val="nil"/>
              <w:left w:val="nil"/>
              <w:bottom w:val="nil"/>
              <w:right w:val="nil"/>
            </w:tcBorders>
            <w:shd w:val="clear" w:color="auto" w:fill="auto"/>
            <w:noWrap/>
            <w:vAlign w:val="bottom"/>
            <w:hideMark/>
          </w:tcPr>
          <w:p w14:paraId="6B91F875" w14:textId="77777777" w:rsidR="00391FC9" w:rsidRPr="00760296" w:rsidRDefault="00391FC9" w:rsidP="002D1B45">
            <w:pPr>
              <w:jc w:val="right"/>
              <w:rPr>
                <w:rFonts w:asciiTheme="minorBidi" w:hAnsiTheme="minorBidi" w:cstheme="minorBidi"/>
                <w:b/>
                <w:bCs/>
                <w:color w:val="000000"/>
                <w:sz w:val="22"/>
                <w:szCs w:val="22"/>
                <w:lang w:val="en-IN"/>
              </w:rPr>
            </w:pPr>
          </w:p>
        </w:tc>
        <w:tc>
          <w:tcPr>
            <w:tcW w:w="1092" w:type="pct"/>
            <w:tcBorders>
              <w:top w:val="nil"/>
              <w:left w:val="nil"/>
              <w:bottom w:val="nil"/>
              <w:right w:val="nil"/>
            </w:tcBorders>
            <w:shd w:val="clear" w:color="auto" w:fill="auto"/>
            <w:noWrap/>
            <w:vAlign w:val="bottom"/>
            <w:hideMark/>
          </w:tcPr>
          <w:p w14:paraId="59F590F8" w14:textId="77777777" w:rsidR="00391FC9" w:rsidRPr="00760296" w:rsidRDefault="00391FC9" w:rsidP="002D1B45">
            <w:pPr>
              <w:jc w:val="left"/>
              <w:rPr>
                <w:rFonts w:asciiTheme="minorBidi" w:hAnsiTheme="minorBidi" w:cstheme="minorBidi"/>
                <w:sz w:val="20"/>
                <w:szCs w:val="20"/>
                <w:lang w:val="en-IN"/>
              </w:rPr>
            </w:pPr>
          </w:p>
        </w:tc>
        <w:tc>
          <w:tcPr>
            <w:tcW w:w="450" w:type="pct"/>
            <w:tcBorders>
              <w:top w:val="nil"/>
              <w:left w:val="nil"/>
              <w:bottom w:val="nil"/>
              <w:right w:val="nil"/>
            </w:tcBorders>
            <w:shd w:val="clear" w:color="auto" w:fill="auto"/>
            <w:noWrap/>
            <w:vAlign w:val="bottom"/>
            <w:hideMark/>
          </w:tcPr>
          <w:p w14:paraId="3CC76CA9" w14:textId="77777777" w:rsidR="00391FC9" w:rsidRPr="00760296" w:rsidRDefault="00391FC9" w:rsidP="002D1B45">
            <w:pPr>
              <w:jc w:val="left"/>
              <w:rPr>
                <w:rFonts w:asciiTheme="minorBidi" w:hAnsiTheme="minorBidi" w:cstheme="minorBidi"/>
                <w:sz w:val="20"/>
                <w:szCs w:val="20"/>
                <w:lang w:val="en-IN"/>
              </w:rPr>
            </w:pPr>
          </w:p>
        </w:tc>
        <w:tc>
          <w:tcPr>
            <w:tcW w:w="542" w:type="pct"/>
            <w:tcBorders>
              <w:top w:val="nil"/>
              <w:left w:val="nil"/>
              <w:bottom w:val="nil"/>
              <w:right w:val="nil"/>
            </w:tcBorders>
            <w:shd w:val="clear" w:color="auto" w:fill="auto"/>
            <w:noWrap/>
            <w:vAlign w:val="bottom"/>
            <w:hideMark/>
          </w:tcPr>
          <w:p w14:paraId="49A05ED1" w14:textId="77777777" w:rsidR="00391FC9" w:rsidRPr="00760296" w:rsidRDefault="00391FC9" w:rsidP="002D1B45">
            <w:pPr>
              <w:jc w:val="left"/>
              <w:rPr>
                <w:rFonts w:asciiTheme="minorBidi" w:hAnsiTheme="minorBidi" w:cstheme="minorBidi"/>
                <w:sz w:val="20"/>
                <w:szCs w:val="20"/>
                <w:lang w:val="en-IN"/>
              </w:rPr>
            </w:pPr>
          </w:p>
        </w:tc>
        <w:tc>
          <w:tcPr>
            <w:tcW w:w="542" w:type="pct"/>
            <w:tcBorders>
              <w:top w:val="nil"/>
              <w:left w:val="nil"/>
              <w:bottom w:val="nil"/>
              <w:right w:val="nil"/>
            </w:tcBorders>
            <w:shd w:val="clear" w:color="auto" w:fill="auto"/>
            <w:noWrap/>
            <w:vAlign w:val="bottom"/>
            <w:hideMark/>
          </w:tcPr>
          <w:p w14:paraId="28626672" w14:textId="77777777" w:rsidR="00391FC9" w:rsidRPr="00760296" w:rsidRDefault="00391FC9" w:rsidP="002D1B45">
            <w:pPr>
              <w:jc w:val="left"/>
              <w:rPr>
                <w:rFonts w:asciiTheme="minorBidi" w:hAnsiTheme="minorBidi" w:cstheme="minorBidi"/>
                <w:sz w:val="20"/>
                <w:szCs w:val="20"/>
                <w:lang w:val="en-IN"/>
              </w:rPr>
            </w:pPr>
          </w:p>
        </w:tc>
        <w:tc>
          <w:tcPr>
            <w:tcW w:w="542" w:type="pct"/>
            <w:tcBorders>
              <w:top w:val="nil"/>
              <w:left w:val="nil"/>
              <w:bottom w:val="nil"/>
              <w:right w:val="nil"/>
            </w:tcBorders>
            <w:shd w:val="clear" w:color="auto" w:fill="auto"/>
            <w:noWrap/>
            <w:vAlign w:val="bottom"/>
            <w:hideMark/>
          </w:tcPr>
          <w:p w14:paraId="6200FA2E" w14:textId="77777777" w:rsidR="00391FC9" w:rsidRPr="00760296" w:rsidRDefault="00391FC9" w:rsidP="002D1B45">
            <w:pPr>
              <w:jc w:val="left"/>
              <w:rPr>
                <w:rFonts w:asciiTheme="minorBidi" w:hAnsiTheme="minorBidi" w:cstheme="minorBidi"/>
                <w:sz w:val="20"/>
                <w:szCs w:val="20"/>
                <w:lang w:val="en-IN"/>
              </w:rPr>
            </w:pPr>
          </w:p>
        </w:tc>
      </w:tr>
      <w:tr w:rsidR="00391FC9" w:rsidRPr="00760296" w14:paraId="6A111497" w14:textId="77777777" w:rsidTr="00391FC9">
        <w:trPr>
          <w:trHeight w:val="288"/>
        </w:trPr>
        <w:tc>
          <w:tcPr>
            <w:tcW w:w="1831" w:type="pct"/>
            <w:tcBorders>
              <w:top w:val="single" w:sz="4" w:space="0" w:color="auto"/>
              <w:left w:val="single" w:sz="4" w:space="0" w:color="auto"/>
              <w:bottom w:val="single" w:sz="4" w:space="0" w:color="auto"/>
              <w:right w:val="single" w:sz="4" w:space="0" w:color="auto"/>
            </w:tcBorders>
            <w:shd w:val="clear" w:color="000000" w:fill="C9C9C9"/>
            <w:noWrap/>
            <w:vAlign w:val="bottom"/>
            <w:hideMark/>
          </w:tcPr>
          <w:p w14:paraId="12CC6C65"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Ratio</w:t>
            </w:r>
          </w:p>
        </w:tc>
        <w:tc>
          <w:tcPr>
            <w:tcW w:w="1092" w:type="pct"/>
            <w:tcBorders>
              <w:top w:val="single" w:sz="4" w:space="0" w:color="auto"/>
              <w:left w:val="nil"/>
              <w:bottom w:val="single" w:sz="4" w:space="0" w:color="auto"/>
              <w:right w:val="single" w:sz="4" w:space="0" w:color="auto"/>
            </w:tcBorders>
            <w:shd w:val="clear" w:color="000000" w:fill="C9C9C9"/>
            <w:noWrap/>
            <w:vAlign w:val="bottom"/>
            <w:hideMark/>
          </w:tcPr>
          <w:p w14:paraId="47671D8E"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2024</w:t>
            </w:r>
          </w:p>
        </w:tc>
        <w:tc>
          <w:tcPr>
            <w:tcW w:w="450" w:type="pct"/>
            <w:tcBorders>
              <w:top w:val="single" w:sz="4" w:space="0" w:color="auto"/>
              <w:left w:val="nil"/>
              <w:bottom w:val="single" w:sz="4" w:space="0" w:color="auto"/>
              <w:right w:val="single" w:sz="4" w:space="0" w:color="auto"/>
            </w:tcBorders>
            <w:shd w:val="clear" w:color="000000" w:fill="C9C9C9"/>
            <w:noWrap/>
            <w:vAlign w:val="bottom"/>
            <w:hideMark/>
          </w:tcPr>
          <w:p w14:paraId="59E5B9A2"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2023</w:t>
            </w:r>
          </w:p>
        </w:tc>
        <w:tc>
          <w:tcPr>
            <w:tcW w:w="542" w:type="pct"/>
            <w:tcBorders>
              <w:top w:val="single" w:sz="4" w:space="0" w:color="auto"/>
              <w:left w:val="nil"/>
              <w:bottom w:val="single" w:sz="4" w:space="0" w:color="auto"/>
              <w:right w:val="single" w:sz="4" w:space="0" w:color="auto"/>
            </w:tcBorders>
            <w:shd w:val="clear" w:color="000000" w:fill="C9C9C9"/>
            <w:noWrap/>
            <w:vAlign w:val="bottom"/>
            <w:hideMark/>
          </w:tcPr>
          <w:p w14:paraId="5D0F6F04"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2022</w:t>
            </w:r>
          </w:p>
        </w:tc>
        <w:tc>
          <w:tcPr>
            <w:tcW w:w="542" w:type="pct"/>
            <w:tcBorders>
              <w:top w:val="single" w:sz="4" w:space="0" w:color="auto"/>
              <w:left w:val="nil"/>
              <w:bottom w:val="single" w:sz="4" w:space="0" w:color="auto"/>
              <w:right w:val="single" w:sz="4" w:space="0" w:color="auto"/>
            </w:tcBorders>
            <w:shd w:val="clear" w:color="000000" w:fill="C9C9C9"/>
            <w:noWrap/>
            <w:vAlign w:val="bottom"/>
            <w:hideMark/>
          </w:tcPr>
          <w:p w14:paraId="3422CD43"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2021</w:t>
            </w:r>
          </w:p>
        </w:tc>
        <w:tc>
          <w:tcPr>
            <w:tcW w:w="542" w:type="pct"/>
            <w:tcBorders>
              <w:top w:val="single" w:sz="4" w:space="0" w:color="auto"/>
              <w:left w:val="nil"/>
              <w:bottom w:val="single" w:sz="4" w:space="0" w:color="auto"/>
              <w:right w:val="single" w:sz="4" w:space="0" w:color="auto"/>
            </w:tcBorders>
            <w:shd w:val="clear" w:color="000000" w:fill="C9C9C9"/>
            <w:noWrap/>
            <w:vAlign w:val="bottom"/>
            <w:hideMark/>
          </w:tcPr>
          <w:p w14:paraId="362950E4"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2020</w:t>
            </w:r>
          </w:p>
        </w:tc>
      </w:tr>
      <w:tr w:rsidR="00391FC9" w:rsidRPr="00760296" w14:paraId="4027F783" w14:textId="77777777" w:rsidTr="00391FC9">
        <w:trPr>
          <w:trHeight w:val="288"/>
        </w:trPr>
        <w:tc>
          <w:tcPr>
            <w:tcW w:w="1831" w:type="pct"/>
            <w:tcBorders>
              <w:top w:val="nil"/>
              <w:left w:val="single" w:sz="4" w:space="0" w:color="auto"/>
              <w:bottom w:val="single" w:sz="4" w:space="0" w:color="auto"/>
              <w:right w:val="single" w:sz="4" w:space="0" w:color="auto"/>
            </w:tcBorders>
            <w:shd w:val="clear" w:color="auto" w:fill="auto"/>
            <w:noWrap/>
            <w:vAlign w:val="bottom"/>
            <w:hideMark/>
          </w:tcPr>
          <w:p w14:paraId="2C4FD5EC"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Inventory Days</w:t>
            </w:r>
          </w:p>
        </w:tc>
        <w:tc>
          <w:tcPr>
            <w:tcW w:w="1092" w:type="pct"/>
            <w:tcBorders>
              <w:top w:val="nil"/>
              <w:left w:val="nil"/>
              <w:bottom w:val="single" w:sz="4" w:space="0" w:color="auto"/>
              <w:right w:val="single" w:sz="4" w:space="0" w:color="auto"/>
            </w:tcBorders>
            <w:shd w:val="clear" w:color="auto" w:fill="auto"/>
            <w:noWrap/>
            <w:vAlign w:val="bottom"/>
            <w:hideMark/>
          </w:tcPr>
          <w:p w14:paraId="0DCE9C40"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-103.1189811</w:t>
            </w:r>
          </w:p>
        </w:tc>
        <w:tc>
          <w:tcPr>
            <w:tcW w:w="450" w:type="pct"/>
            <w:tcBorders>
              <w:top w:val="nil"/>
              <w:left w:val="nil"/>
              <w:bottom w:val="single" w:sz="4" w:space="0" w:color="auto"/>
              <w:right w:val="single" w:sz="4" w:space="0" w:color="auto"/>
            </w:tcBorders>
            <w:shd w:val="clear" w:color="auto" w:fill="auto"/>
            <w:noWrap/>
            <w:vAlign w:val="bottom"/>
            <w:hideMark/>
          </w:tcPr>
          <w:p w14:paraId="4A4CEABD"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-99.783042</w:t>
            </w:r>
          </w:p>
        </w:tc>
        <w:tc>
          <w:tcPr>
            <w:tcW w:w="542" w:type="pct"/>
            <w:tcBorders>
              <w:top w:val="nil"/>
              <w:left w:val="nil"/>
              <w:bottom w:val="single" w:sz="4" w:space="0" w:color="auto"/>
              <w:right w:val="single" w:sz="4" w:space="0" w:color="auto"/>
            </w:tcBorders>
            <w:shd w:val="clear" w:color="auto" w:fill="auto"/>
            <w:noWrap/>
            <w:vAlign w:val="bottom"/>
            <w:hideMark/>
          </w:tcPr>
          <w:p w14:paraId="03D623F0"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-131.0408135</w:t>
            </w:r>
          </w:p>
        </w:tc>
        <w:tc>
          <w:tcPr>
            <w:tcW w:w="542" w:type="pct"/>
            <w:tcBorders>
              <w:top w:val="nil"/>
              <w:left w:val="nil"/>
              <w:bottom w:val="single" w:sz="4" w:space="0" w:color="auto"/>
              <w:right w:val="single" w:sz="4" w:space="0" w:color="auto"/>
            </w:tcBorders>
            <w:shd w:val="clear" w:color="auto" w:fill="auto"/>
            <w:noWrap/>
            <w:vAlign w:val="bottom"/>
            <w:hideMark/>
          </w:tcPr>
          <w:p w14:paraId="492D6868"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-114.5188714</w:t>
            </w:r>
          </w:p>
        </w:tc>
        <w:tc>
          <w:tcPr>
            <w:tcW w:w="542" w:type="pct"/>
            <w:tcBorders>
              <w:top w:val="nil"/>
              <w:left w:val="nil"/>
              <w:bottom w:val="single" w:sz="4" w:space="0" w:color="auto"/>
              <w:right w:val="single" w:sz="4" w:space="0" w:color="auto"/>
            </w:tcBorders>
            <w:shd w:val="clear" w:color="auto" w:fill="auto"/>
            <w:noWrap/>
            <w:vAlign w:val="bottom"/>
            <w:hideMark/>
          </w:tcPr>
          <w:p w14:paraId="6E0B3CCA"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-100.2612768</w:t>
            </w:r>
          </w:p>
        </w:tc>
      </w:tr>
      <w:tr w:rsidR="00391FC9" w:rsidRPr="00760296" w14:paraId="40B8E7D4" w14:textId="77777777" w:rsidTr="00391FC9">
        <w:trPr>
          <w:trHeight w:val="288"/>
        </w:trPr>
        <w:tc>
          <w:tcPr>
            <w:tcW w:w="1831" w:type="pct"/>
            <w:tcBorders>
              <w:top w:val="nil"/>
              <w:left w:val="single" w:sz="4" w:space="0" w:color="auto"/>
              <w:bottom w:val="single" w:sz="4" w:space="0" w:color="auto"/>
              <w:right w:val="single" w:sz="4" w:space="0" w:color="auto"/>
            </w:tcBorders>
            <w:shd w:val="clear" w:color="auto" w:fill="auto"/>
            <w:noWrap/>
            <w:vAlign w:val="bottom"/>
            <w:hideMark/>
          </w:tcPr>
          <w:p w14:paraId="584F263E"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Receivable Days </w:t>
            </w:r>
          </w:p>
        </w:tc>
        <w:tc>
          <w:tcPr>
            <w:tcW w:w="1092" w:type="pct"/>
            <w:tcBorders>
              <w:top w:val="nil"/>
              <w:left w:val="nil"/>
              <w:bottom w:val="single" w:sz="4" w:space="0" w:color="auto"/>
              <w:right w:val="single" w:sz="4" w:space="0" w:color="auto"/>
            </w:tcBorders>
            <w:shd w:val="clear" w:color="auto" w:fill="auto"/>
            <w:noWrap/>
            <w:vAlign w:val="bottom"/>
            <w:hideMark/>
          </w:tcPr>
          <w:p w14:paraId="6F7B0791"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105.54228</w:t>
            </w:r>
          </w:p>
        </w:tc>
        <w:tc>
          <w:tcPr>
            <w:tcW w:w="450" w:type="pct"/>
            <w:tcBorders>
              <w:top w:val="nil"/>
              <w:left w:val="nil"/>
              <w:bottom w:val="single" w:sz="4" w:space="0" w:color="auto"/>
              <w:right w:val="single" w:sz="4" w:space="0" w:color="auto"/>
            </w:tcBorders>
            <w:shd w:val="clear" w:color="auto" w:fill="auto"/>
            <w:noWrap/>
            <w:vAlign w:val="bottom"/>
            <w:hideMark/>
          </w:tcPr>
          <w:p w14:paraId="5DDE26DB"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97.7449299</w:t>
            </w:r>
          </w:p>
        </w:tc>
        <w:tc>
          <w:tcPr>
            <w:tcW w:w="542" w:type="pct"/>
            <w:tcBorders>
              <w:top w:val="nil"/>
              <w:left w:val="nil"/>
              <w:bottom w:val="single" w:sz="4" w:space="0" w:color="auto"/>
              <w:right w:val="single" w:sz="4" w:space="0" w:color="auto"/>
            </w:tcBorders>
            <w:shd w:val="clear" w:color="auto" w:fill="auto"/>
            <w:noWrap/>
            <w:vAlign w:val="bottom"/>
            <w:hideMark/>
          </w:tcPr>
          <w:p w14:paraId="2E859007"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75.55267517</w:t>
            </w:r>
          </w:p>
        </w:tc>
        <w:tc>
          <w:tcPr>
            <w:tcW w:w="542" w:type="pct"/>
            <w:tcBorders>
              <w:top w:val="nil"/>
              <w:left w:val="nil"/>
              <w:bottom w:val="single" w:sz="4" w:space="0" w:color="auto"/>
              <w:right w:val="single" w:sz="4" w:space="0" w:color="auto"/>
            </w:tcBorders>
            <w:shd w:val="clear" w:color="auto" w:fill="auto"/>
            <w:noWrap/>
            <w:vAlign w:val="bottom"/>
            <w:hideMark/>
          </w:tcPr>
          <w:p w14:paraId="54F328AB"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86.89707619</w:t>
            </w:r>
          </w:p>
        </w:tc>
        <w:tc>
          <w:tcPr>
            <w:tcW w:w="542" w:type="pct"/>
            <w:tcBorders>
              <w:top w:val="nil"/>
              <w:left w:val="nil"/>
              <w:bottom w:val="single" w:sz="4" w:space="0" w:color="auto"/>
              <w:right w:val="single" w:sz="4" w:space="0" w:color="auto"/>
            </w:tcBorders>
            <w:shd w:val="clear" w:color="auto" w:fill="auto"/>
            <w:noWrap/>
            <w:vAlign w:val="bottom"/>
            <w:hideMark/>
          </w:tcPr>
          <w:p w14:paraId="0F6C16F1"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76.85795048</w:t>
            </w:r>
          </w:p>
        </w:tc>
      </w:tr>
      <w:tr w:rsidR="00391FC9" w:rsidRPr="00760296" w14:paraId="60C3C765" w14:textId="77777777" w:rsidTr="00391FC9">
        <w:trPr>
          <w:trHeight w:val="288"/>
        </w:trPr>
        <w:tc>
          <w:tcPr>
            <w:tcW w:w="1831" w:type="pct"/>
            <w:tcBorders>
              <w:top w:val="nil"/>
              <w:left w:val="single" w:sz="4" w:space="0" w:color="auto"/>
              <w:bottom w:val="single" w:sz="4" w:space="0" w:color="auto"/>
              <w:right w:val="single" w:sz="4" w:space="0" w:color="auto"/>
            </w:tcBorders>
            <w:shd w:val="clear" w:color="auto" w:fill="auto"/>
            <w:noWrap/>
            <w:vAlign w:val="bottom"/>
            <w:hideMark/>
          </w:tcPr>
          <w:p w14:paraId="10A28669" w14:textId="77777777" w:rsidR="00391FC9" w:rsidRPr="00760296" w:rsidRDefault="00391FC9" w:rsidP="002D1B45">
            <w:pPr>
              <w:jc w:val="left"/>
              <w:rPr>
                <w:rFonts w:asciiTheme="minorBidi" w:hAnsiTheme="minorBidi" w:cstheme="minorBidi"/>
                <w:color w:val="000000"/>
                <w:sz w:val="22"/>
                <w:szCs w:val="22"/>
                <w:lang w:val="en-IN"/>
              </w:rPr>
            </w:pPr>
            <w:proofErr w:type="spellStart"/>
            <w:r w:rsidRPr="00760296">
              <w:rPr>
                <w:rFonts w:asciiTheme="minorBidi" w:hAnsiTheme="minorBidi" w:cstheme="minorBidi"/>
                <w:color w:val="000000"/>
                <w:sz w:val="22"/>
                <w:szCs w:val="22"/>
                <w:lang w:val="en-IN"/>
              </w:rPr>
              <w:t>Payble</w:t>
            </w:r>
            <w:proofErr w:type="spellEnd"/>
            <w:r w:rsidRPr="00760296">
              <w:rPr>
                <w:rFonts w:asciiTheme="minorBidi" w:hAnsiTheme="minorBidi" w:cstheme="minorBidi"/>
                <w:color w:val="000000"/>
                <w:sz w:val="22"/>
                <w:szCs w:val="22"/>
                <w:lang w:val="en-IN"/>
              </w:rPr>
              <w:t xml:space="preserve"> Days </w:t>
            </w:r>
          </w:p>
        </w:tc>
        <w:tc>
          <w:tcPr>
            <w:tcW w:w="1092" w:type="pct"/>
            <w:tcBorders>
              <w:top w:val="nil"/>
              <w:left w:val="nil"/>
              <w:bottom w:val="single" w:sz="4" w:space="0" w:color="auto"/>
              <w:right w:val="single" w:sz="4" w:space="0" w:color="auto"/>
            </w:tcBorders>
            <w:shd w:val="clear" w:color="auto" w:fill="auto"/>
            <w:noWrap/>
            <w:vAlign w:val="bottom"/>
            <w:hideMark/>
          </w:tcPr>
          <w:p w14:paraId="460B2E2E"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66.36</w:t>
            </w:r>
          </w:p>
        </w:tc>
        <w:tc>
          <w:tcPr>
            <w:tcW w:w="450" w:type="pct"/>
            <w:tcBorders>
              <w:top w:val="nil"/>
              <w:left w:val="nil"/>
              <w:bottom w:val="single" w:sz="4" w:space="0" w:color="auto"/>
              <w:right w:val="single" w:sz="4" w:space="0" w:color="auto"/>
            </w:tcBorders>
            <w:shd w:val="clear" w:color="auto" w:fill="auto"/>
            <w:noWrap/>
            <w:vAlign w:val="bottom"/>
            <w:hideMark/>
          </w:tcPr>
          <w:p w14:paraId="35F771DA"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70.59</w:t>
            </w:r>
          </w:p>
        </w:tc>
        <w:tc>
          <w:tcPr>
            <w:tcW w:w="542" w:type="pct"/>
            <w:tcBorders>
              <w:top w:val="nil"/>
              <w:left w:val="nil"/>
              <w:bottom w:val="single" w:sz="4" w:space="0" w:color="auto"/>
              <w:right w:val="single" w:sz="4" w:space="0" w:color="auto"/>
            </w:tcBorders>
            <w:shd w:val="clear" w:color="auto" w:fill="auto"/>
            <w:noWrap/>
            <w:vAlign w:val="bottom"/>
            <w:hideMark/>
          </w:tcPr>
          <w:p w14:paraId="70D79B8C"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82.33</w:t>
            </w:r>
          </w:p>
        </w:tc>
        <w:tc>
          <w:tcPr>
            <w:tcW w:w="542" w:type="pct"/>
            <w:tcBorders>
              <w:top w:val="nil"/>
              <w:left w:val="nil"/>
              <w:bottom w:val="single" w:sz="4" w:space="0" w:color="auto"/>
              <w:right w:val="single" w:sz="4" w:space="0" w:color="auto"/>
            </w:tcBorders>
            <w:shd w:val="clear" w:color="auto" w:fill="auto"/>
            <w:noWrap/>
            <w:vAlign w:val="bottom"/>
            <w:hideMark/>
          </w:tcPr>
          <w:p w14:paraId="1A774485"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92.48</w:t>
            </w:r>
          </w:p>
        </w:tc>
        <w:tc>
          <w:tcPr>
            <w:tcW w:w="542" w:type="pct"/>
            <w:tcBorders>
              <w:top w:val="nil"/>
              <w:left w:val="nil"/>
              <w:bottom w:val="single" w:sz="4" w:space="0" w:color="auto"/>
              <w:right w:val="single" w:sz="4" w:space="0" w:color="auto"/>
            </w:tcBorders>
            <w:shd w:val="clear" w:color="auto" w:fill="auto"/>
            <w:noWrap/>
            <w:vAlign w:val="bottom"/>
            <w:hideMark/>
          </w:tcPr>
          <w:p w14:paraId="6C8C6321"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99.53</w:t>
            </w:r>
          </w:p>
        </w:tc>
      </w:tr>
      <w:tr w:rsidR="00391FC9" w:rsidRPr="00760296" w14:paraId="73DAC91A" w14:textId="77777777" w:rsidTr="00391FC9">
        <w:trPr>
          <w:trHeight w:val="288"/>
        </w:trPr>
        <w:tc>
          <w:tcPr>
            <w:tcW w:w="1831" w:type="pct"/>
            <w:tcBorders>
              <w:top w:val="nil"/>
              <w:left w:val="single" w:sz="4" w:space="0" w:color="auto"/>
              <w:bottom w:val="single" w:sz="4" w:space="0" w:color="auto"/>
              <w:right w:val="single" w:sz="4" w:space="0" w:color="auto"/>
            </w:tcBorders>
            <w:shd w:val="clear" w:color="auto" w:fill="auto"/>
            <w:noWrap/>
            <w:vAlign w:val="bottom"/>
            <w:hideMark/>
          </w:tcPr>
          <w:p w14:paraId="51C568CC"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lastRenderedPageBreak/>
              <w:t> </w:t>
            </w:r>
          </w:p>
        </w:tc>
        <w:tc>
          <w:tcPr>
            <w:tcW w:w="1092" w:type="pct"/>
            <w:tcBorders>
              <w:top w:val="nil"/>
              <w:left w:val="nil"/>
              <w:bottom w:val="single" w:sz="4" w:space="0" w:color="auto"/>
              <w:right w:val="single" w:sz="4" w:space="0" w:color="auto"/>
            </w:tcBorders>
            <w:shd w:val="clear" w:color="auto" w:fill="auto"/>
            <w:noWrap/>
            <w:vAlign w:val="bottom"/>
            <w:hideMark/>
          </w:tcPr>
          <w:p w14:paraId="1D5244A9"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2024</w:t>
            </w:r>
          </w:p>
        </w:tc>
        <w:tc>
          <w:tcPr>
            <w:tcW w:w="450" w:type="pct"/>
            <w:tcBorders>
              <w:top w:val="nil"/>
              <w:left w:val="nil"/>
              <w:bottom w:val="single" w:sz="4" w:space="0" w:color="auto"/>
              <w:right w:val="single" w:sz="4" w:space="0" w:color="auto"/>
            </w:tcBorders>
            <w:shd w:val="clear" w:color="auto" w:fill="auto"/>
            <w:noWrap/>
            <w:vAlign w:val="bottom"/>
            <w:hideMark/>
          </w:tcPr>
          <w:p w14:paraId="7820C61B"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2023</w:t>
            </w:r>
          </w:p>
        </w:tc>
        <w:tc>
          <w:tcPr>
            <w:tcW w:w="542" w:type="pct"/>
            <w:tcBorders>
              <w:top w:val="nil"/>
              <w:left w:val="nil"/>
              <w:bottom w:val="single" w:sz="4" w:space="0" w:color="auto"/>
              <w:right w:val="single" w:sz="4" w:space="0" w:color="auto"/>
            </w:tcBorders>
            <w:shd w:val="clear" w:color="auto" w:fill="auto"/>
            <w:noWrap/>
            <w:vAlign w:val="bottom"/>
            <w:hideMark/>
          </w:tcPr>
          <w:p w14:paraId="1C5CFB4A"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2022</w:t>
            </w:r>
          </w:p>
        </w:tc>
        <w:tc>
          <w:tcPr>
            <w:tcW w:w="542" w:type="pct"/>
            <w:tcBorders>
              <w:top w:val="nil"/>
              <w:left w:val="nil"/>
              <w:bottom w:val="single" w:sz="4" w:space="0" w:color="auto"/>
              <w:right w:val="single" w:sz="4" w:space="0" w:color="auto"/>
            </w:tcBorders>
            <w:shd w:val="clear" w:color="auto" w:fill="auto"/>
            <w:noWrap/>
            <w:vAlign w:val="bottom"/>
            <w:hideMark/>
          </w:tcPr>
          <w:p w14:paraId="3620F490"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2021</w:t>
            </w:r>
          </w:p>
        </w:tc>
        <w:tc>
          <w:tcPr>
            <w:tcW w:w="542" w:type="pct"/>
            <w:tcBorders>
              <w:top w:val="nil"/>
              <w:left w:val="nil"/>
              <w:bottom w:val="single" w:sz="4" w:space="0" w:color="auto"/>
              <w:right w:val="single" w:sz="4" w:space="0" w:color="auto"/>
            </w:tcBorders>
            <w:shd w:val="clear" w:color="auto" w:fill="auto"/>
            <w:noWrap/>
            <w:vAlign w:val="bottom"/>
            <w:hideMark/>
          </w:tcPr>
          <w:p w14:paraId="2953185F"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2020</w:t>
            </w:r>
          </w:p>
        </w:tc>
      </w:tr>
      <w:tr w:rsidR="00391FC9" w:rsidRPr="00760296" w14:paraId="5F8E020F" w14:textId="77777777" w:rsidTr="00391FC9">
        <w:trPr>
          <w:trHeight w:val="576"/>
        </w:trPr>
        <w:tc>
          <w:tcPr>
            <w:tcW w:w="1831" w:type="pct"/>
            <w:tcBorders>
              <w:top w:val="nil"/>
              <w:left w:val="single" w:sz="4" w:space="0" w:color="auto"/>
              <w:bottom w:val="single" w:sz="4" w:space="0" w:color="auto"/>
              <w:right w:val="single" w:sz="4" w:space="0" w:color="auto"/>
            </w:tcBorders>
            <w:shd w:val="clear" w:color="auto" w:fill="auto"/>
            <w:vAlign w:val="bottom"/>
            <w:hideMark/>
          </w:tcPr>
          <w:p w14:paraId="2B61ED6C"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 xml:space="preserve">Cash Conversion Cycle (Inventory </w:t>
            </w:r>
            <w:proofErr w:type="spellStart"/>
            <w:r w:rsidRPr="00760296">
              <w:rPr>
                <w:rFonts w:asciiTheme="minorBidi" w:hAnsiTheme="minorBidi" w:cstheme="minorBidi"/>
                <w:b/>
                <w:bCs/>
                <w:color w:val="000000"/>
                <w:sz w:val="22"/>
                <w:szCs w:val="22"/>
                <w:lang w:val="en-IN"/>
              </w:rPr>
              <w:t>Days+Receivable</w:t>
            </w:r>
            <w:proofErr w:type="spellEnd"/>
            <w:r w:rsidRPr="00760296">
              <w:rPr>
                <w:rFonts w:asciiTheme="minorBidi" w:hAnsiTheme="minorBidi" w:cstheme="minorBidi"/>
                <w:b/>
                <w:bCs/>
                <w:color w:val="000000"/>
                <w:sz w:val="22"/>
                <w:szCs w:val="22"/>
                <w:lang w:val="en-IN"/>
              </w:rPr>
              <w:t xml:space="preserve"> </w:t>
            </w:r>
            <w:proofErr w:type="spellStart"/>
            <w:r w:rsidRPr="00760296">
              <w:rPr>
                <w:rFonts w:asciiTheme="minorBidi" w:hAnsiTheme="minorBidi" w:cstheme="minorBidi"/>
                <w:b/>
                <w:bCs/>
                <w:color w:val="000000"/>
                <w:sz w:val="22"/>
                <w:szCs w:val="22"/>
                <w:lang w:val="en-IN"/>
              </w:rPr>
              <w:t>Days+Payble</w:t>
            </w:r>
            <w:proofErr w:type="spellEnd"/>
            <w:r w:rsidRPr="00760296">
              <w:rPr>
                <w:rFonts w:asciiTheme="minorBidi" w:hAnsiTheme="minorBidi" w:cstheme="minorBidi"/>
                <w:b/>
                <w:bCs/>
                <w:color w:val="000000"/>
                <w:sz w:val="22"/>
                <w:szCs w:val="22"/>
                <w:lang w:val="en-IN"/>
              </w:rPr>
              <w:t xml:space="preserve"> Days) </w:t>
            </w:r>
          </w:p>
        </w:tc>
        <w:tc>
          <w:tcPr>
            <w:tcW w:w="1092" w:type="pct"/>
            <w:tcBorders>
              <w:top w:val="nil"/>
              <w:left w:val="nil"/>
              <w:bottom w:val="single" w:sz="4" w:space="0" w:color="auto"/>
              <w:right w:val="single" w:sz="4" w:space="0" w:color="auto"/>
            </w:tcBorders>
            <w:shd w:val="clear" w:color="auto" w:fill="auto"/>
            <w:noWrap/>
            <w:vAlign w:val="bottom"/>
            <w:hideMark/>
          </w:tcPr>
          <w:p w14:paraId="66DE0F30"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68.78329896</w:t>
            </w:r>
          </w:p>
        </w:tc>
        <w:tc>
          <w:tcPr>
            <w:tcW w:w="450" w:type="pct"/>
            <w:tcBorders>
              <w:top w:val="nil"/>
              <w:left w:val="nil"/>
              <w:bottom w:val="single" w:sz="4" w:space="0" w:color="auto"/>
              <w:right w:val="single" w:sz="4" w:space="0" w:color="auto"/>
            </w:tcBorders>
            <w:shd w:val="clear" w:color="auto" w:fill="auto"/>
            <w:noWrap/>
            <w:vAlign w:val="bottom"/>
            <w:hideMark/>
          </w:tcPr>
          <w:p w14:paraId="6FF9A529"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68.5518877</w:t>
            </w:r>
          </w:p>
        </w:tc>
        <w:tc>
          <w:tcPr>
            <w:tcW w:w="542" w:type="pct"/>
            <w:tcBorders>
              <w:top w:val="nil"/>
              <w:left w:val="nil"/>
              <w:bottom w:val="single" w:sz="4" w:space="0" w:color="auto"/>
              <w:right w:val="single" w:sz="4" w:space="0" w:color="auto"/>
            </w:tcBorders>
            <w:shd w:val="clear" w:color="auto" w:fill="auto"/>
            <w:noWrap/>
            <w:vAlign w:val="bottom"/>
            <w:hideMark/>
          </w:tcPr>
          <w:p w14:paraId="57421858"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26.84186166</w:t>
            </w:r>
          </w:p>
        </w:tc>
        <w:tc>
          <w:tcPr>
            <w:tcW w:w="542" w:type="pct"/>
            <w:tcBorders>
              <w:top w:val="nil"/>
              <w:left w:val="nil"/>
              <w:bottom w:val="single" w:sz="4" w:space="0" w:color="auto"/>
              <w:right w:val="single" w:sz="4" w:space="0" w:color="auto"/>
            </w:tcBorders>
            <w:shd w:val="clear" w:color="auto" w:fill="auto"/>
            <w:noWrap/>
            <w:vAlign w:val="bottom"/>
            <w:hideMark/>
          </w:tcPr>
          <w:p w14:paraId="1DACCAF4"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64.85820483</w:t>
            </w:r>
          </w:p>
        </w:tc>
        <w:tc>
          <w:tcPr>
            <w:tcW w:w="542" w:type="pct"/>
            <w:tcBorders>
              <w:top w:val="nil"/>
              <w:left w:val="nil"/>
              <w:bottom w:val="single" w:sz="4" w:space="0" w:color="auto"/>
              <w:right w:val="single" w:sz="4" w:space="0" w:color="auto"/>
            </w:tcBorders>
            <w:shd w:val="clear" w:color="auto" w:fill="auto"/>
            <w:noWrap/>
            <w:vAlign w:val="bottom"/>
            <w:hideMark/>
          </w:tcPr>
          <w:p w14:paraId="08F2A419"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76.12667372</w:t>
            </w:r>
          </w:p>
        </w:tc>
      </w:tr>
    </w:tbl>
    <w:p w14:paraId="65F1F561" w14:textId="77777777" w:rsidR="00391FC9" w:rsidRPr="00760296" w:rsidRDefault="00391FC9" w:rsidP="002D1B45">
      <w:pPr>
        <w:rPr>
          <w:rFonts w:asciiTheme="minorBidi" w:hAnsiTheme="minorBidi" w:cstheme="minorBidi"/>
        </w:rPr>
      </w:pPr>
    </w:p>
    <w:p w14:paraId="0E5F74B7" w14:textId="77777777" w:rsidR="00391FC9" w:rsidRPr="00760296" w:rsidRDefault="00391FC9" w:rsidP="002D1B45">
      <w:pPr>
        <w:jc w:val="center"/>
        <w:rPr>
          <w:rFonts w:asciiTheme="minorBidi" w:hAnsiTheme="minorBidi" w:cstheme="minorBidi"/>
        </w:rPr>
      </w:pPr>
      <w:r w:rsidRPr="00760296">
        <w:rPr>
          <w:rFonts w:asciiTheme="minorBidi" w:hAnsiTheme="minorBidi" w:cstheme="minorBidi"/>
          <w:noProof/>
        </w:rPr>
        <w:drawing>
          <wp:inline distT="0" distB="0" distL="0" distR="0" wp14:anchorId="0A7B5278" wp14:editId="381784AF">
            <wp:extent cx="4572000" cy="2743200"/>
            <wp:effectExtent l="0" t="0" r="0" b="0"/>
            <wp:docPr id="13" name="Chart 13">
              <a:extLst xmlns:a="http://schemas.openxmlformats.org/drawingml/2006/main">
                <a:ext uri="{FF2B5EF4-FFF2-40B4-BE49-F238E27FC236}">
                  <a16:creationId xmlns:a16="http://schemas.microsoft.com/office/drawing/2014/main" id="{40E058E9-6167-457D-8F72-CD146331D6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inline>
        </w:drawing>
      </w:r>
    </w:p>
    <w:p w14:paraId="7F0D4839" w14:textId="77777777" w:rsidR="00391FC9" w:rsidRPr="00760296" w:rsidRDefault="00391FC9" w:rsidP="002D1B45">
      <w:pPr>
        <w:pStyle w:val="Heading2"/>
        <w:rPr>
          <w:rFonts w:asciiTheme="minorBidi" w:hAnsiTheme="minorBidi" w:cstheme="minorBidi"/>
        </w:rPr>
      </w:pPr>
      <w:bookmarkStart w:id="62" w:name="_Toc213194647"/>
      <w:r w:rsidRPr="00760296">
        <w:rPr>
          <w:rFonts w:asciiTheme="minorBidi" w:hAnsiTheme="minorBidi" w:cstheme="minorBidi"/>
        </w:rPr>
        <w:t xml:space="preserve">Appendix </w:t>
      </w:r>
      <w:r w:rsidR="00D76486" w:rsidRPr="00760296">
        <w:rPr>
          <w:rFonts w:asciiTheme="minorBidi" w:hAnsiTheme="minorBidi" w:cstheme="minorBidi"/>
        </w:rPr>
        <w:t>4</w:t>
      </w:r>
      <w:r w:rsidRPr="00760296">
        <w:rPr>
          <w:rFonts w:asciiTheme="minorBidi" w:hAnsiTheme="minorBidi" w:cstheme="minorBidi"/>
        </w:rPr>
        <w:t>: Investment Appraisals</w:t>
      </w:r>
      <w:bookmarkEnd w:id="62"/>
      <w:r w:rsidRPr="00760296">
        <w:rPr>
          <w:rFonts w:asciiTheme="minorBidi" w:hAnsiTheme="minorBidi" w:cstheme="minorBidi"/>
        </w:rPr>
        <w:t xml:space="preserve"> </w:t>
      </w:r>
    </w:p>
    <w:tbl>
      <w:tblPr>
        <w:tblW w:w="5000" w:type="pct"/>
        <w:tblLook w:val="04A0" w:firstRow="1" w:lastRow="0" w:firstColumn="1" w:lastColumn="0" w:noHBand="0" w:noVBand="1"/>
      </w:tblPr>
      <w:tblGrid>
        <w:gridCol w:w="2652"/>
        <w:gridCol w:w="2724"/>
        <w:gridCol w:w="3643"/>
      </w:tblGrid>
      <w:tr w:rsidR="00391FC9" w:rsidRPr="00760296" w14:paraId="6CE35D14" w14:textId="77777777" w:rsidTr="00391FC9">
        <w:trPr>
          <w:trHeight w:val="312"/>
        </w:trPr>
        <w:tc>
          <w:tcPr>
            <w:tcW w:w="5000" w:type="pct"/>
            <w:gridSpan w:val="3"/>
            <w:tcBorders>
              <w:top w:val="single" w:sz="4" w:space="0" w:color="auto"/>
              <w:left w:val="single" w:sz="4" w:space="0" w:color="auto"/>
              <w:bottom w:val="single" w:sz="4" w:space="0" w:color="auto"/>
              <w:right w:val="single" w:sz="4" w:space="0" w:color="auto"/>
            </w:tcBorders>
            <w:shd w:val="clear" w:color="000000" w:fill="FFD966"/>
            <w:noWrap/>
            <w:vAlign w:val="bottom"/>
            <w:hideMark/>
          </w:tcPr>
          <w:p w14:paraId="3B98B84E" w14:textId="77777777" w:rsidR="00391FC9" w:rsidRPr="00760296" w:rsidRDefault="00391FC9" w:rsidP="002D1B45">
            <w:pPr>
              <w:jc w:val="center"/>
              <w:rPr>
                <w:rFonts w:asciiTheme="minorBidi" w:hAnsiTheme="minorBidi" w:cstheme="minorBidi"/>
                <w:b/>
                <w:bCs/>
                <w:color w:val="000000"/>
                <w:lang w:val="en-IN"/>
              </w:rPr>
            </w:pPr>
            <w:r w:rsidRPr="00760296">
              <w:rPr>
                <w:rFonts w:asciiTheme="minorBidi" w:hAnsiTheme="minorBidi" w:cstheme="minorBidi"/>
                <w:b/>
                <w:bCs/>
                <w:color w:val="000000"/>
                <w:lang w:val="en-IN"/>
              </w:rPr>
              <w:t xml:space="preserve">Project A - Investment </w:t>
            </w:r>
            <w:proofErr w:type="spellStart"/>
            <w:r w:rsidRPr="00760296">
              <w:rPr>
                <w:rFonts w:asciiTheme="minorBidi" w:hAnsiTheme="minorBidi" w:cstheme="minorBidi"/>
                <w:b/>
                <w:bCs/>
                <w:color w:val="000000"/>
                <w:lang w:val="en-IN"/>
              </w:rPr>
              <w:t>Appeaisals</w:t>
            </w:r>
            <w:proofErr w:type="spellEnd"/>
          </w:p>
        </w:tc>
      </w:tr>
      <w:tr w:rsidR="00391FC9" w:rsidRPr="00760296" w14:paraId="306B2F21"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FFD966"/>
            <w:noWrap/>
            <w:vAlign w:val="bottom"/>
            <w:hideMark/>
          </w:tcPr>
          <w:p w14:paraId="6976B2D0"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 xml:space="preserve">Year </w:t>
            </w:r>
          </w:p>
        </w:tc>
        <w:tc>
          <w:tcPr>
            <w:tcW w:w="352" w:type="pct"/>
            <w:tcBorders>
              <w:top w:val="nil"/>
              <w:left w:val="nil"/>
              <w:bottom w:val="single" w:sz="4" w:space="0" w:color="auto"/>
              <w:right w:val="single" w:sz="4" w:space="0" w:color="auto"/>
            </w:tcBorders>
            <w:shd w:val="clear" w:color="000000" w:fill="FFD966"/>
            <w:noWrap/>
            <w:vAlign w:val="bottom"/>
            <w:hideMark/>
          </w:tcPr>
          <w:p w14:paraId="09B6BACB"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 xml:space="preserve">Cash Flow </w:t>
            </w:r>
          </w:p>
        </w:tc>
        <w:tc>
          <w:tcPr>
            <w:tcW w:w="584" w:type="pct"/>
            <w:tcBorders>
              <w:top w:val="nil"/>
              <w:left w:val="nil"/>
              <w:bottom w:val="single" w:sz="4" w:space="0" w:color="auto"/>
              <w:right w:val="single" w:sz="4" w:space="0" w:color="auto"/>
            </w:tcBorders>
            <w:shd w:val="clear" w:color="000000" w:fill="FFD966"/>
            <w:noWrap/>
            <w:vAlign w:val="bottom"/>
            <w:hideMark/>
          </w:tcPr>
          <w:p w14:paraId="4228C06F" w14:textId="77777777" w:rsidR="00391FC9" w:rsidRPr="00760296" w:rsidRDefault="00391FC9" w:rsidP="002D1B45">
            <w:pPr>
              <w:jc w:val="left"/>
              <w:rPr>
                <w:rFonts w:asciiTheme="minorBidi" w:hAnsiTheme="minorBidi" w:cstheme="minorBidi"/>
                <w:b/>
                <w:bCs/>
                <w:color w:val="000000"/>
                <w:sz w:val="22"/>
                <w:szCs w:val="22"/>
                <w:lang w:val="en-IN"/>
              </w:rPr>
            </w:pPr>
            <w:proofErr w:type="spellStart"/>
            <w:r w:rsidRPr="00760296">
              <w:rPr>
                <w:rFonts w:asciiTheme="minorBidi" w:hAnsiTheme="minorBidi" w:cstheme="minorBidi"/>
                <w:b/>
                <w:bCs/>
                <w:color w:val="000000"/>
                <w:sz w:val="22"/>
                <w:szCs w:val="22"/>
                <w:lang w:val="en-IN"/>
              </w:rPr>
              <w:t>Cumilative</w:t>
            </w:r>
            <w:proofErr w:type="spellEnd"/>
            <w:r w:rsidRPr="00760296">
              <w:rPr>
                <w:rFonts w:asciiTheme="minorBidi" w:hAnsiTheme="minorBidi" w:cstheme="minorBidi"/>
                <w:b/>
                <w:bCs/>
                <w:color w:val="000000"/>
                <w:sz w:val="22"/>
                <w:szCs w:val="22"/>
                <w:lang w:val="en-IN"/>
              </w:rPr>
              <w:t xml:space="preserve"> </w:t>
            </w:r>
            <w:proofErr w:type="spellStart"/>
            <w:r w:rsidRPr="00760296">
              <w:rPr>
                <w:rFonts w:asciiTheme="minorBidi" w:hAnsiTheme="minorBidi" w:cstheme="minorBidi"/>
                <w:b/>
                <w:bCs/>
                <w:color w:val="000000"/>
                <w:sz w:val="22"/>
                <w:szCs w:val="22"/>
                <w:lang w:val="en-IN"/>
              </w:rPr>
              <w:t>CashFlow</w:t>
            </w:r>
            <w:proofErr w:type="spellEnd"/>
          </w:p>
        </w:tc>
      </w:tr>
      <w:tr w:rsidR="00391FC9" w:rsidRPr="00760296" w14:paraId="5602F0C8"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FFF2CC"/>
            <w:noWrap/>
            <w:vAlign w:val="bottom"/>
            <w:hideMark/>
          </w:tcPr>
          <w:p w14:paraId="1AFBBF6F"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0</w:t>
            </w:r>
          </w:p>
        </w:tc>
        <w:tc>
          <w:tcPr>
            <w:tcW w:w="352" w:type="pct"/>
            <w:tcBorders>
              <w:top w:val="nil"/>
              <w:left w:val="nil"/>
              <w:bottom w:val="single" w:sz="4" w:space="0" w:color="auto"/>
              <w:right w:val="single" w:sz="4" w:space="0" w:color="auto"/>
            </w:tcBorders>
            <w:shd w:val="clear" w:color="000000" w:fill="FFF2CC"/>
            <w:noWrap/>
            <w:vAlign w:val="bottom"/>
            <w:hideMark/>
          </w:tcPr>
          <w:p w14:paraId="46EBD2E0"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40.00 </w:t>
            </w:r>
          </w:p>
        </w:tc>
        <w:tc>
          <w:tcPr>
            <w:tcW w:w="584" w:type="pct"/>
            <w:tcBorders>
              <w:top w:val="nil"/>
              <w:left w:val="nil"/>
              <w:bottom w:val="single" w:sz="4" w:space="0" w:color="auto"/>
              <w:right w:val="single" w:sz="4" w:space="0" w:color="auto"/>
            </w:tcBorders>
            <w:shd w:val="clear" w:color="000000" w:fill="FFF2CC"/>
            <w:noWrap/>
            <w:vAlign w:val="bottom"/>
            <w:hideMark/>
          </w:tcPr>
          <w:p w14:paraId="6005B523"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40.00 </w:t>
            </w:r>
          </w:p>
        </w:tc>
      </w:tr>
      <w:tr w:rsidR="00391FC9" w:rsidRPr="00760296" w14:paraId="4DB4DA04"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FFF2CC"/>
            <w:noWrap/>
            <w:vAlign w:val="bottom"/>
            <w:hideMark/>
          </w:tcPr>
          <w:p w14:paraId="49DC062B"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w:t>
            </w:r>
          </w:p>
        </w:tc>
        <w:tc>
          <w:tcPr>
            <w:tcW w:w="352" w:type="pct"/>
            <w:tcBorders>
              <w:top w:val="nil"/>
              <w:left w:val="nil"/>
              <w:bottom w:val="single" w:sz="4" w:space="0" w:color="auto"/>
              <w:right w:val="single" w:sz="4" w:space="0" w:color="auto"/>
            </w:tcBorders>
            <w:shd w:val="clear" w:color="000000" w:fill="FFF2CC"/>
            <w:noWrap/>
            <w:vAlign w:val="bottom"/>
            <w:hideMark/>
          </w:tcPr>
          <w:p w14:paraId="18E56D79"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10.00 </w:t>
            </w:r>
          </w:p>
        </w:tc>
        <w:tc>
          <w:tcPr>
            <w:tcW w:w="584" w:type="pct"/>
            <w:tcBorders>
              <w:top w:val="nil"/>
              <w:left w:val="nil"/>
              <w:bottom w:val="single" w:sz="4" w:space="0" w:color="auto"/>
              <w:right w:val="single" w:sz="4" w:space="0" w:color="auto"/>
            </w:tcBorders>
            <w:shd w:val="clear" w:color="000000" w:fill="FFF2CC"/>
            <w:noWrap/>
            <w:vAlign w:val="bottom"/>
            <w:hideMark/>
          </w:tcPr>
          <w:p w14:paraId="34A58A3B"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30.00 </w:t>
            </w:r>
          </w:p>
        </w:tc>
      </w:tr>
      <w:tr w:rsidR="00391FC9" w:rsidRPr="00760296" w14:paraId="4241AC0E"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FFF2CC"/>
            <w:noWrap/>
            <w:vAlign w:val="bottom"/>
            <w:hideMark/>
          </w:tcPr>
          <w:p w14:paraId="2E1CAA77"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2</w:t>
            </w:r>
          </w:p>
        </w:tc>
        <w:tc>
          <w:tcPr>
            <w:tcW w:w="352" w:type="pct"/>
            <w:tcBorders>
              <w:top w:val="nil"/>
              <w:left w:val="nil"/>
              <w:bottom w:val="single" w:sz="4" w:space="0" w:color="auto"/>
              <w:right w:val="single" w:sz="4" w:space="0" w:color="auto"/>
            </w:tcBorders>
            <w:shd w:val="clear" w:color="000000" w:fill="FFF2CC"/>
            <w:noWrap/>
            <w:vAlign w:val="bottom"/>
            <w:hideMark/>
          </w:tcPr>
          <w:p w14:paraId="1CC456FF"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12.00 </w:t>
            </w:r>
          </w:p>
        </w:tc>
        <w:tc>
          <w:tcPr>
            <w:tcW w:w="584" w:type="pct"/>
            <w:tcBorders>
              <w:top w:val="nil"/>
              <w:left w:val="nil"/>
              <w:bottom w:val="single" w:sz="4" w:space="0" w:color="auto"/>
              <w:right w:val="single" w:sz="4" w:space="0" w:color="auto"/>
            </w:tcBorders>
            <w:shd w:val="clear" w:color="000000" w:fill="FFF2CC"/>
            <w:noWrap/>
            <w:vAlign w:val="bottom"/>
            <w:hideMark/>
          </w:tcPr>
          <w:p w14:paraId="334A3E38"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18.00 </w:t>
            </w:r>
          </w:p>
        </w:tc>
      </w:tr>
      <w:tr w:rsidR="00391FC9" w:rsidRPr="00760296" w14:paraId="5D085D32"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FFF2CC"/>
            <w:noWrap/>
            <w:vAlign w:val="bottom"/>
            <w:hideMark/>
          </w:tcPr>
          <w:p w14:paraId="6C727A63"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3</w:t>
            </w:r>
          </w:p>
        </w:tc>
        <w:tc>
          <w:tcPr>
            <w:tcW w:w="352" w:type="pct"/>
            <w:tcBorders>
              <w:top w:val="nil"/>
              <w:left w:val="nil"/>
              <w:bottom w:val="single" w:sz="4" w:space="0" w:color="auto"/>
              <w:right w:val="single" w:sz="4" w:space="0" w:color="auto"/>
            </w:tcBorders>
            <w:shd w:val="clear" w:color="000000" w:fill="FFF2CC"/>
            <w:noWrap/>
            <w:vAlign w:val="bottom"/>
            <w:hideMark/>
          </w:tcPr>
          <w:p w14:paraId="7ECE17FB"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14.00 </w:t>
            </w:r>
          </w:p>
        </w:tc>
        <w:tc>
          <w:tcPr>
            <w:tcW w:w="584" w:type="pct"/>
            <w:tcBorders>
              <w:top w:val="nil"/>
              <w:left w:val="nil"/>
              <w:bottom w:val="single" w:sz="4" w:space="0" w:color="auto"/>
              <w:right w:val="single" w:sz="4" w:space="0" w:color="auto"/>
            </w:tcBorders>
            <w:shd w:val="clear" w:color="000000" w:fill="FFF2CC"/>
            <w:noWrap/>
            <w:vAlign w:val="bottom"/>
            <w:hideMark/>
          </w:tcPr>
          <w:p w14:paraId="437AE74D"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4.00 </w:t>
            </w:r>
          </w:p>
        </w:tc>
      </w:tr>
      <w:tr w:rsidR="00391FC9" w:rsidRPr="00760296" w14:paraId="2673DD5C"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FFF2CC"/>
            <w:noWrap/>
            <w:vAlign w:val="bottom"/>
            <w:hideMark/>
          </w:tcPr>
          <w:p w14:paraId="24EC3A68"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4</w:t>
            </w:r>
          </w:p>
        </w:tc>
        <w:tc>
          <w:tcPr>
            <w:tcW w:w="352" w:type="pct"/>
            <w:tcBorders>
              <w:top w:val="nil"/>
              <w:left w:val="nil"/>
              <w:bottom w:val="single" w:sz="4" w:space="0" w:color="auto"/>
              <w:right w:val="single" w:sz="4" w:space="0" w:color="auto"/>
            </w:tcBorders>
            <w:shd w:val="clear" w:color="000000" w:fill="FFF2CC"/>
            <w:noWrap/>
            <w:vAlign w:val="bottom"/>
            <w:hideMark/>
          </w:tcPr>
          <w:p w14:paraId="15896932"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10.00 </w:t>
            </w:r>
          </w:p>
        </w:tc>
        <w:tc>
          <w:tcPr>
            <w:tcW w:w="584" w:type="pct"/>
            <w:tcBorders>
              <w:top w:val="nil"/>
              <w:left w:val="nil"/>
              <w:bottom w:val="single" w:sz="4" w:space="0" w:color="auto"/>
              <w:right w:val="single" w:sz="4" w:space="0" w:color="auto"/>
            </w:tcBorders>
            <w:shd w:val="clear" w:color="000000" w:fill="FFF2CC"/>
            <w:noWrap/>
            <w:vAlign w:val="bottom"/>
            <w:hideMark/>
          </w:tcPr>
          <w:p w14:paraId="53956C98"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6.00 </w:t>
            </w:r>
          </w:p>
        </w:tc>
      </w:tr>
      <w:tr w:rsidR="00391FC9" w:rsidRPr="00760296" w14:paraId="4EC02E6C"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FFF2CC"/>
            <w:noWrap/>
            <w:vAlign w:val="bottom"/>
            <w:hideMark/>
          </w:tcPr>
          <w:p w14:paraId="45FFD99B"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5</w:t>
            </w:r>
          </w:p>
        </w:tc>
        <w:tc>
          <w:tcPr>
            <w:tcW w:w="352" w:type="pct"/>
            <w:tcBorders>
              <w:top w:val="nil"/>
              <w:left w:val="nil"/>
              <w:bottom w:val="single" w:sz="4" w:space="0" w:color="auto"/>
              <w:right w:val="single" w:sz="4" w:space="0" w:color="auto"/>
            </w:tcBorders>
            <w:shd w:val="clear" w:color="000000" w:fill="FFF2CC"/>
            <w:noWrap/>
            <w:vAlign w:val="bottom"/>
            <w:hideMark/>
          </w:tcPr>
          <w:p w14:paraId="034BD838"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8.00 </w:t>
            </w:r>
          </w:p>
        </w:tc>
        <w:tc>
          <w:tcPr>
            <w:tcW w:w="584" w:type="pct"/>
            <w:tcBorders>
              <w:top w:val="nil"/>
              <w:left w:val="nil"/>
              <w:bottom w:val="single" w:sz="4" w:space="0" w:color="auto"/>
              <w:right w:val="single" w:sz="4" w:space="0" w:color="auto"/>
            </w:tcBorders>
            <w:shd w:val="clear" w:color="000000" w:fill="FFF2CC"/>
            <w:noWrap/>
            <w:vAlign w:val="bottom"/>
            <w:hideMark/>
          </w:tcPr>
          <w:p w14:paraId="0FB285B5"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14.00 </w:t>
            </w:r>
          </w:p>
        </w:tc>
      </w:tr>
      <w:tr w:rsidR="00391FC9" w:rsidRPr="00760296" w14:paraId="1BD8A0C4"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FFF2CC"/>
            <w:noWrap/>
            <w:vAlign w:val="bottom"/>
            <w:hideMark/>
          </w:tcPr>
          <w:p w14:paraId="3DC1C285"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Total Cash Flow </w:t>
            </w:r>
          </w:p>
        </w:tc>
        <w:tc>
          <w:tcPr>
            <w:tcW w:w="935" w:type="pct"/>
            <w:gridSpan w:val="2"/>
            <w:tcBorders>
              <w:top w:val="single" w:sz="4" w:space="0" w:color="auto"/>
              <w:left w:val="nil"/>
              <w:bottom w:val="single" w:sz="4" w:space="0" w:color="auto"/>
              <w:right w:val="single" w:sz="4" w:space="0" w:color="000000"/>
            </w:tcBorders>
            <w:shd w:val="clear" w:color="000000" w:fill="FFF2CC"/>
            <w:noWrap/>
            <w:vAlign w:val="bottom"/>
            <w:hideMark/>
          </w:tcPr>
          <w:p w14:paraId="4D5047A0" w14:textId="77777777" w:rsidR="00391FC9" w:rsidRPr="00760296" w:rsidRDefault="00391FC9" w:rsidP="002D1B45">
            <w:pPr>
              <w:jc w:val="center"/>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54.00 </w:t>
            </w:r>
          </w:p>
        </w:tc>
      </w:tr>
      <w:tr w:rsidR="00391FC9" w:rsidRPr="00760296" w14:paraId="0655D34B" w14:textId="77777777" w:rsidTr="00391FC9">
        <w:trPr>
          <w:trHeight w:val="300"/>
        </w:trPr>
        <w:tc>
          <w:tcPr>
            <w:tcW w:w="4065" w:type="pct"/>
            <w:tcBorders>
              <w:top w:val="nil"/>
              <w:left w:val="single" w:sz="4" w:space="0" w:color="auto"/>
              <w:bottom w:val="nil"/>
              <w:right w:val="single" w:sz="4" w:space="0" w:color="auto"/>
            </w:tcBorders>
            <w:shd w:val="clear" w:color="000000" w:fill="FFF2CC"/>
            <w:noWrap/>
            <w:vAlign w:val="bottom"/>
            <w:hideMark/>
          </w:tcPr>
          <w:p w14:paraId="609C384C"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Average Annual Profit </w:t>
            </w:r>
          </w:p>
        </w:tc>
        <w:tc>
          <w:tcPr>
            <w:tcW w:w="935" w:type="pct"/>
            <w:gridSpan w:val="2"/>
            <w:tcBorders>
              <w:top w:val="single" w:sz="4" w:space="0" w:color="auto"/>
              <w:left w:val="nil"/>
              <w:bottom w:val="nil"/>
              <w:right w:val="single" w:sz="4" w:space="0" w:color="000000"/>
            </w:tcBorders>
            <w:shd w:val="clear" w:color="000000" w:fill="FFF2CC"/>
            <w:noWrap/>
            <w:vAlign w:val="bottom"/>
            <w:hideMark/>
          </w:tcPr>
          <w:p w14:paraId="6428A52E" w14:textId="77777777" w:rsidR="00391FC9" w:rsidRPr="00760296" w:rsidRDefault="00391FC9" w:rsidP="002D1B45">
            <w:pPr>
              <w:jc w:val="center"/>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10.80 </w:t>
            </w:r>
          </w:p>
        </w:tc>
      </w:tr>
      <w:tr w:rsidR="00391FC9" w:rsidRPr="00760296" w14:paraId="59684213" w14:textId="77777777" w:rsidTr="00391FC9">
        <w:trPr>
          <w:trHeight w:val="300"/>
        </w:trPr>
        <w:tc>
          <w:tcPr>
            <w:tcW w:w="4065" w:type="pct"/>
            <w:tcBorders>
              <w:top w:val="single" w:sz="8" w:space="0" w:color="auto"/>
              <w:left w:val="single" w:sz="8" w:space="0" w:color="auto"/>
              <w:bottom w:val="single" w:sz="4" w:space="0" w:color="auto"/>
              <w:right w:val="single" w:sz="4" w:space="0" w:color="auto"/>
            </w:tcBorders>
            <w:shd w:val="clear" w:color="000000" w:fill="FFD966"/>
            <w:noWrap/>
            <w:vAlign w:val="bottom"/>
            <w:hideMark/>
          </w:tcPr>
          <w:p w14:paraId="2597A835"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Payback Period</w:t>
            </w:r>
          </w:p>
        </w:tc>
        <w:tc>
          <w:tcPr>
            <w:tcW w:w="935" w:type="pct"/>
            <w:gridSpan w:val="2"/>
            <w:tcBorders>
              <w:top w:val="single" w:sz="8" w:space="0" w:color="auto"/>
              <w:left w:val="nil"/>
              <w:bottom w:val="single" w:sz="4" w:space="0" w:color="auto"/>
              <w:right w:val="single" w:sz="8" w:space="0" w:color="000000"/>
            </w:tcBorders>
            <w:shd w:val="clear" w:color="000000" w:fill="FFD966"/>
            <w:noWrap/>
            <w:vAlign w:val="bottom"/>
            <w:hideMark/>
          </w:tcPr>
          <w:p w14:paraId="461CC96D"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4</w:t>
            </w:r>
          </w:p>
        </w:tc>
      </w:tr>
      <w:tr w:rsidR="00391FC9" w:rsidRPr="00760296" w14:paraId="4EBEC6B1" w14:textId="77777777" w:rsidTr="00391FC9">
        <w:trPr>
          <w:trHeight w:val="288"/>
        </w:trPr>
        <w:tc>
          <w:tcPr>
            <w:tcW w:w="4065" w:type="pct"/>
            <w:tcBorders>
              <w:top w:val="nil"/>
              <w:left w:val="single" w:sz="8" w:space="0" w:color="auto"/>
              <w:bottom w:val="single" w:sz="4" w:space="0" w:color="auto"/>
              <w:right w:val="single" w:sz="4" w:space="0" w:color="auto"/>
            </w:tcBorders>
            <w:shd w:val="clear" w:color="000000" w:fill="FFD966"/>
            <w:noWrap/>
            <w:vAlign w:val="bottom"/>
            <w:hideMark/>
          </w:tcPr>
          <w:p w14:paraId="0FBBA6D3"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ARR</w:t>
            </w:r>
          </w:p>
        </w:tc>
        <w:tc>
          <w:tcPr>
            <w:tcW w:w="935" w:type="pct"/>
            <w:gridSpan w:val="2"/>
            <w:tcBorders>
              <w:top w:val="single" w:sz="4" w:space="0" w:color="auto"/>
              <w:left w:val="nil"/>
              <w:bottom w:val="single" w:sz="4" w:space="0" w:color="auto"/>
              <w:right w:val="single" w:sz="8" w:space="0" w:color="000000"/>
            </w:tcBorders>
            <w:shd w:val="clear" w:color="000000" w:fill="FFD966"/>
            <w:noWrap/>
            <w:vAlign w:val="bottom"/>
            <w:hideMark/>
          </w:tcPr>
          <w:p w14:paraId="2CFBB0EA"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-27%</w:t>
            </w:r>
          </w:p>
        </w:tc>
      </w:tr>
      <w:tr w:rsidR="00391FC9" w:rsidRPr="00760296" w14:paraId="108BC34C" w14:textId="77777777" w:rsidTr="00391FC9">
        <w:trPr>
          <w:trHeight w:val="288"/>
        </w:trPr>
        <w:tc>
          <w:tcPr>
            <w:tcW w:w="4065" w:type="pct"/>
            <w:tcBorders>
              <w:top w:val="nil"/>
              <w:left w:val="single" w:sz="8" w:space="0" w:color="auto"/>
              <w:bottom w:val="single" w:sz="4" w:space="0" w:color="auto"/>
              <w:right w:val="single" w:sz="4" w:space="0" w:color="auto"/>
            </w:tcBorders>
            <w:shd w:val="clear" w:color="000000" w:fill="FFD966"/>
            <w:noWrap/>
            <w:vAlign w:val="bottom"/>
            <w:hideMark/>
          </w:tcPr>
          <w:p w14:paraId="07D94B4C"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NPV</w:t>
            </w:r>
          </w:p>
        </w:tc>
        <w:tc>
          <w:tcPr>
            <w:tcW w:w="935" w:type="pct"/>
            <w:gridSpan w:val="2"/>
            <w:tcBorders>
              <w:top w:val="single" w:sz="4" w:space="0" w:color="auto"/>
              <w:left w:val="nil"/>
              <w:bottom w:val="single" w:sz="4" w:space="0" w:color="auto"/>
              <w:right w:val="single" w:sz="8" w:space="0" w:color="000000"/>
            </w:tcBorders>
            <w:shd w:val="clear" w:color="000000" w:fill="FFD966"/>
            <w:noWrap/>
            <w:vAlign w:val="bottom"/>
            <w:hideMark/>
          </w:tcPr>
          <w:p w14:paraId="362A51AA"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 xml:space="preserve"> £                                                                                  1.32 </w:t>
            </w:r>
          </w:p>
        </w:tc>
      </w:tr>
      <w:tr w:rsidR="00391FC9" w:rsidRPr="00760296" w14:paraId="3835CDE4" w14:textId="77777777" w:rsidTr="00391FC9">
        <w:trPr>
          <w:trHeight w:val="288"/>
        </w:trPr>
        <w:tc>
          <w:tcPr>
            <w:tcW w:w="4065" w:type="pct"/>
            <w:tcBorders>
              <w:top w:val="nil"/>
              <w:left w:val="single" w:sz="8" w:space="0" w:color="auto"/>
              <w:bottom w:val="single" w:sz="4" w:space="0" w:color="auto"/>
              <w:right w:val="single" w:sz="4" w:space="0" w:color="auto"/>
            </w:tcBorders>
            <w:shd w:val="clear" w:color="000000" w:fill="FFD966"/>
            <w:noWrap/>
            <w:vAlign w:val="bottom"/>
            <w:hideMark/>
          </w:tcPr>
          <w:p w14:paraId="5CCFFA99"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 xml:space="preserve">Profitability Index (PI) </w:t>
            </w:r>
          </w:p>
        </w:tc>
        <w:tc>
          <w:tcPr>
            <w:tcW w:w="935" w:type="pct"/>
            <w:gridSpan w:val="2"/>
            <w:tcBorders>
              <w:top w:val="single" w:sz="4" w:space="0" w:color="auto"/>
              <w:left w:val="nil"/>
              <w:bottom w:val="single" w:sz="4" w:space="0" w:color="auto"/>
              <w:right w:val="single" w:sz="8" w:space="0" w:color="000000"/>
            </w:tcBorders>
            <w:shd w:val="clear" w:color="000000" w:fill="FFD966"/>
            <w:noWrap/>
            <w:vAlign w:val="bottom"/>
            <w:hideMark/>
          </w:tcPr>
          <w:p w14:paraId="31CD9E11"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 xml:space="preserve"> £                                                                                  0.97 </w:t>
            </w:r>
          </w:p>
        </w:tc>
      </w:tr>
      <w:tr w:rsidR="00391FC9" w:rsidRPr="00760296" w14:paraId="205D2CC1" w14:textId="77777777" w:rsidTr="00391FC9">
        <w:trPr>
          <w:trHeight w:val="300"/>
        </w:trPr>
        <w:tc>
          <w:tcPr>
            <w:tcW w:w="4065" w:type="pct"/>
            <w:tcBorders>
              <w:top w:val="nil"/>
              <w:left w:val="single" w:sz="8" w:space="0" w:color="auto"/>
              <w:bottom w:val="single" w:sz="8" w:space="0" w:color="auto"/>
              <w:right w:val="single" w:sz="4" w:space="0" w:color="auto"/>
            </w:tcBorders>
            <w:shd w:val="clear" w:color="000000" w:fill="FFD966"/>
            <w:noWrap/>
            <w:vAlign w:val="bottom"/>
            <w:hideMark/>
          </w:tcPr>
          <w:p w14:paraId="032863E5"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 xml:space="preserve">IRR </w:t>
            </w:r>
          </w:p>
        </w:tc>
        <w:tc>
          <w:tcPr>
            <w:tcW w:w="935" w:type="pct"/>
            <w:gridSpan w:val="2"/>
            <w:tcBorders>
              <w:top w:val="single" w:sz="4" w:space="0" w:color="auto"/>
              <w:left w:val="nil"/>
              <w:bottom w:val="single" w:sz="8" w:space="0" w:color="auto"/>
              <w:right w:val="single" w:sz="8" w:space="0" w:color="000000"/>
            </w:tcBorders>
            <w:shd w:val="clear" w:color="000000" w:fill="FFD966"/>
            <w:noWrap/>
            <w:vAlign w:val="bottom"/>
            <w:hideMark/>
          </w:tcPr>
          <w:p w14:paraId="3F8D0748"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11%</w:t>
            </w:r>
          </w:p>
        </w:tc>
      </w:tr>
      <w:tr w:rsidR="00391FC9" w:rsidRPr="00760296" w14:paraId="7F5B370F" w14:textId="77777777" w:rsidTr="00391FC9">
        <w:trPr>
          <w:trHeight w:val="288"/>
        </w:trPr>
        <w:tc>
          <w:tcPr>
            <w:tcW w:w="4065" w:type="pct"/>
            <w:tcBorders>
              <w:top w:val="nil"/>
              <w:left w:val="nil"/>
              <w:bottom w:val="nil"/>
              <w:right w:val="nil"/>
            </w:tcBorders>
            <w:shd w:val="clear" w:color="auto" w:fill="auto"/>
            <w:noWrap/>
            <w:vAlign w:val="bottom"/>
            <w:hideMark/>
          </w:tcPr>
          <w:p w14:paraId="318A9931" w14:textId="77777777" w:rsidR="00391FC9" w:rsidRPr="00760296" w:rsidRDefault="00391FC9" w:rsidP="002D1B45">
            <w:pPr>
              <w:jc w:val="right"/>
              <w:rPr>
                <w:rFonts w:asciiTheme="minorBidi" w:hAnsiTheme="minorBidi" w:cstheme="minorBidi"/>
                <w:b/>
                <w:bCs/>
                <w:color w:val="000000"/>
                <w:sz w:val="22"/>
                <w:szCs w:val="22"/>
                <w:lang w:val="en-IN"/>
              </w:rPr>
            </w:pPr>
          </w:p>
        </w:tc>
        <w:tc>
          <w:tcPr>
            <w:tcW w:w="352" w:type="pct"/>
            <w:tcBorders>
              <w:top w:val="nil"/>
              <w:left w:val="nil"/>
              <w:bottom w:val="nil"/>
              <w:right w:val="nil"/>
            </w:tcBorders>
            <w:shd w:val="clear" w:color="auto" w:fill="auto"/>
            <w:noWrap/>
            <w:vAlign w:val="bottom"/>
            <w:hideMark/>
          </w:tcPr>
          <w:p w14:paraId="2D23C5AB" w14:textId="77777777" w:rsidR="00391FC9" w:rsidRPr="00760296" w:rsidRDefault="00391FC9" w:rsidP="002D1B45">
            <w:pPr>
              <w:jc w:val="left"/>
              <w:rPr>
                <w:rFonts w:asciiTheme="minorBidi" w:hAnsiTheme="minorBidi" w:cstheme="minorBidi"/>
                <w:sz w:val="20"/>
                <w:szCs w:val="20"/>
                <w:lang w:val="en-IN"/>
              </w:rPr>
            </w:pPr>
          </w:p>
        </w:tc>
        <w:tc>
          <w:tcPr>
            <w:tcW w:w="584" w:type="pct"/>
            <w:tcBorders>
              <w:top w:val="nil"/>
              <w:left w:val="nil"/>
              <w:bottom w:val="nil"/>
              <w:right w:val="nil"/>
            </w:tcBorders>
            <w:shd w:val="clear" w:color="auto" w:fill="auto"/>
            <w:noWrap/>
            <w:vAlign w:val="bottom"/>
            <w:hideMark/>
          </w:tcPr>
          <w:p w14:paraId="5062F4EE" w14:textId="77777777" w:rsidR="00391FC9" w:rsidRPr="00760296" w:rsidRDefault="00391FC9" w:rsidP="002D1B45">
            <w:pPr>
              <w:jc w:val="left"/>
              <w:rPr>
                <w:rFonts w:asciiTheme="minorBidi" w:hAnsiTheme="minorBidi" w:cstheme="minorBidi"/>
                <w:sz w:val="20"/>
                <w:szCs w:val="20"/>
                <w:lang w:val="en-IN"/>
              </w:rPr>
            </w:pPr>
          </w:p>
        </w:tc>
      </w:tr>
      <w:tr w:rsidR="00391FC9" w:rsidRPr="00760296" w14:paraId="0FCA86DF" w14:textId="77777777" w:rsidTr="00391FC9">
        <w:trPr>
          <w:trHeight w:val="312"/>
        </w:trPr>
        <w:tc>
          <w:tcPr>
            <w:tcW w:w="5000" w:type="pct"/>
            <w:gridSpan w:val="3"/>
            <w:tcBorders>
              <w:top w:val="single" w:sz="4" w:space="0" w:color="auto"/>
              <w:left w:val="single" w:sz="4" w:space="0" w:color="auto"/>
              <w:bottom w:val="single" w:sz="4" w:space="0" w:color="auto"/>
              <w:right w:val="single" w:sz="4" w:space="0" w:color="auto"/>
            </w:tcBorders>
            <w:shd w:val="clear" w:color="000000" w:fill="B4C6E7"/>
            <w:noWrap/>
            <w:vAlign w:val="bottom"/>
            <w:hideMark/>
          </w:tcPr>
          <w:p w14:paraId="695C2A2A" w14:textId="77777777" w:rsidR="00391FC9" w:rsidRPr="00760296" w:rsidRDefault="00391FC9" w:rsidP="002D1B45">
            <w:pPr>
              <w:jc w:val="center"/>
              <w:rPr>
                <w:rFonts w:asciiTheme="minorBidi" w:hAnsiTheme="minorBidi" w:cstheme="minorBidi"/>
                <w:b/>
                <w:bCs/>
                <w:color w:val="000000"/>
                <w:lang w:val="en-IN"/>
              </w:rPr>
            </w:pPr>
            <w:r w:rsidRPr="00760296">
              <w:rPr>
                <w:rFonts w:asciiTheme="minorBidi" w:hAnsiTheme="minorBidi" w:cstheme="minorBidi"/>
                <w:b/>
                <w:bCs/>
                <w:color w:val="000000"/>
                <w:lang w:val="en-IN"/>
              </w:rPr>
              <w:t xml:space="preserve">Project B - Investment </w:t>
            </w:r>
            <w:proofErr w:type="spellStart"/>
            <w:r w:rsidRPr="00760296">
              <w:rPr>
                <w:rFonts w:asciiTheme="minorBidi" w:hAnsiTheme="minorBidi" w:cstheme="minorBidi"/>
                <w:b/>
                <w:bCs/>
                <w:color w:val="000000"/>
                <w:lang w:val="en-IN"/>
              </w:rPr>
              <w:t>Appeaisals</w:t>
            </w:r>
            <w:proofErr w:type="spellEnd"/>
          </w:p>
        </w:tc>
      </w:tr>
      <w:tr w:rsidR="00391FC9" w:rsidRPr="00760296" w14:paraId="36123D90"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B4C6E7"/>
            <w:noWrap/>
            <w:vAlign w:val="bottom"/>
            <w:hideMark/>
          </w:tcPr>
          <w:p w14:paraId="67A4C4EB"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lastRenderedPageBreak/>
              <w:t xml:space="preserve">Year </w:t>
            </w:r>
          </w:p>
        </w:tc>
        <w:tc>
          <w:tcPr>
            <w:tcW w:w="352" w:type="pct"/>
            <w:tcBorders>
              <w:top w:val="nil"/>
              <w:left w:val="nil"/>
              <w:bottom w:val="single" w:sz="4" w:space="0" w:color="auto"/>
              <w:right w:val="single" w:sz="4" w:space="0" w:color="auto"/>
            </w:tcBorders>
            <w:shd w:val="clear" w:color="000000" w:fill="B4C6E7"/>
            <w:noWrap/>
            <w:vAlign w:val="bottom"/>
            <w:hideMark/>
          </w:tcPr>
          <w:p w14:paraId="37235625"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 xml:space="preserve">Cash Flow </w:t>
            </w:r>
          </w:p>
        </w:tc>
        <w:tc>
          <w:tcPr>
            <w:tcW w:w="584" w:type="pct"/>
            <w:tcBorders>
              <w:top w:val="nil"/>
              <w:left w:val="nil"/>
              <w:bottom w:val="single" w:sz="4" w:space="0" w:color="auto"/>
              <w:right w:val="single" w:sz="4" w:space="0" w:color="auto"/>
            </w:tcBorders>
            <w:shd w:val="clear" w:color="000000" w:fill="B4C6E7"/>
            <w:noWrap/>
            <w:vAlign w:val="bottom"/>
            <w:hideMark/>
          </w:tcPr>
          <w:p w14:paraId="61AC9D0F" w14:textId="77777777" w:rsidR="00391FC9" w:rsidRPr="00760296" w:rsidRDefault="00391FC9" w:rsidP="002D1B45">
            <w:pPr>
              <w:jc w:val="left"/>
              <w:rPr>
                <w:rFonts w:asciiTheme="minorBidi" w:hAnsiTheme="minorBidi" w:cstheme="minorBidi"/>
                <w:b/>
                <w:bCs/>
                <w:color w:val="000000"/>
                <w:sz w:val="22"/>
                <w:szCs w:val="22"/>
                <w:lang w:val="en-IN"/>
              </w:rPr>
            </w:pPr>
            <w:proofErr w:type="spellStart"/>
            <w:r w:rsidRPr="00760296">
              <w:rPr>
                <w:rFonts w:asciiTheme="minorBidi" w:hAnsiTheme="minorBidi" w:cstheme="minorBidi"/>
                <w:b/>
                <w:bCs/>
                <w:color w:val="000000"/>
                <w:sz w:val="22"/>
                <w:szCs w:val="22"/>
                <w:lang w:val="en-IN"/>
              </w:rPr>
              <w:t>Cumilative</w:t>
            </w:r>
            <w:proofErr w:type="spellEnd"/>
            <w:r w:rsidRPr="00760296">
              <w:rPr>
                <w:rFonts w:asciiTheme="minorBidi" w:hAnsiTheme="minorBidi" w:cstheme="minorBidi"/>
                <w:b/>
                <w:bCs/>
                <w:color w:val="000000"/>
                <w:sz w:val="22"/>
                <w:szCs w:val="22"/>
                <w:lang w:val="en-IN"/>
              </w:rPr>
              <w:t xml:space="preserve"> </w:t>
            </w:r>
            <w:proofErr w:type="spellStart"/>
            <w:r w:rsidRPr="00760296">
              <w:rPr>
                <w:rFonts w:asciiTheme="minorBidi" w:hAnsiTheme="minorBidi" w:cstheme="minorBidi"/>
                <w:b/>
                <w:bCs/>
                <w:color w:val="000000"/>
                <w:sz w:val="22"/>
                <w:szCs w:val="22"/>
                <w:lang w:val="en-IN"/>
              </w:rPr>
              <w:t>CashFlow</w:t>
            </w:r>
            <w:proofErr w:type="spellEnd"/>
          </w:p>
        </w:tc>
      </w:tr>
      <w:tr w:rsidR="00391FC9" w:rsidRPr="00760296" w14:paraId="5BE32D4C"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D9E1F2"/>
            <w:noWrap/>
            <w:vAlign w:val="bottom"/>
            <w:hideMark/>
          </w:tcPr>
          <w:p w14:paraId="74D0937A"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0</w:t>
            </w:r>
          </w:p>
        </w:tc>
        <w:tc>
          <w:tcPr>
            <w:tcW w:w="352" w:type="pct"/>
            <w:tcBorders>
              <w:top w:val="nil"/>
              <w:left w:val="nil"/>
              <w:bottom w:val="single" w:sz="4" w:space="0" w:color="auto"/>
              <w:right w:val="single" w:sz="4" w:space="0" w:color="auto"/>
            </w:tcBorders>
            <w:shd w:val="clear" w:color="000000" w:fill="D9E1F2"/>
            <w:noWrap/>
            <w:vAlign w:val="bottom"/>
            <w:hideMark/>
          </w:tcPr>
          <w:p w14:paraId="00B6AB2E"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30.00 </w:t>
            </w:r>
          </w:p>
        </w:tc>
        <w:tc>
          <w:tcPr>
            <w:tcW w:w="584" w:type="pct"/>
            <w:tcBorders>
              <w:top w:val="nil"/>
              <w:left w:val="nil"/>
              <w:bottom w:val="single" w:sz="4" w:space="0" w:color="auto"/>
              <w:right w:val="single" w:sz="4" w:space="0" w:color="auto"/>
            </w:tcBorders>
            <w:shd w:val="clear" w:color="000000" w:fill="D9E1F2"/>
            <w:noWrap/>
            <w:vAlign w:val="bottom"/>
            <w:hideMark/>
          </w:tcPr>
          <w:p w14:paraId="7AD1C0ED"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30.00 </w:t>
            </w:r>
          </w:p>
        </w:tc>
      </w:tr>
      <w:tr w:rsidR="00391FC9" w:rsidRPr="00760296" w14:paraId="06800596"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D9E1F2"/>
            <w:noWrap/>
            <w:vAlign w:val="bottom"/>
            <w:hideMark/>
          </w:tcPr>
          <w:p w14:paraId="354DA2E3"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w:t>
            </w:r>
          </w:p>
        </w:tc>
        <w:tc>
          <w:tcPr>
            <w:tcW w:w="352" w:type="pct"/>
            <w:tcBorders>
              <w:top w:val="nil"/>
              <w:left w:val="nil"/>
              <w:bottom w:val="single" w:sz="4" w:space="0" w:color="auto"/>
              <w:right w:val="single" w:sz="4" w:space="0" w:color="auto"/>
            </w:tcBorders>
            <w:shd w:val="clear" w:color="000000" w:fill="D9E1F2"/>
            <w:noWrap/>
            <w:vAlign w:val="bottom"/>
            <w:hideMark/>
          </w:tcPr>
          <w:p w14:paraId="7E6EB5FA"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6.00 </w:t>
            </w:r>
          </w:p>
        </w:tc>
        <w:tc>
          <w:tcPr>
            <w:tcW w:w="584" w:type="pct"/>
            <w:tcBorders>
              <w:top w:val="nil"/>
              <w:left w:val="nil"/>
              <w:bottom w:val="single" w:sz="4" w:space="0" w:color="auto"/>
              <w:right w:val="single" w:sz="4" w:space="0" w:color="auto"/>
            </w:tcBorders>
            <w:shd w:val="clear" w:color="000000" w:fill="D9E1F2"/>
            <w:noWrap/>
            <w:vAlign w:val="bottom"/>
            <w:hideMark/>
          </w:tcPr>
          <w:p w14:paraId="78483E04"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24.00 </w:t>
            </w:r>
          </w:p>
        </w:tc>
      </w:tr>
      <w:tr w:rsidR="00391FC9" w:rsidRPr="00760296" w14:paraId="05580A64"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D9E1F2"/>
            <w:noWrap/>
            <w:vAlign w:val="bottom"/>
            <w:hideMark/>
          </w:tcPr>
          <w:p w14:paraId="7862EEC8"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2</w:t>
            </w:r>
          </w:p>
        </w:tc>
        <w:tc>
          <w:tcPr>
            <w:tcW w:w="352" w:type="pct"/>
            <w:tcBorders>
              <w:top w:val="nil"/>
              <w:left w:val="nil"/>
              <w:bottom w:val="single" w:sz="4" w:space="0" w:color="auto"/>
              <w:right w:val="single" w:sz="4" w:space="0" w:color="auto"/>
            </w:tcBorders>
            <w:shd w:val="clear" w:color="000000" w:fill="D9E1F2"/>
            <w:noWrap/>
            <w:vAlign w:val="bottom"/>
            <w:hideMark/>
          </w:tcPr>
          <w:p w14:paraId="066F5DB4"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6.00 </w:t>
            </w:r>
          </w:p>
        </w:tc>
        <w:tc>
          <w:tcPr>
            <w:tcW w:w="584" w:type="pct"/>
            <w:tcBorders>
              <w:top w:val="nil"/>
              <w:left w:val="nil"/>
              <w:bottom w:val="single" w:sz="4" w:space="0" w:color="auto"/>
              <w:right w:val="single" w:sz="4" w:space="0" w:color="auto"/>
            </w:tcBorders>
            <w:shd w:val="clear" w:color="000000" w:fill="D9E1F2"/>
            <w:noWrap/>
            <w:vAlign w:val="bottom"/>
            <w:hideMark/>
          </w:tcPr>
          <w:p w14:paraId="796A7D5B"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18.00 </w:t>
            </w:r>
          </w:p>
        </w:tc>
      </w:tr>
      <w:tr w:rsidR="00391FC9" w:rsidRPr="00760296" w14:paraId="3CE8DE94"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D9E1F2"/>
            <w:noWrap/>
            <w:vAlign w:val="bottom"/>
            <w:hideMark/>
          </w:tcPr>
          <w:p w14:paraId="1D935B66"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3</w:t>
            </w:r>
          </w:p>
        </w:tc>
        <w:tc>
          <w:tcPr>
            <w:tcW w:w="352" w:type="pct"/>
            <w:tcBorders>
              <w:top w:val="nil"/>
              <w:left w:val="nil"/>
              <w:bottom w:val="single" w:sz="4" w:space="0" w:color="auto"/>
              <w:right w:val="single" w:sz="4" w:space="0" w:color="auto"/>
            </w:tcBorders>
            <w:shd w:val="clear" w:color="000000" w:fill="D9E1F2"/>
            <w:noWrap/>
            <w:vAlign w:val="bottom"/>
            <w:hideMark/>
          </w:tcPr>
          <w:p w14:paraId="39260CF4"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6.00 </w:t>
            </w:r>
          </w:p>
        </w:tc>
        <w:tc>
          <w:tcPr>
            <w:tcW w:w="584" w:type="pct"/>
            <w:tcBorders>
              <w:top w:val="nil"/>
              <w:left w:val="nil"/>
              <w:bottom w:val="single" w:sz="4" w:space="0" w:color="auto"/>
              <w:right w:val="single" w:sz="4" w:space="0" w:color="auto"/>
            </w:tcBorders>
            <w:shd w:val="clear" w:color="000000" w:fill="D9E1F2"/>
            <w:noWrap/>
            <w:vAlign w:val="bottom"/>
            <w:hideMark/>
          </w:tcPr>
          <w:p w14:paraId="03CBCFA0"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12.00 </w:t>
            </w:r>
          </w:p>
        </w:tc>
      </w:tr>
      <w:tr w:rsidR="00391FC9" w:rsidRPr="00760296" w14:paraId="2A1AEB77"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D9E1F2"/>
            <w:noWrap/>
            <w:vAlign w:val="bottom"/>
            <w:hideMark/>
          </w:tcPr>
          <w:p w14:paraId="4CAFA91C"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4</w:t>
            </w:r>
          </w:p>
        </w:tc>
        <w:tc>
          <w:tcPr>
            <w:tcW w:w="352" w:type="pct"/>
            <w:tcBorders>
              <w:top w:val="nil"/>
              <w:left w:val="nil"/>
              <w:bottom w:val="single" w:sz="4" w:space="0" w:color="auto"/>
              <w:right w:val="single" w:sz="4" w:space="0" w:color="auto"/>
            </w:tcBorders>
            <w:shd w:val="clear" w:color="000000" w:fill="D9E1F2"/>
            <w:noWrap/>
            <w:vAlign w:val="bottom"/>
            <w:hideMark/>
          </w:tcPr>
          <w:p w14:paraId="09F76CBE"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6.00 </w:t>
            </w:r>
          </w:p>
        </w:tc>
        <w:tc>
          <w:tcPr>
            <w:tcW w:w="584" w:type="pct"/>
            <w:tcBorders>
              <w:top w:val="nil"/>
              <w:left w:val="nil"/>
              <w:bottom w:val="single" w:sz="4" w:space="0" w:color="auto"/>
              <w:right w:val="single" w:sz="4" w:space="0" w:color="auto"/>
            </w:tcBorders>
            <w:shd w:val="clear" w:color="000000" w:fill="D9E1F2"/>
            <w:noWrap/>
            <w:vAlign w:val="bottom"/>
            <w:hideMark/>
          </w:tcPr>
          <w:p w14:paraId="74137921"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6.00 </w:t>
            </w:r>
          </w:p>
        </w:tc>
      </w:tr>
      <w:tr w:rsidR="00391FC9" w:rsidRPr="00760296" w14:paraId="63BFB8BC"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D9E1F2"/>
            <w:noWrap/>
            <w:vAlign w:val="bottom"/>
            <w:hideMark/>
          </w:tcPr>
          <w:p w14:paraId="65C7ED19"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5</w:t>
            </w:r>
          </w:p>
        </w:tc>
        <w:tc>
          <w:tcPr>
            <w:tcW w:w="352" w:type="pct"/>
            <w:tcBorders>
              <w:top w:val="nil"/>
              <w:left w:val="nil"/>
              <w:bottom w:val="single" w:sz="4" w:space="0" w:color="auto"/>
              <w:right w:val="single" w:sz="4" w:space="0" w:color="auto"/>
            </w:tcBorders>
            <w:shd w:val="clear" w:color="000000" w:fill="D9E1F2"/>
            <w:noWrap/>
            <w:vAlign w:val="bottom"/>
            <w:hideMark/>
          </w:tcPr>
          <w:p w14:paraId="41DFD31D"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6.00 </w:t>
            </w:r>
          </w:p>
        </w:tc>
        <w:tc>
          <w:tcPr>
            <w:tcW w:w="584" w:type="pct"/>
            <w:tcBorders>
              <w:top w:val="nil"/>
              <w:left w:val="nil"/>
              <w:bottom w:val="single" w:sz="4" w:space="0" w:color="auto"/>
              <w:right w:val="single" w:sz="4" w:space="0" w:color="auto"/>
            </w:tcBorders>
            <w:shd w:val="clear" w:color="000000" w:fill="D9E1F2"/>
            <w:noWrap/>
            <w:vAlign w:val="bottom"/>
            <w:hideMark/>
          </w:tcPr>
          <w:p w14:paraId="42B2E31D"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   </w:t>
            </w:r>
          </w:p>
        </w:tc>
      </w:tr>
      <w:tr w:rsidR="00391FC9" w:rsidRPr="00760296" w14:paraId="437AC40B"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D9E1F2"/>
            <w:noWrap/>
            <w:vAlign w:val="bottom"/>
            <w:hideMark/>
          </w:tcPr>
          <w:p w14:paraId="4D1EDF09"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Total Cash Flow </w:t>
            </w:r>
          </w:p>
        </w:tc>
        <w:tc>
          <w:tcPr>
            <w:tcW w:w="935" w:type="pct"/>
            <w:gridSpan w:val="2"/>
            <w:tcBorders>
              <w:top w:val="single" w:sz="4" w:space="0" w:color="auto"/>
              <w:left w:val="nil"/>
              <w:bottom w:val="single" w:sz="4" w:space="0" w:color="auto"/>
              <w:right w:val="single" w:sz="4" w:space="0" w:color="000000"/>
            </w:tcBorders>
            <w:shd w:val="clear" w:color="000000" w:fill="D9E1F2"/>
            <w:noWrap/>
            <w:vAlign w:val="bottom"/>
            <w:hideMark/>
          </w:tcPr>
          <w:p w14:paraId="345F34D6" w14:textId="77777777" w:rsidR="00391FC9" w:rsidRPr="00760296" w:rsidRDefault="00391FC9" w:rsidP="002D1B45">
            <w:pPr>
              <w:jc w:val="center"/>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30.00 </w:t>
            </w:r>
          </w:p>
        </w:tc>
      </w:tr>
      <w:tr w:rsidR="00391FC9" w:rsidRPr="00760296" w14:paraId="31A67249" w14:textId="77777777" w:rsidTr="00391FC9">
        <w:trPr>
          <w:trHeight w:val="300"/>
        </w:trPr>
        <w:tc>
          <w:tcPr>
            <w:tcW w:w="4065" w:type="pct"/>
            <w:tcBorders>
              <w:top w:val="nil"/>
              <w:left w:val="single" w:sz="4" w:space="0" w:color="auto"/>
              <w:bottom w:val="nil"/>
              <w:right w:val="single" w:sz="4" w:space="0" w:color="auto"/>
            </w:tcBorders>
            <w:shd w:val="clear" w:color="000000" w:fill="D9E1F2"/>
            <w:noWrap/>
            <w:vAlign w:val="bottom"/>
            <w:hideMark/>
          </w:tcPr>
          <w:p w14:paraId="57BFACB7"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Average Annual Profit </w:t>
            </w:r>
          </w:p>
        </w:tc>
        <w:tc>
          <w:tcPr>
            <w:tcW w:w="935" w:type="pct"/>
            <w:gridSpan w:val="2"/>
            <w:tcBorders>
              <w:top w:val="single" w:sz="4" w:space="0" w:color="auto"/>
              <w:left w:val="nil"/>
              <w:bottom w:val="nil"/>
              <w:right w:val="single" w:sz="4" w:space="0" w:color="000000"/>
            </w:tcBorders>
            <w:shd w:val="clear" w:color="000000" w:fill="D9E1F2"/>
            <w:noWrap/>
            <w:vAlign w:val="bottom"/>
            <w:hideMark/>
          </w:tcPr>
          <w:p w14:paraId="6F51D6B3" w14:textId="77777777" w:rsidR="00391FC9" w:rsidRPr="00760296" w:rsidRDefault="00391FC9" w:rsidP="002D1B45">
            <w:pPr>
              <w:jc w:val="center"/>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6.00 </w:t>
            </w:r>
          </w:p>
        </w:tc>
      </w:tr>
      <w:tr w:rsidR="00391FC9" w:rsidRPr="00760296" w14:paraId="71F499CA" w14:textId="77777777" w:rsidTr="00391FC9">
        <w:trPr>
          <w:trHeight w:val="288"/>
        </w:trPr>
        <w:tc>
          <w:tcPr>
            <w:tcW w:w="4065" w:type="pct"/>
            <w:tcBorders>
              <w:top w:val="single" w:sz="8" w:space="0" w:color="auto"/>
              <w:left w:val="single" w:sz="8" w:space="0" w:color="auto"/>
              <w:bottom w:val="single" w:sz="4" w:space="0" w:color="auto"/>
              <w:right w:val="single" w:sz="4" w:space="0" w:color="auto"/>
            </w:tcBorders>
            <w:shd w:val="clear" w:color="000000" w:fill="B4C6E7"/>
            <w:noWrap/>
            <w:vAlign w:val="bottom"/>
            <w:hideMark/>
          </w:tcPr>
          <w:p w14:paraId="597B2BAA"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Payback Period</w:t>
            </w:r>
          </w:p>
        </w:tc>
        <w:tc>
          <w:tcPr>
            <w:tcW w:w="935" w:type="pct"/>
            <w:gridSpan w:val="2"/>
            <w:tcBorders>
              <w:top w:val="single" w:sz="8" w:space="0" w:color="auto"/>
              <w:left w:val="nil"/>
              <w:bottom w:val="single" w:sz="4" w:space="0" w:color="auto"/>
              <w:right w:val="single" w:sz="8" w:space="0" w:color="000000"/>
            </w:tcBorders>
            <w:shd w:val="clear" w:color="000000" w:fill="B4C6E7"/>
            <w:noWrap/>
            <w:vAlign w:val="bottom"/>
            <w:hideMark/>
          </w:tcPr>
          <w:p w14:paraId="65470E18"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6</w:t>
            </w:r>
          </w:p>
        </w:tc>
      </w:tr>
      <w:tr w:rsidR="00391FC9" w:rsidRPr="00760296" w14:paraId="5310AD07" w14:textId="77777777" w:rsidTr="00391FC9">
        <w:trPr>
          <w:trHeight w:val="288"/>
        </w:trPr>
        <w:tc>
          <w:tcPr>
            <w:tcW w:w="4065" w:type="pct"/>
            <w:tcBorders>
              <w:top w:val="nil"/>
              <w:left w:val="single" w:sz="8" w:space="0" w:color="auto"/>
              <w:bottom w:val="single" w:sz="4" w:space="0" w:color="auto"/>
              <w:right w:val="single" w:sz="4" w:space="0" w:color="auto"/>
            </w:tcBorders>
            <w:shd w:val="clear" w:color="000000" w:fill="B4C6E7"/>
            <w:noWrap/>
            <w:vAlign w:val="bottom"/>
            <w:hideMark/>
          </w:tcPr>
          <w:p w14:paraId="4FBCC9E0"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ARR</w:t>
            </w:r>
          </w:p>
        </w:tc>
        <w:tc>
          <w:tcPr>
            <w:tcW w:w="935" w:type="pct"/>
            <w:gridSpan w:val="2"/>
            <w:tcBorders>
              <w:top w:val="single" w:sz="4" w:space="0" w:color="auto"/>
              <w:left w:val="nil"/>
              <w:bottom w:val="single" w:sz="4" w:space="0" w:color="auto"/>
              <w:right w:val="single" w:sz="8" w:space="0" w:color="000000"/>
            </w:tcBorders>
            <w:shd w:val="clear" w:color="000000" w:fill="B4C6E7"/>
            <w:noWrap/>
            <w:vAlign w:val="bottom"/>
            <w:hideMark/>
          </w:tcPr>
          <w:p w14:paraId="18997B02"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-20%</w:t>
            </w:r>
          </w:p>
        </w:tc>
      </w:tr>
      <w:tr w:rsidR="00391FC9" w:rsidRPr="00760296" w14:paraId="769831BC" w14:textId="77777777" w:rsidTr="00391FC9">
        <w:trPr>
          <w:trHeight w:val="288"/>
        </w:trPr>
        <w:tc>
          <w:tcPr>
            <w:tcW w:w="4065" w:type="pct"/>
            <w:tcBorders>
              <w:top w:val="nil"/>
              <w:left w:val="single" w:sz="8" w:space="0" w:color="auto"/>
              <w:bottom w:val="single" w:sz="4" w:space="0" w:color="auto"/>
              <w:right w:val="single" w:sz="4" w:space="0" w:color="auto"/>
            </w:tcBorders>
            <w:shd w:val="clear" w:color="000000" w:fill="B4C6E7"/>
            <w:noWrap/>
            <w:vAlign w:val="bottom"/>
            <w:hideMark/>
          </w:tcPr>
          <w:p w14:paraId="41CAD350"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NPV</w:t>
            </w:r>
          </w:p>
        </w:tc>
        <w:tc>
          <w:tcPr>
            <w:tcW w:w="935" w:type="pct"/>
            <w:gridSpan w:val="2"/>
            <w:tcBorders>
              <w:top w:val="single" w:sz="4" w:space="0" w:color="auto"/>
              <w:left w:val="nil"/>
              <w:bottom w:val="single" w:sz="4" w:space="0" w:color="auto"/>
              <w:right w:val="single" w:sz="8" w:space="0" w:color="000000"/>
            </w:tcBorders>
            <w:shd w:val="clear" w:color="000000" w:fill="B4C6E7"/>
            <w:noWrap/>
            <w:vAlign w:val="bottom"/>
            <w:hideMark/>
          </w:tcPr>
          <w:p w14:paraId="1D1981E0"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 xml:space="preserve">-£                                                                                 7.26 </w:t>
            </w:r>
          </w:p>
        </w:tc>
      </w:tr>
      <w:tr w:rsidR="00391FC9" w:rsidRPr="00760296" w14:paraId="5B7E5F96" w14:textId="77777777" w:rsidTr="00391FC9">
        <w:trPr>
          <w:trHeight w:val="288"/>
        </w:trPr>
        <w:tc>
          <w:tcPr>
            <w:tcW w:w="4065" w:type="pct"/>
            <w:tcBorders>
              <w:top w:val="nil"/>
              <w:left w:val="single" w:sz="8" w:space="0" w:color="auto"/>
              <w:bottom w:val="single" w:sz="4" w:space="0" w:color="auto"/>
              <w:right w:val="single" w:sz="4" w:space="0" w:color="auto"/>
            </w:tcBorders>
            <w:shd w:val="clear" w:color="000000" w:fill="B4C6E7"/>
            <w:noWrap/>
            <w:vAlign w:val="bottom"/>
            <w:hideMark/>
          </w:tcPr>
          <w:p w14:paraId="47B8DE73"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 xml:space="preserve">Profitability Index (PI) </w:t>
            </w:r>
          </w:p>
        </w:tc>
        <w:tc>
          <w:tcPr>
            <w:tcW w:w="935" w:type="pct"/>
            <w:gridSpan w:val="2"/>
            <w:tcBorders>
              <w:top w:val="single" w:sz="4" w:space="0" w:color="auto"/>
              <w:left w:val="nil"/>
              <w:bottom w:val="single" w:sz="4" w:space="0" w:color="auto"/>
              <w:right w:val="single" w:sz="8" w:space="0" w:color="000000"/>
            </w:tcBorders>
            <w:shd w:val="clear" w:color="000000" w:fill="B4C6E7"/>
            <w:noWrap/>
            <w:vAlign w:val="bottom"/>
            <w:hideMark/>
          </w:tcPr>
          <w:p w14:paraId="1A3AC403"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 xml:space="preserve"> £                                                                                  1.24 </w:t>
            </w:r>
          </w:p>
        </w:tc>
      </w:tr>
      <w:tr w:rsidR="00391FC9" w:rsidRPr="00760296" w14:paraId="24E24605" w14:textId="77777777" w:rsidTr="00391FC9">
        <w:trPr>
          <w:trHeight w:val="300"/>
        </w:trPr>
        <w:tc>
          <w:tcPr>
            <w:tcW w:w="4065" w:type="pct"/>
            <w:tcBorders>
              <w:top w:val="nil"/>
              <w:left w:val="single" w:sz="8" w:space="0" w:color="auto"/>
              <w:bottom w:val="single" w:sz="8" w:space="0" w:color="auto"/>
              <w:right w:val="single" w:sz="4" w:space="0" w:color="auto"/>
            </w:tcBorders>
            <w:shd w:val="clear" w:color="000000" w:fill="B4C6E7"/>
            <w:noWrap/>
            <w:vAlign w:val="bottom"/>
            <w:hideMark/>
          </w:tcPr>
          <w:p w14:paraId="1A25D5AF"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 xml:space="preserve">IRR </w:t>
            </w:r>
          </w:p>
        </w:tc>
        <w:tc>
          <w:tcPr>
            <w:tcW w:w="935" w:type="pct"/>
            <w:gridSpan w:val="2"/>
            <w:tcBorders>
              <w:top w:val="single" w:sz="4" w:space="0" w:color="auto"/>
              <w:left w:val="nil"/>
              <w:bottom w:val="single" w:sz="8" w:space="0" w:color="auto"/>
              <w:right w:val="single" w:sz="8" w:space="0" w:color="000000"/>
            </w:tcBorders>
            <w:shd w:val="clear" w:color="000000" w:fill="B4C6E7"/>
            <w:noWrap/>
            <w:vAlign w:val="bottom"/>
            <w:hideMark/>
          </w:tcPr>
          <w:p w14:paraId="38836C66"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0%</w:t>
            </w:r>
          </w:p>
        </w:tc>
      </w:tr>
      <w:tr w:rsidR="00391FC9" w:rsidRPr="00760296" w14:paraId="7FDA9C25" w14:textId="77777777" w:rsidTr="00391FC9">
        <w:trPr>
          <w:trHeight w:val="288"/>
        </w:trPr>
        <w:tc>
          <w:tcPr>
            <w:tcW w:w="4065" w:type="pct"/>
            <w:tcBorders>
              <w:top w:val="nil"/>
              <w:left w:val="nil"/>
              <w:bottom w:val="nil"/>
              <w:right w:val="nil"/>
            </w:tcBorders>
            <w:shd w:val="clear" w:color="auto" w:fill="auto"/>
            <w:noWrap/>
            <w:vAlign w:val="bottom"/>
            <w:hideMark/>
          </w:tcPr>
          <w:p w14:paraId="17A4F3CD" w14:textId="77777777" w:rsidR="00391FC9" w:rsidRPr="00760296" w:rsidRDefault="00391FC9" w:rsidP="002D1B45">
            <w:pPr>
              <w:jc w:val="right"/>
              <w:rPr>
                <w:rFonts w:asciiTheme="minorBidi" w:hAnsiTheme="minorBidi" w:cstheme="minorBidi"/>
                <w:b/>
                <w:bCs/>
                <w:color w:val="000000"/>
                <w:sz w:val="22"/>
                <w:szCs w:val="22"/>
                <w:lang w:val="en-IN"/>
              </w:rPr>
            </w:pPr>
          </w:p>
        </w:tc>
        <w:tc>
          <w:tcPr>
            <w:tcW w:w="352" w:type="pct"/>
            <w:tcBorders>
              <w:top w:val="nil"/>
              <w:left w:val="nil"/>
              <w:bottom w:val="nil"/>
              <w:right w:val="nil"/>
            </w:tcBorders>
            <w:shd w:val="clear" w:color="auto" w:fill="auto"/>
            <w:noWrap/>
            <w:vAlign w:val="bottom"/>
            <w:hideMark/>
          </w:tcPr>
          <w:p w14:paraId="2E29CBFA" w14:textId="77777777" w:rsidR="00391FC9" w:rsidRPr="00760296" w:rsidRDefault="00391FC9" w:rsidP="002D1B45">
            <w:pPr>
              <w:jc w:val="left"/>
              <w:rPr>
                <w:rFonts w:asciiTheme="minorBidi" w:hAnsiTheme="minorBidi" w:cstheme="minorBidi"/>
                <w:sz w:val="20"/>
                <w:szCs w:val="20"/>
                <w:lang w:val="en-IN"/>
              </w:rPr>
            </w:pPr>
          </w:p>
        </w:tc>
        <w:tc>
          <w:tcPr>
            <w:tcW w:w="584" w:type="pct"/>
            <w:tcBorders>
              <w:top w:val="nil"/>
              <w:left w:val="nil"/>
              <w:bottom w:val="nil"/>
              <w:right w:val="nil"/>
            </w:tcBorders>
            <w:shd w:val="clear" w:color="auto" w:fill="auto"/>
            <w:noWrap/>
            <w:vAlign w:val="bottom"/>
            <w:hideMark/>
          </w:tcPr>
          <w:p w14:paraId="1482FAC2" w14:textId="77777777" w:rsidR="00391FC9" w:rsidRPr="00760296" w:rsidRDefault="00391FC9" w:rsidP="002D1B45">
            <w:pPr>
              <w:jc w:val="left"/>
              <w:rPr>
                <w:rFonts w:asciiTheme="minorBidi" w:hAnsiTheme="minorBidi" w:cstheme="minorBidi"/>
                <w:sz w:val="20"/>
                <w:szCs w:val="20"/>
                <w:lang w:val="en-IN"/>
              </w:rPr>
            </w:pPr>
          </w:p>
        </w:tc>
      </w:tr>
      <w:tr w:rsidR="00391FC9" w:rsidRPr="00760296" w14:paraId="5D18297A" w14:textId="77777777" w:rsidTr="00391FC9">
        <w:trPr>
          <w:trHeight w:val="312"/>
        </w:trPr>
        <w:tc>
          <w:tcPr>
            <w:tcW w:w="5000" w:type="pct"/>
            <w:gridSpan w:val="3"/>
            <w:tcBorders>
              <w:top w:val="single" w:sz="4" w:space="0" w:color="auto"/>
              <w:left w:val="single" w:sz="4" w:space="0" w:color="auto"/>
              <w:bottom w:val="single" w:sz="4" w:space="0" w:color="auto"/>
              <w:right w:val="single" w:sz="4" w:space="0" w:color="auto"/>
            </w:tcBorders>
            <w:shd w:val="clear" w:color="000000" w:fill="C6E0B4"/>
            <w:noWrap/>
            <w:vAlign w:val="bottom"/>
            <w:hideMark/>
          </w:tcPr>
          <w:p w14:paraId="00A53613" w14:textId="77777777" w:rsidR="00391FC9" w:rsidRPr="00760296" w:rsidRDefault="00391FC9" w:rsidP="002D1B45">
            <w:pPr>
              <w:jc w:val="center"/>
              <w:rPr>
                <w:rFonts w:asciiTheme="minorBidi" w:hAnsiTheme="minorBidi" w:cstheme="minorBidi"/>
                <w:b/>
                <w:bCs/>
                <w:color w:val="000000"/>
                <w:lang w:val="en-IN"/>
              </w:rPr>
            </w:pPr>
            <w:r w:rsidRPr="00760296">
              <w:rPr>
                <w:rFonts w:asciiTheme="minorBidi" w:hAnsiTheme="minorBidi" w:cstheme="minorBidi"/>
                <w:b/>
                <w:bCs/>
                <w:color w:val="000000"/>
                <w:lang w:val="en-IN"/>
              </w:rPr>
              <w:t xml:space="preserve">Project C - Investment </w:t>
            </w:r>
            <w:proofErr w:type="spellStart"/>
            <w:r w:rsidRPr="00760296">
              <w:rPr>
                <w:rFonts w:asciiTheme="minorBidi" w:hAnsiTheme="minorBidi" w:cstheme="minorBidi"/>
                <w:b/>
                <w:bCs/>
                <w:color w:val="000000"/>
                <w:lang w:val="en-IN"/>
              </w:rPr>
              <w:t>Appeaisals</w:t>
            </w:r>
            <w:proofErr w:type="spellEnd"/>
          </w:p>
        </w:tc>
      </w:tr>
      <w:tr w:rsidR="00391FC9" w:rsidRPr="00760296" w14:paraId="074736BD"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C6E0B4"/>
            <w:noWrap/>
            <w:vAlign w:val="bottom"/>
            <w:hideMark/>
          </w:tcPr>
          <w:p w14:paraId="02FC1E78"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 xml:space="preserve">Year </w:t>
            </w:r>
          </w:p>
        </w:tc>
        <w:tc>
          <w:tcPr>
            <w:tcW w:w="352" w:type="pct"/>
            <w:tcBorders>
              <w:top w:val="nil"/>
              <w:left w:val="nil"/>
              <w:bottom w:val="single" w:sz="4" w:space="0" w:color="auto"/>
              <w:right w:val="single" w:sz="4" w:space="0" w:color="auto"/>
            </w:tcBorders>
            <w:shd w:val="clear" w:color="000000" w:fill="C6E0B4"/>
            <w:noWrap/>
            <w:vAlign w:val="bottom"/>
            <w:hideMark/>
          </w:tcPr>
          <w:p w14:paraId="1D2984D0"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 xml:space="preserve">Cash Flow </w:t>
            </w:r>
          </w:p>
        </w:tc>
        <w:tc>
          <w:tcPr>
            <w:tcW w:w="584" w:type="pct"/>
            <w:tcBorders>
              <w:top w:val="nil"/>
              <w:left w:val="nil"/>
              <w:bottom w:val="single" w:sz="4" w:space="0" w:color="auto"/>
              <w:right w:val="single" w:sz="4" w:space="0" w:color="auto"/>
            </w:tcBorders>
            <w:shd w:val="clear" w:color="000000" w:fill="C6E0B4"/>
            <w:noWrap/>
            <w:vAlign w:val="bottom"/>
            <w:hideMark/>
          </w:tcPr>
          <w:p w14:paraId="5CD8E147" w14:textId="77777777" w:rsidR="00391FC9" w:rsidRPr="00760296" w:rsidRDefault="00391FC9" w:rsidP="002D1B45">
            <w:pPr>
              <w:jc w:val="left"/>
              <w:rPr>
                <w:rFonts w:asciiTheme="minorBidi" w:hAnsiTheme="minorBidi" w:cstheme="minorBidi"/>
                <w:b/>
                <w:bCs/>
                <w:color w:val="000000"/>
                <w:sz w:val="22"/>
                <w:szCs w:val="22"/>
                <w:lang w:val="en-IN"/>
              </w:rPr>
            </w:pPr>
            <w:proofErr w:type="spellStart"/>
            <w:r w:rsidRPr="00760296">
              <w:rPr>
                <w:rFonts w:asciiTheme="minorBidi" w:hAnsiTheme="minorBidi" w:cstheme="minorBidi"/>
                <w:b/>
                <w:bCs/>
                <w:color w:val="000000"/>
                <w:sz w:val="22"/>
                <w:szCs w:val="22"/>
                <w:lang w:val="en-IN"/>
              </w:rPr>
              <w:t>Cumilative</w:t>
            </w:r>
            <w:proofErr w:type="spellEnd"/>
            <w:r w:rsidRPr="00760296">
              <w:rPr>
                <w:rFonts w:asciiTheme="minorBidi" w:hAnsiTheme="minorBidi" w:cstheme="minorBidi"/>
                <w:b/>
                <w:bCs/>
                <w:color w:val="000000"/>
                <w:sz w:val="22"/>
                <w:szCs w:val="22"/>
                <w:lang w:val="en-IN"/>
              </w:rPr>
              <w:t xml:space="preserve"> </w:t>
            </w:r>
            <w:proofErr w:type="spellStart"/>
            <w:r w:rsidRPr="00760296">
              <w:rPr>
                <w:rFonts w:asciiTheme="minorBidi" w:hAnsiTheme="minorBidi" w:cstheme="minorBidi"/>
                <w:b/>
                <w:bCs/>
                <w:color w:val="000000"/>
                <w:sz w:val="22"/>
                <w:szCs w:val="22"/>
                <w:lang w:val="en-IN"/>
              </w:rPr>
              <w:t>CashFlow</w:t>
            </w:r>
            <w:proofErr w:type="spellEnd"/>
          </w:p>
        </w:tc>
      </w:tr>
      <w:tr w:rsidR="00391FC9" w:rsidRPr="00760296" w14:paraId="36A69BC5"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E2EFDA"/>
            <w:noWrap/>
            <w:vAlign w:val="bottom"/>
            <w:hideMark/>
          </w:tcPr>
          <w:p w14:paraId="520BB13F"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0</w:t>
            </w:r>
          </w:p>
        </w:tc>
        <w:tc>
          <w:tcPr>
            <w:tcW w:w="352" w:type="pct"/>
            <w:tcBorders>
              <w:top w:val="nil"/>
              <w:left w:val="nil"/>
              <w:bottom w:val="single" w:sz="4" w:space="0" w:color="auto"/>
              <w:right w:val="single" w:sz="4" w:space="0" w:color="auto"/>
            </w:tcBorders>
            <w:shd w:val="clear" w:color="000000" w:fill="E2EFDA"/>
            <w:noWrap/>
            <w:vAlign w:val="bottom"/>
            <w:hideMark/>
          </w:tcPr>
          <w:p w14:paraId="259BADC2"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50.00 </w:t>
            </w:r>
          </w:p>
        </w:tc>
        <w:tc>
          <w:tcPr>
            <w:tcW w:w="584" w:type="pct"/>
            <w:tcBorders>
              <w:top w:val="nil"/>
              <w:left w:val="nil"/>
              <w:bottom w:val="single" w:sz="4" w:space="0" w:color="auto"/>
              <w:right w:val="single" w:sz="4" w:space="0" w:color="auto"/>
            </w:tcBorders>
            <w:shd w:val="clear" w:color="000000" w:fill="E2EFDA"/>
            <w:noWrap/>
            <w:vAlign w:val="bottom"/>
            <w:hideMark/>
          </w:tcPr>
          <w:p w14:paraId="6065A638"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50.00 </w:t>
            </w:r>
          </w:p>
        </w:tc>
      </w:tr>
      <w:tr w:rsidR="00391FC9" w:rsidRPr="00760296" w14:paraId="28C2A6D2"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E2EFDA"/>
            <w:noWrap/>
            <w:vAlign w:val="bottom"/>
            <w:hideMark/>
          </w:tcPr>
          <w:p w14:paraId="30B29DD9"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1</w:t>
            </w:r>
          </w:p>
        </w:tc>
        <w:tc>
          <w:tcPr>
            <w:tcW w:w="352" w:type="pct"/>
            <w:tcBorders>
              <w:top w:val="nil"/>
              <w:left w:val="nil"/>
              <w:bottom w:val="single" w:sz="4" w:space="0" w:color="auto"/>
              <w:right w:val="single" w:sz="4" w:space="0" w:color="auto"/>
            </w:tcBorders>
            <w:shd w:val="clear" w:color="000000" w:fill="E2EFDA"/>
            <w:noWrap/>
            <w:vAlign w:val="bottom"/>
            <w:hideMark/>
          </w:tcPr>
          <w:p w14:paraId="4F5E5A09"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5.00 </w:t>
            </w:r>
          </w:p>
        </w:tc>
        <w:tc>
          <w:tcPr>
            <w:tcW w:w="584" w:type="pct"/>
            <w:tcBorders>
              <w:top w:val="nil"/>
              <w:left w:val="nil"/>
              <w:bottom w:val="single" w:sz="4" w:space="0" w:color="auto"/>
              <w:right w:val="single" w:sz="4" w:space="0" w:color="auto"/>
            </w:tcBorders>
            <w:shd w:val="clear" w:color="000000" w:fill="E2EFDA"/>
            <w:noWrap/>
            <w:vAlign w:val="bottom"/>
            <w:hideMark/>
          </w:tcPr>
          <w:p w14:paraId="71B0DAB1"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45.00 </w:t>
            </w:r>
          </w:p>
        </w:tc>
      </w:tr>
      <w:tr w:rsidR="00391FC9" w:rsidRPr="00760296" w14:paraId="0F2E9C23"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E2EFDA"/>
            <w:noWrap/>
            <w:vAlign w:val="bottom"/>
            <w:hideMark/>
          </w:tcPr>
          <w:p w14:paraId="4E869D21"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2</w:t>
            </w:r>
          </w:p>
        </w:tc>
        <w:tc>
          <w:tcPr>
            <w:tcW w:w="352" w:type="pct"/>
            <w:tcBorders>
              <w:top w:val="nil"/>
              <w:left w:val="nil"/>
              <w:bottom w:val="single" w:sz="4" w:space="0" w:color="auto"/>
              <w:right w:val="single" w:sz="4" w:space="0" w:color="auto"/>
            </w:tcBorders>
            <w:shd w:val="clear" w:color="000000" w:fill="E2EFDA"/>
            <w:noWrap/>
            <w:vAlign w:val="bottom"/>
            <w:hideMark/>
          </w:tcPr>
          <w:p w14:paraId="1D46E8D6"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10.00 </w:t>
            </w:r>
          </w:p>
        </w:tc>
        <w:tc>
          <w:tcPr>
            <w:tcW w:w="584" w:type="pct"/>
            <w:tcBorders>
              <w:top w:val="nil"/>
              <w:left w:val="nil"/>
              <w:bottom w:val="single" w:sz="4" w:space="0" w:color="auto"/>
              <w:right w:val="single" w:sz="4" w:space="0" w:color="auto"/>
            </w:tcBorders>
            <w:shd w:val="clear" w:color="000000" w:fill="E2EFDA"/>
            <w:noWrap/>
            <w:vAlign w:val="bottom"/>
            <w:hideMark/>
          </w:tcPr>
          <w:p w14:paraId="445F1828"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35.00 </w:t>
            </w:r>
          </w:p>
        </w:tc>
      </w:tr>
      <w:tr w:rsidR="00391FC9" w:rsidRPr="00760296" w14:paraId="75727A30"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E2EFDA"/>
            <w:noWrap/>
            <w:vAlign w:val="bottom"/>
            <w:hideMark/>
          </w:tcPr>
          <w:p w14:paraId="0A28A9E2"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3</w:t>
            </w:r>
          </w:p>
        </w:tc>
        <w:tc>
          <w:tcPr>
            <w:tcW w:w="352" w:type="pct"/>
            <w:tcBorders>
              <w:top w:val="nil"/>
              <w:left w:val="nil"/>
              <w:bottom w:val="single" w:sz="4" w:space="0" w:color="auto"/>
              <w:right w:val="single" w:sz="4" w:space="0" w:color="auto"/>
            </w:tcBorders>
            <w:shd w:val="clear" w:color="000000" w:fill="E2EFDA"/>
            <w:noWrap/>
            <w:vAlign w:val="bottom"/>
            <w:hideMark/>
          </w:tcPr>
          <w:p w14:paraId="5509FB4C"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20.00 </w:t>
            </w:r>
          </w:p>
        </w:tc>
        <w:tc>
          <w:tcPr>
            <w:tcW w:w="584" w:type="pct"/>
            <w:tcBorders>
              <w:top w:val="nil"/>
              <w:left w:val="nil"/>
              <w:bottom w:val="single" w:sz="4" w:space="0" w:color="auto"/>
              <w:right w:val="single" w:sz="4" w:space="0" w:color="auto"/>
            </w:tcBorders>
            <w:shd w:val="clear" w:color="000000" w:fill="E2EFDA"/>
            <w:noWrap/>
            <w:vAlign w:val="bottom"/>
            <w:hideMark/>
          </w:tcPr>
          <w:p w14:paraId="7AFA7549"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15.00 </w:t>
            </w:r>
          </w:p>
        </w:tc>
      </w:tr>
      <w:tr w:rsidR="00391FC9" w:rsidRPr="00760296" w14:paraId="556A1052"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E2EFDA"/>
            <w:noWrap/>
            <w:vAlign w:val="bottom"/>
            <w:hideMark/>
          </w:tcPr>
          <w:p w14:paraId="43C66944"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4</w:t>
            </w:r>
          </w:p>
        </w:tc>
        <w:tc>
          <w:tcPr>
            <w:tcW w:w="352" w:type="pct"/>
            <w:tcBorders>
              <w:top w:val="nil"/>
              <w:left w:val="nil"/>
              <w:bottom w:val="single" w:sz="4" w:space="0" w:color="auto"/>
              <w:right w:val="single" w:sz="4" w:space="0" w:color="auto"/>
            </w:tcBorders>
            <w:shd w:val="clear" w:color="000000" w:fill="E2EFDA"/>
            <w:noWrap/>
            <w:vAlign w:val="bottom"/>
            <w:hideMark/>
          </w:tcPr>
          <w:p w14:paraId="2DC129D9"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25.00 </w:t>
            </w:r>
          </w:p>
        </w:tc>
        <w:tc>
          <w:tcPr>
            <w:tcW w:w="584" w:type="pct"/>
            <w:tcBorders>
              <w:top w:val="nil"/>
              <w:left w:val="nil"/>
              <w:bottom w:val="single" w:sz="4" w:space="0" w:color="auto"/>
              <w:right w:val="single" w:sz="4" w:space="0" w:color="auto"/>
            </w:tcBorders>
            <w:shd w:val="clear" w:color="000000" w:fill="E2EFDA"/>
            <w:noWrap/>
            <w:vAlign w:val="bottom"/>
            <w:hideMark/>
          </w:tcPr>
          <w:p w14:paraId="666F42FF"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10.00 </w:t>
            </w:r>
          </w:p>
        </w:tc>
      </w:tr>
      <w:tr w:rsidR="00391FC9" w:rsidRPr="00760296" w14:paraId="075F913C"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E2EFDA"/>
            <w:noWrap/>
            <w:vAlign w:val="bottom"/>
            <w:hideMark/>
          </w:tcPr>
          <w:p w14:paraId="6100F1E7" w14:textId="77777777" w:rsidR="00391FC9" w:rsidRPr="00760296" w:rsidRDefault="00391FC9" w:rsidP="002D1B45">
            <w:pPr>
              <w:jc w:val="righ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5</w:t>
            </w:r>
          </w:p>
        </w:tc>
        <w:tc>
          <w:tcPr>
            <w:tcW w:w="352" w:type="pct"/>
            <w:tcBorders>
              <w:top w:val="nil"/>
              <w:left w:val="nil"/>
              <w:bottom w:val="single" w:sz="4" w:space="0" w:color="auto"/>
              <w:right w:val="single" w:sz="4" w:space="0" w:color="auto"/>
            </w:tcBorders>
            <w:shd w:val="clear" w:color="000000" w:fill="E2EFDA"/>
            <w:noWrap/>
            <w:vAlign w:val="bottom"/>
            <w:hideMark/>
          </w:tcPr>
          <w:p w14:paraId="7C4D1C22"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15.00 </w:t>
            </w:r>
          </w:p>
        </w:tc>
        <w:tc>
          <w:tcPr>
            <w:tcW w:w="584" w:type="pct"/>
            <w:tcBorders>
              <w:top w:val="nil"/>
              <w:left w:val="nil"/>
              <w:bottom w:val="single" w:sz="4" w:space="0" w:color="auto"/>
              <w:right w:val="single" w:sz="4" w:space="0" w:color="auto"/>
            </w:tcBorders>
            <w:shd w:val="clear" w:color="000000" w:fill="E2EFDA"/>
            <w:noWrap/>
            <w:vAlign w:val="bottom"/>
            <w:hideMark/>
          </w:tcPr>
          <w:p w14:paraId="353D2FCD"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25.00 </w:t>
            </w:r>
          </w:p>
        </w:tc>
      </w:tr>
      <w:tr w:rsidR="00391FC9" w:rsidRPr="00760296" w14:paraId="413DFFE5" w14:textId="77777777" w:rsidTr="00391FC9">
        <w:trPr>
          <w:trHeight w:val="288"/>
        </w:trPr>
        <w:tc>
          <w:tcPr>
            <w:tcW w:w="4065" w:type="pct"/>
            <w:tcBorders>
              <w:top w:val="nil"/>
              <w:left w:val="single" w:sz="4" w:space="0" w:color="auto"/>
              <w:bottom w:val="single" w:sz="4" w:space="0" w:color="auto"/>
              <w:right w:val="single" w:sz="4" w:space="0" w:color="auto"/>
            </w:tcBorders>
            <w:shd w:val="clear" w:color="000000" w:fill="E2EFDA"/>
            <w:noWrap/>
            <w:vAlign w:val="bottom"/>
            <w:hideMark/>
          </w:tcPr>
          <w:p w14:paraId="78536264"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Total Cash Flow </w:t>
            </w:r>
          </w:p>
        </w:tc>
        <w:tc>
          <w:tcPr>
            <w:tcW w:w="935" w:type="pct"/>
            <w:gridSpan w:val="2"/>
            <w:tcBorders>
              <w:top w:val="single" w:sz="4" w:space="0" w:color="auto"/>
              <w:left w:val="nil"/>
              <w:bottom w:val="single" w:sz="4" w:space="0" w:color="auto"/>
              <w:right w:val="single" w:sz="4" w:space="0" w:color="000000"/>
            </w:tcBorders>
            <w:shd w:val="clear" w:color="000000" w:fill="E2EFDA"/>
            <w:noWrap/>
            <w:vAlign w:val="bottom"/>
            <w:hideMark/>
          </w:tcPr>
          <w:p w14:paraId="31F28DFD" w14:textId="77777777" w:rsidR="00391FC9" w:rsidRPr="00760296" w:rsidRDefault="00391FC9" w:rsidP="002D1B45">
            <w:pPr>
              <w:jc w:val="center"/>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75.00 </w:t>
            </w:r>
          </w:p>
        </w:tc>
      </w:tr>
      <w:tr w:rsidR="00391FC9" w:rsidRPr="00760296" w14:paraId="669E53DE" w14:textId="77777777" w:rsidTr="00391FC9">
        <w:trPr>
          <w:trHeight w:val="300"/>
        </w:trPr>
        <w:tc>
          <w:tcPr>
            <w:tcW w:w="4065" w:type="pct"/>
            <w:tcBorders>
              <w:top w:val="nil"/>
              <w:left w:val="single" w:sz="4" w:space="0" w:color="auto"/>
              <w:bottom w:val="nil"/>
              <w:right w:val="single" w:sz="4" w:space="0" w:color="auto"/>
            </w:tcBorders>
            <w:shd w:val="clear" w:color="000000" w:fill="E2EFDA"/>
            <w:noWrap/>
            <w:vAlign w:val="bottom"/>
            <w:hideMark/>
          </w:tcPr>
          <w:p w14:paraId="028EDDFF" w14:textId="77777777" w:rsidR="00391FC9" w:rsidRPr="00760296" w:rsidRDefault="00391FC9" w:rsidP="002D1B45">
            <w:pPr>
              <w:jc w:val="left"/>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Average Annual Profit </w:t>
            </w:r>
          </w:p>
        </w:tc>
        <w:tc>
          <w:tcPr>
            <w:tcW w:w="935" w:type="pct"/>
            <w:gridSpan w:val="2"/>
            <w:tcBorders>
              <w:top w:val="single" w:sz="4" w:space="0" w:color="auto"/>
              <w:left w:val="nil"/>
              <w:bottom w:val="nil"/>
              <w:right w:val="single" w:sz="4" w:space="0" w:color="000000"/>
            </w:tcBorders>
            <w:shd w:val="clear" w:color="000000" w:fill="E2EFDA"/>
            <w:noWrap/>
            <w:vAlign w:val="bottom"/>
            <w:hideMark/>
          </w:tcPr>
          <w:p w14:paraId="3DE71F08" w14:textId="77777777" w:rsidR="00391FC9" w:rsidRPr="00760296" w:rsidRDefault="00391FC9" w:rsidP="002D1B45">
            <w:pPr>
              <w:jc w:val="center"/>
              <w:rPr>
                <w:rFonts w:asciiTheme="minorBidi" w:hAnsiTheme="minorBidi" w:cstheme="minorBidi"/>
                <w:color w:val="000000"/>
                <w:sz w:val="22"/>
                <w:szCs w:val="22"/>
                <w:lang w:val="en-IN"/>
              </w:rPr>
            </w:pPr>
            <w:r w:rsidRPr="00760296">
              <w:rPr>
                <w:rFonts w:asciiTheme="minorBidi" w:hAnsiTheme="minorBidi" w:cstheme="minorBidi"/>
                <w:color w:val="000000"/>
                <w:sz w:val="22"/>
                <w:szCs w:val="22"/>
                <w:lang w:val="en-IN"/>
              </w:rPr>
              <w:t xml:space="preserve"> £                                                                                15.00 </w:t>
            </w:r>
          </w:p>
        </w:tc>
      </w:tr>
      <w:tr w:rsidR="00391FC9" w:rsidRPr="00760296" w14:paraId="27D539EB" w14:textId="77777777" w:rsidTr="00391FC9">
        <w:trPr>
          <w:trHeight w:val="288"/>
        </w:trPr>
        <w:tc>
          <w:tcPr>
            <w:tcW w:w="4065" w:type="pct"/>
            <w:tcBorders>
              <w:top w:val="single" w:sz="8" w:space="0" w:color="auto"/>
              <w:left w:val="single" w:sz="8" w:space="0" w:color="auto"/>
              <w:bottom w:val="single" w:sz="4" w:space="0" w:color="auto"/>
              <w:right w:val="single" w:sz="4" w:space="0" w:color="auto"/>
            </w:tcBorders>
            <w:shd w:val="clear" w:color="000000" w:fill="C6E0B4"/>
            <w:noWrap/>
            <w:vAlign w:val="bottom"/>
            <w:hideMark/>
          </w:tcPr>
          <w:p w14:paraId="630453F2"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Payback Period</w:t>
            </w:r>
          </w:p>
        </w:tc>
        <w:tc>
          <w:tcPr>
            <w:tcW w:w="935" w:type="pct"/>
            <w:gridSpan w:val="2"/>
            <w:tcBorders>
              <w:top w:val="single" w:sz="8" w:space="0" w:color="auto"/>
              <w:left w:val="nil"/>
              <w:bottom w:val="single" w:sz="4" w:space="0" w:color="auto"/>
              <w:right w:val="single" w:sz="8" w:space="0" w:color="000000"/>
            </w:tcBorders>
            <w:shd w:val="clear" w:color="000000" w:fill="C6E0B4"/>
            <w:noWrap/>
            <w:vAlign w:val="bottom"/>
            <w:hideMark/>
          </w:tcPr>
          <w:p w14:paraId="3815651F"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4</w:t>
            </w:r>
          </w:p>
        </w:tc>
      </w:tr>
      <w:tr w:rsidR="00391FC9" w:rsidRPr="00760296" w14:paraId="386686AC" w14:textId="77777777" w:rsidTr="00391FC9">
        <w:trPr>
          <w:trHeight w:val="288"/>
        </w:trPr>
        <w:tc>
          <w:tcPr>
            <w:tcW w:w="4065" w:type="pct"/>
            <w:tcBorders>
              <w:top w:val="nil"/>
              <w:left w:val="single" w:sz="8" w:space="0" w:color="auto"/>
              <w:bottom w:val="single" w:sz="4" w:space="0" w:color="auto"/>
              <w:right w:val="single" w:sz="4" w:space="0" w:color="auto"/>
            </w:tcBorders>
            <w:shd w:val="clear" w:color="000000" w:fill="C6E0B4"/>
            <w:noWrap/>
            <w:vAlign w:val="bottom"/>
            <w:hideMark/>
          </w:tcPr>
          <w:p w14:paraId="3A1BB62D"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ARR</w:t>
            </w:r>
          </w:p>
        </w:tc>
        <w:tc>
          <w:tcPr>
            <w:tcW w:w="935" w:type="pct"/>
            <w:gridSpan w:val="2"/>
            <w:tcBorders>
              <w:top w:val="single" w:sz="4" w:space="0" w:color="auto"/>
              <w:left w:val="nil"/>
              <w:bottom w:val="single" w:sz="4" w:space="0" w:color="auto"/>
              <w:right w:val="single" w:sz="8" w:space="0" w:color="000000"/>
            </w:tcBorders>
            <w:shd w:val="clear" w:color="000000" w:fill="C6E0B4"/>
            <w:noWrap/>
            <w:vAlign w:val="bottom"/>
            <w:hideMark/>
          </w:tcPr>
          <w:p w14:paraId="5428B2F7"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-30%</w:t>
            </w:r>
          </w:p>
        </w:tc>
      </w:tr>
      <w:tr w:rsidR="00391FC9" w:rsidRPr="00760296" w14:paraId="77DA2F04" w14:textId="77777777" w:rsidTr="00391FC9">
        <w:trPr>
          <w:trHeight w:val="288"/>
        </w:trPr>
        <w:tc>
          <w:tcPr>
            <w:tcW w:w="4065" w:type="pct"/>
            <w:tcBorders>
              <w:top w:val="nil"/>
              <w:left w:val="single" w:sz="8" w:space="0" w:color="auto"/>
              <w:bottom w:val="single" w:sz="4" w:space="0" w:color="auto"/>
              <w:right w:val="single" w:sz="4" w:space="0" w:color="auto"/>
            </w:tcBorders>
            <w:shd w:val="clear" w:color="000000" w:fill="C6E0B4"/>
            <w:noWrap/>
            <w:vAlign w:val="bottom"/>
            <w:hideMark/>
          </w:tcPr>
          <w:p w14:paraId="50493F43"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NPV</w:t>
            </w:r>
          </w:p>
        </w:tc>
        <w:tc>
          <w:tcPr>
            <w:tcW w:w="935" w:type="pct"/>
            <w:gridSpan w:val="2"/>
            <w:tcBorders>
              <w:top w:val="single" w:sz="4" w:space="0" w:color="auto"/>
              <w:left w:val="nil"/>
              <w:bottom w:val="single" w:sz="4" w:space="0" w:color="auto"/>
              <w:right w:val="single" w:sz="8" w:space="0" w:color="000000"/>
            </w:tcBorders>
            <w:shd w:val="clear" w:color="000000" w:fill="C6E0B4"/>
            <w:noWrap/>
            <w:vAlign w:val="bottom"/>
            <w:hideMark/>
          </w:tcPr>
          <w:p w14:paraId="250CD1D2"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 xml:space="preserve"> £                                                                                  4.23 </w:t>
            </w:r>
          </w:p>
        </w:tc>
      </w:tr>
      <w:tr w:rsidR="00391FC9" w:rsidRPr="00760296" w14:paraId="7DE0C384" w14:textId="77777777" w:rsidTr="00391FC9">
        <w:trPr>
          <w:trHeight w:val="288"/>
        </w:trPr>
        <w:tc>
          <w:tcPr>
            <w:tcW w:w="4065" w:type="pct"/>
            <w:tcBorders>
              <w:top w:val="nil"/>
              <w:left w:val="single" w:sz="8" w:space="0" w:color="auto"/>
              <w:bottom w:val="single" w:sz="4" w:space="0" w:color="auto"/>
              <w:right w:val="single" w:sz="4" w:space="0" w:color="auto"/>
            </w:tcBorders>
            <w:shd w:val="clear" w:color="000000" w:fill="C6E0B4"/>
            <w:noWrap/>
            <w:vAlign w:val="bottom"/>
            <w:hideMark/>
          </w:tcPr>
          <w:p w14:paraId="084AA278"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 xml:space="preserve">Profitability Index (PI) </w:t>
            </w:r>
          </w:p>
        </w:tc>
        <w:tc>
          <w:tcPr>
            <w:tcW w:w="935" w:type="pct"/>
            <w:gridSpan w:val="2"/>
            <w:tcBorders>
              <w:top w:val="single" w:sz="4" w:space="0" w:color="auto"/>
              <w:left w:val="nil"/>
              <w:bottom w:val="single" w:sz="4" w:space="0" w:color="auto"/>
              <w:right w:val="single" w:sz="8" w:space="0" w:color="000000"/>
            </w:tcBorders>
            <w:shd w:val="clear" w:color="000000" w:fill="C6E0B4"/>
            <w:noWrap/>
            <w:vAlign w:val="bottom"/>
            <w:hideMark/>
          </w:tcPr>
          <w:p w14:paraId="32478C5E"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 xml:space="preserve"> £                                                                                  0.92 </w:t>
            </w:r>
          </w:p>
        </w:tc>
      </w:tr>
      <w:tr w:rsidR="00391FC9" w:rsidRPr="00760296" w14:paraId="73C9587F" w14:textId="77777777" w:rsidTr="00391FC9">
        <w:trPr>
          <w:trHeight w:val="300"/>
        </w:trPr>
        <w:tc>
          <w:tcPr>
            <w:tcW w:w="4065" w:type="pct"/>
            <w:tcBorders>
              <w:top w:val="nil"/>
              <w:left w:val="single" w:sz="8" w:space="0" w:color="auto"/>
              <w:bottom w:val="single" w:sz="8" w:space="0" w:color="auto"/>
              <w:right w:val="single" w:sz="4" w:space="0" w:color="auto"/>
            </w:tcBorders>
            <w:shd w:val="clear" w:color="000000" w:fill="C6E0B4"/>
            <w:noWrap/>
            <w:vAlign w:val="bottom"/>
            <w:hideMark/>
          </w:tcPr>
          <w:p w14:paraId="32B9A932" w14:textId="77777777" w:rsidR="00391FC9" w:rsidRPr="00760296" w:rsidRDefault="00391FC9" w:rsidP="002D1B45">
            <w:pPr>
              <w:jc w:val="lef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 xml:space="preserve">IRR </w:t>
            </w:r>
          </w:p>
        </w:tc>
        <w:tc>
          <w:tcPr>
            <w:tcW w:w="935" w:type="pct"/>
            <w:gridSpan w:val="2"/>
            <w:tcBorders>
              <w:top w:val="single" w:sz="4" w:space="0" w:color="auto"/>
              <w:left w:val="nil"/>
              <w:bottom w:val="single" w:sz="8" w:space="0" w:color="auto"/>
              <w:right w:val="single" w:sz="8" w:space="0" w:color="000000"/>
            </w:tcBorders>
            <w:shd w:val="clear" w:color="000000" w:fill="C6E0B4"/>
            <w:noWrap/>
            <w:vAlign w:val="bottom"/>
            <w:hideMark/>
          </w:tcPr>
          <w:p w14:paraId="179CC1F3" w14:textId="77777777" w:rsidR="00391FC9" w:rsidRPr="00760296" w:rsidRDefault="00391FC9" w:rsidP="002D1B45">
            <w:pPr>
              <w:jc w:val="right"/>
              <w:rPr>
                <w:rFonts w:asciiTheme="minorBidi" w:hAnsiTheme="minorBidi" w:cstheme="minorBidi"/>
                <w:b/>
                <w:bCs/>
                <w:color w:val="000000"/>
                <w:sz w:val="22"/>
                <w:szCs w:val="22"/>
                <w:lang w:val="en-IN"/>
              </w:rPr>
            </w:pPr>
            <w:r w:rsidRPr="00760296">
              <w:rPr>
                <w:rFonts w:asciiTheme="minorBidi" w:hAnsiTheme="minorBidi" w:cstheme="minorBidi"/>
                <w:b/>
                <w:bCs/>
                <w:color w:val="000000"/>
                <w:sz w:val="22"/>
                <w:szCs w:val="22"/>
                <w:lang w:val="en-IN"/>
              </w:rPr>
              <w:t>30%</w:t>
            </w:r>
          </w:p>
        </w:tc>
      </w:tr>
    </w:tbl>
    <w:p w14:paraId="0E54FC72" w14:textId="77777777" w:rsidR="00391FC9" w:rsidRPr="00760296" w:rsidRDefault="00391FC9" w:rsidP="002D1B45">
      <w:pPr>
        <w:rPr>
          <w:rFonts w:asciiTheme="minorBidi" w:hAnsiTheme="minorBidi" w:cstheme="minorBidi"/>
        </w:rPr>
      </w:pPr>
    </w:p>
    <w:p w14:paraId="6D656213" w14:textId="77777777" w:rsidR="00391FC9" w:rsidRPr="00760296" w:rsidRDefault="00391FC9" w:rsidP="002D1B45">
      <w:pPr>
        <w:rPr>
          <w:rFonts w:asciiTheme="minorBidi" w:hAnsiTheme="minorBidi" w:cstheme="minorBidi"/>
        </w:rPr>
      </w:pPr>
    </w:p>
    <w:sectPr w:rsidR="00391FC9" w:rsidRPr="00760296">
      <w:footerReference w:type="default" r:id="rId5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C64F3A" w14:textId="77777777" w:rsidR="00C82DC4" w:rsidRDefault="00C82DC4" w:rsidP="002222B3">
      <w:pPr>
        <w:spacing w:line="240" w:lineRule="auto"/>
      </w:pPr>
      <w:r>
        <w:separator/>
      </w:r>
    </w:p>
  </w:endnote>
  <w:endnote w:type="continuationSeparator" w:id="0">
    <w:p w14:paraId="2176D7ED" w14:textId="77777777" w:rsidR="00C82DC4" w:rsidRDefault="00C82DC4" w:rsidP="002222B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embedRegular r:id="rId1" w:fontKey="{A52185E9-896E-184C-B225-798B21D51B36}"/>
  </w:font>
  <w:font w:name="Times New Roman">
    <w:panose1 w:val="02020603050405020304"/>
    <w:charset w:val="00"/>
    <w:family w:val="roman"/>
    <w:pitch w:val="variable"/>
    <w:sig w:usb0="E0002EFF" w:usb1="C000785B" w:usb2="00000009" w:usb3="00000000" w:csb0="000001FF" w:csb1="00000000"/>
    <w:embedRegular r:id="rId2" w:fontKey="{550C1773-A5EC-994C-A0B2-034C6F04BD16}"/>
    <w:embedBold r:id="rId3" w:fontKey="{0BEACB2B-36EB-BF42-BF30-F5195FC7E292}"/>
    <w:embedItalic r:id="rId4" w:fontKey="{644D3A62-B17F-D24E-BDF0-E7A7337C1DE8}"/>
    <w:embedBoldItalic r:id="rId5" w:fontKey="{D9D49879-C5F4-A142-B010-F88031F54E96}"/>
  </w:font>
  <w:font w:name="Courier New">
    <w:panose1 w:val="02070309020205020404"/>
    <w:charset w:val="00"/>
    <w:family w:val="modern"/>
    <w:pitch w:val="fixed"/>
    <w:sig w:usb0="E0002EFF" w:usb1="C0007843" w:usb2="00000009" w:usb3="00000000" w:csb0="000001FF" w:csb1="00000000"/>
    <w:embedRegular r:id="rId6" w:fontKey="{17BD62ED-DF5D-8F40-8D8B-48FE150FA93B}"/>
  </w:font>
  <w:font w:name="Wingdings">
    <w:panose1 w:val="05000000000000000000"/>
    <w:charset w:val="4D"/>
    <w:family w:val="decorative"/>
    <w:pitch w:val="variable"/>
    <w:sig w:usb0="00000003" w:usb1="00000000" w:usb2="00000000" w:usb3="00000000" w:csb0="80000001" w:csb1="00000000"/>
    <w:embedRegular r:id="rId7" w:fontKey="{26389F68-6C8C-0545-8E44-DC56F620BF5A}"/>
  </w:font>
  <w:font w:name="Arial">
    <w:panose1 w:val="020B0604020202020204"/>
    <w:charset w:val="00"/>
    <w:family w:val="swiss"/>
    <w:pitch w:val="variable"/>
    <w:sig w:usb0="E0002EFF" w:usb1="C000785B" w:usb2="00000009" w:usb3="00000000" w:csb0="000001FF" w:csb1="00000000"/>
    <w:embedRegular r:id="rId8" w:fontKey="{3774585D-2FF1-DD48-9D4B-6BE496EF5459}"/>
    <w:embedBold r:id="rId9" w:fontKey="{D3C4A1F8-BA80-E440-87EB-3C816045FA39}"/>
    <w:embedItalic r:id="rId10" w:fontKey="{3CA248D4-57B0-6342-AF91-10EA2CB3E95A}"/>
    <w:embedBoldItalic r:id="rId11" w:fontKey="{93C531A9-79FA-6343-B4D1-0DEAEC9DCF83}"/>
  </w:font>
  <w:font w:name="Calibri">
    <w:panose1 w:val="020F0502020204030204"/>
    <w:charset w:val="00"/>
    <w:family w:val="swiss"/>
    <w:pitch w:val="variable"/>
    <w:sig w:usb0="E4002EFF" w:usb1="C200247B" w:usb2="00000009" w:usb3="00000000" w:csb0="000001FF" w:csb1="00000000"/>
    <w:embedRegular r:id="rId12" w:fontKey="{7D9D9EBB-B140-1043-86D6-F6CBF152984E}"/>
  </w:font>
  <w:font w:name="Gungsuh">
    <w:panose1 w:val="02030600000101010101"/>
    <w:charset w:val="81"/>
    <w:family w:val="roman"/>
    <w:pitch w:val="variable"/>
    <w:sig w:usb0="B00002AF" w:usb1="69D77CFB" w:usb2="00000030" w:usb3="00000000" w:csb0="0008009F" w:csb1="00000000"/>
  </w:font>
  <w:font w:name="Cambria Math">
    <w:panose1 w:val="02040503050406030204"/>
    <w:charset w:val="00"/>
    <w:family w:val="roman"/>
    <w:pitch w:val="variable"/>
    <w:sig w:usb0="E00002FF" w:usb1="420024FF" w:usb2="00000000" w:usb3="00000000" w:csb0="0000019F" w:csb1="00000000"/>
    <w:embedRegular r:id="rId13" w:fontKey="{927534DF-E81D-3A44-B74F-DAA59EB247E9}"/>
  </w:font>
  <w:font w:name="Cambria">
    <w:panose1 w:val="02040503050406030204"/>
    <w:charset w:val="00"/>
    <w:family w:val="roman"/>
    <w:pitch w:val="variable"/>
    <w:sig w:usb0="E00006FF" w:usb1="420024FF" w:usb2="02000000" w:usb3="00000000" w:csb0="0000019F" w:csb1="00000000"/>
    <w:embedRegular r:id="rId14" w:fontKey="{85DD426C-6F09-9A4C-9A2C-A0D8C1F00AD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4001881"/>
      <w:docPartObj>
        <w:docPartGallery w:val="Page Numbers (Bottom of Page)"/>
        <w:docPartUnique/>
      </w:docPartObj>
    </w:sdtPr>
    <w:sdtEndPr>
      <w:rPr>
        <w:noProof/>
      </w:rPr>
    </w:sdtEndPr>
    <w:sdtContent>
      <w:p w14:paraId="3AD4D006" w14:textId="77777777" w:rsidR="00623657" w:rsidRDefault="0062365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3D5711" w14:textId="77777777" w:rsidR="00623657" w:rsidRDefault="006236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A149D6" w14:textId="77777777" w:rsidR="00C82DC4" w:rsidRDefault="00C82DC4" w:rsidP="002222B3">
      <w:pPr>
        <w:spacing w:line="240" w:lineRule="auto"/>
      </w:pPr>
      <w:r>
        <w:separator/>
      </w:r>
    </w:p>
  </w:footnote>
  <w:footnote w:type="continuationSeparator" w:id="0">
    <w:p w14:paraId="5759703D" w14:textId="77777777" w:rsidR="00C82DC4" w:rsidRDefault="00C82DC4" w:rsidP="002222B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CD4B75"/>
    <w:multiLevelType w:val="hybridMultilevel"/>
    <w:tmpl w:val="192649F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261077D7"/>
    <w:multiLevelType w:val="hybridMultilevel"/>
    <w:tmpl w:val="9BC08F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72A3F04"/>
    <w:multiLevelType w:val="hybridMultilevel"/>
    <w:tmpl w:val="99B2AEB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2255492"/>
    <w:multiLevelType w:val="hybridMultilevel"/>
    <w:tmpl w:val="48AAF5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49866BCA"/>
    <w:multiLevelType w:val="hybridMultilevel"/>
    <w:tmpl w:val="E7B4821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3"/>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138C6"/>
    <w:rsid w:val="00093E2B"/>
    <w:rsid w:val="000B19F4"/>
    <w:rsid w:val="002222B3"/>
    <w:rsid w:val="002B5DAD"/>
    <w:rsid w:val="002D1B45"/>
    <w:rsid w:val="00371E3C"/>
    <w:rsid w:val="00391FC9"/>
    <w:rsid w:val="00436020"/>
    <w:rsid w:val="006138C6"/>
    <w:rsid w:val="00623657"/>
    <w:rsid w:val="00653731"/>
    <w:rsid w:val="00747349"/>
    <w:rsid w:val="00760296"/>
    <w:rsid w:val="00763175"/>
    <w:rsid w:val="00791FC1"/>
    <w:rsid w:val="007B68F8"/>
    <w:rsid w:val="007E03E2"/>
    <w:rsid w:val="00822EB0"/>
    <w:rsid w:val="0082682C"/>
    <w:rsid w:val="008F6FAE"/>
    <w:rsid w:val="00986478"/>
    <w:rsid w:val="00A04F0F"/>
    <w:rsid w:val="00A436EF"/>
    <w:rsid w:val="00A72ECB"/>
    <w:rsid w:val="00B13313"/>
    <w:rsid w:val="00B24BB4"/>
    <w:rsid w:val="00B8193A"/>
    <w:rsid w:val="00B87CC1"/>
    <w:rsid w:val="00BB7552"/>
    <w:rsid w:val="00C82DC4"/>
    <w:rsid w:val="00D65304"/>
    <w:rsid w:val="00D76486"/>
    <w:rsid w:val="00E00D4E"/>
    <w:rsid w:val="00EF72CD"/>
    <w:rsid w:val="00F21DA9"/>
    <w:rsid w:val="00F25515"/>
    <w:rsid w:val="00F57EF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844AE3"/>
  <w15:docId w15:val="{84E21AE4-AED4-41B2-9BC7-E306C17F75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sz w:val="28"/>
      <w:szCs w:val="28"/>
    </w:rPr>
  </w:style>
  <w:style w:type="paragraph" w:styleId="Heading2">
    <w:name w:val="heading 2"/>
    <w:basedOn w:val="Normal"/>
    <w:next w:val="Normal"/>
    <w:uiPriority w:val="9"/>
    <w:unhideWhenUsed/>
    <w:qFormat/>
    <w:pPr>
      <w:keepNext/>
      <w:keepLines/>
      <w:spacing w:before="280" w:after="80"/>
      <w:outlineLvl w:val="1"/>
    </w:pPr>
    <w:rPr>
      <w:b/>
      <w:sz w:val="26"/>
      <w:szCs w:val="26"/>
    </w:rPr>
  </w:style>
  <w:style w:type="paragraph" w:styleId="Heading3">
    <w:name w:val="heading 3"/>
    <w:basedOn w:val="Normal"/>
    <w:next w:val="Normal"/>
    <w:uiPriority w:val="9"/>
    <w:unhideWhenUsed/>
    <w:qFormat/>
    <w:rsid w:val="00E00D4E"/>
    <w:pPr>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table" w:customStyle="1" w:styleId="a3">
    <w:basedOn w:val="TableNormal0"/>
    <w:tblPr>
      <w:tblStyleRowBandSize w:val="1"/>
      <w:tblStyleColBandSize w:val="1"/>
    </w:tblPr>
  </w:style>
  <w:style w:type="table" w:customStyle="1" w:styleId="a4">
    <w:basedOn w:val="TableNormal0"/>
    <w:tblPr>
      <w:tblStyleRowBandSize w:val="1"/>
      <w:tblStyleColBandSize w:val="1"/>
    </w:tblPr>
  </w:style>
  <w:style w:type="paragraph" w:styleId="ListParagraph">
    <w:name w:val="List Paragraph"/>
    <w:basedOn w:val="Normal"/>
    <w:uiPriority w:val="34"/>
    <w:qFormat/>
    <w:rsid w:val="007B68F8"/>
    <w:pPr>
      <w:ind w:left="720"/>
      <w:contextualSpacing/>
    </w:pPr>
  </w:style>
  <w:style w:type="paragraph" w:styleId="NormalWeb">
    <w:name w:val="Normal (Web)"/>
    <w:basedOn w:val="Normal"/>
    <w:uiPriority w:val="99"/>
    <w:semiHidden/>
    <w:unhideWhenUsed/>
    <w:rsid w:val="00B8193A"/>
    <w:pPr>
      <w:spacing w:before="100" w:beforeAutospacing="1" w:after="100" w:afterAutospacing="1" w:line="240" w:lineRule="auto"/>
      <w:jc w:val="left"/>
    </w:pPr>
    <w:rPr>
      <w:lang w:val="en-IN"/>
    </w:rPr>
  </w:style>
  <w:style w:type="character" w:styleId="Hyperlink">
    <w:name w:val="Hyperlink"/>
    <w:basedOn w:val="DefaultParagraphFont"/>
    <w:uiPriority w:val="99"/>
    <w:unhideWhenUsed/>
    <w:rsid w:val="00B8193A"/>
    <w:rPr>
      <w:color w:val="0000FF" w:themeColor="hyperlink"/>
      <w:u w:val="single"/>
    </w:rPr>
  </w:style>
  <w:style w:type="character" w:styleId="UnresolvedMention">
    <w:name w:val="Unresolved Mention"/>
    <w:basedOn w:val="DefaultParagraphFont"/>
    <w:uiPriority w:val="99"/>
    <w:semiHidden/>
    <w:unhideWhenUsed/>
    <w:rsid w:val="00B8193A"/>
    <w:rPr>
      <w:color w:val="605E5C"/>
      <w:shd w:val="clear" w:color="auto" w:fill="E1DFDD"/>
    </w:rPr>
  </w:style>
  <w:style w:type="paragraph" w:customStyle="1" w:styleId="Default">
    <w:name w:val="Default"/>
    <w:rsid w:val="00653731"/>
    <w:pPr>
      <w:autoSpaceDE w:val="0"/>
      <w:autoSpaceDN w:val="0"/>
      <w:adjustRightInd w:val="0"/>
      <w:spacing w:line="240" w:lineRule="auto"/>
      <w:jc w:val="left"/>
    </w:pPr>
    <w:rPr>
      <w:rFonts w:ascii="Arial" w:hAnsi="Arial" w:cs="Arial"/>
      <w:color w:val="000000"/>
      <w:lang w:val="en-IN"/>
    </w:rPr>
  </w:style>
  <w:style w:type="paragraph" w:styleId="TOCHeading">
    <w:name w:val="TOC Heading"/>
    <w:basedOn w:val="Heading1"/>
    <w:next w:val="Normal"/>
    <w:uiPriority w:val="39"/>
    <w:unhideWhenUsed/>
    <w:qFormat/>
    <w:rsid w:val="002D1B4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D1B45"/>
    <w:pPr>
      <w:spacing w:after="100"/>
    </w:pPr>
  </w:style>
  <w:style w:type="paragraph" w:styleId="TOC2">
    <w:name w:val="toc 2"/>
    <w:basedOn w:val="Normal"/>
    <w:next w:val="Normal"/>
    <w:autoRedefine/>
    <w:uiPriority w:val="39"/>
    <w:unhideWhenUsed/>
    <w:rsid w:val="002D1B45"/>
    <w:pPr>
      <w:spacing w:after="100"/>
      <w:ind w:left="240"/>
    </w:pPr>
  </w:style>
  <w:style w:type="paragraph" w:styleId="TOC3">
    <w:name w:val="toc 3"/>
    <w:basedOn w:val="Normal"/>
    <w:next w:val="Normal"/>
    <w:autoRedefine/>
    <w:uiPriority w:val="39"/>
    <w:unhideWhenUsed/>
    <w:rsid w:val="002D1B45"/>
    <w:pPr>
      <w:spacing w:after="100"/>
      <w:ind w:left="480"/>
    </w:pPr>
  </w:style>
  <w:style w:type="paragraph" w:styleId="Header">
    <w:name w:val="header"/>
    <w:basedOn w:val="Normal"/>
    <w:link w:val="HeaderChar"/>
    <w:uiPriority w:val="99"/>
    <w:unhideWhenUsed/>
    <w:rsid w:val="002222B3"/>
    <w:pPr>
      <w:tabs>
        <w:tab w:val="center" w:pos="4513"/>
        <w:tab w:val="right" w:pos="9026"/>
      </w:tabs>
      <w:spacing w:line="240" w:lineRule="auto"/>
    </w:pPr>
  </w:style>
  <w:style w:type="character" w:customStyle="1" w:styleId="HeaderChar">
    <w:name w:val="Header Char"/>
    <w:basedOn w:val="DefaultParagraphFont"/>
    <w:link w:val="Header"/>
    <w:uiPriority w:val="99"/>
    <w:rsid w:val="002222B3"/>
  </w:style>
  <w:style w:type="paragraph" w:styleId="Footer">
    <w:name w:val="footer"/>
    <w:basedOn w:val="Normal"/>
    <w:link w:val="FooterChar"/>
    <w:uiPriority w:val="99"/>
    <w:unhideWhenUsed/>
    <w:rsid w:val="002222B3"/>
    <w:pPr>
      <w:tabs>
        <w:tab w:val="center" w:pos="4513"/>
        <w:tab w:val="right" w:pos="9026"/>
      </w:tabs>
      <w:spacing w:line="240" w:lineRule="auto"/>
    </w:pPr>
  </w:style>
  <w:style w:type="character" w:customStyle="1" w:styleId="FooterChar">
    <w:name w:val="Footer Char"/>
    <w:basedOn w:val="DefaultParagraphFont"/>
    <w:link w:val="Footer"/>
    <w:uiPriority w:val="99"/>
    <w:rsid w:val="002222B3"/>
  </w:style>
  <w:style w:type="table" w:styleId="GridTable5Dark-Accent2">
    <w:name w:val="Grid Table 5 Dark Accent 2"/>
    <w:basedOn w:val="TableNormal"/>
    <w:uiPriority w:val="50"/>
    <w:rsid w:val="00763175"/>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638539">
      <w:bodyDiv w:val="1"/>
      <w:marLeft w:val="0"/>
      <w:marRight w:val="0"/>
      <w:marTop w:val="0"/>
      <w:marBottom w:val="0"/>
      <w:divBdr>
        <w:top w:val="none" w:sz="0" w:space="0" w:color="auto"/>
        <w:left w:val="none" w:sz="0" w:space="0" w:color="auto"/>
        <w:bottom w:val="none" w:sz="0" w:space="0" w:color="auto"/>
        <w:right w:val="none" w:sz="0" w:space="0" w:color="auto"/>
      </w:divBdr>
    </w:div>
    <w:div w:id="134684412">
      <w:bodyDiv w:val="1"/>
      <w:marLeft w:val="0"/>
      <w:marRight w:val="0"/>
      <w:marTop w:val="0"/>
      <w:marBottom w:val="0"/>
      <w:divBdr>
        <w:top w:val="none" w:sz="0" w:space="0" w:color="auto"/>
        <w:left w:val="none" w:sz="0" w:space="0" w:color="auto"/>
        <w:bottom w:val="none" w:sz="0" w:space="0" w:color="auto"/>
        <w:right w:val="none" w:sz="0" w:space="0" w:color="auto"/>
      </w:divBdr>
    </w:div>
    <w:div w:id="142552096">
      <w:bodyDiv w:val="1"/>
      <w:marLeft w:val="0"/>
      <w:marRight w:val="0"/>
      <w:marTop w:val="0"/>
      <w:marBottom w:val="0"/>
      <w:divBdr>
        <w:top w:val="none" w:sz="0" w:space="0" w:color="auto"/>
        <w:left w:val="none" w:sz="0" w:space="0" w:color="auto"/>
        <w:bottom w:val="none" w:sz="0" w:space="0" w:color="auto"/>
        <w:right w:val="none" w:sz="0" w:space="0" w:color="auto"/>
      </w:divBdr>
    </w:div>
    <w:div w:id="300817575">
      <w:bodyDiv w:val="1"/>
      <w:marLeft w:val="0"/>
      <w:marRight w:val="0"/>
      <w:marTop w:val="0"/>
      <w:marBottom w:val="0"/>
      <w:divBdr>
        <w:top w:val="none" w:sz="0" w:space="0" w:color="auto"/>
        <w:left w:val="none" w:sz="0" w:space="0" w:color="auto"/>
        <w:bottom w:val="none" w:sz="0" w:space="0" w:color="auto"/>
        <w:right w:val="none" w:sz="0" w:space="0" w:color="auto"/>
      </w:divBdr>
    </w:div>
    <w:div w:id="303824991">
      <w:bodyDiv w:val="1"/>
      <w:marLeft w:val="0"/>
      <w:marRight w:val="0"/>
      <w:marTop w:val="0"/>
      <w:marBottom w:val="0"/>
      <w:divBdr>
        <w:top w:val="none" w:sz="0" w:space="0" w:color="auto"/>
        <w:left w:val="none" w:sz="0" w:space="0" w:color="auto"/>
        <w:bottom w:val="none" w:sz="0" w:space="0" w:color="auto"/>
        <w:right w:val="none" w:sz="0" w:space="0" w:color="auto"/>
      </w:divBdr>
    </w:div>
    <w:div w:id="305597573">
      <w:bodyDiv w:val="1"/>
      <w:marLeft w:val="0"/>
      <w:marRight w:val="0"/>
      <w:marTop w:val="0"/>
      <w:marBottom w:val="0"/>
      <w:divBdr>
        <w:top w:val="none" w:sz="0" w:space="0" w:color="auto"/>
        <w:left w:val="none" w:sz="0" w:space="0" w:color="auto"/>
        <w:bottom w:val="none" w:sz="0" w:space="0" w:color="auto"/>
        <w:right w:val="none" w:sz="0" w:space="0" w:color="auto"/>
      </w:divBdr>
    </w:div>
    <w:div w:id="369261779">
      <w:bodyDiv w:val="1"/>
      <w:marLeft w:val="0"/>
      <w:marRight w:val="0"/>
      <w:marTop w:val="0"/>
      <w:marBottom w:val="0"/>
      <w:divBdr>
        <w:top w:val="none" w:sz="0" w:space="0" w:color="auto"/>
        <w:left w:val="none" w:sz="0" w:space="0" w:color="auto"/>
        <w:bottom w:val="none" w:sz="0" w:space="0" w:color="auto"/>
        <w:right w:val="none" w:sz="0" w:space="0" w:color="auto"/>
      </w:divBdr>
    </w:div>
    <w:div w:id="373122269">
      <w:bodyDiv w:val="1"/>
      <w:marLeft w:val="0"/>
      <w:marRight w:val="0"/>
      <w:marTop w:val="0"/>
      <w:marBottom w:val="0"/>
      <w:divBdr>
        <w:top w:val="none" w:sz="0" w:space="0" w:color="auto"/>
        <w:left w:val="none" w:sz="0" w:space="0" w:color="auto"/>
        <w:bottom w:val="none" w:sz="0" w:space="0" w:color="auto"/>
        <w:right w:val="none" w:sz="0" w:space="0" w:color="auto"/>
      </w:divBdr>
    </w:div>
    <w:div w:id="398021113">
      <w:bodyDiv w:val="1"/>
      <w:marLeft w:val="0"/>
      <w:marRight w:val="0"/>
      <w:marTop w:val="0"/>
      <w:marBottom w:val="0"/>
      <w:divBdr>
        <w:top w:val="none" w:sz="0" w:space="0" w:color="auto"/>
        <w:left w:val="none" w:sz="0" w:space="0" w:color="auto"/>
        <w:bottom w:val="none" w:sz="0" w:space="0" w:color="auto"/>
        <w:right w:val="none" w:sz="0" w:space="0" w:color="auto"/>
      </w:divBdr>
    </w:div>
    <w:div w:id="427386257">
      <w:bodyDiv w:val="1"/>
      <w:marLeft w:val="0"/>
      <w:marRight w:val="0"/>
      <w:marTop w:val="0"/>
      <w:marBottom w:val="0"/>
      <w:divBdr>
        <w:top w:val="none" w:sz="0" w:space="0" w:color="auto"/>
        <w:left w:val="none" w:sz="0" w:space="0" w:color="auto"/>
        <w:bottom w:val="none" w:sz="0" w:space="0" w:color="auto"/>
        <w:right w:val="none" w:sz="0" w:space="0" w:color="auto"/>
      </w:divBdr>
    </w:div>
    <w:div w:id="460998585">
      <w:bodyDiv w:val="1"/>
      <w:marLeft w:val="0"/>
      <w:marRight w:val="0"/>
      <w:marTop w:val="0"/>
      <w:marBottom w:val="0"/>
      <w:divBdr>
        <w:top w:val="none" w:sz="0" w:space="0" w:color="auto"/>
        <w:left w:val="none" w:sz="0" w:space="0" w:color="auto"/>
        <w:bottom w:val="none" w:sz="0" w:space="0" w:color="auto"/>
        <w:right w:val="none" w:sz="0" w:space="0" w:color="auto"/>
      </w:divBdr>
    </w:div>
    <w:div w:id="470440950">
      <w:bodyDiv w:val="1"/>
      <w:marLeft w:val="0"/>
      <w:marRight w:val="0"/>
      <w:marTop w:val="0"/>
      <w:marBottom w:val="0"/>
      <w:divBdr>
        <w:top w:val="none" w:sz="0" w:space="0" w:color="auto"/>
        <w:left w:val="none" w:sz="0" w:space="0" w:color="auto"/>
        <w:bottom w:val="none" w:sz="0" w:space="0" w:color="auto"/>
        <w:right w:val="none" w:sz="0" w:space="0" w:color="auto"/>
      </w:divBdr>
    </w:div>
    <w:div w:id="475487387">
      <w:bodyDiv w:val="1"/>
      <w:marLeft w:val="0"/>
      <w:marRight w:val="0"/>
      <w:marTop w:val="0"/>
      <w:marBottom w:val="0"/>
      <w:divBdr>
        <w:top w:val="none" w:sz="0" w:space="0" w:color="auto"/>
        <w:left w:val="none" w:sz="0" w:space="0" w:color="auto"/>
        <w:bottom w:val="none" w:sz="0" w:space="0" w:color="auto"/>
        <w:right w:val="none" w:sz="0" w:space="0" w:color="auto"/>
      </w:divBdr>
    </w:div>
    <w:div w:id="479998599">
      <w:bodyDiv w:val="1"/>
      <w:marLeft w:val="0"/>
      <w:marRight w:val="0"/>
      <w:marTop w:val="0"/>
      <w:marBottom w:val="0"/>
      <w:divBdr>
        <w:top w:val="none" w:sz="0" w:space="0" w:color="auto"/>
        <w:left w:val="none" w:sz="0" w:space="0" w:color="auto"/>
        <w:bottom w:val="none" w:sz="0" w:space="0" w:color="auto"/>
        <w:right w:val="none" w:sz="0" w:space="0" w:color="auto"/>
      </w:divBdr>
    </w:div>
    <w:div w:id="487719777">
      <w:bodyDiv w:val="1"/>
      <w:marLeft w:val="0"/>
      <w:marRight w:val="0"/>
      <w:marTop w:val="0"/>
      <w:marBottom w:val="0"/>
      <w:divBdr>
        <w:top w:val="none" w:sz="0" w:space="0" w:color="auto"/>
        <w:left w:val="none" w:sz="0" w:space="0" w:color="auto"/>
        <w:bottom w:val="none" w:sz="0" w:space="0" w:color="auto"/>
        <w:right w:val="none" w:sz="0" w:space="0" w:color="auto"/>
      </w:divBdr>
    </w:div>
    <w:div w:id="492844489">
      <w:bodyDiv w:val="1"/>
      <w:marLeft w:val="0"/>
      <w:marRight w:val="0"/>
      <w:marTop w:val="0"/>
      <w:marBottom w:val="0"/>
      <w:divBdr>
        <w:top w:val="none" w:sz="0" w:space="0" w:color="auto"/>
        <w:left w:val="none" w:sz="0" w:space="0" w:color="auto"/>
        <w:bottom w:val="none" w:sz="0" w:space="0" w:color="auto"/>
        <w:right w:val="none" w:sz="0" w:space="0" w:color="auto"/>
      </w:divBdr>
    </w:div>
    <w:div w:id="705715602">
      <w:bodyDiv w:val="1"/>
      <w:marLeft w:val="0"/>
      <w:marRight w:val="0"/>
      <w:marTop w:val="0"/>
      <w:marBottom w:val="0"/>
      <w:divBdr>
        <w:top w:val="none" w:sz="0" w:space="0" w:color="auto"/>
        <w:left w:val="none" w:sz="0" w:space="0" w:color="auto"/>
        <w:bottom w:val="none" w:sz="0" w:space="0" w:color="auto"/>
        <w:right w:val="none" w:sz="0" w:space="0" w:color="auto"/>
      </w:divBdr>
    </w:div>
    <w:div w:id="705761203">
      <w:bodyDiv w:val="1"/>
      <w:marLeft w:val="0"/>
      <w:marRight w:val="0"/>
      <w:marTop w:val="0"/>
      <w:marBottom w:val="0"/>
      <w:divBdr>
        <w:top w:val="none" w:sz="0" w:space="0" w:color="auto"/>
        <w:left w:val="none" w:sz="0" w:space="0" w:color="auto"/>
        <w:bottom w:val="none" w:sz="0" w:space="0" w:color="auto"/>
        <w:right w:val="none" w:sz="0" w:space="0" w:color="auto"/>
      </w:divBdr>
    </w:div>
    <w:div w:id="755857523">
      <w:bodyDiv w:val="1"/>
      <w:marLeft w:val="0"/>
      <w:marRight w:val="0"/>
      <w:marTop w:val="0"/>
      <w:marBottom w:val="0"/>
      <w:divBdr>
        <w:top w:val="none" w:sz="0" w:space="0" w:color="auto"/>
        <w:left w:val="none" w:sz="0" w:space="0" w:color="auto"/>
        <w:bottom w:val="none" w:sz="0" w:space="0" w:color="auto"/>
        <w:right w:val="none" w:sz="0" w:space="0" w:color="auto"/>
      </w:divBdr>
    </w:div>
    <w:div w:id="766344909">
      <w:bodyDiv w:val="1"/>
      <w:marLeft w:val="0"/>
      <w:marRight w:val="0"/>
      <w:marTop w:val="0"/>
      <w:marBottom w:val="0"/>
      <w:divBdr>
        <w:top w:val="none" w:sz="0" w:space="0" w:color="auto"/>
        <w:left w:val="none" w:sz="0" w:space="0" w:color="auto"/>
        <w:bottom w:val="none" w:sz="0" w:space="0" w:color="auto"/>
        <w:right w:val="none" w:sz="0" w:space="0" w:color="auto"/>
      </w:divBdr>
    </w:div>
    <w:div w:id="811870654">
      <w:bodyDiv w:val="1"/>
      <w:marLeft w:val="0"/>
      <w:marRight w:val="0"/>
      <w:marTop w:val="0"/>
      <w:marBottom w:val="0"/>
      <w:divBdr>
        <w:top w:val="none" w:sz="0" w:space="0" w:color="auto"/>
        <w:left w:val="none" w:sz="0" w:space="0" w:color="auto"/>
        <w:bottom w:val="none" w:sz="0" w:space="0" w:color="auto"/>
        <w:right w:val="none" w:sz="0" w:space="0" w:color="auto"/>
      </w:divBdr>
    </w:div>
    <w:div w:id="827554416">
      <w:bodyDiv w:val="1"/>
      <w:marLeft w:val="0"/>
      <w:marRight w:val="0"/>
      <w:marTop w:val="0"/>
      <w:marBottom w:val="0"/>
      <w:divBdr>
        <w:top w:val="none" w:sz="0" w:space="0" w:color="auto"/>
        <w:left w:val="none" w:sz="0" w:space="0" w:color="auto"/>
        <w:bottom w:val="none" w:sz="0" w:space="0" w:color="auto"/>
        <w:right w:val="none" w:sz="0" w:space="0" w:color="auto"/>
      </w:divBdr>
    </w:div>
    <w:div w:id="1026368597">
      <w:bodyDiv w:val="1"/>
      <w:marLeft w:val="0"/>
      <w:marRight w:val="0"/>
      <w:marTop w:val="0"/>
      <w:marBottom w:val="0"/>
      <w:divBdr>
        <w:top w:val="none" w:sz="0" w:space="0" w:color="auto"/>
        <w:left w:val="none" w:sz="0" w:space="0" w:color="auto"/>
        <w:bottom w:val="none" w:sz="0" w:space="0" w:color="auto"/>
        <w:right w:val="none" w:sz="0" w:space="0" w:color="auto"/>
      </w:divBdr>
    </w:div>
    <w:div w:id="1072316299">
      <w:bodyDiv w:val="1"/>
      <w:marLeft w:val="0"/>
      <w:marRight w:val="0"/>
      <w:marTop w:val="0"/>
      <w:marBottom w:val="0"/>
      <w:divBdr>
        <w:top w:val="none" w:sz="0" w:space="0" w:color="auto"/>
        <w:left w:val="none" w:sz="0" w:space="0" w:color="auto"/>
        <w:bottom w:val="none" w:sz="0" w:space="0" w:color="auto"/>
        <w:right w:val="none" w:sz="0" w:space="0" w:color="auto"/>
      </w:divBdr>
    </w:div>
    <w:div w:id="1102140455">
      <w:bodyDiv w:val="1"/>
      <w:marLeft w:val="0"/>
      <w:marRight w:val="0"/>
      <w:marTop w:val="0"/>
      <w:marBottom w:val="0"/>
      <w:divBdr>
        <w:top w:val="none" w:sz="0" w:space="0" w:color="auto"/>
        <w:left w:val="none" w:sz="0" w:space="0" w:color="auto"/>
        <w:bottom w:val="none" w:sz="0" w:space="0" w:color="auto"/>
        <w:right w:val="none" w:sz="0" w:space="0" w:color="auto"/>
      </w:divBdr>
    </w:div>
    <w:div w:id="1148129032">
      <w:bodyDiv w:val="1"/>
      <w:marLeft w:val="0"/>
      <w:marRight w:val="0"/>
      <w:marTop w:val="0"/>
      <w:marBottom w:val="0"/>
      <w:divBdr>
        <w:top w:val="none" w:sz="0" w:space="0" w:color="auto"/>
        <w:left w:val="none" w:sz="0" w:space="0" w:color="auto"/>
        <w:bottom w:val="none" w:sz="0" w:space="0" w:color="auto"/>
        <w:right w:val="none" w:sz="0" w:space="0" w:color="auto"/>
      </w:divBdr>
    </w:div>
    <w:div w:id="1334338518">
      <w:bodyDiv w:val="1"/>
      <w:marLeft w:val="0"/>
      <w:marRight w:val="0"/>
      <w:marTop w:val="0"/>
      <w:marBottom w:val="0"/>
      <w:divBdr>
        <w:top w:val="none" w:sz="0" w:space="0" w:color="auto"/>
        <w:left w:val="none" w:sz="0" w:space="0" w:color="auto"/>
        <w:bottom w:val="none" w:sz="0" w:space="0" w:color="auto"/>
        <w:right w:val="none" w:sz="0" w:space="0" w:color="auto"/>
      </w:divBdr>
    </w:div>
    <w:div w:id="1352149232">
      <w:bodyDiv w:val="1"/>
      <w:marLeft w:val="0"/>
      <w:marRight w:val="0"/>
      <w:marTop w:val="0"/>
      <w:marBottom w:val="0"/>
      <w:divBdr>
        <w:top w:val="none" w:sz="0" w:space="0" w:color="auto"/>
        <w:left w:val="none" w:sz="0" w:space="0" w:color="auto"/>
        <w:bottom w:val="none" w:sz="0" w:space="0" w:color="auto"/>
        <w:right w:val="none" w:sz="0" w:space="0" w:color="auto"/>
      </w:divBdr>
    </w:div>
    <w:div w:id="1358627468">
      <w:bodyDiv w:val="1"/>
      <w:marLeft w:val="0"/>
      <w:marRight w:val="0"/>
      <w:marTop w:val="0"/>
      <w:marBottom w:val="0"/>
      <w:divBdr>
        <w:top w:val="none" w:sz="0" w:space="0" w:color="auto"/>
        <w:left w:val="none" w:sz="0" w:space="0" w:color="auto"/>
        <w:bottom w:val="none" w:sz="0" w:space="0" w:color="auto"/>
        <w:right w:val="none" w:sz="0" w:space="0" w:color="auto"/>
      </w:divBdr>
    </w:div>
    <w:div w:id="1425540715">
      <w:bodyDiv w:val="1"/>
      <w:marLeft w:val="0"/>
      <w:marRight w:val="0"/>
      <w:marTop w:val="0"/>
      <w:marBottom w:val="0"/>
      <w:divBdr>
        <w:top w:val="none" w:sz="0" w:space="0" w:color="auto"/>
        <w:left w:val="none" w:sz="0" w:space="0" w:color="auto"/>
        <w:bottom w:val="none" w:sz="0" w:space="0" w:color="auto"/>
        <w:right w:val="none" w:sz="0" w:space="0" w:color="auto"/>
      </w:divBdr>
    </w:div>
    <w:div w:id="1432162736">
      <w:bodyDiv w:val="1"/>
      <w:marLeft w:val="0"/>
      <w:marRight w:val="0"/>
      <w:marTop w:val="0"/>
      <w:marBottom w:val="0"/>
      <w:divBdr>
        <w:top w:val="none" w:sz="0" w:space="0" w:color="auto"/>
        <w:left w:val="none" w:sz="0" w:space="0" w:color="auto"/>
        <w:bottom w:val="none" w:sz="0" w:space="0" w:color="auto"/>
        <w:right w:val="none" w:sz="0" w:space="0" w:color="auto"/>
      </w:divBdr>
    </w:div>
    <w:div w:id="1454448149">
      <w:bodyDiv w:val="1"/>
      <w:marLeft w:val="0"/>
      <w:marRight w:val="0"/>
      <w:marTop w:val="0"/>
      <w:marBottom w:val="0"/>
      <w:divBdr>
        <w:top w:val="none" w:sz="0" w:space="0" w:color="auto"/>
        <w:left w:val="none" w:sz="0" w:space="0" w:color="auto"/>
        <w:bottom w:val="none" w:sz="0" w:space="0" w:color="auto"/>
        <w:right w:val="none" w:sz="0" w:space="0" w:color="auto"/>
      </w:divBdr>
    </w:div>
    <w:div w:id="1512183274">
      <w:bodyDiv w:val="1"/>
      <w:marLeft w:val="0"/>
      <w:marRight w:val="0"/>
      <w:marTop w:val="0"/>
      <w:marBottom w:val="0"/>
      <w:divBdr>
        <w:top w:val="none" w:sz="0" w:space="0" w:color="auto"/>
        <w:left w:val="none" w:sz="0" w:space="0" w:color="auto"/>
        <w:bottom w:val="none" w:sz="0" w:space="0" w:color="auto"/>
        <w:right w:val="none" w:sz="0" w:space="0" w:color="auto"/>
      </w:divBdr>
    </w:div>
    <w:div w:id="1647734011">
      <w:bodyDiv w:val="1"/>
      <w:marLeft w:val="0"/>
      <w:marRight w:val="0"/>
      <w:marTop w:val="0"/>
      <w:marBottom w:val="0"/>
      <w:divBdr>
        <w:top w:val="none" w:sz="0" w:space="0" w:color="auto"/>
        <w:left w:val="none" w:sz="0" w:space="0" w:color="auto"/>
        <w:bottom w:val="none" w:sz="0" w:space="0" w:color="auto"/>
        <w:right w:val="none" w:sz="0" w:space="0" w:color="auto"/>
      </w:divBdr>
    </w:div>
    <w:div w:id="1671759164">
      <w:bodyDiv w:val="1"/>
      <w:marLeft w:val="0"/>
      <w:marRight w:val="0"/>
      <w:marTop w:val="0"/>
      <w:marBottom w:val="0"/>
      <w:divBdr>
        <w:top w:val="none" w:sz="0" w:space="0" w:color="auto"/>
        <w:left w:val="none" w:sz="0" w:space="0" w:color="auto"/>
        <w:bottom w:val="none" w:sz="0" w:space="0" w:color="auto"/>
        <w:right w:val="none" w:sz="0" w:space="0" w:color="auto"/>
      </w:divBdr>
    </w:div>
    <w:div w:id="1719621915">
      <w:bodyDiv w:val="1"/>
      <w:marLeft w:val="0"/>
      <w:marRight w:val="0"/>
      <w:marTop w:val="0"/>
      <w:marBottom w:val="0"/>
      <w:divBdr>
        <w:top w:val="none" w:sz="0" w:space="0" w:color="auto"/>
        <w:left w:val="none" w:sz="0" w:space="0" w:color="auto"/>
        <w:bottom w:val="none" w:sz="0" w:space="0" w:color="auto"/>
        <w:right w:val="none" w:sz="0" w:space="0" w:color="auto"/>
      </w:divBdr>
    </w:div>
    <w:div w:id="1723794363">
      <w:bodyDiv w:val="1"/>
      <w:marLeft w:val="0"/>
      <w:marRight w:val="0"/>
      <w:marTop w:val="0"/>
      <w:marBottom w:val="0"/>
      <w:divBdr>
        <w:top w:val="none" w:sz="0" w:space="0" w:color="auto"/>
        <w:left w:val="none" w:sz="0" w:space="0" w:color="auto"/>
        <w:bottom w:val="none" w:sz="0" w:space="0" w:color="auto"/>
        <w:right w:val="none" w:sz="0" w:space="0" w:color="auto"/>
      </w:divBdr>
    </w:div>
    <w:div w:id="1768310662">
      <w:bodyDiv w:val="1"/>
      <w:marLeft w:val="0"/>
      <w:marRight w:val="0"/>
      <w:marTop w:val="0"/>
      <w:marBottom w:val="0"/>
      <w:divBdr>
        <w:top w:val="none" w:sz="0" w:space="0" w:color="auto"/>
        <w:left w:val="none" w:sz="0" w:space="0" w:color="auto"/>
        <w:bottom w:val="none" w:sz="0" w:space="0" w:color="auto"/>
        <w:right w:val="none" w:sz="0" w:space="0" w:color="auto"/>
      </w:divBdr>
    </w:div>
    <w:div w:id="1777209497">
      <w:bodyDiv w:val="1"/>
      <w:marLeft w:val="0"/>
      <w:marRight w:val="0"/>
      <w:marTop w:val="0"/>
      <w:marBottom w:val="0"/>
      <w:divBdr>
        <w:top w:val="none" w:sz="0" w:space="0" w:color="auto"/>
        <w:left w:val="none" w:sz="0" w:space="0" w:color="auto"/>
        <w:bottom w:val="none" w:sz="0" w:space="0" w:color="auto"/>
        <w:right w:val="none" w:sz="0" w:space="0" w:color="auto"/>
      </w:divBdr>
    </w:div>
    <w:div w:id="1806846183">
      <w:bodyDiv w:val="1"/>
      <w:marLeft w:val="0"/>
      <w:marRight w:val="0"/>
      <w:marTop w:val="0"/>
      <w:marBottom w:val="0"/>
      <w:divBdr>
        <w:top w:val="none" w:sz="0" w:space="0" w:color="auto"/>
        <w:left w:val="none" w:sz="0" w:space="0" w:color="auto"/>
        <w:bottom w:val="none" w:sz="0" w:space="0" w:color="auto"/>
        <w:right w:val="none" w:sz="0" w:space="0" w:color="auto"/>
      </w:divBdr>
    </w:div>
    <w:div w:id="1946771051">
      <w:bodyDiv w:val="1"/>
      <w:marLeft w:val="0"/>
      <w:marRight w:val="0"/>
      <w:marTop w:val="0"/>
      <w:marBottom w:val="0"/>
      <w:divBdr>
        <w:top w:val="none" w:sz="0" w:space="0" w:color="auto"/>
        <w:left w:val="none" w:sz="0" w:space="0" w:color="auto"/>
        <w:bottom w:val="none" w:sz="0" w:space="0" w:color="auto"/>
        <w:right w:val="none" w:sz="0" w:space="0" w:color="auto"/>
      </w:divBdr>
    </w:div>
    <w:div w:id="1957448701">
      <w:bodyDiv w:val="1"/>
      <w:marLeft w:val="0"/>
      <w:marRight w:val="0"/>
      <w:marTop w:val="0"/>
      <w:marBottom w:val="0"/>
      <w:divBdr>
        <w:top w:val="none" w:sz="0" w:space="0" w:color="auto"/>
        <w:left w:val="none" w:sz="0" w:space="0" w:color="auto"/>
        <w:bottom w:val="none" w:sz="0" w:space="0" w:color="auto"/>
        <w:right w:val="none" w:sz="0" w:space="0" w:color="auto"/>
      </w:divBdr>
    </w:div>
    <w:div w:id="2078702628">
      <w:bodyDiv w:val="1"/>
      <w:marLeft w:val="0"/>
      <w:marRight w:val="0"/>
      <w:marTop w:val="0"/>
      <w:marBottom w:val="0"/>
      <w:divBdr>
        <w:top w:val="none" w:sz="0" w:space="0" w:color="auto"/>
        <w:left w:val="none" w:sz="0" w:space="0" w:color="auto"/>
        <w:bottom w:val="none" w:sz="0" w:space="0" w:color="auto"/>
        <w:right w:val="none" w:sz="0" w:space="0" w:color="auto"/>
      </w:divBdr>
      <w:divsChild>
        <w:div w:id="34370251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www.researchgate.net/publication/355009554_A_Literature_Review_of_Net_Profit_Margin" TargetMode="External"/><Relationship Id="rId18" Type="http://schemas.openxmlformats.org/officeDocument/2006/relationships/hyperlink" Target="https://www.researchgate.net/publication/377950441_Inventory_Management" TargetMode="External"/><Relationship Id="rId26" Type="http://schemas.openxmlformats.org/officeDocument/2006/relationships/hyperlink" Target="https://www.tandfonline.com/doi/abs/10.1080/0144619032000116561" TargetMode="External"/><Relationship Id="rId39" Type="http://schemas.openxmlformats.org/officeDocument/2006/relationships/hyperlink" Target="https://www.sciencedirect.com/science/article/abs/pii/S0304405X19300418" TargetMode="External"/><Relationship Id="rId21" Type="http://schemas.openxmlformats.org/officeDocument/2006/relationships/hyperlink" Target="https://www.researchgate.net/publication/311994864_Price-to-earnings_ratio_A_state-of-art_review" TargetMode="External"/><Relationship Id="rId34" Type="http://schemas.openxmlformats.org/officeDocument/2006/relationships/hyperlink" Target="https://www.tandfonline.com/doi/full/10.1080/23322039.2024.2373255" TargetMode="External"/><Relationship Id="rId42" Type="http://schemas.openxmlformats.org/officeDocument/2006/relationships/chart" Target="charts/chart2.xml"/><Relationship Id="rId47" Type="http://schemas.openxmlformats.org/officeDocument/2006/relationships/chart" Target="charts/chart7.xml"/><Relationship Id="rId50" Type="http://schemas.openxmlformats.org/officeDocument/2006/relationships/chart" Target="charts/chart10.xm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cholarworks.wmich.edu/cgi/viewcontent.cgi?article=4808&amp;context=honors_theses" TargetMode="External"/><Relationship Id="rId29" Type="http://schemas.openxmlformats.org/officeDocument/2006/relationships/hyperlink" Target="https://www.researchgate.net/publication/346297688_The_Influence_of_Gross_Profit_Margin_Operating_Profit_Margin_and_Net_Profit_Margin_on_the_Stock_Price_of_Consumer_Good_Industry_in_the_Indonesia_Stock_Exchange_on_2012-2014" TargetMode="External"/><Relationship Id="rId11" Type="http://schemas.openxmlformats.org/officeDocument/2006/relationships/hyperlink" Target="https://papers.ssrn.com/sol3/papers.cfm?abstract_id=3385205" TargetMode="External"/><Relationship Id="rId24" Type="http://schemas.openxmlformats.org/officeDocument/2006/relationships/hyperlink" Target="https://www.federalreserve.gov/econres/notes/feds-notes/firms-financing-choice-between-short-term-and-long-term-debts-are-they-substitutes-20240503.html" TargetMode="External"/><Relationship Id="rId32" Type="http://schemas.openxmlformats.org/officeDocument/2006/relationships/hyperlink" Target="https://onlinelibrary.wiley.com/doi/full/10.1111%2F1467-8551.12757" TargetMode="External"/><Relationship Id="rId37" Type="http://schemas.openxmlformats.org/officeDocument/2006/relationships/hyperlink" Target="https://www.researchgate.net/publication/393508465_Implementation_Of_Just-In-Time_Jit_In_Inventory_Management_A_Case_Study_In_A_Manufacturing_Company" TargetMode="External"/><Relationship Id="rId40" Type="http://schemas.openxmlformats.org/officeDocument/2006/relationships/hyperlink" Target="https://pubsonline.informs.org/doi/10.1287/opre.2022.0196" TargetMode="External"/><Relationship Id="rId45" Type="http://schemas.openxmlformats.org/officeDocument/2006/relationships/chart" Target="charts/chart5.xml"/><Relationship Id="rId53" Type="http://schemas.openxmlformats.org/officeDocument/2006/relationships/chart" Target="charts/chart13.xml"/><Relationship Id="rId5" Type="http://schemas.openxmlformats.org/officeDocument/2006/relationships/webSettings" Target="webSettings.xml"/><Relationship Id="rId10" Type="http://schemas.openxmlformats.org/officeDocument/2006/relationships/hyperlink" Target="https://www.sciencedirect.com/science/article/pii/S2214845022000795" TargetMode="External"/><Relationship Id="rId19" Type="http://schemas.openxmlformats.org/officeDocument/2006/relationships/hyperlink" Target="https://www.sciencedirect.com/science/article/abs/pii/S0378426625001360" TargetMode="External"/><Relationship Id="rId31" Type="http://schemas.openxmlformats.org/officeDocument/2006/relationships/hyperlink" Target="https://www.sciencedirect.com/science/article/abs/pii/S1386418120300720" TargetMode="External"/><Relationship Id="rId44" Type="http://schemas.openxmlformats.org/officeDocument/2006/relationships/chart" Target="charts/chart4.xml"/><Relationship Id="rId52" Type="http://schemas.openxmlformats.org/officeDocument/2006/relationships/chart" Target="charts/chart12.xml"/><Relationship Id="rId4" Type="http://schemas.openxmlformats.org/officeDocument/2006/relationships/settings" Target="settings.xml"/><Relationship Id="rId9" Type="http://schemas.openxmlformats.org/officeDocument/2006/relationships/hyperlink" Target="https://onlinelibrary.wiley.com/doi/full/10.1002/ijfe.2730" TargetMode="External"/><Relationship Id="rId14" Type="http://schemas.openxmlformats.org/officeDocument/2006/relationships/hyperlink" Target="https://academic.oup.com/rcfs/article/12/1/78/6673162" TargetMode="External"/><Relationship Id="rId22" Type="http://schemas.openxmlformats.org/officeDocument/2006/relationships/hyperlink" Target="https://www.researchgate.net/publication/229624572_Accounting_Rate_of_Return_Vs_Economic_Rate_of_Return" TargetMode="External"/><Relationship Id="rId27" Type="http://schemas.openxmlformats.org/officeDocument/2006/relationships/hyperlink" Target="https://onlinelibrary.wiley.com/doi/full/10.1111/acfi.13174" TargetMode="External"/><Relationship Id="rId30" Type="http://schemas.openxmlformats.org/officeDocument/2006/relationships/hyperlink" Target="http://journal.gpp.or.id/index.php/ijrvocas/article/view/169" TargetMode="External"/><Relationship Id="rId35" Type="http://schemas.openxmlformats.org/officeDocument/2006/relationships/hyperlink" Target="https://www.researchgate.net/publication/362385635_Cashflow_Volatility_Corporate_Investments_and_Value_of_Nonfinancial_Firms_Listed_in_Kenya" TargetMode="External"/><Relationship Id="rId43" Type="http://schemas.openxmlformats.org/officeDocument/2006/relationships/chart" Target="charts/chart3.xml"/><Relationship Id="rId48" Type="http://schemas.openxmlformats.org/officeDocument/2006/relationships/chart" Target="charts/chart8.xm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chart" Target="charts/chart11.xml"/><Relationship Id="rId3" Type="http://schemas.openxmlformats.org/officeDocument/2006/relationships/styles" Target="styles.xml"/><Relationship Id="rId12" Type="http://schemas.openxmlformats.org/officeDocument/2006/relationships/hyperlink" Target="https://www.tandfonline.com/doi/full/10.1080/23322039.2023.2239032" TargetMode="External"/><Relationship Id="rId17" Type="http://schemas.openxmlformats.org/officeDocument/2006/relationships/hyperlink" Target="https://www.emerald.com/jdqs/article/32/3/182/1216659/Renegotiable-debt-liquidity-injections-and" TargetMode="External"/><Relationship Id="rId25" Type="http://schemas.openxmlformats.org/officeDocument/2006/relationships/hyperlink" Target="https://doi.org/10.1016/j.jeconbus.2021.106004" TargetMode="External"/><Relationship Id="rId33" Type="http://schemas.openxmlformats.org/officeDocument/2006/relationships/hyperlink" Target="https://fbj.springeropen.com/articles/10.1186/s43093-024-00412-7" TargetMode="External"/><Relationship Id="rId38" Type="http://schemas.openxmlformats.org/officeDocument/2006/relationships/hyperlink" Target="https://www.tandfonline.com/doi/full/10.1080/15623599.2020.1844856" TargetMode="External"/><Relationship Id="rId46" Type="http://schemas.openxmlformats.org/officeDocument/2006/relationships/chart" Target="charts/chart6.xml"/><Relationship Id="rId20" Type="http://schemas.openxmlformats.org/officeDocument/2006/relationships/hyperlink" Target="https://www.ge.com/about-us" TargetMode="External"/><Relationship Id="rId41" Type="http://schemas.openxmlformats.org/officeDocument/2006/relationships/chart" Target="charts/chart1.xml"/><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researchgate.net/publication/364713880_Theoretical_Analysis_of_Net_Present_Value" TargetMode="External"/><Relationship Id="rId23" Type="http://schemas.openxmlformats.org/officeDocument/2006/relationships/hyperlink" Target="https://www.sciencedirect.com/science/article/pii/S2199853123001415" TargetMode="External"/><Relationship Id="rId28" Type="http://schemas.openxmlformats.org/officeDocument/2006/relationships/hyperlink" Target="https://doi.org/10.1080/23322039.2019.1664192" TargetMode="External"/><Relationship Id="rId36" Type="http://schemas.openxmlformats.org/officeDocument/2006/relationships/hyperlink" Target="https://www.researchgate.net/publication/379370345_Importance_of_Working_Capital_Management_and_System_Disruption_in_Recent_Dynamic_Environment" TargetMode="External"/><Relationship Id="rId49" Type="http://schemas.openxmlformats.org/officeDocument/2006/relationships/chart" Target="charts/chart9.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13" Type="http://schemas.openxmlformats.org/officeDocument/2006/relationships/font" Target="fonts/font13.odttf"/><Relationship Id="rId3" Type="http://schemas.openxmlformats.org/officeDocument/2006/relationships/font" Target="fonts/font3.odttf"/><Relationship Id="rId7" Type="http://schemas.openxmlformats.org/officeDocument/2006/relationships/font" Target="fonts/font7.odttf"/><Relationship Id="rId12" Type="http://schemas.openxmlformats.org/officeDocument/2006/relationships/font" Target="fonts/font12.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11" Type="http://schemas.openxmlformats.org/officeDocument/2006/relationships/font" Target="fonts/font11.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 Id="rId14" Type="http://schemas.openxmlformats.org/officeDocument/2006/relationships/font" Target="fonts/font14.odttf"/></Relationships>
</file>

<file path=word/charts/_rels/chart1.xml.rels><?xml version="1.0" encoding="UTF-8" standalone="yes"?>
<Relationships xmlns="http://schemas.openxmlformats.org/package/2006/relationships"><Relationship Id="rId3" Type="http://schemas.openxmlformats.org/officeDocument/2006/relationships/oleObject" Target="file:///C:\Users\SAHELI%20CHAKRABORTY\Downloads\TS_51096...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AHELI%20CHAKRABORTY\Downloads\TS_51096...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AHELI%20CHAKRABORTY\Downloads\TS_51096...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AHELI%20CHAKRABORTY\Downloads\TS_51096...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SAHELI%20CHAKRABORTY\Downloads\TS_51096...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SAHELI%20CHAKRABORTY\Downloads\TS_51096...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SAHELI%20CHAKRABORTY\Downloads\TS_51096...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SAHELI%20CHAKRABORTY\Downloads\TS_51096...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SAHELI%20CHAKRABORTY\Downloads\TS_51096...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SAHELI%20CHAKRABORTY\Downloads\TS_51096...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SAHELI%20CHAKRABORTY\Downloads\TS_51096...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SAHELI%20CHAKRABORTY\Downloads\TS_51096...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SAHELI%20CHAKRABORTY\Downloads\TS_51096...xlsx" TargetMode="External"/><Relationship Id="rId2" Type="http://schemas.microsoft.com/office/2011/relationships/chartColorStyle" Target="colors13.xml"/><Relationship Id="rId1" Type="http://schemas.microsoft.com/office/2011/relationships/chartStyle" Target="style1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IN"/>
              <a:t>Liquidity Ratio</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lineChart>
        <c:grouping val="standard"/>
        <c:varyColors val="0"/>
        <c:ser>
          <c:idx val="0"/>
          <c:order val="0"/>
          <c:tx>
            <c:strRef>
              <c:f>Ratio!$A$8</c:f>
              <c:strCache>
                <c:ptCount val="1"/>
                <c:pt idx="0">
                  <c:v>CA/CL = Current ratio </c:v>
                </c:pt>
              </c:strCache>
            </c:strRef>
          </c:tx>
          <c:spPr>
            <a:ln w="31750" cap="rnd">
              <a:solidFill>
                <a:schemeClr val="accent1"/>
              </a:solidFill>
              <a:round/>
            </a:ln>
            <a:effectLst/>
          </c:spPr>
          <c:marker>
            <c:symbol val="circle"/>
            <c:size val="17"/>
            <c:spPr>
              <a:solidFill>
                <a:schemeClr val="accen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Ratio!$B$7:$F$7</c:f>
              <c:numCache>
                <c:formatCode>General</c:formatCode>
                <c:ptCount val="5"/>
                <c:pt idx="0">
                  <c:v>2024</c:v>
                </c:pt>
                <c:pt idx="1">
                  <c:v>2023</c:v>
                </c:pt>
                <c:pt idx="2">
                  <c:v>2022</c:v>
                </c:pt>
                <c:pt idx="3">
                  <c:v>2021</c:v>
                </c:pt>
                <c:pt idx="4">
                  <c:v>2020</c:v>
                </c:pt>
              </c:numCache>
            </c:numRef>
          </c:cat>
          <c:val>
            <c:numRef>
              <c:f>Ratio!$B$8:$F$8</c:f>
              <c:numCache>
                <c:formatCode>0.00</c:formatCode>
                <c:ptCount val="5"/>
                <c:pt idx="0">
                  <c:v>1.5319506478574272</c:v>
                </c:pt>
                <c:pt idx="1">
                  <c:v>1.6062935934668752</c:v>
                </c:pt>
                <c:pt idx="2">
                  <c:v>1.5615804280441441</c:v>
                </c:pt>
                <c:pt idx="3">
                  <c:v>1.5551947303113194</c:v>
                </c:pt>
                <c:pt idx="4">
                  <c:v>1.8207509330956493</c:v>
                </c:pt>
              </c:numCache>
            </c:numRef>
          </c:val>
          <c:smooth val="0"/>
          <c:extLst>
            <c:ext xmlns:c16="http://schemas.microsoft.com/office/drawing/2014/chart" uri="{C3380CC4-5D6E-409C-BE32-E72D297353CC}">
              <c16:uniqueId val="{00000000-DD1D-4519-BE65-5F9B15A84829}"/>
            </c:ext>
          </c:extLst>
        </c:ser>
        <c:ser>
          <c:idx val="1"/>
          <c:order val="1"/>
          <c:tx>
            <c:strRef>
              <c:f>Ratio!$A$9</c:f>
              <c:strCache>
                <c:ptCount val="1"/>
                <c:pt idx="0">
                  <c:v>CA- inventories / CL = Acid test ratio </c:v>
                </c:pt>
              </c:strCache>
            </c:strRef>
          </c:tx>
          <c:spPr>
            <a:ln w="31750" cap="rnd">
              <a:solidFill>
                <a:schemeClr val="accent2"/>
              </a:solidFill>
              <a:round/>
            </a:ln>
            <a:effectLst/>
          </c:spPr>
          <c:marker>
            <c:symbol val="circle"/>
            <c:size val="17"/>
            <c:spPr>
              <a:solidFill>
                <a:schemeClr val="accent2"/>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numRef>
              <c:f>Ratio!$B$7:$F$7</c:f>
              <c:numCache>
                <c:formatCode>General</c:formatCode>
                <c:ptCount val="5"/>
                <c:pt idx="0">
                  <c:v>2024</c:v>
                </c:pt>
                <c:pt idx="1">
                  <c:v>2023</c:v>
                </c:pt>
                <c:pt idx="2">
                  <c:v>2022</c:v>
                </c:pt>
                <c:pt idx="3">
                  <c:v>2021</c:v>
                </c:pt>
                <c:pt idx="4">
                  <c:v>2020</c:v>
                </c:pt>
              </c:numCache>
            </c:numRef>
          </c:cat>
          <c:val>
            <c:numRef>
              <c:f>Ratio!$B$9:$F$9</c:f>
              <c:numCache>
                <c:formatCode>0.00</c:formatCode>
                <c:ptCount val="5"/>
                <c:pt idx="0">
                  <c:v>1.0306271360974408</c:v>
                </c:pt>
                <c:pt idx="1">
                  <c:v>1.0585176359619728</c:v>
                </c:pt>
                <c:pt idx="2">
                  <c:v>0.9140123710578224</c:v>
                </c:pt>
                <c:pt idx="3">
                  <c:v>0.93491307135575474</c:v>
                </c:pt>
                <c:pt idx="4">
                  <c:v>1.1498690880730877</c:v>
                </c:pt>
              </c:numCache>
            </c:numRef>
          </c:val>
          <c:smooth val="0"/>
          <c:extLst>
            <c:ext xmlns:c16="http://schemas.microsoft.com/office/drawing/2014/chart" uri="{C3380CC4-5D6E-409C-BE32-E72D297353CC}">
              <c16:uniqueId val="{00000001-DD1D-4519-BE65-5F9B15A84829}"/>
            </c:ext>
          </c:extLst>
        </c:ser>
        <c:dLbls>
          <c:dLblPos val="ctr"/>
          <c:showLegendKey val="0"/>
          <c:showVal val="1"/>
          <c:showCatName val="0"/>
          <c:showSerName val="0"/>
          <c:showPercent val="0"/>
          <c:showBubbleSize val="0"/>
        </c:dLbls>
        <c:marker val="1"/>
        <c:smooth val="0"/>
        <c:axId val="374709848"/>
        <c:axId val="374711488"/>
      </c:lineChart>
      <c:catAx>
        <c:axId val="374709848"/>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374711488"/>
        <c:crosses val="autoZero"/>
        <c:auto val="1"/>
        <c:lblAlgn val="ctr"/>
        <c:lblOffset val="100"/>
        <c:noMultiLvlLbl val="0"/>
      </c:catAx>
      <c:valAx>
        <c:axId val="37471148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00" sourceLinked="1"/>
        <c:majorTickMark val="none"/>
        <c:minorTickMark val="none"/>
        <c:tickLblPos val="nextTo"/>
        <c:crossAx val="374709848"/>
        <c:crosses val="autoZero"/>
        <c:crossBetween val="between"/>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IN"/>
              <a:t>Profitability Ratios</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cked"/>
        <c:varyColors val="0"/>
        <c:ser>
          <c:idx val="0"/>
          <c:order val="0"/>
          <c:tx>
            <c:strRef>
              <c:f>Ratio!$A$16</c:f>
              <c:strCache>
                <c:ptCount val="1"/>
                <c:pt idx="0">
                  <c:v>Net income/ Sales = Net margin ratio </c:v>
                </c:pt>
              </c:strCache>
            </c:strRef>
          </c:tx>
          <c:spPr>
            <a:ln w="22225" cap="rnd">
              <a:solidFill>
                <a:schemeClr val="accent2"/>
              </a:solidFill>
            </a:ln>
            <a:effectLst>
              <a:glow rad="139700">
                <a:schemeClr val="accent2">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Ratio!$B$15:$F$15</c:f>
              <c:numCache>
                <c:formatCode>General</c:formatCode>
                <c:ptCount val="5"/>
                <c:pt idx="0">
                  <c:v>2024</c:v>
                </c:pt>
                <c:pt idx="1">
                  <c:v>2023</c:v>
                </c:pt>
                <c:pt idx="2">
                  <c:v>2022</c:v>
                </c:pt>
                <c:pt idx="3">
                  <c:v>2021</c:v>
                </c:pt>
                <c:pt idx="4">
                  <c:v>2020</c:v>
                </c:pt>
              </c:numCache>
            </c:numRef>
          </c:cat>
          <c:val>
            <c:numRef>
              <c:f>Ratio!$B$16:$F$16</c:f>
              <c:numCache>
                <c:formatCode>0%</c:formatCode>
                <c:ptCount val="5"/>
                <c:pt idx="0">
                  <c:v>-6.0851551994408414E-2</c:v>
                </c:pt>
                <c:pt idx="1">
                  <c:v>-0.23364577114901167</c:v>
                </c:pt>
                <c:pt idx="2">
                  <c:v>7.4988346405626153E-4</c:v>
                </c:pt>
                <c:pt idx="3">
                  <c:v>9.7669096878679178E-3</c:v>
                </c:pt>
                <c:pt idx="4">
                  <c:v>6.2751350296089026E-2</c:v>
                </c:pt>
              </c:numCache>
            </c:numRef>
          </c:val>
          <c:smooth val="0"/>
          <c:extLst>
            <c:ext xmlns:c16="http://schemas.microsoft.com/office/drawing/2014/chart" uri="{C3380CC4-5D6E-409C-BE32-E72D297353CC}">
              <c16:uniqueId val="{00000000-1662-42A1-8145-FD05BD047701}"/>
            </c:ext>
          </c:extLst>
        </c:ser>
        <c:ser>
          <c:idx val="1"/>
          <c:order val="1"/>
          <c:tx>
            <c:strRef>
              <c:f>Ratio!$A$17</c:f>
              <c:strCache>
                <c:ptCount val="1"/>
                <c:pt idx="0">
                  <c:v>Gross income/ sales = Gross margin ratio </c:v>
                </c:pt>
              </c:strCache>
            </c:strRef>
          </c:tx>
          <c:spPr>
            <a:ln w="22225" cap="rnd">
              <a:solidFill>
                <a:schemeClr val="accent4"/>
              </a:solidFill>
            </a:ln>
            <a:effectLst>
              <a:glow rad="139700">
                <a:schemeClr val="accent4">
                  <a:satMod val="175000"/>
                  <a:alpha val="14000"/>
                </a:schemeClr>
              </a:glo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7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Ratio!$B$15:$F$15</c:f>
              <c:numCache>
                <c:formatCode>General</c:formatCode>
                <c:ptCount val="5"/>
                <c:pt idx="0">
                  <c:v>2024</c:v>
                </c:pt>
                <c:pt idx="1">
                  <c:v>2023</c:v>
                </c:pt>
                <c:pt idx="2">
                  <c:v>2022</c:v>
                </c:pt>
                <c:pt idx="3">
                  <c:v>2021</c:v>
                </c:pt>
                <c:pt idx="4">
                  <c:v>2020</c:v>
                </c:pt>
              </c:numCache>
            </c:numRef>
          </c:cat>
          <c:val>
            <c:numRef>
              <c:f>Ratio!$B$17:$F$17</c:f>
              <c:numCache>
                <c:formatCode>0%</c:formatCode>
                <c:ptCount val="5"/>
                <c:pt idx="0">
                  <c:v>0.28868083640811487</c:v>
                </c:pt>
                <c:pt idx="1">
                  <c:v>0.23203324002216635</c:v>
                </c:pt>
                <c:pt idx="2">
                  <c:v>0.28059275800505207</c:v>
                </c:pt>
                <c:pt idx="3">
                  <c:v>0.31877601330997085</c:v>
                </c:pt>
                <c:pt idx="4">
                  <c:v>0.28674432224897506</c:v>
                </c:pt>
              </c:numCache>
            </c:numRef>
          </c:val>
          <c:smooth val="0"/>
          <c:extLst>
            <c:ext xmlns:c16="http://schemas.microsoft.com/office/drawing/2014/chart" uri="{C3380CC4-5D6E-409C-BE32-E72D297353CC}">
              <c16:uniqueId val="{00000001-1662-42A1-8145-FD05BD047701}"/>
            </c:ext>
          </c:extLst>
        </c:ser>
        <c:dLbls>
          <c:dLblPos val="t"/>
          <c:showLegendKey val="0"/>
          <c:showVal val="1"/>
          <c:showCatName val="0"/>
          <c:showSerName val="0"/>
          <c:showPercent val="0"/>
          <c:showBubbleSize val="0"/>
        </c:dLbls>
        <c:upDownBars>
          <c:gapWidth val="315"/>
          <c:upBars>
            <c:spPr>
              <a:solidFill>
                <a:schemeClr val="lt1">
                  <a:lumMod val="85000"/>
                </a:schemeClr>
              </a:solidFill>
              <a:ln w="9525">
                <a:solidFill>
                  <a:schemeClr val="dk1">
                    <a:lumMod val="50000"/>
                  </a:schemeClr>
                </a:solidFill>
                <a:round/>
              </a:ln>
              <a:effectLst/>
            </c:spPr>
          </c:upBars>
          <c:downBars>
            <c:spPr>
              <a:solidFill>
                <a:schemeClr val="dk1">
                  <a:lumMod val="50000"/>
                  <a:lumOff val="50000"/>
                </a:schemeClr>
              </a:solidFill>
              <a:ln w="9525">
                <a:solidFill>
                  <a:schemeClr val="dk1">
                    <a:lumMod val="75000"/>
                  </a:schemeClr>
                </a:solidFill>
                <a:round/>
              </a:ln>
              <a:effectLst/>
            </c:spPr>
          </c:downBars>
        </c:upDownBars>
        <c:smooth val="0"/>
        <c:axId val="368323408"/>
        <c:axId val="368321112"/>
      </c:lineChart>
      <c:catAx>
        <c:axId val="368323408"/>
        <c:scaling>
          <c:orientation val="minMax"/>
        </c:scaling>
        <c:delete val="0"/>
        <c:axPos val="b"/>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68321112"/>
        <c:crosses val="autoZero"/>
        <c:auto val="1"/>
        <c:lblAlgn val="ctr"/>
        <c:lblOffset val="100"/>
        <c:noMultiLvlLbl val="0"/>
      </c:catAx>
      <c:valAx>
        <c:axId val="368321112"/>
        <c:scaling>
          <c:orientation val="minMax"/>
        </c:scaling>
        <c:delete val="0"/>
        <c:axPos val="l"/>
        <c:majorGridlines>
          <c:spPr>
            <a:ln w="9525" cap="flat" cmpd="sng" algn="ctr">
              <a:gradFill>
                <a:gsLst>
                  <a:gs pos="100000">
                    <a:schemeClr val="dk1">
                      <a:lumMod val="75000"/>
                      <a:lumOff val="25000"/>
                    </a:schemeClr>
                  </a:gs>
                  <a:gs pos="0">
                    <a:schemeClr val="dk1">
                      <a:lumMod val="65000"/>
                      <a:lumOff val="35000"/>
                    </a:schemeClr>
                  </a:gs>
                </a:gsLst>
                <a:lin ang="5400000" scaled="0"/>
              </a:gra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368323408"/>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zero"/>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IN"/>
              <a:t>Leverage Ratio </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Ratio!$A$24</c:f>
              <c:strCache>
                <c:ptCount val="1"/>
                <c:pt idx="0">
                  <c:v>Total debt ratio = Debt/ Total assets </c:v>
                </c:pt>
              </c:strCache>
            </c:strRef>
          </c:tx>
          <c:spPr>
            <a:solidFill>
              <a:schemeClr val="accent2"/>
            </a:solidFill>
            <a:ln>
              <a:noFill/>
            </a:ln>
            <a:effectLst/>
          </c:spPr>
          <c:invertIfNegative val="0"/>
          <c:cat>
            <c:numRef>
              <c:f>Ratio!$B$23:$F$23</c:f>
              <c:numCache>
                <c:formatCode>General</c:formatCode>
                <c:ptCount val="5"/>
                <c:pt idx="0">
                  <c:v>2024</c:v>
                </c:pt>
                <c:pt idx="1">
                  <c:v>2023</c:v>
                </c:pt>
                <c:pt idx="2">
                  <c:v>2022</c:v>
                </c:pt>
                <c:pt idx="3">
                  <c:v>2021</c:v>
                </c:pt>
                <c:pt idx="4">
                  <c:v>2020</c:v>
                </c:pt>
              </c:numCache>
            </c:numRef>
          </c:cat>
          <c:val>
            <c:numRef>
              <c:f>Ratio!$B$24:$F$24</c:f>
              <c:numCache>
                <c:formatCode>0.00</c:formatCode>
                <c:ptCount val="5"/>
                <c:pt idx="0">
                  <c:v>0.52650964577521853</c:v>
                </c:pt>
                <c:pt idx="1">
                  <c:v>0.4972349608848125</c:v>
                </c:pt>
                <c:pt idx="2">
                  <c:v>0.46762059095966979</c:v>
                </c:pt>
                <c:pt idx="3">
                  <c:v>0.4592924827764584</c:v>
                </c:pt>
                <c:pt idx="4">
                  <c:v>0.38603343197005624</c:v>
                </c:pt>
              </c:numCache>
            </c:numRef>
          </c:val>
          <c:extLst>
            <c:ext xmlns:c16="http://schemas.microsoft.com/office/drawing/2014/chart" uri="{C3380CC4-5D6E-409C-BE32-E72D297353CC}">
              <c16:uniqueId val="{00000000-E4EB-431B-882F-8726DD731162}"/>
            </c:ext>
          </c:extLst>
        </c:ser>
        <c:ser>
          <c:idx val="1"/>
          <c:order val="1"/>
          <c:tx>
            <c:strRef>
              <c:f>Ratio!$A$25</c:f>
              <c:strCache>
                <c:ptCount val="1"/>
                <c:pt idx="0">
                  <c:v>Total debt/ T equity = Debt to equity ratio </c:v>
                </c:pt>
              </c:strCache>
            </c:strRef>
          </c:tx>
          <c:spPr>
            <a:solidFill>
              <a:schemeClr val="accent4"/>
            </a:solidFill>
            <a:ln>
              <a:noFill/>
            </a:ln>
            <a:effectLst/>
          </c:spPr>
          <c:invertIfNegative val="0"/>
          <c:cat>
            <c:numRef>
              <c:f>Ratio!$B$23:$F$23</c:f>
              <c:numCache>
                <c:formatCode>General</c:formatCode>
                <c:ptCount val="5"/>
                <c:pt idx="0">
                  <c:v>2024</c:v>
                </c:pt>
                <c:pt idx="1">
                  <c:v>2023</c:v>
                </c:pt>
                <c:pt idx="2">
                  <c:v>2022</c:v>
                </c:pt>
                <c:pt idx="3">
                  <c:v>2021</c:v>
                </c:pt>
                <c:pt idx="4">
                  <c:v>2020</c:v>
                </c:pt>
              </c:numCache>
            </c:numRef>
          </c:cat>
          <c:val>
            <c:numRef>
              <c:f>Ratio!$B$25:$F$25</c:f>
              <c:numCache>
                <c:formatCode>0.00</c:formatCode>
                <c:ptCount val="5"/>
                <c:pt idx="0">
                  <c:v>1.1119754416903431</c:v>
                </c:pt>
                <c:pt idx="1">
                  <c:v>0.98900067069081155</c:v>
                </c:pt>
                <c:pt idx="2">
                  <c:v>0.87835964918817011</c:v>
                </c:pt>
                <c:pt idx="3">
                  <c:v>0.84942869878129657</c:v>
                </c:pt>
                <c:pt idx="4">
                  <c:v>0.62875317984941004</c:v>
                </c:pt>
              </c:numCache>
            </c:numRef>
          </c:val>
          <c:extLst>
            <c:ext xmlns:c16="http://schemas.microsoft.com/office/drawing/2014/chart" uri="{C3380CC4-5D6E-409C-BE32-E72D297353CC}">
              <c16:uniqueId val="{00000001-E4EB-431B-882F-8726DD731162}"/>
            </c:ext>
          </c:extLst>
        </c:ser>
        <c:ser>
          <c:idx val="2"/>
          <c:order val="2"/>
          <c:tx>
            <c:strRef>
              <c:f>Ratio!$A$26</c:f>
              <c:strCache>
                <c:ptCount val="1"/>
                <c:pt idx="0">
                  <c:v>Shaeholder's Equity/Total Asset= Equity Ratio</c:v>
                </c:pt>
              </c:strCache>
            </c:strRef>
          </c:tx>
          <c:spPr>
            <a:solidFill>
              <a:schemeClr val="accent6"/>
            </a:solidFill>
            <a:ln>
              <a:noFill/>
            </a:ln>
            <a:effectLst/>
          </c:spPr>
          <c:invertIfNegative val="0"/>
          <c:cat>
            <c:numRef>
              <c:f>Ratio!$B$23:$F$23</c:f>
              <c:numCache>
                <c:formatCode>General</c:formatCode>
                <c:ptCount val="5"/>
                <c:pt idx="0">
                  <c:v>2024</c:v>
                </c:pt>
                <c:pt idx="1">
                  <c:v>2023</c:v>
                </c:pt>
                <c:pt idx="2">
                  <c:v>2022</c:v>
                </c:pt>
                <c:pt idx="3">
                  <c:v>2021</c:v>
                </c:pt>
                <c:pt idx="4">
                  <c:v>2020</c:v>
                </c:pt>
              </c:numCache>
            </c:numRef>
          </c:cat>
          <c:val>
            <c:numRef>
              <c:f>Ratio!$B$26:$F$26</c:f>
              <c:numCache>
                <c:formatCode>0.00</c:formatCode>
                <c:ptCount val="5"/>
                <c:pt idx="0">
                  <c:v>0.47349035422478153</c:v>
                </c:pt>
                <c:pt idx="1">
                  <c:v>0.50276503911518744</c:v>
                </c:pt>
                <c:pt idx="2">
                  <c:v>0.53237940904033021</c:v>
                </c:pt>
                <c:pt idx="3">
                  <c:v>0.5407075172235416</c:v>
                </c:pt>
                <c:pt idx="4">
                  <c:v>0.61396656802994376</c:v>
                </c:pt>
              </c:numCache>
            </c:numRef>
          </c:val>
          <c:extLst>
            <c:ext xmlns:c16="http://schemas.microsoft.com/office/drawing/2014/chart" uri="{C3380CC4-5D6E-409C-BE32-E72D297353CC}">
              <c16:uniqueId val="{00000002-E4EB-431B-882F-8726DD731162}"/>
            </c:ext>
          </c:extLst>
        </c:ser>
        <c:dLbls>
          <c:showLegendKey val="0"/>
          <c:showVal val="0"/>
          <c:showCatName val="0"/>
          <c:showSerName val="0"/>
          <c:showPercent val="0"/>
          <c:showBubbleSize val="0"/>
        </c:dLbls>
        <c:gapWidth val="267"/>
        <c:overlap val="-43"/>
        <c:axId val="503858104"/>
        <c:axId val="503858432"/>
      </c:barChart>
      <c:catAx>
        <c:axId val="503858104"/>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503858432"/>
        <c:crosses val="autoZero"/>
        <c:auto val="1"/>
        <c:lblAlgn val="ctr"/>
        <c:lblOffset val="100"/>
        <c:noMultiLvlLbl val="0"/>
      </c:catAx>
      <c:valAx>
        <c:axId val="503858432"/>
        <c:scaling>
          <c:orientation val="minMax"/>
        </c:scaling>
        <c:delete val="0"/>
        <c:axPos val="l"/>
        <c:majorGridlines>
          <c:spPr>
            <a:ln w="9525" cap="flat" cmpd="sng" algn="ctr">
              <a:solidFill>
                <a:schemeClr val="dk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503858104"/>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IN"/>
              <a:t>Effeciency Ratios </a:t>
            </a:r>
          </a:p>
        </c:rich>
      </c:tx>
      <c:overlay val="0"/>
      <c:spPr>
        <a:noFill/>
        <a:ln>
          <a:noFill/>
        </a:ln>
        <a:effectLst/>
      </c:spPr>
      <c:txPr>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Ratio!$A$33</c:f>
              <c:strCache>
                <c:ptCount val="1"/>
                <c:pt idx="0">
                  <c:v>Revenue/Inventory= Inventory turnover ratio</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Ratio!$B$32:$F$32</c:f>
              <c:numCache>
                <c:formatCode>General</c:formatCode>
                <c:ptCount val="5"/>
                <c:pt idx="0">
                  <c:v>2024</c:v>
                </c:pt>
                <c:pt idx="1">
                  <c:v>2023</c:v>
                </c:pt>
                <c:pt idx="2">
                  <c:v>2020</c:v>
                </c:pt>
                <c:pt idx="3">
                  <c:v>2020</c:v>
                </c:pt>
                <c:pt idx="4">
                  <c:v>2020</c:v>
                </c:pt>
              </c:numCache>
            </c:numRef>
          </c:cat>
          <c:val>
            <c:numRef>
              <c:f>Ratio!$B$33:$F$33</c:f>
              <c:numCache>
                <c:formatCode>0.00</c:formatCode>
                <c:ptCount val="5"/>
                <c:pt idx="0">
                  <c:v>4.9761073656354355</c:v>
                </c:pt>
                <c:pt idx="1">
                  <c:v>4.7631438831805877</c:v>
                </c:pt>
                <c:pt idx="2">
                  <c:v>3.8717871894193934</c:v>
                </c:pt>
                <c:pt idx="3">
                  <c:v>4.0362537090333088</c:v>
                </c:pt>
                <c:pt idx="4">
                  <c:v>5.1040438428962887</c:v>
                </c:pt>
              </c:numCache>
            </c:numRef>
          </c:val>
          <c:extLst>
            <c:ext xmlns:c16="http://schemas.microsoft.com/office/drawing/2014/chart" uri="{C3380CC4-5D6E-409C-BE32-E72D297353CC}">
              <c16:uniqueId val="{00000000-3537-4A98-B030-5737D628C1A1}"/>
            </c:ext>
          </c:extLst>
        </c:ser>
        <c:ser>
          <c:idx val="1"/>
          <c:order val="1"/>
          <c:tx>
            <c:strRef>
              <c:f>Ratio!$A$34</c:f>
              <c:strCache>
                <c:ptCount val="1"/>
                <c:pt idx="0">
                  <c:v>Accounts receivable= sales/ accounts receivable</c:v>
                </c:pt>
              </c:strCache>
            </c:strRef>
          </c:tx>
          <c:spPr>
            <a:solidFill>
              <a:schemeClr val="accent2">
                <a:alpha val="88000"/>
              </a:schemeClr>
            </a:solidFill>
            <a:ln>
              <a:solidFill>
                <a:schemeClr val="accent2">
                  <a:lumMod val="50000"/>
                </a:schemeClr>
              </a:solidFill>
            </a:ln>
            <a:effectLst/>
            <a:scene3d>
              <a:camera prst="orthographicFront"/>
              <a:lightRig rig="threePt" dir="t"/>
            </a:scene3d>
            <a:sp3d prstMaterial="flat">
              <a:contourClr>
                <a:schemeClr val="accent2">
                  <a:lumMod val="50000"/>
                </a:schemeClr>
              </a:contourClr>
            </a:sp3d>
          </c:spPr>
          <c:invertIfNegative val="0"/>
          <c:dLbls>
            <c:spPr>
              <a:solidFill>
                <a:schemeClr val="accent2">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numRef>
              <c:f>Ratio!$B$32:$F$32</c:f>
              <c:numCache>
                <c:formatCode>General</c:formatCode>
                <c:ptCount val="5"/>
                <c:pt idx="0">
                  <c:v>2024</c:v>
                </c:pt>
                <c:pt idx="1">
                  <c:v>2023</c:v>
                </c:pt>
                <c:pt idx="2">
                  <c:v>2020</c:v>
                </c:pt>
                <c:pt idx="3">
                  <c:v>2020</c:v>
                </c:pt>
                <c:pt idx="4">
                  <c:v>2020</c:v>
                </c:pt>
              </c:numCache>
            </c:numRef>
          </c:cat>
          <c:val>
            <c:numRef>
              <c:f>Ratio!$B$34:$F$34</c:f>
              <c:numCache>
                <c:formatCode>0.00</c:formatCode>
                <c:ptCount val="5"/>
                <c:pt idx="0">
                  <c:v>3.458329684188401</c:v>
                </c:pt>
                <c:pt idx="1">
                  <c:v>3.7342090305161819</c:v>
                </c:pt>
                <c:pt idx="2">
                  <c:v>4.8310665266231103</c:v>
                </c:pt>
                <c:pt idx="3">
                  <c:v>4.2003714739000886</c:v>
                </c:pt>
                <c:pt idx="4">
                  <c:v>4.749020728871308</c:v>
                </c:pt>
              </c:numCache>
            </c:numRef>
          </c:val>
          <c:extLst>
            <c:ext xmlns:c16="http://schemas.microsoft.com/office/drawing/2014/chart" uri="{C3380CC4-5D6E-409C-BE32-E72D297353CC}">
              <c16:uniqueId val="{00000001-3537-4A98-B030-5737D628C1A1}"/>
            </c:ext>
          </c:extLst>
        </c:ser>
        <c:dLbls>
          <c:showLegendKey val="0"/>
          <c:showVal val="1"/>
          <c:showCatName val="0"/>
          <c:showSerName val="0"/>
          <c:showPercent val="0"/>
          <c:showBubbleSize val="0"/>
        </c:dLbls>
        <c:gapWidth val="84"/>
        <c:gapDepth val="53"/>
        <c:shape val="box"/>
        <c:axId val="497174312"/>
        <c:axId val="503722592"/>
        <c:axId val="0"/>
      </c:bar3DChart>
      <c:catAx>
        <c:axId val="49717431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03722592"/>
        <c:crosses val="autoZero"/>
        <c:auto val="1"/>
        <c:lblAlgn val="ctr"/>
        <c:lblOffset val="100"/>
        <c:noMultiLvlLbl val="0"/>
      </c:catAx>
      <c:valAx>
        <c:axId val="503722592"/>
        <c:scaling>
          <c:orientation val="minMax"/>
        </c:scaling>
        <c:delete val="1"/>
        <c:axPos val="l"/>
        <c:numFmt formatCode="0.00" sourceLinked="1"/>
        <c:majorTickMark val="out"/>
        <c:minorTickMark val="none"/>
        <c:tickLblPos val="nextTo"/>
        <c:crossAx val="49717431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showDLblsOverMax val="0"/>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IN"/>
              <a:t>Invesrment Ratios</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areaChart>
        <c:grouping val="stacked"/>
        <c:varyColors val="0"/>
        <c:ser>
          <c:idx val="0"/>
          <c:order val="0"/>
          <c:tx>
            <c:strRef>
              <c:f>Ratio!$A$41</c:f>
              <c:strCache>
                <c:ptCount val="1"/>
                <c:pt idx="0">
                  <c:v>EPS = Net Income/Share Outstanding</c:v>
                </c:pt>
              </c:strCache>
            </c:strRef>
          </c:tx>
          <c:spPr>
            <a:solidFill>
              <a:schemeClr val="accent1">
                <a:alpha val="85000"/>
              </a:schemeClr>
            </a:solidFill>
            <a:ln>
              <a:noFill/>
            </a:ln>
            <a:effectLst>
              <a:innerShdw dist="12700" dir="16200000">
                <a:schemeClr val="lt1"/>
              </a:innerShdw>
            </a:effectLst>
          </c:spPr>
          <c:cat>
            <c:numRef>
              <c:f>Ratio!$B$40:$F$40</c:f>
              <c:numCache>
                <c:formatCode>General</c:formatCode>
                <c:ptCount val="5"/>
                <c:pt idx="0">
                  <c:v>2024</c:v>
                </c:pt>
                <c:pt idx="1">
                  <c:v>2023</c:v>
                </c:pt>
                <c:pt idx="2">
                  <c:v>2022</c:v>
                </c:pt>
                <c:pt idx="3">
                  <c:v>2021</c:v>
                </c:pt>
                <c:pt idx="4">
                  <c:v>2020</c:v>
                </c:pt>
              </c:numCache>
            </c:numRef>
          </c:cat>
          <c:val>
            <c:numRef>
              <c:f>Ratio!$B$41:$F$41</c:f>
              <c:numCache>
                <c:formatCode>General</c:formatCode>
                <c:ptCount val="5"/>
                <c:pt idx="0">
                  <c:v>-22.604891815616181</c:v>
                </c:pt>
                <c:pt idx="1">
                  <c:v>-75.976798143851511</c:v>
                </c:pt>
                <c:pt idx="2">
                  <c:v>0.33944954128440369</c:v>
                </c:pt>
                <c:pt idx="3">
                  <c:v>4.854395604395604</c:v>
                </c:pt>
                <c:pt idx="4">
                  <c:v>33.95422535211268</c:v>
                </c:pt>
              </c:numCache>
            </c:numRef>
          </c:val>
          <c:extLst>
            <c:ext xmlns:c16="http://schemas.microsoft.com/office/drawing/2014/chart" uri="{C3380CC4-5D6E-409C-BE32-E72D297353CC}">
              <c16:uniqueId val="{00000000-FB52-4018-8726-11663D2CF131}"/>
            </c:ext>
          </c:extLst>
        </c:ser>
        <c:ser>
          <c:idx val="1"/>
          <c:order val="1"/>
          <c:tx>
            <c:strRef>
              <c:f>Ratio!$A$42</c:f>
              <c:strCache>
                <c:ptCount val="1"/>
                <c:pt idx="0">
                  <c:v>Price Earning Ratio = Market Price /EPS</c:v>
                </c:pt>
              </c:strCache>
            </c:strRef>
          </c:tx>
          <c:spPr>
            <a:solidFill>
              <a:schemeClr val="accent2">
                <a:alpha val="85000"/>
              </a:schemeClr>
            </a:solidFill>
            <a:ln>
              <a:noFill/>
            </a:ln>
            <a:effectLst>
              <a:innerShdw dist="12700" dir="16200000">
                <a:schemeClr val="lt1"/>
              </a:innerShdw>
            </a:effectLst>
          </c:spPr>
          <c:cat>
            <c:numRef>
              <c:f>Ratio!$B$40:$F$40</c:f>
              <c:numCache>
                <c:formatCode>General</c:formatCode>
                <c:ptCount val="5"/>
                <c:pt idx="0">
                  <c:v>2024</c:v>
                </c:pt>
                <c:pt idx="1">
                  <c:v>2023</c:v>
                </c:pt>
                <c:pt idx="2">
                  <c:v>2022</c:v>
                </c:pt>
                <c:pt idx="3">
                  <c:v>2021</c:v>
                </c:pt>
                <c:pt idx="4">
                  <c:v>2020</c:v>
                </c:pt>
              </c:numCache>
            </c:numRef>
          </c:cat>
          <c:val>
            <c:numRef>
              <c:f>Ratio!$B$42:$F$42</c:f>
              <c:numCache>
                <c:formatCode>General</c:formatCode>
                <c:ptCount val="5"/>
                <c:pt idx="0">
                  <c:v>-0.47777269133130801</c:v>
                </c:pt>
                <c:pt idx="1">
                  <c:v>-1.579429548647163</c:v>
                </c:pt>
                <c:pt idx="2">
                  <c:v>232.14054054054051</c:v>
                </c:pt>
                <c:pt idx="3">
                  <c:v>20.064289756649693</c:v>
                </c:pt>
                <c:pt idx="4">
                  <c:v>4.564969407860624</c:v>
                </c:pt>
              </c:numCache>
            </c:numRef>
          </c:val>
          <c:extLst>
            <c:ext xmlns:c16="http://schemas.microsoft.com/office/drawing/2014/chart" uri="{C3380CC4-5D6E-409C-BE32-E72D297353CC}">
              <c16:uniqueId val="{00000001-FB52-4018-8726-11663D2CF131}"/>
            </c:ext>
          </c:extLst>
        </c:ser>
        <c:dLbls>
          <c:showLegendKey val="0"/>
          <c:showVal val="0"/>
          <c:showCatName val="0"/>
          <c:showSerName val="0"/>
          <c:showPercent val="0"/>
          <c:showBubbleSize val="0"/>
        </c:dLbls>
        <c:axId val="529692312"/>
        <c:axId val="529686080"/>
      </c:areaChart>
      <c:catAx>
        <c:axId val="52969231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29686080"/>
        <c:crosses val="autoZero"/>
        <c:auto val="1"/>
        <c:lblAlgn val="ctr"/>
        <c:lblOffset val="100"/>
        <c:noMultiLvlLbl val="0"/>
      </c:catAx>
      <c:valAx>
        <c:axId val="529686080"/>
        <c:scaling>
          <c:orientation val="minMax"/>
        </c:scaling>
        <c:delete val="0"/>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29692312"/>
        <c:crosses val="autoZero"/>
        <c:crossBetween val="midCat"/>
      </c:valAx>
      <c:spPr>
        <a:noFill/>
        <a:ln>
          <a:noFill/>
        </a:ln>
        <a:effectLst/>
      </c:spPr>
    </c:plotArea>
    <c:legend>
      <c:legendPos val="b"/>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IN"/>
              <a:t>Cash Flow Ratios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Ratio!$A$49</c:f>
              <c:strCache>
                <c:ptCount val="1"/>
                <c:pt idx="0">
                  <c:v>OCF (Operating Cash Flow) = OCF/CL</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sp3d/>
          </c:spPr>
          <c:invertIfNegative val="0"/>
          <c:cat>
            <c:numRef>
              <c:f>Ratio!$B$48:$F$48</c:f>
              <c:numCache>
                <c:formatCode>General</c:formatCode>
                <c:ptCount val="5"/>
                <c:pt idx="0">
                  <c:v>2024</c:v>
                </c:pt>
                <c:pt idx="1">
                  <c:v>2023</c:v>
                </c:pt>
                <c:pt idx="2">
                  <c:v>2022</c:v>
                </c:pt>
                <c:pt idx="3">
                  <c:v>2021</c:v>
                </c:pt>
                <c:pt idx="4">
                  <c:v>2020</c:v>
                </c:pt>
              </c:numCache>
            </c:numRef>
          </c:cat>
          <c:val>
            <c:numRef>
              <c:f>Ratio!$B$49:$F$49</c:f>
              <c:numCache>
                <c:formatCode>General</c:formatCode>
                <c:ptCount val="5"/>
                <c:pt idx="0">
                  <c:v>9.3637667334213567E-2</c:v>
                </c:pt>
                <c:pt idx="1">
                  <c:v>0.15631593317943754</c:v>
                </c:pt>
                <c:pt idx="2">
                  <c:v>5.0472807232310728E-2</c:v>
                </c:pt>
                <c:pt idx="3">
                  <c:v>0.18581833781545942</c:v>
                </c:pt>
                <c:pt idx="4">
                  <c:v>0.40884630382708487</c:v>
                </c:pt>
              </c:numCache>
            </c:numRef>
          </c:val>
          <c:extLst>
            <c:ext xmlns:c16="http://schemas.microsoft.com/office/drawing/2014/chart" uri="{C3380CC4-5D6E-409C-BE32-E72D297353CC}">
              <c16:uniqueId val="{00000000-AF1D-4F55-850D-177240A86818}"/>
            </c:ext>
          </c:extLst>
        </c:ser>
        <c:ser>
          <c:idx val="1"/>
          <c:order val="1"/>
          <c:tx>
            <c:strRef>
              <c:f>Ratio!$A$50</c:f>
              <c:strCache>
                <c:ptCount val="1"/>
                <c:pt idx="0">
                  <c:v>Cash Flow to Debt Ratio = (OCF/Total Debt) </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sp3d/>
          </c:spPr>
          <c:invertIfNegative val="0"/>
          <c:cat>
            <c:numRef>
              <c:f>Ratio!$B$48:$F$48</c:f>
              <c:numCache>
                <c:formatCode>General</c:formatCode>
                <c:ptCount val="5"/>
                <c:pt idx="0">
                  <c:v>2024</c:v>
                </c:pt>
                <c:pt idx="1">
                  <c:v>2023</c:v>
                </c:pt>
                <c:pt idx="2">
                  <c:v>2022</c:v>
                </c:pt>
                <c:pt idx="3">
                  <c:v>2021</c:v>
                </c:pt>
                <c:pt idx="4">
                  <c:v>2020</c:v>
                </c:pt>
              </c:numCache>
            </c:numRef>
          </c:cat>
          <c:val>
            <c:numRef>
              <c:f>Ratio!$B$50:$F$50</c:f>
              <c:numCache>
                <c:formatCode>0.000000</c:formatCode>
                <c:ptCount val="5"/>
                <c:pt idx="0">
                  <c:v>2.5334866702979863E-6</c:v>
                </c:pt>
                <c:pt idx="1">
                  <c:v>2.8421078759897734E-6</c:v>
                </c:pt>
                <c:pt idx="2">
                  <c:v>5.7355462763989459E-7</c:v>
                </c:pt>
                <c:pt idx="3">
                  <c:v>3.3181846038474895E-6</c:v>
                </c:pt>
                <c:pt idx="4">
                  <c:v>2.0442315191354243E-5</c:v>
                </c:pt>
              </c:numCache>
            </c:numRef>
          </c:val>
          <c:extLst>
            <c:ext xmlns:c16="http://schemas.microsoft.com/office/drawing/2014/chart" uri="{C3380CC4-5D6E-409C-BE32-E72D297353CC}">
              <c16:uniqueId val="{00000001-AF1D-4F55-850D-177240A86818}"/>
            </c:ext>
          </c:extLst>
        </c:ser>
        <c:dLbls>
          <c:showLegendKey val="0"/>
          <c:showVal val="0"/>
          <c:showCatName val="0"/>
          <c:showSerName val="0"/>
          <c:showPercent val="0"/>
          <c:showBubbleSize val="0"/>
        </c:dLbls>
        <c:gapWidth val="150"/>
        <c:shape val="box"/>
        <c:axId val="529691328"/>
        <c:axId val="529685752"/>
        <c:axId val="0"/>
      </c:bar3DChart>
      <c:catAx>
        <c:axId val="529691328"/>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29685752"/>
        <c:crosses val="autoZero"/>
        <c:auto val="1"/>
        <c:lblAlgn val="ctr"/>
        <c:lblOffset val="100"/>
        <c:noMultiLvlLbl val="0"/>
      </c:catAx>
      <c:valAx>
        <c:axId val="529685752"/>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296913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a:t>Trend of Liquidity</a:t>
            </a:r>
            <a:r>
              <a:rPr lang="en-IN" baseline="0"/>
              <a:t> Ratio</a:t>
            </a:r>
            <a:endParaRPr lang="en-IN"/>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'Trend Analysis'!$B$2</c:f>
              <c:strCache>
                <c:ptCount val="1"/>
                <c:pt idx="0">
                  <c:v>Current Ratio</c:v>
                </c:pt>
              </c:strCache>
            </c:strRef>
          </c:tx>
          <c:spPr>
            <a:ln w="28575" cap="rnd">
              <a:solidFill>
                <a:schemeClr val="accent1"/>
              </a:solidFill>
              <a:round/>
            </a:ln>
            <a:effectLst/>
          </c:spPr>
          <c:marker>
            <c:symbol val="none"/>
          </c:marker>
          <c:trendline>
            <c:spPr>
              <a:ln w="19050" cap="rnd">
                <a:solidFill>
                  <a:schemeClr val="accent1"/>
                </a:solidFill>
                <a:prstDash val="sysDot"/>
              </a:ln>
              <a:effectLst/>
            </c:spPr>
            <c:trendlineType val="linear"/>
            <c:dispRSqr val="0"/>
            <c:dispEq val="0"/>
          </c:trendline>
          <c:cat>
            <c:numRef>
              <c:f>'Trend Analysis'!$A$3:$A$7</c:f>
              <c:numCache>
                <c:formatCode>General</c:formatCode>
                <c:ptCount val="5"/>
                <c:pt idx="0">
                  <c:v>2020</c:v>
                </c:pt>
                <c:pt idx="1">
                  <c:v>2021</c:v>
                </c:pt>
                <c:pt idx="2">
                  <c:v>2022</c:v>
                </c:pt>
                <c:pt idx="3">
                  <c:v>2023</c:v>
                </c:pt>
                <c:pt idx="4">
                  <c:v>2024</c:v>
                </c:pt>
              </c:numCache>
            </c:numRef>
          </c:cat>
          <c:val>
            <c:numRef>
              <c:f>'Trend Analysis'!$B$3:$B$7</c:f>
              <c:numCache>
                <c:formatCode>General</c:formatCode>
                <c:ptCount val="5"/>
                <c:pt idx="0">
                  <c:v>1.82</c:v>
                </c:pt>
                <c:pt idx="1">
                  <c:v>1.56</c:v>
                </c:pt>
                <c:pt idx="2">
                  <c:v>1.56</c:v>
                </c:pt>
                <c:pt idx="3">
                  <c:v>1.61</c:v>
                </c:pt>
                <c:pt idx="4">
                  <c:v>1.53</c:v>
                </c:pt>
              </c:numCache>
            </c:numRef>
          </c:val>
          <c:smooth val="0"/>
          <c:extLst>
            <c:ext xmlns:c16="http://schemas.microsoft.com/office/drawing/2014/chart" uri="{C3380CC4-5D6E-409C-BE32-E72D297353CC}">
              <c16:uniqueId val="{00000001-C932-49F2-A86E-70CD9CD10404}"/>
            </c:ext>
          </c:extLst>
        </c:ser>
        <c:ser>
          <c:idx val="1"/>
          <c:order val="1"/>
          <c:tx>
            <c:strRef>
              <c:f>'Trend Analysis'!$C$2</c:f>
              <c:strCache>
                <c:ptCount val="1"/>
                <c:pt idx="0">
                  <c:v>Acid Test</c:v>
                </c:pt>
              </c:strCache>
            </c:strRef>
          </c:tx>
          <c:spPr>
            <a:ln w="28575" cap="rnd">
              <a:solidFill>
                <a:schemeClr val="accent2"/>
              </a:solidFill>
              <a:round/>
            </a:ln>
            <a:effectLst/>
          </c:spPr>
          <c:marker>
            <c:symbol val="none"/>
          </c:marker>
          <c:trendline>
            <c:spPr>
              <a:ln w="19050" cap="rnd">
                <a:solidFill>
                  <a:schemeClr val="accent2"/>
                </a:solidFill>
                <a:prstDash val="sysDot"/>
              </a:ln>
              <a:effectLst/>
            </c:spPr>
            <c:trendlineType val="linear"/>
            <c:dispRSqr val="0"/>
            <c:dispEq val="0"/>
          </c:trendline>
          <c:cat>
            <c:numRef>
              <c:f>'Trend Analysis'!$A$3:$A$7</c:f>
              <c:numCache>
                <c:formatCode>General</c:formatCode>
                <c:ptCount val="5"/>
                <c:pt idx="0">
                  <c:v>2020</c:v>
                </c:pt>
                <c:pt idx="1">
                  <c:v>2021</c:v>
                </c:pt>
                <c:pt idx="2">
                  <c:v>2022</c:v>
                </c:pt>
                <c:pt idx="3">
                  <c:v>2023</c:v>
                </c:pt>
                <c:pt idx="4">
                  <c:v>2024</c:v>
                </c:pt>
              </c:numCache>
            </c:numRef>
          </c:cat>
          <c:val>
            <c:numRef>
              <c:f>'Trend Analysis'!$C$3:$C$7</c:f>
              <c:numCache>
                <c:formatCode>General</c:formatCode>
                <c:ptCount val="5"/>
                <c:pt idx="0">
                  <c:v>1.1499999999999999</c:v>
                </c:pt>
                <c:pt idx="1">
                  <c:v>0.93</c:v>
                </c:pt>
                <c:pt idx="2">
                  <c:v>0.91</c:v>
                </c:pt>
                <c:pt idx="3">
                  <c:v>1.06</c:v>
                </c:pt>
                <c:pt idx="4">
                  <c:v>1.03</c:v>
                </c:pt>
              </c:numCache>
            </c:numRef>
          </c:val>
          <c:smooth val="0"/>
          <c:extLst>
            <c:ext xmlns:c16="http://schemas.microsoft.com/office/drawing/2014/chart" uri="{C3380CC4-5D6E-409C-BE32-E72D297353CC}">
              <c16:uniqueId val="{00000003-C932-49F2-A86E-70CD9CD10404}"/>
            </c:ext>
          </c:extLst>
        </c:ser>
        <c:dLbls>
          <c:showLegendKey val="0"/>
          <c:showVal val="0"/>
          <c:showCatName val="0"/>
          <c:showSerName val="0"/>
          <c:showPercent val="0"/>
          <c:showBubbleSize val="0"/>
        </c:dLbls>
        <c:smooth val="0"/>
        <c:axId val="592240544"/>
        <c:axId val="592242184"/>
      </c:lineChart>
      <c:catAx>
        <c:axId val="5922405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2242184"/>
        <c:crosses val="autoZero"/>
        <c:auto val="1"/>
        <c:lblAlgn val="ctr"/>
        <c:lblOffset val="100"/>
        <c:noMultiLvlLbl val="0"/>
      </c:catAx>
      <c:valAx>
        <c:axId val="5922421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9224054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IN" sz="1800" b="0" i="0" baseline="0">
                <a:effectLst/>
              </a:rPr>
              <a:t>Trend of Profitability Ratio</a:t>
            </a:r>
            <a:endParaRPr lang="en-IN">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'Trend Analysis'!$B$10:$B$11</c:f>
              <c:strCache>
                <c:ptCount val="2"/>
                <c:pt idx="0">
                  <c:v>Profitability Ratios</c:v>
                </c:pt>
                <c:pt idx="1">
                  <c:v>Net Margin (%)</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cat>
            <c:numRef>
              <c:f>'Trend Analysis'!$A$12:$A$16</c:f>
              <c:numCache>
                <c:formatCode>General</c:formatCode>
                <c:ptCount val="5"/>
                <c:pt idx="0">
                  <c:v>2020</c:v>
                </c:pt>
                <c:pt idx="1">
                  <c:v>2021</c:v>
                </c:pt>
                <c:pt idx="2">
                  <c:v>2022</c:v>
                </c:pt>
                <c:pt idx="3">
                  <c:v>2023</c:v>
                </c:pt>
                <c:pt idx="4">
                  <c:v>2024</c:v>
                </c:pt>
              </c:numCache>
            </c:numRef>
          </c:cat>
          <c:val>
            <c:numRef>
              <c:f>'Trend Analysis'!$B$12:$B$16</c:f>
              <c:numCache>
                <c:formatCode>General</c:formatCode>
                <c:ptCount val="5"/>
                <c:pt idx="0">
                  <c:v>6</c:v>
                </c:pt>
                <c:pt idx="1">
                  <c:v>1</c:v>
                </c:pt>
                <c:pt idx="2">
                  <c:v>0</c:v>
                </c:pt>
                <c:pt idx="3">
                  <c:v>-23</c:v>
                </c:pt>
                <c:pt idx="4">
                  <c:v>-6</c:v>
                </c:pt>
              </c:numCache>
            </c:numRef>
          </c:val>
          <c:smooth val="0"/>
          <c:extLst>
            <c:ext xmlns:c16="http://schemas.microsoft.com/office/drawing/2014/chart" uri="{C3380CC4-5D6E-409C-BE32-E72D297353CC}">
              <c16:uniqueId val="{00000001-231F-4430-B8FE-6AC4FFDD513E}"/>
            </c:ext>
          </c:extLst>
        </c:ser>
        <c:ser>
          <c:idx val="1"/>
          <c:order val="1"/>
          <c:tx>
            <c:strRef>
              <c:f>'Trend Analysis'!$C$10:$C$11</c:f>
              <c:strCache>
                <c:ptCount val="2"/>
                <c:pt idx="0">
                  <c:v>Profitability Ratios</c:v>
                </c:pt>
                <c:pt idx="1">
                  <c:v>Gross Margin (%)</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trendline>
            <c:spPr>
              <a:ln w="19050" cap="rnd">
                <a:solidFill>
                  <a:schemeClr val="accent3"/>
                </a:solidFill>
                <a:prstDash val="sysDot"/>
              </a:ln>
              <a:effectLst/>
            </c:spPr>
            <c:trendlineType val="linear"/>
            <c:dispRSqr val="0"/>
            <c:dispEq val="0"/>
          </c:trendline>
          <c:trendline>
            <c:spPr>
              <a:ln w="19050" cap="rnd">
                <a:solidFill>
                  <a:schemeClr val="accent3"/>
                </a:solidFill>
                <a:prstDash val="sysDot"/>
              </a:ln>
              <a:effectLst/>
            </c:spPr>
            <c:trendlineType val="movingAvg"/>
            <c:period val="2"/>
            <c:dispRSqr val="0"/>
            <c:dispEq val="0"/>
          </c:trendline>
          <c:cat>
            <c:numRef>
              <c:f>'Trend Analysis'!$A$12:$A$16</c:f>
              <c:numCache>
                <c:formatCode>General</c:formatCode>
                <c:ptCount val="5"/>
                <c:pt idx="0">
                  <c:v>2020</c:v>
                </c:pt>
                <c:pt idx="1">
                  <c:v>2021</c:v>
                </c:pt>
                <c:pt idx="2">
                  <c:v>2022</c:v>
                </c:pt>
                <c:pt idx="3">
                  <c:v>2023</c:v>
                </c:pt>
                <c:pt idx="4">
                  <c:v>2024</c:v>
                </c:pt>
              </c:numCache>
            </c:numRef>
          </c:cat>
          <c:val>
            <c:numRef>
              <c:f>'Trend Analysis'!$C$12:$C$16</c:f>
              <c:numCache>
                <c:formatCode>General</c:formatCode>
                <c:ptCount val="5"/>
                <c:pt idx="0">
                  <c:v>29</c:v>
                </c:pt>
                <c:pt idx="1">
                  <c:v>32</c:v>
                </c:pt>
                <c:pt idx="2">
                  <c:v>28</c:v>
                </c:pt>
                <c:pt idx="3">
                  <c:v>23</c:v>
                </c:pt>
                <c:pt idx="4">
                  <c:v>29</c:v>
                </c:pt>
              </c:numCache>
            </c:numRef>
          </c:val>
          <c:smooth val="0"/>
          <c:extLst>
            <c:ext xmlns:c16="http://schemas.microsoft.com/office/drawing/2014/chart" uri="{C3380CC4-5D6E-409C-BE32-E72D297353CC}">
              <c16:uniqueId val="{00000004-231F-4430-B8FE-6AC4FFDD513E}"/>
            </c:ext>
          </c:extLst>
        </c:ser>
        <c:dLbls>
          <c:showLegendKey val="0"/>
          <c:showVal val="0"/>
          <c:showCatName val="0"/>
          <c:showSerName val="0"/>
          <c:showPercent val="0"/>
          <c:showBubbleSize val="0"/>
        </c:dLbls>
        <c:marker val="1"/>
        <c:smooth val="0"/>
        <c:axId val="611204192"/>
        <c:axId val="611202224"/>
      </c:lineChart>
      <c:catAx>
        <c:axId val="6112041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1202224"/>
        <c:crosses val="autoZero"/>
        <c:auto val="1"/>
        <c:lblAlgn val="ctr"/>
        <c:lblOffset val="100"/>
        <c:noMultiLvlLbl val="0"/>
      </c:catAx>
      <c:valAx>
        <c:axId val="6112022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112041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cap="all" spc="0" baseline="0">
                <a:gradFill>
                  <a:gsLst>
                    <a:gs pos="0">
                      <a:schemeClr val="dk1">
                        <a:lumMod val="50000"/>
                        <a:lumOff val="50000"/>
                      </a:schemeClr>
                    </a:gs>
                    <a:gs pos="100000">
                      <a:schemeClr val="dk1">
                        <a:lumMod val="85000"/>
                        <a:lumOff val="15000"/>
                      </a:schemeClr>
                    </a:gs>
                  </a:gsLst>
                  <a:lin ang="5400000" scaled="0"/>
                </a:gradFill>
                <a:latin typeface="+mn-lt"/>
                <a:ea typeface="+mn-ea"/>
                <a:cs typeface="+mn-cs"/>
              </a:defRPr>
            </a:pPr>
            <a:r>
              <a:rPr lang="en-IN" sz="1800" b="0" i="0" baseline="0">
                <a:effectLst/>
              </a:rPr>
              <a:t>Trend of Leverage Ratio</a:t>
            </a:r>
            <a:endParaRPr lang="en-IN">
              <a:effectLst/>
            </a:endParaRPr>
          </a:p>
        </c:rich>
      </c:tx>
      <c:overlay val="0"/>
      <c:spPr>
        <a:noFill/>
        <a:ln>
          <a:noFill/>
        </a:ln>
        <a:effectLst/>
      </c:spPr>
      <c:txPr>
        <a:bodyPr rot="0" spcFirstLastPara="1" vertOverflow="ellipsis" vert="horz" wrap="square" anchor="ctr" anchorCtr="1"/>
        <a:lstStyle/>
        <a:p>
          <a:pPr>
            <a:defRPr sz="1440" b="0" i="0" u="none" strike="noStrike" kern="1200" cap="all" spc="0" baseline="0">
              <a:gradFill>
                <a:gsLst>
                  <a:gs pos="0">
                    <a:schemeClr val="dk1">
                      <a:lumMod val="50000"/>
                      <a:lumOff val="50000"/>
                    </a:schemeClr>
                  </a:gs>
                  <a:gs pos="100000">
                    <a:schemeClr val="dk1">
                      <a:lumMod val="85000"/>
                      <a:lumOff val="15000"/>
                    </a:schemeClr>
                  </a:gs>
                </a:gsLst>
                <a:lin ang="5400000" scaled="0"/>
              </a:gradFill>
              <a:latin typeface="+mn-lt"/>
              <a:ea typeface="+mn-ea"/>
              <a:cs typeface="+mn-cs"/>
            </a:defRPr>
          </a:pPr>
          <a:endParaRPr lang="en-US"/>
        </a:p>
      </c:txPr>
    </c:title>
    <c:autoTitleDeleted val="0"/>
    <c:plotArea>
      <c:layout/>
      <c:lineChart>
        <c:grouping val="standard"/>
        <c:varyColors val="0"/>
        <c:ser>
          <c:idx val="0"/>
          <c:order val="0"/>
          <c:tx>
            <c:strRef>
              <c:f>'Trend Analysis'!$B$19:$B$20</c:f>
              <c:strCache>
                <c:ptCount val="2"/>
                <c:pt idx="0">
                  <c:v>Leverage Ratios</c:v>
                </c:pt>
                <c:pt idx="1">
                  <c:v>Debt Ratio</c:v>
                </c:pt>
              </c:strCache>
            </c:strRef>
          </c:tx>
          <c:spPr>
            <a:ln w="19050" cap="rnd" cmpd="sng" algn="ctr">
              <a:solidFill>
                <a:schemeClr val="accent6">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6"/>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trendline>
            <c:spPr>
              <a:ln w="9525" cap="rnd">
                <a:solidFill>
                  <a:schemeClr val="accent6"/>
                </a:solidFill>
              </a:ln>
              <a:effectLst/>
            </c:spPr>
            <c:trendlineType val="linear"/>
            <c:dispRSqr val="0"/>
            <c:dispEq val="0"/>
          </c:trendline>
          <c:cat>
            <c:numRef>
              <c:f>'Trend Analysis'!$A$21:$A$25</c:f>
              <c:numCache>
                <c:formatCode>General</c:formatCode>
                <c:ptCount val="5"/>
                <c:pt idx="0">
                  <c:v>2020</c:v>
                </c:pt>
                <c:pt idx="1">
                  <c:v>2021</c:v>
                </c:pt>
                <c:pt idx="2">
                  <c:v>2022</c:v>
                </c:pt>
                <c:pt idx="3">
                  <c:v>2023</c:v>
                </c:pt>
                <c:pt idx="4">
                  <c:v>2024</c:v>
                </c:pt>
              </c:numCache>
            </c:numRef>
          </c:cat>
          <c:val>
            <c:numRef>
              <c:f>'Trend Analysis'!$B$21:$B$25</c:f>
              <c:numCache>
                <c:formatCode>General</c:formatCode>
                <c:ptCount val="5"/>
                <c:pt idx="0">
                  <c:v>0.39</c:v>
                </c:pt>
                <c:pt idx="1">
                  <c:v>0.46</c:v>
                </c:pt>
                <c:pt idx="2">
                  <c:v>0.47</c:v>
                </c:pt>
                <c:pt idx="3">
                  <c:v>0.5</c:v>
                </c:pt>
                <c:pt idx="4">
                  <c:v>0.53</c:v>
                </c:pt>
              </c:numCache>
            </c:numRef>
          </c:val>
          <c:smooth val="0"/>
          <c:extLst>
            <c:ext xmlns:c16="http://schemas.microsoft.com/office/drawing/2014/chart" uri="{C3380CC4-5D6E-409C-BE32-E72D297353CC}">
              <c16:uniqueId val="{00000001-ED3E-4256-B951-B0E68E305DDF}"/>
            </c:ext>
          </c:extLst>
        </c:ser>
        <c:ser>
          <c:idx val="1"/>
          <c:order val="1"/>
          <c:tx>
            <c:strRef>
              <c:f>'Trend Analysis'!$C$19:$C$20</c:f>
              <c:strCache>
                <c:ptCount val="2"/>
                <c:pt idx="0">
                  <c:v>Leverage Ratios</c:v>
                </c:pt>
                <c:pt idx="1">
                  <c:v>Debt-to-Equity Ratio</c:v>
                </c:pt>
              </c:strCache>
            </c:strRef>
          </c:tx>
          <c:spPr>
            <a:ln w="19050" cap="rnd" cmpd="sng" algn="ctr">
              <a:solidFill>
                <a:schemeClr val="accent5">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5"/>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trendline>
            <c:spPr>
              <a:ln w="9525" cap="rnd">
                <a:solidFill>
                  <a:schemeClr val="accent5"/>
                </a:solidFill>
              </a:ln>
              <a:effectLst/>
            </c:spPr>
            <c:trendlineType val="linear"/>
            <c:dispRSqr val="0"/>
            <c:dispEq val="0"/>
          </c:trendline>
          <c:cat>
            <c:numRef>
              <c:f>'Trend Analysis'!$A$21:$A$25</c:f>
              <c:numCache>
                <c:formatCode>General</c:formatCode>
                <c:ptCount val="5"/>
                <c:pt idx="0">
                  <c:v>2020</c:v>
                </c:pt>
                <c:pt idx="1">
                  <c:v>2021</c:v>
                </c:pt>
                <c:pt idx="2">
                  <c:v>2022</c:v>
                </c:pt>
                <c:pt idx="3">
                  <c:v>2023</c:v>
                </c:pt>
                <c:pt idx="4">
                  <c:v>2024</c:v>
                </c:pt>
              </c:numCache>
            </c:numRef>
          </c:cat>
          <c:val>
            <c:numRef>
              <c:f>'Trend Analysis'!$C$21:$C$25</c:f>
              <c:numCache>
                <c:formatCode>General</c:formatCode>
                <c:ptCount val="5"/>
                <c:pt idx="0">
                  <c:v>0.63</c:v>
                </c:pt>
                <c:pt idx="1">
                  <c:v>0.85</c:v>
                </c:pt>
                <c:pt idx="2">
                  <c:v>0.88</c:v>
                </c:pt>
                <c:pt idx="3">
                  <c:v>0.99</c:v>
                </c:pt>
                <c:pt idx="4">
                  <c:v>1.1100000000000001</c:v>
                </c:pt>
              </c:numCache>
            </c:numRef>
          </c:val>
          <c:smooth val="0"/>
          <c:extLst>
            <c:ext xmlns:c16="http://schemas.microsoft.com/office/drawing/2014/chart" uri="{C3380CC4-5D6E-409C-BE32-E72D297353CC}">
              <c16:uniqueId val="{00000003-ED3E-4256-B951-B0E68E305DDF}"/>
            </c:ext>
          </c:extLst>
        </c:ser>
        <c:ser>
          <c:idx val="2"/>
          <c:order val="2"/>
          <c:tx>
            <c:strRef>
              <c:f>'Trend Analysis'!$D$19:$D$20</c:f>
              <c:strCache>
                <c:ptCount val="2"/>
                <c:pt idx="0">
                  <c:v>Leverage Ratios</c:v>
                </c:pt>
                <c:pt idx="1">
                  <c:v>Equity Ratio</c:v>
                </c:pt>
              </c:strCache>
            </c:strRef>
          </c:tx>
          <c:spPr>
            <a:ln w="19050" cap="rnd" cmpd="sng" algn="ctr">
              <a:solidFill>
                <a:schemeClr val="accent4">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4"/>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trendline>
            <c:spPr>
              <a:ln w="9525" cap="rnd">
                <a:solidFill>
                  <a:schemeClr val="accent4"/>
                </a:solidFill>
              </a:ln>
              <a:effectLst/>
            </c:spPr>
            <c:trendlineType val="linear"/>
            <c:dispRSqr val="0"/>
            <c:dispEq val="0"/>
          </c:trendline>
          <c:cat>
            <c:numRef>
              <c:f>'Trend Analysis'!$A$21:$A$25</c:f>
              <c:numCache>
                <c:formatCode>General</c:formatCode>
                <c:ptCount val="5"/>
                <c:pt idx="0">
                  <c:v>2020</c:v>
                </c:pt>
                <c:pt idx="1">
                  <c:v>2021</c:v>
                </c:pt>
                <c:pt idx="2">
                  <c:v>2022</c:v>
                </c:pt>
                <c:pt idx="3">
                  <c:v>2023</c:v>
                </c:pt>
                <c:pt idx="4">
                  <c:v>2024</c:v>
                </c:pt>
              </c:numCache>
            </c:numRef>
          </c:cat>
          <c:val>
            <c:numRef>
              <c:f>'Trend Analysis'!$D$21:$D$25</c:f>
              <c:numCache>
                <c:formatCode>General</c:formatCode>
                <c:ptCount val="5"/>
                <c:pt idx="0">
                  <c:v>0.61</c:v>
                </c:pt>
                <c:pt idx="1">
                  <c:v>0.54</c:v>
                </c:pt>
                <c:pt idx="2">
                  <c:v>0.53</c:v>
                </c:pt>
                <c:pt idx="3">
                  <c:v>0.5</c:v>
                </c:pt>
                <c:pt idx="4">
                  <c:v>0.47</c:v>
                </c:pt>
              </c:numCache>
            </c:numRef>
          </c:val>
          <c:smooth val="0"/>
          <c:extLst>
            <c:ext xmlns:c16="http://schemas.microsoft.com/office/drawing/2014/chart" uri="{C3380CC4-5D6E-409C-BE32-E72D297353CC}">
              <c16:uniqueId val="{00000005-ED3E-4256-B951-B0E68E305DDF}"/>
            </c:ext>
          </c:extLst>
        </c:ser>
        <c:dLbls>
          <c:dLblPos val="ctr"/>
          <c:showLegendKey val="0"/>
          <c:showVal val="1"/>
          <c:showCatName val="0"/>
          <c:showSerName val="0"/>
          <c:showPercent val="0"/>
          <c:showBubbleSize val="0"/>
        </c:dLbls>
        <c:marker val="1"/>
        <c:smooth val="0"/>
        <c:axId val="550857552"/>
        <c:axId val="550857880"/>
      </c:lineChart>
      <c:catAx>
        <c:axId val="550857552"/>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dk1">
                    <a:lumMod val="65000"/>
                    <a:lumOff val="35000"/>
                  </a:schemeClr>
                </a:solidFill>
                <a:latin typeface="+mn-lt"/>
                <a:ea typeface="+mn-ea"/>
                <a:cs typeface="+mn-cs"/>
              </a:defRPr>
            </a:pPr>
            <a:endParaRPr lang="en-US"/>
          </a:p>
        </c:txPr>
        <c:crossAx val="550857880"/>
        <c:crosses val="autoZero"/>
        <c:auto val="1"/>
        <c:lblAlgn val="ctr"/>
        <c:lblOffset val="100"/>
        <c:noMultiLvlLbl val="0"/>
      </c:catAx>
      <c:valAx>
        <c:axId val="550857880"/>
        <c:scaling>
          <c:orientation val="minMax"/>
        </c:scaling>
        <c:delete val="1"/>
        <c:axPos val="l"/>
        <c:numFmt formatCode="General" sourceLinked="1"/>
        <c:majorTickMark val="none"/>
        <c:minorTickMark val="none"/>
        <c:tickLblPos val="nextTo"/>
        <c:crossAx val="55085755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IN" sz="1800" b="0" i="0" cap="all" baseline="0">
                <a:effectLst/>
              </a:rPr>
              <a:t>Trend of Efficiency Ratio</a:t>
            </a:r>
            <a:endParaRPr lang="en-IN">
              <a:effectLst/>
            </a:endParaRP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lineChart>
        <c:grouping val="standard"/>
        <c:varyColors val="0"/>
        <c:ser>
          <c:idx val="0"/>
          <c:order val="0"/>
          <c:tx>
            <c:strRef>
              <c:f>'Trend Analysis'!$B$28:$B$29</c:f>
              <c:strCache>
                <c:ptCount val="2"/>
                <c:pt idx="0">
                  <c:v>Efficiency Ratios</c:v>
                </c:pt>
                <c:pt idx="1">
                  <c:v>Inventory Turnover</c:v>
                </c:pt>
              </c:strCache>
            </c:strRef>
          </c:tx>
          <c:spPr>
            <a:ln w="31750" cap="rnd">
              <a:solidFill>
                <a:schemeClr val="accent1"/>
              </a:solidFill>
              <a:round/>
            </a:ln>
            <a:effectLst/>
          </c:spPr>
          <c:marker>
            <c:symbol val="none"/>
          </c:marker>
          <c:trendline>
            <c:spPr>
              <a:ln w="19050" cap="rnd">
                <a:solidFill>
                  <a:schemeClr val="accent1"/>
                </a:solidFill>
                <a:prstDash val="sysDash"/>
              </a:ln>
              <a:effectLst/>
            </c:spPr>
            <c:trendlineType val="linear"/>
            <c:dispRSqr val="0"/>
            <c:dispEq val="0"/>
          </c:trendline>
          <c:cat>
            <c:numRef>
              <c:f>'Trend Analysis'!$A$30:$A$34</c:f>
              <c:numCache>
                <c:formatCode>General</c:formatCode>
                <c:ptCount val="5"/>
                <c:pt idx="0">
                  <c:v>2020</c:v>
                </c:pt>
                <c:pt idx="1">
                  <c:v>2021</c:v>
                </c:pt>
                <c:pt idx="2">
                  <c:v>2022</c:v>
                </c:pt>
                <c:pt idx="3">
                  <c:v>2023</c:v>
                </c:pt>
                <c:pt idx="4">
                  <c:v>2024</c:v>
                </c:pt>
              </c:numCache>
            </c:numRef>
          </c:cat>
          <c:val>
            <c:numRef>
              <c:f>'Trend Analysis'!$B$30:$B$34</c:f>
              <c:numCache>
                <c:formatCode>General</c:formatCode>
                <c:ptCount val="5"/>
                <c:pt idx="0">
                  <c:v>5.0999999999999996</c:v>
                </c:pt>
                <c:pt idx="1">
                  <c:v>4.04</c:v>
                </c:pt>
                <c:pt idx="2">
                  <c:v>3.87</c:v>
                </c:pt>
                <c:pt idx="3">
                  <c:v>4.76</c:v>
                </c:pt>
                <c:pt idx="4">
                  <c:v>4.9800000000000004</c:v>
                </c:pt>
              </c:numCache>
            </c:numRef>
          </c:val>
          <c:smooth val="0"/>
          <c:extLst>
            <c:ext xmlns:c16="http://schemas.microsoft.com/office/drawing/2014/chart" uri="{C3380CC4-5D6E-409C-BE32-E72D297353CC}">
              <c16:uniqueId val="{00000001-3F49-4193-99E0-F29DABAD640A}"/>
            </c:ext>
          </c:extLst>
        </c:ser>
        <c:ser>
          <c:idx val="1"/>
          <c:order val="1"/>
          <c:tx>
            <c:strRef>
              <c:f>'Trend Analysis'!$C$28:$C$29</c:f>
              <c:strCache>
                <c:ptCount val="2"/>
                <c:pt idx="0">
                  <c:v>Efficiency Ratios</c:v>
                </c:pt>
                <c:pt idx="1">
                  <c:v>Receivable Turnover</c:v>
                </c:pt>
              </c:strCache>
            </c:strRef>
          </c:tx>
          <c:spPr>
            <a:ln w="31750" cap="rnd">
              <a:solidFill>
                <a:schemeClr val="accent2"/>
              </a:solidFill>
              <a:round/>
            </a:ln>
            <a:effectLst/>
          </c:spPr>
          <c:marker>
            <c:symbol val="none"/>
          </c:marker>
          <c:trendline>
            <c:spPr>
              <a:ln w="19050" cap="rnd">
                <a:solidFill>
                  <a:schemeClr val="accent2"/>
                </a:solidFill>
                <a:prstDash val="sysDash"/>
              </a:ln>
              <a:effectLst/>
            </c:spPr>
            <c:trendlineType val="linear"/>
            <c:dispRSqr val="0"/>
            <c:dispEq val="0"/>
          </c:trendline>
          <c:cat>
            <c:numRef>
              <c:f>'Trend Analysis'!$A$30:$A$34</c:f>
              <c:numCache>
                <c:formatCode>General</c:formatCode>
                <c:ptCount val="5"/>
                <c:pt idx="0">
                  <c:v>2020</c:v>
                </c:pt>
                <c:pt idx="1">
                  <c:v>2021</c:v>
                </c:pt>
                <c:pt idx="2">
                  <c:v>2022</c:v>
                </c:pt>
                <c:pt idx="3">
                  <c:v>2023</c:v>
                </c:pt>
                <c:pt idx="4">
                  <c:v>2024</c:v>
                </c:pt>
              </c:numCache>
            </c:numRef>
          </c:cat>
          <c:val>
            <c:numRef>
              <c:f>'Trend Analysis'!$C$30:$C$34</c:f>
              <c:numCache>
                <c:formatCode>General</c:formatCode>
                <c:ptCount val="5"/>
                <c:pt idx="0">
                  <c:v>4.75</c:v>
                </c:pt>
                <c:pt idx="1">
                  <c:v>4.2</c:v>
                </c:pt>
                <c:pt idx="2">
                  <c:v>4.83</c:v>
                </c:pt>
                <c:pt idx="3">
                  <c:v>3.73</c:v>
                </c:pt>
                <c:pt idx="4">
                  <c:v>3.46</c:v>
                </c:pt>
              </c:numCache>
            </c:numRef>
          </c:val>
          <c:smooth val="0"/>
          <c:extLst>
            <c:ext xmlns:c16="http://schemas.microsoft.com/office/drawing/2014/chart" uri="{C3380CC4-5D6E-409C-BE32-E72D297353CC}">
              <c16:uniqueId val="{00000003-3F49-4193-99E0-F29DABAD640A}"/>
            </c:ext>
          </c:extLst>
        </c:ser>
        <c:dLbls>
          <c:showLegendKey val="0"/>
          <c:showVal val="0"/>
          <c:showCatName val="0"/>
          <c:showSerName val="0"/>
          <c:showPercent val="0"/>
          <c:showBubbleSize val="0"/>
        </c:dLbls>
        <c:smooth val="0"/>
        <c:axId val="611191072"/>
        <c:axId val="611192712"/>
      </c:lineChart>
      <c:catAx>
        <c:axId val="611191072"/>
        <c:scaling>
          <c:orientation val="minMax"/>
        </c:scaling>
        <c:delete val="0"/>
        <c:axPos val="b"/>
        <c:numFmt formatCode="General"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11192712"/>
        <c:crosses val="autoZero"/>
        <c:auto val="1"/>
        <c:lblAlgn val="ctr"/>
        <c:lblOffset val="100"/>
        <c:noMultiLvlLbl val="0"/>
      </c:catAx>
      <c:valAx>
        <c:axId val="611192712"/>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6111910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IN" sz="1800" b="0" i="0" cap="all" baseline="0">
                <a:effectLst/>
              </a:rPr>
              <a:t>Trend of Investment Ratio</a:t>
            </a:r>
            <a:endParaRPr lang="en-IN">
              <a:effectLst/>
            </a:endParaRP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'Trend Analysis'!$B$37:$B$38</c:f>
              <c:strCache>
                <c:ptCount val="2"/>
                <c:pt idx="0">
                  <c:v>Investment Ratios</c:v>
                </c:pt>
                <c:pt idx="1">
                  <c:v>Earnings per Share (EPS)</c:v>
                </c:pt>
              </c:strCache>
            </c:strRef>
          </c:tx>
          <c:spPr>
            <a:ln w="22225" cap="rnd">
              <a:solidFill>
                <a:schemeClr val="accent6"/>
              </a:solidFill>
              <a:round/>
            </a:ln>
            <a:effectLst/>
          </c:spPr>
          <c:marker>
            <c:symbol val="none"/>
          </c:marker>
          <c:trendline>
            <c:spPr>
              <a:ln w="19050" cap="rnd">
                <a:solidFill>
                  <a:schemeClr val="accent6"/>
                </a:solidFill>
              </a:ln>
              <a:effectLst/>
            </c:spPr>
            <c:trendlineType val="linear"/>
            <c:dispRSqr val="0"/>
            <c:dispEq val="0"/>
          </c:trendline>
          <c:cat>
            <c:numRef>
              <c:f>'Trend Analysis'!$A$39:$A$43</c:f>
              <c:numCache>
                <c:formatCode>General</c:formatCode>
                <c:ptCount val="5"/>
                <c:pt idx="0">
                  <c:v>2020</c:v>
                </c:pt>
                <c:pt idx="1">
                  <c:v>2021</c:v>
                </c:pt>
                <c:pt idx="2">
                  <c:v>2022</c:v>
                </c:pt>
                <c:pt idx="3">
                  <c:v>2023</c:v>
                </c:pt>
                <c:pt idx="4">
                  <c:v>2024</c:v>
                </c:pt>
              </c:numCache>
            </c:numRef>
          </c:cat>
          <c:val>
            <c:numRef>
              <c:f>'Trend Analysis'!$B$39:$B$43</c:f>
              <c:numCache>
                <c:formatCode>General</c:formatCode>
                <c:ptCount val="5"/>
                <c:pt idx="0">
                  <c:v>33.950000000000003</c:v>
                </c:pt>
                <c:pt idx="1">
                  <c:v>4.8499999999999996</c:v>
                </c:pt>
                <c:pt idx="2">
                  <c:v>0.34</c:v>
                </c:pt>
                <c:pt idx="3">
                  <c:v>-75.98</c:v>
                </c:pt>
                <c:pt idx="4">
                  <c:v>-22.6</c:v>
                </c:pt>
              </c:numCache>
            </c:numRef>
          </c:val>
          <c:smooth val="0"/>
          <c:extLst>
            <c:ext xmlns:c16="http://schemas.microsoft.com/office/drawing/2014/chart" uri="{C3380CC4-5D6E-409C-BE32-E72D297353CC}">
              <c16:uniqueId val="{00000001-0168-412B-B575-EEA0D43C3CEB}"/>
            </c:ext>
          </c:extLst>
        </c:ser>
        <c:ser>
          <c:idx val="1"/>
          <c:order val="1"/>
          <c:tx>
            <c:strRef>
              <c:f>'Trend Analysis'!$C$37:$C$38</c:f>
              <c:strCache>
                <c:ptCount val="2"/>
                <c:pt idx="0">
                  <c:v>Investment Ratios</c:v>
                </c:pt>
                <c:pt idx="1">
                  <c:v>Price–Earnings Ratio (P/E)</c:v>
                </c:pt>
              </c:strCache>
            </c:strRef>
          </c:tx>
          <c:spPr>
            <a:ln w="22225" cap="rnd">
              <a:solidFill>
                <a:schemeClr val="accent5"/>
              </a:solidFill>
              <a:round/>
            </a:ln>
            <a:effectLst/>
          </c:spPr>
          <c:marker>
            <c:symbol val="none"/>
          </c:marker>
          <c:trendline>
            <c:spPr>
              <a:ln w="19050" cap="rnd">
                <a:solidFill>
                  <a:schemeClr val="accent5"/>
                </a:solidFill>
              </a:ln>
              <a:effectLst/>
            </c:spPr>
            <c:trendlineType val="linear"/>
            <c:dispRSqr val="0"/>
            <c:dispEq val="0"/>
          </c:trendline>
          <c:cat>
            <c:numRef>
              <c:f>'Trend Analysis'!$A$39:$A$43</c:f>
              <c:numCache>
                <c:formatCode>General</c:formatCode>
                <c:ptCount val="5"/>
                <c:pt idx="0">
                  <c:v>2020</c:v>
                </c:pt>
                <c:pt idx="1">
                  <c:v>2021</c:v>
                </c:pt>
                <c:pt idx="2">
                  <c:v>2022</c:v>
                </c:pt>
                <c:pt idx="3">
                  <c:v>2023</c:v>
                </c:pt>
                <c:pt idx="4">
                  <c:v>2024</c:v>
                </c:pt>
              </c:numCache>
            </c:numRef>
          </c:cat>
          <c:val>
            <c:numRef>
              <c:f>'Trend Analysis'!$C$39:$C$43</c:f>
              <c:numCache>
                <c:formatCode>General</c:formatCode>
                <c:ptCount val="5"/>
                <c:pt idx="0">
                  <c:v>4.5599999999999996</c:v>
                </c:pt>
                <c:pt idx="1">
                  <c:v>20.059999999999999</c:v>
                </c:pt>
                <c:pt idx="2">
                  <c:v>232.14</c:v>
                </c:pt>
                <c:pt idx="3">
                  <c:v>-1.58</c:v>
                </c:pt>
                <c:pt idx="4">
                  <c:v>-0.48</c:v>
                </c:pt>
              </c:numCache>
            </c:numRef>
          </c:val>
          <c:smooth val="0"/>
          <c:extLst>
            <c:ext xmlns:c16="http://schemas.microsoft.com/office/drawing/2014/chart" uri="{C3380CC4-5D6E-409C-BE32-E72D297353CC}">
              <c16:uniqueId val="{00000003-0168-412B-B575-EEA0D43C3CEB}"/>
            </c:ext>
          </c:extLst>
        </c:ser>
        <c:dLbls>
          <c:showLegendKey val="0"/>
          <c:showVal val="0"/>
          <c:showCatName val="0"/>
          <c:showSerName val="0"/>
          <c:showPercent val="0"/>
          <c:showBubbleSize val="0"/>
        </c:dLbls>
        <c:smooth val="0"/>
        <c:axId val="553869712"/>
        <c:axId val="553870040"/>
      </c:lineChart>
      <c:catAx>
        <c:axId val="553869712"/>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553870040"/>
        <c:crosses val="autoZero"/>
        <c:auto val="1"/>
        <c:lblAlgn val="ctr"/>
        <c:lblOffset val="100"/>
        <c:noMultiLvlLbl val="0"/>
      </c:catAx>
      <c:valAx>
        <c:axId val="553870040"/>
        <c:scaling>
          <c:orientation val="minMax"/>
        </c:scaling>
        <c:delete val="0"/>
        <c:axPos val="l"/>
        <c:majorGridlines>
          <c:spPr>
            <a:ln w="9525" cap="flat" cmpd="sng" algn="ctr">
              <a:solidFill>
                <a:schemeClr val="dk1">
                  <a:lumMod val="15000"/>
                  <a:lumOff val="85000"/>
                  <a:alpha val="54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553869712"/>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40" b="0" i="0" u="none" strike="noStrike" kern="1200" cap="all" spc="0" baseline="0">
                <a:gradFill>
                  <a:gsLst>
                    <a:gs pos="0">
                      <a:schemeClr val="dk1">
                        <a:lumMod val="50000"/>
                        <a:lumOff val="50000"/>
                      </a:schemeClr>
                    </a:gs>
                    <a:gs pos="100000">
                      <a:schemeClr val="dk1">
                        <a:lumMod val="85000"/>
                        <a:lumOff val="15000"/>
                      </a:schemeClr>
                    </a:gs>
                  </a:gsLst>
                  <a:lin ang="5400000" scaled="0"/>
                </a:gradFill>
                <a:latin typeface="+mn-lt"/>
                <a:ea typeface="+mn-ea"/>
                <a:cs typeface="+mn-cs"/>
              </a:defRPr>
            </a:pPr>
            <a:r>
              <a:rPr lang="en-IN"/>
              <a:t>Trend of Cash Flow  Ratio</a:t>
            </a:r>
          </a:p>
        </c:rich>
      </c:tx>
      <c:overlay val="0"/>
      <c:spPr>
        <a:noFill/>
        <a:ln>
          <a:noFill/>
        </a:ln>
        <a:effectLst/>
      </c:spPr>
      <c:txPr>
        <a:bodyPr rot="0" spcFirstLastPara="1" vertOverflow="ellipsis" vert="horz" wrap="square" anchor="ctr" anchorCtr="1"/>
        <a:lstStyle/>
        <a:p>
          <a:pPr>
            <a:defRPr sz="1440" b="0" i="0" u="none" strike="noStrike" kern="1200" cap="all" spc="0" baseline="0">
              <a:gradFill>
                <a:gsLst>
                  <a:gs pos="0">
                    <a:schemeClr val="dk1">
                      <a:lumMod val="50000"/>
                      <a:lumOff val="50000"/>
                    </a:schemeClr>
                  </a:gs>
                  <a:gs pos="100000">
                    <a:schemeClr val="dk1">
                      <a:lumMod val="85000"/>
                      <a:lumOff val="15000"/>
                    </a:schemeClr>
                  </a:gs>
                </a:gsLst>
                <a:lin ang="5400000" scaled="0"/>
              </a:gradFill>
              <a:latin typeface="+mn-lt"/>
              <a:ea typeface="+mn-ea"/>
              <a:cs typeface="+mn-cs"/>
            </a:defRPr>
          </a:pPr>
          <a:endParaRPr lang="en-US"/>
        </a:p>
      </c:txPr>
    </c:title>
    <c:autoTitleDeleted val="0"/>
    <c:plotArea>
      <c:layout/>
      <c:lineChart>
        <c:grouping val="standard"/>
        <c:varyColors val="0"/>
        <c:ser>
          <c:idx val="0"/>
          <c:order val="0"/>
          <c:tx>
            <c:strRef>
              <c:f>'Trend Analysis'!$B$46:$B$47</c:f>
              <c:strCache>
                <c:ptCount val="2"/>
                <c:pt idx="0">
                  <c:v>Cash Flow Ratios</c:v>
                </c:pt>
                <c:pt idx="1">
                  <c:v>Operating Cash Flow Ratio (OCF/CL)</c:v>
                </c:pt>
              </c:strCache>
            </c:strRef>
          </c:tx>
          <c:spPr>
            <a:ln w="19050" cap="rnd" cmpd="sng" algn="ctr">
              <a:solidFill>
                <a:schemeClr val="accent1">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trendline>
            <c:spPr>
              <a:ln w="9525" cap="rnd">
                <a:solidFill>
                  <a:schemeClr val="accent1"/>
                </a:solidFill>
              </a:ln>
              <a:effectLst/>
            </c:spPr>
            <c:trendlineType val="linear"/>
            <c:dispRSqr val="0"/>
            <c:dispEq val="0"/>
          </c:trendline>
          <c:cat>
            <c:numRef>
              <c:f>'Trend Analysis'!$A$48:$A$52</c:f>
              <c:numCache>
                <c:formatCode>General</c:formatCode>
                <c:ptCount val="5"/>
                <c:pt idx="0">
                  <c:v>2020</c:v>
                </c:pt>
                <c:pt idx="1">
                  <c:v>2021</c:v>
                </c:pt>
                <c:pt idx="2">
                  <c:v>2022</c:v>
                </c:pt>
                <c:pt idx="3">
                  <c:v>2023</c:v>
                </c:pt>
                <c:pt idx="4">
                  <c:v>2024</c:v>
                </c:pt>
              </c:numCache>
            </c:numRef>
          </c:cat>
          <c:val>
            <c:numRef>
              <c:f>'Trend Analysis'!$B$48:$B$52</c:f>
              <c:numCache>
                <c:formatCode>General</c:formatCode>
                <c:ptCount val="5"/>
                <c:pt idx="0">
                  <c:v>0.41</c:v>
                </c:pt>
                <c:pt idx="1">
                  <c:v>0.19</c:v>
                </c:pt>
                <c:pt idx="2">
                  <c:v>0.05</c:v>
                </c:pt>
                <c:pt idx="3">
                  <c:v>0.16</c:v>
                </c:pt>
                <c:pt idx="4">
                  <c:v>0.09</c:v>
                </c:pt>
              </c:numCache>
            </c:numRef>
          </c:val>
          <c:smooth val="0"/>
          <c:extLst>
            <c:ext xmlns:c16="http://schemas.microsoft.com/office/drawing/2014/chart" uri="{C3380CC4-5D6E-409C-BE32-E72D297353CC}">
              <c16:uniqueId val="{00000001-174E-4B3D-93D9-C22ADD063A7C}"/>
            </c:ext>
          </c:extLst>
        </c:ser>
        <c:ser>
          <c:idx val="1"/>
          <c:order val="1"/>
          <c:tx>
            <c:strRef>
              <c:f>'Trend Analysis'!$C$46:$C$47</c:f>
              <c:strCache>
                <c:ptCount val="2"/>
                <c:pt idx="0">
                  <c:v>Cash Flow Ratios</c:v>
                </c:pt>
                <c:pt idx="1">
                  <c:v>Cash Flow to Debt Ratio</c:v>
                </c:pt>
              </c:strCache>
            </c:strRef>
          </c:tx>
          <c:spPr>
            <a:ln w="19050" cap="rnd" cmpd="sng" algn="ctr">
              <a:solidFill>
                <a:schemeClr val="accent2">
                  <a:shade val="95000"/>
                  <a:satMod val="105000"/>
                </a:schemeClr>
              </a:solidFill>
              <a:round/>
            </a:ln>
            <a:effectLst/>
          </c:spPr>
          <c:marker>
            <c:symbol val="circle"/>
            <c:size val="17"/>
            <c:spPr>
              <a:solidFill>
                <a:schemeClr val="lt1"/>
              </a:solidFill>
              <a:ln>
                <a:no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accent2"/>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35000"/>
                          <a:lumOff val="65000"/>
                        </a:schemeClr>
                      </a:solidFill>
                    </a:ln>
                    <a:effectLst/>
                  </c:spPr>
                </c15:leaderLines>
              </c:ext>
            </c:extLst>
          </c:dLbls>
          <c:trendline>
            <c:spPr>
              <a:ln w="9525" cap="rnd">
                <a:solidFill>
                  <a:schemeClr val="accent2"/>
                </a:solidFill>
              </a:ln>
              <a:effectLst/>
            </c:spPr>
            <c:trendlineType val="linear"/>
            <c:dispRSqr val="0"/>
            <c:dispEq val="0"/>
          </c:trendline>
          <c:cat>
            <c:numRef>
              <c:f>'Trend Analysis'!$A$48:$A$52</c:f>
              <c:numCache>
                <c:formatCode>General</c:formatCode>
                <c:ptCount val="5"/>
                <c:pt idx="0">
                  <c:v>2020</c:v>
                </c:pt>
                <c:pt idx="1">
                  <c:v>2021</c:v>
                </c:pt>
                <c:pt idx="2">
                  <c:v>2022</c:v>
                </c:pt>
                <c:pt idx="3">
                  <c:v>2023</c:v>
                </c:pt>
                <c:pt idx="4">
                  <c:v>2024</c:v>
                </c:pt>
              </c:numCache>
            </c:numRef>
          </c:cat>
          <c:val>
            <c:numRef>
              <c:f>'Trend Analysis'!$C$48:$C$52</c:f>
              <c:numCache>
                <c:formatCode>General</c:formatCode>
                <c:ptCount val="5"/>
                <c:pt idx="0">
                  <c:v>2.0000000000000002E-5</c:v>
                </c:pt>
                <c:pt idx="1">
                  <c:v>3.0000000000000001E-6</c:v>
                </c:pt>
                <c:pt idx="2">
                  <c:v>9.9999999999999995E-7</c:v>
                </c:pt>
                <c:pt idx="3">
                  <c:v>3.0000000000000001E-6</c:v>
                </c:pt>
                <c:pt idx="4">
                  <c:v>3.0000000000000001E-6</c:v>
                </c:pt>
              </c:numCache>
            </c:numRef>
          </c:val>
          <c:smooth val="0"/>
          <c:extLst>
            <c:ext xmlns:c16="http://schemas.microsoft.com/office/drawing/2014/chart" uri="{C3380CC4-5D6E-409C-BE32-E72D297353CC}">
              <c16:uniqueId val="{00000003-174E-4B3D-93D9-C22ADD063A7C}"/>
            </c:ext>
          </c:extLst>
        </c:ser>
        <c:dLbls>
          <c:dLblPos val="ctr"/>
          <c:showLegendKey val="0"/>
          <c:showVal val="1"/>
          <c:showCatName val="0"/>
          <c:showSerName val="0"/>
          <c:showPercent val="0"/>
          <c:showBubbleSize val="0"/>
        </c:dLbls>
        <c:marker val="1"/>
        <c:smooth val="0"/>
        <c:axId val="496396224"/>
        <c:axId val="496397536"/>
      </c:lineChart>
      <c:catAx>
        <c:axId val="496396224"/>
        <c:scaling>
          <c:orientation val="minMax"/>
        </c:scaling>
        <c:delete val="0"/>
        <c:axPos val="b"/>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dk1">
                    <a:lumMod val="65000"/>
                    <a:lumOff val="35000"/>
                  </a:schemeClr>
                </a:solidFill>
                <a:latin typeface="+mn-lt"/>
                <a:ea typeface="+mn-ea"/>
                <a:cs typeface="+mn-cs"/>
              </a:defRPr>
            </a:pPr>
            <a:endParaRPr lang="en-US"/>
          </a:p>
        </c:txPr>
        <c:crossAx val="496397536"/>
        <c:crosses val="autoZero"/>
        <c:auto val="1"/>
        <c:lblAlgn val="ctr"/>
        <c:lblOffset val="100"/>
        <c:noMultiLvlLbl val="0"/>
      </c:catAx>
      <c:valAx>
        <c:axId val="496397536"/>
        <c:scaling>
          <c:orientation val="minMax"/>
        </c:scaling>
        <c:delete val="1"/>
        <c:axPos val="l"/>
        <c:numFmt formatCode="General" sourceLinked="1"/>
        <c:majorTickMark val="none"/>
        <c:minorTickMark val="none"/>
        <c:tickLblPos val="nextTo"/>
        <c:crossAx val="4963962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cap="all" spc="150" baseline="0">
              <a:solidFill>
                <a:schemeClr val="tx1">
                  <a:lumMod val="50000"/>
                  <a:lumOff val="50000"/>
                </a:schemeClr>
              </a:solidFill>
              <a:latin typeface="+mn-lt"/>
              <a:ea typeface="+mn-ea"/>
              <a:cs typeface="+mn-cs"/>
            </a:defRPr>
          </a:pPr>
          <a:endParaRPr lang="en-US"/>
        </a:p>
      </c:txPr>
    </c:title>
    <c:autoTitleDeleted val="0"/>
    <c:plotArea>
      <c:layout/>
      <c:barChart>
        <c:barDir val="col"/>
        <c:grouping val="clustered"/>
        <c:varyColors val="0"/>
        <c:ser>
          <c:idx val="0"/>
          <c:order val="0"/>
          <c:tx>
            <c:strRef>
              <c:f>CCC!$A$14</c:f>
              <c:strCache>
                <c:ptCount val="1"/>
                <c:pt idx="0">
                  <c:v>Cash Conversion Cycle (Inventory Days+Receivable Days+Payble Days) </c:v>
                </c:pt>
              </c:strCache>
            </c:strRef>
          </c:tx>
          <c:spPr>
            <a:pattFill prst="narHorz">
              <a:fgClr>
                <a:schemeClr val="accent6"/>
              </a:fgClr>
              <a:bgClr>
                <a:schemeClr val="accent6">
                  <a:lumMod val="20000"/>
                  <a:lumOff val="80000"/>
                </a:schemeClr>
              </a:bgClr>
            </a:pattFill>
            <a:ln>
              <a:noFill/>
            </a:ln>
            <a:effectLst>
              <a:innerShdw blurRad="114300">
                <a:schemeClr val="accent6"/>
              </a:inn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numRef>
              <c:f>CCC!$B$13:$F$13</c:f>
              <c:numCache>
                <c:formatCode>General</c:formatCode>
                <c:ptCount val="5"/>
                <c:pt idx="0">
                  <c:v>2024</c:v>
                </c:pt>
                <c:pt idx="1">
                  <c:v>2023</c:v>
                </c:pt>
                <c:pt idx="2">
                  <c:v>2022</c:v>
                </c:pt>
                <c:pt idx="3">
                  <c:v>2021</c:v>
                </c:pt>
                <c:pt idx="4">
                  <c:v>2020</c:v>
                </c:pt>
              </c:numCache>
            </c:numRef>
          </c:cat>
          <c:val>
            <c:numRef>
              <c:f>CCC!$B$14:$F$14</c:f>
              <c:numCache>
                <c:formatCode>General</c:formatCode>
                <c:ptCount val="5"/>
                <c:pt idx="0">
                  <c:v>68.783298962549608</c:v>
                </c:pt>
                <c:pt idx="1">
                  <c:v>68.551887651044808</c:v>
                </c:pt>
                <c:pt idx="2">
                  <c:v>26.841861663695823</c:v>
                </c:pt>
                <c:pt idx="3">
                  <c:v>64.85820483310259</c:v>
                </c:pt>
                <c:pt idx="4">
                  <c:v>76.126673723375475</c:v>
                </c:pt>
              </c:numCache>
            </c:numRef>
          </c:val>
          <c:extLst>
            <c:ext xmlns:c16="http://schemas.microsoft.com/office/drawing/2014/chart" uri="{C3380CC4-5D6E-409C-BE32-E72D297353CC}">
              <c16:uniqueId val="{00000000-2F62-491F-A66E-2574460BC072}"/>
            </c:ext>
          </c:extLst>
        </c:ser>
        <c:dLbls>
          <c:dLblPos val="inEnd"/>
          <c:showLegendKey val="0"/>
          <c:showVal val="1"/>
          <c:showCatName val="0"/>
          <c:showSerName val="0"/>
          <c:showPercent val="0"/>
          <c:showBubbleSize val="0"/>
        </c:dLbls>
        <c:gapWidth val="164"/>
        <c:overlap val="-22"/>
        <c:axId val="479001936"/>
        <c:axId val="479003248"/>
      </c:barChart>
      <c:catAx>
        <c:axId val="479001936"/>
        <c:scaling>
          <c:orientation val="minMax"/>
        </c:scaling>
        <c:delete val="0"/>
        <c:axPos val="b"/>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003248"/>
        <c:crosses val="autoZero"/>
        <c:auto val="1"/>
        <c:lblAlgn val="ctr"/>
        <c:lblOffset val="100"/>
        <c:noMultiLvlLbl val="0"/>
      </c:catAx>
      <c:valAx>
        <c:axId val="47900324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7900193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styleClr val="auto"/>
    </cs:fillRef>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17"/>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75000"/>
                <a:lumOff val="25000"/>
              </a:schemeClr>
            </a:gs>
            <a:gs pos="0">
              <a:schemeClr val="dk1">
                <a:lumMod val="65000"/>
                <a:lumOff val="3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dk1">
                <a:lumMod val="75000"/>
                <a:lumOff val="25000"/>
                <a:alpha val="25000"/>
              </a:schemeClr>
            </a:gs>
            <a:gs pos="0">
              <a:schemeClr val="dk1">
                <a:lumMod val="65000"/>
                <a:lumOff val="3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4.xml><?xml version="1.0" encoding="utf-8"?>
<cs:chartStyle xmlns:cs="http://schemas.microsoft.com/office/drawing/2012/chartStyle" xmlns:a="http://schemas.openxmlformats.org/drawingml/2006/main" id="291">
  <cs:axisTitle>
    <cs:lnRef idx="0"/>
    <cs:fillRef idx="0"/>
    <cs:effectRef idx="0"/>
    <cs:fontRef idx="minor">
      <a:schemeClr val="lt1">
        <a:lumMod val="75000"/>
      </a:schemeClr>
    </cs:fontRef>
    <cs:defRPr sz="900"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lt1"/>
    </cs:fontRef>
    <cs:spPr>
      <a:solidFill>
        <a:schemeClr val="dk1">
          <a:lumMod val="75000"/>
          <a:lumOff val="25000"/>
        </a:schemeClr>
      </a:solidFill>
      <a:ln w="6350" cap="flat" cmpd="sng" algn="ctr">
        <a:solidFill>
          <a:schemeClr val="dk1">
            <a:tint val="75000"/>
          </a:schemeClr>
        </a:solidFill>
        <a:round/>
      </a:ln>
    </cs:spPr>
    <cs:defRPr sz="1000" kern="1200"/>
  </cs:chartArea>
  <cs:dataLabel>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dataLabel>
  <cs:dataLabelCallout>
    <cs:lnRef idx="0"/>
    <cs:fillRef idx="0">
      <cs:styleClr val="auto"/>
    </cs:fillRef>
    <cs:effectRef idx="0"/>
    <cs:fontRef idx="minor">
      <a:schemeClr val="lt1"/>
    </cs:fontRef>
    <cs:spPr>
      <a:solidFill>
        <a:schemeClr val="phClr">
          <a:alpha val="30000"/>
        </a:schemeClr>
      </a:solidFill>
      <a:ln>
        <a:solidFill>
          <a:schemeClr val="lt1">
            <a:alpha val="50000"/>
          </a:schemeClr>
        </a:solidFill>
        <a:round/>
      </a:ln>
      <a:effectLst>
        <a:outerShdw blurRad="63500" dist="88900" dir="2700000" algn="tl" rotWithShape="0">
          <a:prstClr val="black">
            <a:alpha val="40000"/>
          </a:prstClr>
        </a:outerShdw>
      </a:effectLst>
    </cs:spPr>
    <cs:defRPr sz="900" b="1" i="0" u="none" strike="noStrike" kern="1200" baseline="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cs:spPr>
  </cs:dataPoint>
  <cs:dataPoint3D>
    <cs:lnRef idx="0">
      <cs:styleClr val="auto"/>
    </cs:lnRef>
    <cs:fillRef idx="0">
      <cs:styleClr val="auto"/>
    </cs:fillRef>
    <cs:effectRef idx="0"/>
    <cs:fontRef idx="minor">
      <a:schemeClr val="tx1"/>
    </cs:fontRef>
    <cs:spPr>
      <a:solidFill>
        <a:schemeClr val="phClr">
          <a:alpha val="88000"/>
        </a:schemeClr>
      </a:solidFill>
      <a:ln>
        <a:solidFill>
          <a:schemeClr val="phClr">
            <a:lumMod val="50000"/>
          </a:schemeClr>
        </a:solidFill>
      </a:ln>
      <a:scene3d>
        <a:camera prst="orthographicFront"/>
        <a:lightRig rig="threePt" dir="t"/>
      </a:scene3d>
      <a:sp3d prstMaterial="flat"/>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dk1">
            <a:lumMod val="75000"/>
            <a:lumOff val="2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tx1"/>
    </cs:fontRef>
    <cs:spPr>
      <a:solidFill>
        <a:schemeClr val="bg2">
          <a:lumMod val="75000"/>
          <a:alpha val="27000"/>
        </a:schemeClr>
      </a:solidFill>
      <a:sp3d/>
    </cs:spPr>
  </cs:floor>
  <cs:gridlineMajor>
    <cs:lnRef idx="0"/>
    <cs:fillRef idx="0"/>
    <cs:effectRef idx="0"/>
    <cs:fontRef idx="minor">
      <a:schemeClr val="tx1"/>
    </cs:fontRef>
    <cs:spPr>
      <a:ln w="9525">
        <a:solidFill>
          <a:schemeClr val="lt1">
            <a:lumMod val="50000"/>
          </a:schemeClr>
        </a:solidFill>
      </a:ln>
    </cs:spPr>
  </cs:gridlineMajor>
  <cs:gridlineMinor>
    <cs:lnRef idx="0"/>
    <cs:fillRef idx="0"/>
    <cs:effectRef idx="0"/>
    <cs:fontRef idx="minor">
      <a:schemeClr val="tx1"/>
    </cs:fontRef>
    <cs:spPr>
      <a:ln w="9525">
        <a:solidFill>
          <a:schemeClr val="lt1">
            <a:lumMod val="40000"/>
          </a:schemeClr>
        </a:solidFill>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cs:fontRef>
    <cs:defRPr sz="1800" b="0" kern="1200" cap="all" baseline="0"/>
  </cs:title>
  <cs:trendline>
    <cs:lnRef idx="0">
      <cs:styleClr val="auto"/>
    </cs:lnRef>
    <cs:fillRef idx="0"/>
    <cs:effectRef idx="0"/>
    <cs:fontRef idx="minor">
      <a:schemeClr val="dk1"/>
    </cs:fontRef>
    <cs:spPr>
      <a:ln w="9525"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tx1"/>
    </cs:fontRef>
    <cs:spPr>
      <a:sp3d/>
    </cs:spPr>
  </cs:wall>
</cs:chartStyle>
</file>

<file path=word/charts/style5.xml><?xml version="1.0" encoding="utf-8"?>
<cs:chartStyle xmlns:cs="http://schemas.microsoft.com/office/drawing/2012/chartStyle" xmlns:a="http://schemas.openxmlformats.org/drawingml/2006/main" id="279">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65000"/>
        <a:lumOff val="35000"/>
      </a:schemeClr>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effectLst>
        <a:innerShdw dist="12700" dir="16200000">
          <a:schemeClr val="lt1"/>
        </a:innerShdw>
      </a:effectLst>
    </cs:spPr>
  </cs:dataPoint>
  <cs:dataPoint3D>
    <cs:lnRef idx="0"/>
    <cs:fillRef idx="0">
      <cs:styleClr val="auto"/>
    </cs:fillRef>
    <cs:effectRef idx="0"/>
    <cs:fontRef idx="minor">
      <a:schemeClr val="dk1"/>
    </cs:fontRef>
    <cs:spPr>
      <a:solidFill>
        <a:schemeClr val="phClr">
          <a:alpha val="85000"/>
        </a:schemeClr>
      </a:solidFill>
      <a:effectLst>
        <a:innerShdw dist="12700" dir="16200000">
          <a:schemeClr val="lt1"/>
        </a:inn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7.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34">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1000" kern="120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cs:styleClr val="auto"/>
    </cs:fontRef>
    <cs:spPr/>
    <cs:defRPr sz="900" b="1" i="0" u="none" strike="noStrike" kern="1200" baseline="0"/>
  </cs:dataLabel>
  <cs:dataLabelCallout>
    <cs:lnRef idx="0"/>
    <cs:fillRef idx="0"/>
    <cs:effectRef idx="0"/>
    <cs:fontRef idx="minor">
      <a:schemeClr val="dk1">
        <a:lumMod val="65000"/>
        <a:lumOff val="35000"/>
      </a:schemeClr>
    </cs:fontRef>
    <cs:spPr>
      <a:solidFill>
        <a:schemeClr val="lt1"/>
      </a:solidFill>
      <a:ln w="9575">
        <a:solidFill>
          <a:schemeClr val="lt1">
            <a:lumMod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19050" cap="rnd" cmpd="sng" algn="ctr">
        <a:solidFill>
          <a:schemeClr val="phClr">
            <a:shade val="95000"/>
            <a:satMod val="105000"/>
          </a:schemeClr>
        </a:solidFill>
        <a:round/>
      </a:ln>
    </cs:spPr>
  </cs:dataPointLine>
  <cs:dataPointMarker>
    <cs:lnRef idx="0"/>
    <cs:fillRef idx="0"/>
    <cs:effectRef idx="0"/>
    <cs:fontRef idx="minor">
      <a:schemeClr val="dk1"/>
    </cs:fontRef>
    <cs:spPr>
      <a:solidFill>
        <a:schemeClr val="lt1"/>
      </a:solidFill>
    </cs:spPr>
  </cs:dataPointMarker>
  <cs:dataPointMarkerLayout symbol="circle" size="17"/>
  <cs:dataPointWireframe>
    <cs:lnRef idx="0">
      <cs:styleClr val="auto"/>
    </cs:lnRef>
    <cs:fillRef idx="1"/>
    <cs:effectRef idx="0"/>
    <cs:fontRef idx="minor">
      <a:schemeClr val="dk1"/>
    </cs:fontRef>
    <cs:spPr>
      <a:ln w="9525">
        <a:solidFill>
          <a:schemeClr val="phClr"/>
        </a:solidFill>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35000"/>
            <a:lumOff val="65000"/>
          </a:schemeClr>
        </a:solidFill>
      </a:ln>
    </cs:spPr>
  </cs:dropLine>
  <cs:errorBar>
    <cs:lnRef idx="0"/>
    <cs:fillRef idx="0"/>
    <cs:effectRef idx="0"/>
    <cs:fontRef idx="minor">
      <a:schemeClr val="dk1"/>
    </cs:fontRef>
    <cs:spPr>
      <a:ln w="9525">
        <a:solidFill>
          <a:schemeClr val="dk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ln>
    </cs:spPr>
  </cs:seriesLine>
  <cs:title>
    <cs:lnRef idx="0"/>
    <cs:fillRef idx="0"/>
    <cs:effectRef idx="0"/>
    <cs:fontRef idx="minor">
      <a:schemeClr val="dk1"/>
    </cs:fontRef>
    <cs:defRPr sz="1440" b="0" kern="1200" cap="all" spc="0" baseline="0">
      <a:gradFill>
        <a:gsLst>
          <a:gs pos="0">
            <a:schemeClr val="dk1">
              <a:lumMod val="50000"/>
              <a:lumOff val="50000"/>
            </a:schemeClr>
          </a:gs>
          <a:gs pos="100000">
            <a:schemeClr val="dk1">
              <a:lumMod val="85000"/>
              <a:lumOff val="15000"/>
            </a:schemeClr>
          </a:gs>
        </a:gsLst>
        <a:lin ang="5400000" scaled="0"/>
      </a:gradFill>
    </cs:defRPr>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31">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1.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12.xml><?xml version="1.0" encoding="utf-8"?>
<cs:chartStyle xmlns:cs="http://schemas.microsoft.com/office/drawing/2012/chartStyle" xmlns:a="http://schemas.openxmlformats.org/drawingml/2006/main" id="234">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1000" kern="120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cs:styleClr val="auto"/>
    </cs:fontRef>
    <cs:spPr/>
    <cs:defRPr sz="900" b="1" i="0" u="none" strike="noStrike" kern="1200" baseline="0"/>
  </cs:dataLabel>
  <cs:dataLabelCallout>
    <cs:lnRef idx="0"/>
    <cs:fillRef idx="0"/>
    <cs:effectRef idx="0"/>
    <cs:fontRef idx="minor">
      <a:schemeClr val="dk1">
        <a:lumMod val="65000"/>
        <a:lumOff val="35000"/>
      </a:schemeClr>
    </cs:fontRef>
    <cs:spPr>
      <a:solidFill>
        <a:schemeClr val="lt1"/>
      </a:solidFill>
      <a:ln w="9575">
        <a:solidFill>
          <a:schemeClr val="lt1">
            <a:lumMod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19050" cap="rnd" cmpd="sng" algn="ctr">
        <a:solidFill>
          <a:schemeClr val="phClr">
            <a:shade val="95000"/>
            <a:satMod val="105000"/>
          </a:schemeClr>
        </a:solidFill>
        <a:round/>
      </a:ln>
    </cs:spPr>
  </cs:dataPointLine>
  <cs:dataPointMarker>
    <cs:lnRef idx="0"/>
    <cs:fillRef idx="0"/>
    <cs:effectRef idx="0"/>
    <cs:fontRef idx="minor">
      <a:schemeClr val="dk1"/>
    </cs:fontRef>
    <cs:spPr>
      <a:solidFill>
        <a:schemeClr val="lt1"/>
      </a:solidFill>
    </cs:spPr>
  </cs:dataPointMarker>
  <cs:dataPointMarkerLayout symbol="circle" size="17"/>
  <cs:dataPointWireframe>
    <cs:lnRef idx="0">
      <cs:styleClr val="auto"/>
    </cs:lnRef>
    <cs:fillRef idx="1"/>
    <cs:effectRef idx="0"/>
    <cs:fontRef idx="minor">
      <a:schemeClr val="dk1"/>
    </cs:fontRef>
    <cs:spPr>
      <a:ln w="9525">
        <a:solidFill>
          <a:schemeClr val="phClr"/>
        </a:solidFill>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35000"/>
            <a:lumOff val="65000"/>
          </a:schemeClr>
        </a:solidFill>
      </a:ln>
    </cs:spPr>
  </cs:dropLine>
  <cs:errorBar>
    <cs:lnRef idx="0"/>
    <cs:fillRef idx="0"/>
    <cs:effectRef idx="0"/>
    <cs:fontRef idx="minor">
      <a:schemeClr val="dk1"/>
    </cs:fontRef>
    <cs:spPr>
      <a:ln w="9525">
        <a:solidFill>
          <a:schemeClr val="dk1">
            <a:lumMod val="50000"/>
            <a:lumOff val="50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ln>
    </cs:spPr>
  </cs:seriesLine>
  <cs:title>
    <cs:lnRef idx="0"/>
    <cs:fillRef idx="0"/>
    <cs:effectRef idx="0"/>
    <cs:fontRef idx="minor">
      <a:schemeClr val="dk1"/>
    </cs:fontRef>
    <cs:defRPr sz="1440" b="0" kern="1200" cap="all" spc="0" baseline="0">
      <a:gradFill>
        <a:gsLst>
          <a:gs pos="0">
            <a:schemeClr val="dk1">
              <a:lumMod val="50000"/>
              <a:lumOff val="50000"/>
            </a:schemeClr>
          </a:gs>
          <a:gs pos="100000">
            <a:schemeClr val="dk1">
              <a:lumMod val="85000"/>
              <a:lumOff val="15000"/>
            </a:schemeClr>
          </a:gs>
        </a:gsLst>
        <a:lin ang="5400000" scaled="0"/>
      </a:gradFill>
    </cs:defRPr>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03">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fillRef idx="0">
      <cs:styleClr val="auto"/>
    </cs:fillRef>
    <cs:effectRef idx="0"/>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5C112D7-4149-4A11-A720-F6275315B5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36</Pages>
  <Words>8471</Words>
  <Characters>48288</Characters>
  <Application>Microsoft Office Word</Application>
  <DocSecurity>0</DocSecurity>
  <Lines>402</Lines>
  <Paragraphs>113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Microsoft Office User</cp:lastModifiedBy>
  <cp:revision>2</cp:revision>
  <dcterms:created xsi:type="dcterms:W3CDTF">2025-12-16T12:57:00Z</dcterms:created>
  <dcterms:modified xsi:type="dcterms:W3CDTF">2025-12-16T12:57:00Z</dcterms:modified>
</cp:coreProperties>
</file>