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7915" w:rsidRPr="00DE2EDC" w:rsidRDefault="00D27915" w:rsidP="00D27915">
      <w:pPr>
        <w:spacing w:after="0"/>
        <w:rPr>
          <w:b/>
          <w:i/>
          <w:sz w:val="24"/>
          <w:szCs w:val="24"/>
        </w:rPr>
      </w:pPr>
      <w:r w:rsidRPr="00DE2EDC">
        <w:rPr>
          <w:b/>
          <w:i/>
          <w:sz w:val="24"/>
          <w:szCs w:val="24"/>
        </w:rPr>
        <w:t>Was the league of Corinth different from previous Leagues in the Classical period?</w:t>
      </w:r>
    </w:p>
    <w:p w:rsidR="00A81B54" w:rsidRDefault="00A81B54" w:rsidP="003A31E3">
      <w:pPr>
        <w:spacing w:after="0"/>
        <w:rPr>
          <w:sz w:val="24"/>
          <w:szCs w:val="24"/>
        </w:rPr>
      </w:pPr>
    </w:p>
    <w:p w:rsidR="003A31E3" w:rsidRDefault="003A31E3" w:rsidP="003A31E3">
      <w:pPr>
        <w:spacing w:after="0"/>
        <w:rPr>
          <w:sz w:val="24"/>
          <w:szCs w:val="24"/>
        </w:rPr>
      </w:pPr>
      <w:r>
        <w:rPr>
          <w:sz w:val="24"/>
          <w:szCs w:val="24"/>
        </w:rPr>
        <w:t xml:space="preserve">In this essay I will compare the various leagues that existed within the Classical Period </w:t>
      </w:r>
      <w:r w:rsidRPr="003A31E3">
        <w:rPr>
          <w:sz w:val="24"/>
          <w:szCs w:val="24"/>
        </w:rPr>
        <w:t>(defined as the fifth and fourth centuries BCE</w:t>
      </w:r>
      <w:r w:rsidRPr="003A31E3">
        <w:rPr>
          <w:rStyle w:val="FootnoteReference"/>
          <w:sz w:val="24"/>
          <w:szCs w:val="24"/>
        </w:rPr>
        <w:footnoteReference w:id="1"/>
      </w:r>
      <w:r w:rsidRPr="003A31E3">
        <w:rPr>
          <w:sz w:val="24"/>
          <w:szCs w:val="24"/>
        </w:rPr>
        <w:t xml:space="preserve">) </w:t>
      </w:r>
      <w:r>
        <w:rPr>
          <w:sz w:val="24"/>
          <w:szCs w:val="24"/>
        </w:rPr>
        <w:t>to the League of Corinth. My intention is to identify their similarities and differences, in order to establish whether the Corinthian League is unique to its time period. By examining the Leagues’ beginnings and the events that occurred before and during its existence, I will identify the reasons why it was created. Moreover, I will investigate how each of the leagues were run and why each is considered historically significant.</w:t>
      </w:r>
    </w:p>
    <w:p w:rsidR="00377201" w:rsidRPr="00DE2EDC" w:rsidRDefault="00377201" w:rsidP="00377201">
      <w:pPr>
        <w:spacing w:after="0"/>
        <w:rPr>
          <w:sz w:val="24"/>
          <w:szCs w:val="24"/>
        </w:rPr>
      </w:pPr>
    </w:p>
    <w:p w:rsidR="00D90886" w:rsidRDefault="00772098" w:rsidP="00377201">
      <w:pPr>
        <w:spacing w:after="0"/>
        <w:rPr>
          <w:sz w:val="24"/>
          <w:szCs w:val="24"/>
        </w:rPr>
      </w:pPr>
      <w:r w:rsidRPr="00DE2EDC">
        <w:rPr>
          <w:sz w:val="24"/>
          <w:szCs w:val="24"/>
        </w:rPr>
        <w:t>The League of Corinth was an inter-state-treaty created by Philip II of Macedon after the battle of Chaeronea</w:t>
      </w:r>
      <w:r w:rsidR="00377201" w:rsidRPr="00DE2EDC">
        <w:rPr>
          <w:rStyle w:val="FootnoteReference"/>
          <w:sz w:val="24"/>
          <w:szCs w:val="24"/>
        </w:rPr>
        <w:footnoteReference w:id="2"/>
      </w:r>
      <w:r w:rsidRPr="00DE2EDC">
        <w:rPr>
          <w:sz w:val="24"/>
          <w:szCs w:val="24"/>
        </w:rPr>
        <w:t xml:space="preserve"> in 338 BC</w:t>
      </w:r>
      <w:r w:rsidR="00F26128">
        <w:rPr>
          <w:sz w:val="24"/>
          <w:szCs w:val="24"/>
        </w:rPr>
        <w:t>E</w:t>
      </w:r>
      <w:r w:rsidRPr="00DE2EDC">
        <w:rPr>
          <w:rStyle w:val="FootnoteReference"/>
          <w:sz w:val="24"/>
          <w:szCs w:val="24"/>
        </w:rPr>
        <w:footnoteReference w:id="3"/>
      </w:r>
      <w:r w:rsidR="00377201" w:rsidRPr="00DE2EDC">
        <w:rPr>
          <w:sz w:val="24"/>
          <w:szCs w:val="24"/>
        </w:rPr>
        <w:t>.</w:t>
      </w:r>
      <w:r w:rsidRPr="00DE2EDC">
        <w:rPr>
          <w:sz w:val="24"/>
          <w:szCs w:val="24"/>
        </w:rPr>
        <w:t xml:space="preserve"> He announced a ‘Common Peace’ and declared himself Hegemon</w:t>
      </w:r>
      <w:r w:rsidRPr="00DE2EDC">
        <w:rPr>
          <w:rStyle w:val="FootnoteReference"/>
          <w:sz w:val="24"/>
          <w:szCs w:val="24"/>
        </w:rPr>
        <w:footnoteReference w:id="4"/>
      </w:r>
      <w:r w:rsidRPr="00DE2EDC">
        <w:rPr>
          <w:sz w:val="24"/>
          <w:szCs w:val="24"/>
        </w:rPr>
        <w:t xml:space="preserve"> of this new league</w:t>
      </w:r>
      <w:r w:rsidR="00FC66B2">
        <w:rPr>
          <w:sz w:val="24"/>
          <w:szCs w:val="24"/>
        </w:rPr>
        <w:t>,</w:t>
      </w:r>
      <w:r w:rsidRPr="00DE2EDC">
        <w:rPr>
          <w:sz w:val="24"/>
          <w:szCs w:val="24"/>
        </w:rPr>
        <w:t xml:space="preserve"> so that every state was to pledge their allegiance to Philip and his descendants. Only Sparta refused his rule and refused to join</w:t>
      </w:r>
      <w:r w:rsidR="00703D63" w:rsidRPr="00DE2EDC">
        <w:rPr>
          <w:sz w:val="24"/>
          <w:szCs w:val="24"/>
        </w:rPr>
        <w:t>.</w:t>
      </w:r>
      <w:r w:rsidR="00D90886">
        <w:rPr>
          <w:sz w:val="24"/>
          <w:szCs w:val="24"/>
        </w:rPr>
        <w:t xml:space="preserve"> Although it was put into motion by Philip it could be possible to </w:t>
      </w:r>
      <w:r w:rsidR="0078795F">
        <w:rPr>
          <w:sz w:val="24"/>
          <w:szCs w:val="24"/>
        </w:rPr>
        <w:t>argue</w:t>
      </w:r>
      <w:r w:rsidR="00D90886">
        <w:rPr>
          <w:sz w:val="24"/>
          <w:szCs w:val="24"/>
        </w:rPr>
        <w:t xml:space="preserve"> that this alliance came as the result of the urgings of Isocrates</w:t>
      </w:r>
      <w:r w:rsidR="006503B3">
        <w:rPr>
          <w:rStyle w:val="FootnoteReference"/>
          <w:sz w:val="24"/>
          <w:szCs w:val="24"/>
        </w:rPr>
        <w:footnoteReference w:id="5"/>
      </w:r>
      <w:r w:rsidR="00D90886">
        <w:rPr>
          <w:sz w:val="24"/>
          <w:szCs w:val="24"/>
        </w:rPr>
        <w:t xml:space="preserve"> as he addressed him in his work ‘To Philip’</w:t>
      </w:r>
      <w:r w:rsidR="009B61D6">
        <w:rPr>
          <w:sz w:val="24"/>
          <w:szCs w:val="24"/>
        </w:rPr>
        <w:t xml:space="preserve"> in 346 BCE,</w:t>
      </w:r>
      <w:r w:rsidR="00D90886">
        <w:rPr>
          <w:sz w:val="24"/>
          <w:szCs w:val="24"/>
        </w:rPr>
        <w:t xml:space="preserve"> suggesting that without ignoring his own interests he should unite Argos, Sparta, Thebes and Athens to stand against the Persians</w:t>
      </w:r>
      <w:r w:rsidR="00DA6719">
        <w:rPr>
          <w:rStyle w:val="FootnoteReference"/>
          <w:sz w:val="24"/>
          <w:szCs w:val="24"/>
        </w:rPr>
        <w:footnoteReference w:id="6"/>
      </w:r>
      <w:r w:rsidR="00D90886">
        <w:rPr>
          <w:sz w:val="24"/>
          <w:szCs w:val="24"/>
        </w:rPr>
        <w:t>.</w:t>
      </w:r>
      <w:r w:rsidR="00DA6719">
        <w:rPr>
          <w:sz w:val="24"/>
          <w:szCs w:val="24"/>
        </w:rPr>
        <w:t xml:space="preserve"> Isocrates unfortunately however did not live to see its inception as he starved himself to death after Athens was defeated in the battle of Chaeronea</w:t>
      </w:r>
      <w:r w:rsidR="00DA6719">
        <w:rPr>
          <w:rStyle w:val="FootnoteReference"/>
          <w:sz w:val="24"/>
          <w:szCs w:val="24"/>
        </w:rPr>
        <w:footnoteReference w:id="7"/>
      </w:r>
      <w:r w:rsidR="00DA6719">
        <w:rPr>
          <w:sz w:val="24"/>
          <w:szCs w:val="24"/>
        </w:rPr>
        <w:t>.</w:t>
      </w:r>
    </w:p>
    <w:p w:rsidR="00377201" w:rsidRPr="00DE2EDC" w:rsidRDefault="00703D63" w:rsidP="00377201">
      <w:pPr>
        <w:spacing w:after="0"/>
        <w:rPr>
          <w:sz w:val="24"/>
          <w:szCs w:val="24"/>
        </w:rPr>
      </w:pPr>
      <w:r w:rsidRPr="00DE2EDC">
        <w:rPr>
          <w:sz w:val="24"/>
          <w:szCs w:val="24"/>
        </w:rPr>
        <w:t>336 BCE saw the assassination of Philip II and with his death the Greeks began to revolt against the Corinthian League but Philip’s son and successor Alexander</w:t>
      </w:r>
      <w:r w:rsidR="00FC66B2">
        <w:rPr>
          <w:sz w:val="24"/>
          <w:szCs w:val="24"/>
        </w:rPr>
        <w:t xml:space="preserve"> (“the great”)</w:t>
      </w:r>
      <w:r w:rsidR="00D90886">
        <w:rPr>
          <w:sz w:val="24"/>
          <w:szCs w:val="24"/>
        </w:rPr>
        <w:t xml:space="preserve"> quickly put a stop to this</w:t>
      </w:r>
      <w:r w:rsidR="00772098" w:rsidRPr="00DE2EDC">
        <w:rPr>
          <w:rStyle w:val="FootnoteReference"/>
          <w:sz w:val="24"/>
          <w:szCs w:val="24"/>
        </w:rPr>
        <w:footnoteReference w:id="8"/>
      </w:r>
      <w:r w:rsidR="00D90886">
        <w:rPr>
          <w:sz w:val="24"/>
          <w:szCs w:val="24"/>
        </w:rPr>
        <w:t>.</w:t>
      </w:r>
      <w:r w:rsidR="00772098" w:rsidRPr="00DE2EDC">
        <w:rPr>
          <w:sz w:val="24"/>
          <w:szCs w:val="24"/>
        </w:rPr>
        <w:t xml:space="preserve"> </w:t>
      </w:r>
    </w:p>
    <w:p w:rsidR="00772098" w:rsidRDefault="00772098" w:rsidP="00377201">
      <w:pPr>
        <w:spacing w:after="0"/>
        <w:rPr>
          <w:sz w:val="24"/>
          <w:szCs w:val="24"/>
        </w:rPr>
      </w:pPr>
    </w:p>
    <w:p w:rsidR="00D27915" w:rsidRPr="00DE2EDC" w:rsidRDefault="002C30D2" w:rsidP="00377201">
      <w:pPr>
        <w:spacing w:after="0"/>
        <w:rPr>
          <w:sz w:val="24"/>
          <w:szCs w:val="24"/>
        </w:rPr>
      </w:pPr>
      <w:r>
        <w:rPr>
          <w:sz w:val="24"/>
          <w:szCs w:val="24"/>
        </w:rPr>
        <w:t xml:space="preserve">During the classical period there were several leagues in which the question could refer to, </w:t>
      </w:r>
      <w:r w:rsidR="00D27915" w:rsidRPr="00DE2EDC">
        <w:rPr>
          <w:sz w:val="24"/>
          <w:szCs w:val="24"/>
        </w:rPr>
        <w:t>namely The Delian League, The Peloponnesian League and The Second Athenian League.</w:t>
      </w:r>
    </w:p>
    <w:p w:rsidR="00A30D51" w:rsidRDefault="002C30D2" w:rsidP="00891EDF">
      <w:pPr>
        <w:spacing w:after="0"/>
        <w:rPr>
          <w:sz w:val="24"/>
          <w:szCs w:val="24"/>
        </w:rPr>
      </w:pPr>
      <w:r>
        <w:rPr>
          <w:sz w:val="24"/>
          <w:szCs w:val="24"/>
        </w:rPr>
        <w:t>In reference to the</w:t>
      </w:r>
      <w:r w:rsidR="001415B9" w:rsidRPr="00DE2EDC">
        <w:rPr>
          <w:sz w:val="24"/>
          <w:szCs w:val="24"/>
        </w:rPr>
        <w:t xml:space="preserve"> Delian League</w:t>
      </w:r>
      <w:r>
        <w:rPr>
          <w:sz w:val="24"/>
          <w:szCs w:val="24"/>
        </w:rPr>
        <w:t xml:space="preserve"> much of the information that we have</w:t>
      </w:r>
      <w:r w:rsidR="001415B9" w:rsidRPr="00DE2EDC">
        <w:rPr>
          <w:sz w:val="24"/>
          <w:szCs w:val="24"/>
        </w:rPr>
        <w:t xml:space="preserve"> was provided by Thucydides and his works on ‘The Peloponnesian War’ but due to lack of other ‘historical evidence’ it is difficult to suggest one way or another if his </w:t>
      </w:r>
      <w:r w:rsidR="00A30D51">
        <w:rPr>
          <w:sz w:val="24"/>
          <w:szCs w:val="24"/>
        </w:rPr>
        <w:t>accounts</w:t>
      </w:r>
      <w:r w:rsidR="001415B9" w:rsidRPr="00DE2EDC">
        <w:rPr>
          <w:sz w:val="24"/>
          <w:szCs w:val="24"/>
        </w:rPr>
        <w:t xml:space="preserve"> are entirely accurate</w:t>
      </w:r>
      <w:r w:rsidR="00A30D51">
        <w:rPr>
          <w:sz w:val="24"/>
          <w:szCs w:val="24"/>
        </w:rPr>
        <w:t xml:space="preserve"> due to lack of both supporting or opposing evidence</w:t>
      </w:r>
      <w:r w:rsidR="001415B9" w:rsidRPr="00DE2EDC">
        <w:rPr>
          <w:sz w:val="24"/>
          <w:szCs w:val="24"/>
        </w:rPr>
        <w:t>.</w:t>
      </w:r>
      <w:r w:rsidR="00A30D51">
        <w:rPr>
          <w:sz w:val="24"/>
          <w:szCs w:val="24"/>
        </w:rPr>
        <w:t xml:space="preserve"> There is however the argument however that the reason why his work is given such credence is because he was alive during this time, having been thought to have lived between 460/55 BCE to 400 BCE</w:t>
      </w:r>
      <w:r w:rsidR="00A30D51">
        <w:rPr>
          <w:rStyle w:val="FootnoteReference"/>
          <w:sz w:val="24"/>
          <w:szCs w:val="24"/>
        </w:rPr>
        <w:footnoteReference w:id="9"/>
      </w:r>
      <w:r w:rsidR="00A30D51">
        <w:rPr>
          <w:sz w:val="24"/>
          <w:szCs w:val="24"/>
        </w:rPr>
        <w:t>.</w:t>
      </w:r>
    </w:p>
    <w:p w:rsidR="00882E56" w:rsidRDefault="001415B9" w:rsidP="00891EDF">
      <w:pPr>
        <w:spacing w:after="0"/>
        <w:rPr>
          <w:sz w:val="24"/>
          <w:szCs w:val="24"/>
        </w:rPr>
      </w:pPr>
      <w:r w:rsidRPr="00DE2EDC">
        <w:rPr>
          <w:sz w:val="24"/>
          <w:szCs w:val="24"/>
        </w:rPr>
        <w:t xml:space="preserve"> The Delian League </w:t>
      </w:r>
      <w:r w:rsidR="00F15BE0" w:rsidRPr="00DE2EDC">
        <w:rPr>
          <w:sz w:val="24"/>
          <w:szCs w:val="24"/>
        </w:rPr>
        <w:t>was</w:t>
      </w:r>
      <w:r w:rsidRPr="00DE2EDC">
        <w:rPr>
          <w:sz w:val="24"/>
          <w:szCs w:val="24"/>
        </w:rPr>
        <w:t xml:space="preserve"> formed in </w:t>
      </w:r>
      <w:r w:rsidR="00891EDF" w:rsidRPr="00DE2EDC">
        <w:rPr>
          <w:sz w:val="24"/>
          <w:szCs w:val="24"/>
        </w:rPr>
        <w:t>478 BCE</w:t>
      </w:r>
      <w:r w:rsidRPr="00DE2EDC">
        <w:rPr>
          <w:rStyle w:val="FootnoteReference"/>
          <w:sz w:val="24"/>
          <w:szCs w:val="24"/>
        </w:rPr>
        <w:footnoteReference w:id="10"/>
      </w:r>
      <w:r w:rsidR="00891EDF" w:rsidRPr="00DE2EDC">
        <w:rPr>
          <w:sz w:val="24"/>
          <w:szCs w:val="24"/>
        </w:rPr>
        <w:t xml:space="preserve"> as an alliance against the Persians however according to Thucydides works</w:t>
      </w:r>
      <w:r w:rsidR="00E62DD6">
        <w:rPr>
          <w:sz w:val="24"/>
          <w:szCs w:val="24"/>
        </w:rPr>
        <w:t xml:space="preserve"> states that</w:t>
      </w:r>
      <w:r w:rsidR="00891EDF" w:rsidRPr="00DE2EDC">
        <w:rPr>
          <w:sz w:val="24"/>
          <w:szCs w:val="24"/>
        </w:rPr>
        <w:t xml:space="preserve"> the league had a change of leadership in 477 BCE </w:t>
      </w:r>
      <w:r w:rsidR="00891EDF" w:rsidRPr="00DE2EDC">
        <w:rPr>
          <w:sz w:val="24"/>
          <w:szCs w:val="24"/>
        </w:rPr>
        <w:lastRenderedPageBreak/>
        <w:t>when Athens assumed control from the Spartans. Previously Spartan general Pausanias had been in command but due to his violent behaviour towards his allies and fellow Greeks</w:t>
      </w:r>
      <w:r w:rsidR="00891EDF" w:rsidRPr="00DE2EDC">
        <w:rPr>
          <w:rStyle w:val="FootnoteReference"/>
          <w:sz w:val="24"/>
          <w:szCs w:val="24"/>
        </w:rPr>
        <w:footnoteReference w:id="11"/>
      </w:r>
      <w:r w:rsidR="00891EDF" w:rsidRPr="00DE2EDC">
        <w:rPr>
          <w:sz w:val="24"/>
          <w:szCs w:val="24"/>
        </w:rPr>
        <w:t xml:space="preserve"> the Spartans stepped aside in case another of theirs became corrupt</w:t>
      </w:r>
      <w:r w:rsidR="00891EDF" w:rsidRPr="00DE2EDC">
        <w:rPr>
          <w:rStyle w:val="FootnoteReference"/>
          <w:sz w:val="24"/>
          <w:szCs w:val="24"/>
        </w:rPr>
        <w:footnoteReference w:id="12"/>
      </w:r>
      <w:r w:rsidR="00891EDF" w:rsidRPr="00DE2EDC">
        <w:rPr>
          <w:sz w:val="24"/>
          <w:szCs w:val="24"/>
        </w:rPr>
        <w:t xml:space="preserve">. </w:t>
      </w:r>
    </w:p>
    <w:p w:rsidR="00DE2EDC" w:rsidRPr="00DE2EDC" w:rsidRDefault="00DE2EDC" w:rsidP="00891EDF">
      <w:pPr>
        <w:spacing w:after="0"/>
        <w:rPr>
          <w:sz w:val="24"/>
          <w:szCs w:val="24"/>
        </w:rPr>
      </w:pPr>
    </w:p>
    <w:p w:rsidR="00FF2857" w:rsidRDefault="00891EDF" w:rsidP="00891EDF">
      <w:pPr>
        <w:spacing w:after="0"/>
        <w:rPr>
          <w:sz w:val="24"/>
          <w:szCs w:val="24"/>
        </w:rPr>
      </w:pPr>
      <w:r w:rsidRPr="00DE2EDC">
        <w:rPr>
          <w:sz w:val="24"/>
          <w:szCs w:val="24"/>
        </w:rPr>
        <w:t>The Peloponnesian League</w:t>
      </w:r>
      <w:r w:rsidR="00F15BE0" w:rsidRPr="00DE2EDC">
        <w:rPr>
          <w:sz w:val="24"/>
          <w:szCs w:val="24"/>
        </w:rPr>
        <w:t xml:space="preserve"> </w:t>
      </w:r>
      <w:r w:rsidR="00AF244D" w:rsidRPr="00DE2EDC">
        <w:rPr>
          <w:sz w:val="24"/>
          <w:szCs w:val="24"/>
        </w:rPr>
        <w:t>is considered as being the most long lived and</w:t>
      </w:r>
      <w:r w:rsidR="00FC66B2">
        <w:rPr>
          <w:sz w:val="24"/>
          <w:szCs w:val="24"/>
        </w:rPr>
        <w:t xml:space="preserve"> is considered to be</w:t>
      </w:r>
      <w:r w:rsidR="00AF244D" w:rsidRPr="00DE2EDC">
        <w:rPr>
          <w:sz w:val="24"/>
          <w:szCs w:val="24"/>
        </w:rPr>
        <w:t xml:space="preserve"> earliest known </w:t>
      </w:r>
      <w:r w:rsidR="00FC66B2">
        <w:rPr>
          <w:sz w:val="24"/>
          <w:szCs w:val="24"/>
        </w:rPr>
        <w:t xml:space="preserve">both </w:t>
      </w:r>
      <w:r w:rsidR="00AF244D" w:rsidRPr="00DE2EDC">
        <w:rPr>
          <w:sz w:val="24"/>
          <w:szCs w:val="24"/>
        </w:rPr>
        <w:t>offensive and defensive alliance</w:t>
      </w:r>
      <w:r w:rsidR="00AF244D" w:rsidRPr="00DE2EDC">
        <w:rPr>
          <w:rStyle w:val="FootnoteReference"/>
          <w:sz w:val="24"/>
          <w:szCs w:val="24"/>
        </w:rPr>
        <w:footnoteReference w:id="13"/>
      </w:r>
      <w:r w:rsidR="00AF244D" w:rsidRPr="00DE2EDC">
        <w:rPr>
          <w:sz w:val="24"/>
          <w:szCs w:val="24"/>
        </w:rPr>
        <w:t xml:space="preserve">. </w:t>
      </w:r>
      <w:r w:rsidR="00FF2857">
        <w:rPr>
          <w:sz w:val="24"/>
          <w:szCs w:val="24"/>
        </w:rPr>
        <w:t xml:space="preserve">This Greek alliance held strong from the rule of </w:t>
      </w:r>
      <w:proofErr w:type="spellStart"/>
      <w:r w:rsidR="00FF2857">
        <w:rPr>
          <w:sz w:val="24"/>
          <w:szCs w:val="24"/>
        </w:rPr>
        <w:t>Cleomenes</w:t>
      </w:r>
      <w:proofErr w:type="spellEnd"/>
      <w:r w:rsidR="00FF2857">
        <w:rPr>
          <w:sz w:val="24"/>
          <w:szCs w:val="24"/>
        </w:rPr>
        <w:t xml:space="preserve"> I in the 6</w:t>
      </w:r>
      <w:r w:rsidR="00FF2857" w:rsidRPr="00FF2857">
        <w:rPr>
          <w:sz w:val="24"/>
          <w:szCs w:val="24"/>
          <w:vertAlign w:val="superscript"/>
        </w:rPr>
        <w:t>th</w:t>
      </w:r>
      <w:r w:rsidR="00FF2857">
        <w:rPr>
          <w:sz w:val="24"/>
          <w:szCs w:val="24"/>
        </w:rPr>
        <w:t xml:space="preserve"> Century BCE (approx. 520 – 490 BCE</w:t>
      </w:r>
      <w:r w:rsidR="00AA67CF">
        <w:rPr>
          <w:rStyle w:val="FootnoteReference"/>
          <w:sz w:val="24"/>
          <w:szCs w:val="24"/>
        </w:rPr>
        <w:footnoteReference w:id="14"/>
      </w:r>
      <w:r w:rsidR="00FF2857">
        <w:rPr>
          <w:sz w:val="24"/>
          <w:szCs w:val="24"/>
        </w:rPr>
        <w:t>) until 366 BCE when it was dissolved</w:t>
      </w:r>
      <w:r w:rsidR="00FF2857">
        <w:rPr>
          <w:rStyle w:val="FootnoteReference"/>
          <w:sz w:val="24"/>
          <w:szCs w:val="24"/>
        </w:rPr>
        <w:footnoteReference w:id="15"/>
      </w:r>
      <w:r w:rsidR="00FF2857">
        <w:rPr>
          <w:sz w:val="24"/>
          <w:szCs w:val="24"/>
        </w:rPr>
        <w:t>.</w:t>
      </w:r>
    </w:p>
    <w:p w:rsidR="00DE2EDC" w:rsidRDefault="00AF244D" w:rsidP="00891EDF">
      <w:pPr>
        <w:spacing w:after="0"/>
        <w:rPr>
          <w:sz w:val="24"/>
          <w:szCs w:val="24"/>
        </w:rPr>
      </w:pPr>
      <w:r w:rsidRPr="00DE2EDC">
        <w:rPr>
          <w:sz w:val="24"/>
          <w:szCs w:val="24"/>
        </w:rPr>
        <w:t>It differed slightly to other known leagues</w:t>
      </w:r>
      <w:r w:rsidR="00F15BE0" w:rsidRPr="00DE2EDC">
        <w:rPr>
          <w:sz w:val="24"/>
          <w:szCs w:val="24"/>
        </w:rPr>
        <w:t xml:space="preserve"> in regards to its ‘</w:t>
      </w:r>
      <w:r w:rsidRPr="00DE2EDC">
        <w:rPr>
          <w:sz w:val="24"/>
          <w:szCs w:val="24"/>
        </w:rPr>
        <w:t>ruling</w:t>
      </w:r>
      <w:r w:rsidR="00F15BE0" w:rsidRPr="00DE2EDC">
        <w:rPr>
          <w:sz w:val="24"/>
          <w:szCs w:val="24"/>
        </w:rPr>
        <w:t>’</w:t>
      </w:r>
      <w:r w:rsidRPr="00DE2EDC">
        <w:rPr>
          <w:sz w:val="24"/>
          <w:szCs w:val="24"/>
        </w:rPr>
        <w:t>,</w:t>
      </w:r>
      <w:r w:rsidR="00F15BE0" w:rsidRPr="00DE2EDC">
        <w:rPr>
          <w:sz w:val="24"/>
          <w:szCs w:val="24"/>
        </w:rPr>
        <w:t xml:space="preserve"> as although Sparta </w:t>
      </w:r>
      <w:r w:rsidR="000345C9" w:rsidRPr="00DE2EDC">
        <w:rPr>
          <w:sz w:val="24"/>
          <w:szCs w:val="24"/>
        </w:rPr>
        <w:t>was the Hegemon</w:t>
      </w:r>
      <w:r w:rsidR="00D0269F" w:rsidRPr="00DE2EDC">
        <w:rPr>
          <w:rStyle w:val="FootnoteReference"/>
          <w:sz w:val="24"/>
          <w:szCs w:val="24"/>
        </w:rPr>
        <w:footnoteReference w:id="16"/>
      </w:r>
      <w:r w:rsidR="00F15BE0" w:rsidRPr="00DE2EDC">
        <w:rPr>
          <w:sz w:val="24"/>
          <w:szCs w:val="24"/>
        </w:rPr>
        <w:t xml:space="preserve"> its members were allowed to form their own </w:t>
      </w:r>
      <w:r w:rsidRPr="00DE2EDC">
        <w:rPr>
          <w:sz w:val="24"/>
          <w:szCs w:val="24"/>
        </w:rPr>
        <w:t>alliances and could control their own government etc. without Spartan interference</w:t>
      </w:r>
      <w:r w:rsidR="00FC66B2">
        <w:rPr>
          <w:sz w:val="24"/>
          <w:szCs w:val="24"/>
        </w:rPr>
        <w:t>,</w:t>
      </w:r>
      <w:r w:rsidRPr="00DE2EDC">
        <w:rPr>
          <w:sz w:val="24"/>
          <w:szCs w:val="24"/>
        </w:rPr>
        <w:t xml:space="preserve"> as long as they met the basic requirements of the League</w:t>
      </w:r>
      <w:r w:rsidRPr="00DE2EDC">
        <w:rPr>
          <w:rStyle w:val="FootnoteReference"/>
          <w:sz w:val="24"/>
          <w:szCs w:val="24"/>
        </w:rPr>
        <w:footnoteReference w:id="17"/>
      </w:r>
      <w:r w:rsidRPr="00DE2EDC">
        <w:rPr>
          <w:sz w:val="24"/>
          <w:szCs w:val="24"/>
        </w:rPr>
        <w:t>.</w:t>
      </w:r>
      <w:r w:rsidR="00FC66B2">
        <w:rPr>
          <w:sz w:val="24"/>
          <w:szCs w:val="24"/>
        </w:rPr>
        <w:t xml:space="preserve"> Alt</w:t>
      </w:r>
      <w:r w:rsidR="001100DA" w:rsidRPr="00DE2EDC">
        <w:rPr>
          <w:sz w:val="24"/>
          <w:szCs w:val="24"/>
        </w:rPr>
        <w:t>hough</w:t>
      </w:r>
      <w:r w:rsidR="00FC66B2">
        <w:rPr>
          <w:sz w:val="24"/>
          <w:szCs w:val="24"/>
        </w:rPr>
        <w:t>,</w:t>
      </w:r>
      <w:r w:rsidR="001100DA" w:rsidRPr="00DE2EDC">
        <w:rPr>
          <w:sz w:val="24"/>
          <w:szCs w:val="24"/>
        </w:rPr>
        <w:t xml:space="preserve"> even with such ‘freedoms’ there was still unrest as in 450 BCE Megara left the league in order to form an alliance with </w:t>
      </w:r>
      <w:r w:rsidR="0035530A">
        <w:rPr>
          <w:sz w:val="24"/>
          <w:szCs w:val="24"/>
        </w:rPr>
        <w:t xml:space="preserve">the </w:t>
      </w:r>
      <w:r w:rsidR="0035530A" w:rsidRPr="00DE2EDC">
        <w:rPr>
          <w:sz w:val="24"/>
          <w:szCs w:val="24"/>
        </w:rPr>
        <w:t>Athen</w:t>
      </w:r>
      <w:r w:rsidR="0035530A">
        <w:rPr>
          <w:sz w:val="24"/>
          <w:szCs w:val="24"/>
        </w:rPr>
        <w:t>ia</w:t>
      </w:r>
      <w:r w:rsidR="0035530A" w:rsidRPr="00DE2EDC">
        <w:rPr>
          <w:sz w:val="24"/>
          <w:szCs w:val="24"/>
        </w:rPr>
        <w:t>ns</w:t>
      </w:r>
      <w:r w:rsidR="001100DA" w:rsidRPr="00DE2EDC">
        <w:rPr>
          <w:rStyle w:val="FootnoteReference"/>
          <w:sz w:val="24"/>
          <w:szCs w:val="24"/>
        </w:rPr>
        <w:footnoteReference w:id="18"/>
      </w:r>
      <w:r w:rsidR="001100DA" w:rsidRPr="00DE2EDC">
        <w:rPr>
          <w:sz w:val="24"/>
          <w:szCs w:val="24"/>
        </w:rPr>
        <w:t>.</w:t>
      </w:r>
      <w:r w:rsidR="001A4486">
        <w:rPr>
          <w:sz w:val="24"/>
          <w:szCs w:val="24"/>
        </w:rPr>
        <w:t xml:space="preserve"> </w:t>
      </w:r>
    </w:p>
    <w:p w:rsidR="005F691F" w:rsidRPr="00DE2EDC" w:rsidRDefault="005F691F" w:rsidP="00891EDF">
      <w:pPr>
        <w:spacing w:after="0"/>
        <w:rPr>
          <w:sz w:val="24"/>
          <w:szCs w:val="24"/>
        </w:rPr>
      </w:pPr>
    </w:p>
    <w:p w:rsidR="00AF244D" w:rsidRDefault="00891EDF" w:rsidP="00891EDF">
      <w:pPr>
        <w:spacing w:after="0"/>
        <w:rPr>
          <w:sz w:val="24"/>
          <w:szCs w:val="24"/>
        </w:rPr>
      </w:pPr>
      <w:r w:rsidRPr="00DE2EDC">
        <w:rPr>
          <w:sz w:val="24"/>
          <w:szCs w:val="24"/>
        </w:rPr>
        <w:t>The</w:t>
      </w:r>
      <w:r w:rsidR="00D27915" w:rsidRPr="00DE2EDC">
        <w:rPr>
          <w:sz w:val="24"/>
          <w:szCs w:val="24"/>
        </w:rPr>
        <w:t>re isn’t much information known about the</w:t>
      </w:r>
      <w:r w:rsidRPr="00DE2EDC">
        <w:rPr>
          <w:sz w:val="24"/>
          <w:szCs w:val="24"/>
        </w:rPr>
        <w:t xml:space="preserve"> second Athenian League</w:t>
      </w:r>
      <w:r w:rsidR="000345C9" w:rsidRPr="00DE2EDC">
        <w:rPr>
          <w:sz w:val="24"/>
          <w:szCs w:val="24"/>
        </w:rPr>
        <w:t xml:space="preserve"> (also known as the Second Athenian Confederacy) </w:t>
      </w:r>
      <w:r w:rsidR="00D27915" w:rsidRPr="00DE2EDC">
        <w:rPr>
          <w:sz w:val="24"/>
          <w:szCs w:val="24"/>
        </w:rPr>
        <w:t xml:space="preserve">other than that it </w:t>
      </w:r>
      <w:r w:rsidR="000345C9" w:rsidRPr="00DE2EDC">
        <w:rPr>
          <w:sz w:val="24"/>
          <w:szCs w:val="24"/>
        </w:rPr>
        <w:t>was founded in 379/8 BCE</w:t>
      </w:r>
      <w:r w:rsidR="000345C9" w:rsidRPr="00DE2EDC">
        <w:rPr>
          <w:rStyle w:val="FootnoteReference"/>
          <w:sz w:val="24"/>
          <w:szCs w:val="24"/>
        </w:rPr>
        <w:footnoteReference w:id="19"/>
      </w:r>
      <w:r w:rsidR="00665F5E" w:rsidRPr="00DE2EDC">
        <w:rPr>
          <w:sz w:val="24"/>
          <w:szCs w:val="24"/>
        </w:rPr>
        <w:t xml:space="preserve">, at which time a decree was issued inviting </w:t>
      </w:r>
      <w:r w:rsidR="00D27915" w:rsidRPr="00DE2EDC">
        <w:rPr>
          <w:sz w:val="24"/>
          <w:szCs w:val="24"/>
        </w:rPr>
        <w:t xml:space="preserve">different Greek </w:t>
      </w:r>
      <w:r w:rsidR="00665F5E" w:rsidRPr="00DE2EDC">
        <w:rPr>
          <w:sz w:val="24"/>
          <w:szCs w:val="24"/>
        </w:rPr>
        <w:t>states to join (</w:t>
      </w:r>
      <w:r w:rsidR="00D27915" w:rsidRPr="00DE2EDC">
        <w:rPr>
          <w:sz w:val="24"/>
          <w:szCs w:val="24"/>
        </w:rPr>
        <w:t xml:space="preserve">in </w:t>
      </w:r>
      <w:r w:rsidR="00665F5E" w:rsidRPr="00DE2EDC">
        <w:rPr>
          <w:sz w:val="24"/>
          <w:szCs w:val="24"/>
        </w:rPr>
        <w:t>approx. 378/377 BCE)</w:t>
      </w:r>
      <w:r w:rsidR="00665F5E" w:rsidRPr="00DE2EDC">
        <w:rPr>
          <w:rStyle w:val="FootnoteReference"/>
          <w:sz w:val="24"/>
          <w:szCs w:val="24"/>
        </w:rPr>
        <w:footnoteReference w:id="20"/>
      </w:r>
      <w:r w:rsidR="00665F5E" w:rsidRPr="00DE2EDC">
        <w:rPr>
          <w:sz w:val="24"/>
          <w:szCs w:val="24"/>
        </w:rPr>
        <w:t>.</w:t>
      </w:r>
    </w:p>
    <w:p w:rsidR="005F691F" w:rsidRDefault="005F691F" w:rsidP="005F691F">
      <w:pPr>
        <w:spacing w:after="0"/>
        <w:rPr>
          <w:sz w:val="24"/>
          <w:szCs w:val="24"/>
        </w:rPr>
      </w:pPr>
      <w:proofErr w:type="spellStart"/>
      <w:r>
        <w:rPr>
          <w:sz w:val="24"/>
          <w:szCs w:val="24"/>
        </w:rPr>
        <w:t>Cawkwell</w:t>
      </w:r>
      <w:proofErr w:type="spellEnd"/>
      <w:r>
        <w:rPr>
          <w:sz w:val="24"/>
          <w:szCs w:val="24"/>
        </w:rPr>
        <w:t xml:space="preserve"> argues that the reason that there is not much known about this alliance is because for the twenty years prior to its dissolution</w:t>
      </w:r>
      <w:r w:rsidR="00954048">
        <w:rPr>
          <w:sz w:val="24"/>
          <w:szCs w:val="24"/>
        </w:rPr>
        <w:t xml:space="preserve"> - </w:t>
      </w:r>
      <w:r w:rsidR="00954048">
        <w:rPr>
          <w:sz w:val="24"/>
          <w:szCs w:val="24"/>
        </w:rPr>
        <w:t xml:space="preserve">The Second Athenian Confederacy was abolished by Philip II in 338 in the Peace of </w:t>
      </w:r>
      <w:proofErr w:type="spellStart"/>
      <w:r w:rsidR="00954048">
        <w:rPr>
          <w:sz w:val="24"/>
          <w:szCs w:val="24"/>
        </w:rPr>
        <w:t>Demades</w:t>
      </w:r>
      <w:proofErr w:type="spellEnd"/>
      <w:r w:rsidR="003A3969">
        <w:rPr>
          <w:rStyle w:val="FootnoteReference"/>
          <w:sz w:val="24"/>
          <w:szCs w:val="24"/>
        </w:rPr>
        <w:footnoteReference w:id="21"/>
      </w:r>
      <w:r w:rsidR="003A3969">
        <w:rPr>
          <w:sz w:val="24"/>
          <w:szCs w:val="24"/>
        </w:rPr>
        <w:t>.</w:t>
      </w:r>
      <w:r w:rsidR="00954048">
        <w:rPr>
          <w:sz w:val="24"/>
          <w:szCs w:val="24"/>
        </w:rPr>
        <w:t xml:space="preserve"> -</w:t>
      </w:r>
      <w:r>
        <w:rPr>
          <w:sz w:val="24"/>
          <w:szCs w:val="24"/>
        </w:rPr>
        <w:t xml:space="preserve"> the </w:t>
      </w:r>
      <w:r w:rsidR="00CE098E">
        <w:rPr>
          <w:sz w:val="24"/>
          <w:szCs w:val="24"/>
        </w:rPr>
        <w:t>league had</w:t>
      </w:r>
      <w:r>
        <w:rPr>
          <w:sz w:val="24"/>
          <w:szCs w:val="24"/>
        </w:rPr>
        <w:t xml:space="preserve"> been mealy surviving rather than playing any active role within the political or military spheres, making it of very little importance to both the Athenians and </w:t>
      </w:r>
      <w:r w:rsidR="00CE098E">
        <w:rPr>
          <w:sz w:val="24"/>
          <w:szCs w:val="24"/>
        </w:rPr>
        <w:t xml:space="preserve">to </w:t>
      </w:r>
      <w:r>
        <w:rPr>
          <w:sz w:val="24"/>
          <w:szCs w:val="24"/>
        </w:rPr>
        <w:t>history</w:t>
      </w:r>
      <w:r>
        <w:rPr>
          <w:rStyle w:val="FootnoteReference"/>
          <w:sz w:val="24"/>
          <w:szCs w:val="24"/>
        </w:rPr>
        <w:footnoteReference w:id="22"/>
      </w:r>
      <w:r>
        <w:rPr>
          <w:sz w:val="24"/>
          <w:szCs w:val="24"/>
        </w:rPr>
        <w:t xml:space="preserve">. </w:t>
      </w:r>
    </w:p>
    <w:p w:rsidR="00FF2B4D" w:rsidRPr="00DE2EDC" w:rsidRDefault="00FF2B4D" w:rsidP="00891EDF">
      <w:pPr>
        <w:spacing w:after="0"/>
        <w:rPr>
          <w:sz w:val="24"/>
          <w:szCs w:val="24"/>
        </w:rPr>
      </w:pPr>
    </w:p>
    <w:p w:rsidR="00DE2EDC" w:rsidRDefault="00DE2EDC" w:rsidP="00891EDF">
      <w:pPr>
        <w:spacing w:after="0"/>
        <w:rPr>
          <w:sz w:val="24"/>
          <w:szCs w:val="24"/>
        </w:rPr>
      </w:pPr>
    </w:p>
    <w:p w:rsidR="000345C9" w:rsidRDefault="00D27915" w:rsidP="00891EDF">
      <w:pPr>
        <w:spacing w:after="0"/>
        <w:rPr>
          <w:sz w:val="24"/>
          <w:szCs w:val="24"/>
        </w:rPr>
      </w:pPr>
      <w:r w:rsidRPr="00DE2EDC">
        <w:rPr>
          <w:sz w:val="24"/>
          <w:szCs w:val="24"/>
        </w:rPr>
        <w:t>In regards to similarities</w:t>
      </w:r>
      <w:r w:rsidR="0035530A">
        <w:rPr>
          <w:sz w:val="24"/>
          <w:szCs w:val="24"/>
        </w:rPr>
        <w:t xml:space="preserve"> between the leagues</w:t>
      </w:r>
      <w:r w:rsidR="001100DA" w:rsidRPr="00DE2EDC">
        <w:rPr>
          <w:sz w:val="24"/>
          <w:szCs w:val="24"/>
        </w:rPr>
        <w:t>,</w:t>
      </w:r>
      <w:r w:rsidRPr="00DE2EDC">
        <w:rPr>
          <w:sz w:val="24"/>
          <w:szCs w:val="24"/>
        </w:rPr>
        <w:t xml:space="preserve"> both</w:t>
      </w:r>
      <w:r w:rsidR="002B0690" w:rsidRPr="00DE2EDC">
        <w:rPr>
          <w:sz w:val="24"/>
          <w:szCs w:val="24"/>
        </w:rPr>
        <w:t xml:space="preserve"> the League of Corinth and the Peloponnesian League were referred to as having been overseen by </w:t>
      </w:r>
      <w:r w:rsidRPr="00DE2EDC">
        <w:rPr>
          <w:sz w:val="24"/>
          <w:szCs w:val="24"/>
        </w:rPr>
        <w:t>“</w:t>
      </w:r>
      <w:r w:rsidR="002B0690" w:rsidRPr="00DE2EDC">
        <w:rPr>
          <w:sz w:val="24"/>
          <w:szCs w:val="24"/>
        </w:rPr>
        <w:t>Hegemons</w:t>
      </w:r>
      <w:r w:rsidRPr="00DE2EDC">
        <w:rPr>
          <w:sz w:val="24"/>
          <w:szCs w:val="24"/>
        </w:rPr>
        <w:t>”</w:t>
      </w:r>
      <w:r w:rsidR="002B0690" w:rsidRPr="00DE2EDC">
        <w:rPr>
          <w:sz w:val="24"/>
          <w:szCs w:val="24"/>
        </w:rPr>
        <w:t xml:space="preserve"> however this word typically just mean</w:t>
      </w:r>
      <w:r w:rsidRPr="00DE2EDC">
        <w:rPr>
          <w:sz w:val="24"/>
          <w:szCs w:val="24"/>
        </w:rPr>
        <w:t>s</w:t>
      </w:r>
      <w:r w:rsidR="002B0690" w:rsidRPr="00DE2EDC">
        <w:rPr>
          <w:sz w:val="24"/>
          <w:szCs w:val="24"/>
        </w:rPr>
        <w:t xml:space="preserve"> ‘leader’</w:t>
      </w:r>
      <w:r w:rsidR="0084603A" w:rsidRPr="00DE2EDC">
        <w:rPr>
          <w:rStyle w:val="FootnoteReference"/>
          <w:sz w:val="24"/>
          <w:szCs w:val="24"/>
        </w:rPr>
        <w:footnoteReference w:id="23"/>
      </w:r>
      <w:r w:rsidRPr="00DE2EDC">
        <w:rPr>
          <w:sz w:val="24"/>
          <w:szCs w:val="24"/>
        </w:rPr>
        <w:t>,</w:t>
      </w:r>
      <w:r w:rsidR="002B0690" w:rsidRPr="00DE2EDC">
        <w:rPr>
          <w:sz w:val="24"/>
          <w:szCs w:val="24"/>
        </w:rPr>
        <w:t xml:space="preserve"> and </w:t>
      </w:r>
      <w:r w:rsidR="000345C9" w:rsidRPr="00DE2EDC">
        <w:rPr>
          <w:sz w:val="24"/>
          <w:szCs w:val="24"/>
        </w:rPr>
        <w:t>whereas The Peloponnesian league was controlled by a state</w:t>
      </w:r>
      <w:r w:rsidRPr="00DE2EDC">
        <w:rPr>
          <w:sz w:val="24"/>
          <w:szCs w:val="24"/>
        </w:rPr>
        <w:t xml:space="preserve"> (Sparta)</w:t>
      </w:r>
      <w:r w:rsidR="000345C9" w:rsidRPr="00DE2EDC">
        <w:rPr>
          <w:sz w:val="24"/>
          <w:szCs w:val="24"/>
        </w:rPr>
        <w:t>, the Corinthian League was controlled by a single familial line, specifically Philip II’s</w:t>
      </w:r>
      <w:r w:rsidR="0035530A">
        <w:rPr>
          <w:rStyle w:val="FootnoteReference"/>
          <w:sz w:val="24"/>
          <w:szCs w:val="24"/>
        </w:rPr>
        <w:footnoteReference w:id="24"/>
      </w:r>
      <w:r w:rsidR="000345C9" w:rsidRPr="00DE2EDC">
        <w:rPr>
          <w:sz w:val="24"/>
          <w:szCs w:val="24"/>
        </w:rPr>
        <w:t xml:space="preserve">.  </w:t>
      </w:r>
    </w:p>
    <w:p w:rsidR="00C22E57" w:rsidRDefault="005B58E7" w:rsidP="00891EDF">
      <w:pPr>
        <w:spacing w:after="0"/>
        <w:rPr>
          <w:sz w:val="24"/>
          <w:szCs w:val="24"/>
        </w:rPr>
      </w:pPr>
      <w:r>
        <w:rPr>
          <w:sz w:val="24"/>
          <w:szCs w:val="24"/>
        </w:rPr>
        <w:lastRenderedPageBreak/>
        <w:t xml:space="preserve">As for the differences the lengths as to how long each of the alliances/treaties various a great deal. If you consider the end of Alexander’s reign in 323 BCE to equal the dissolution of the </w:t>
      </w:r>
      <w:r w:rsidR="00186DD3">
        <w:rPr>
          <w:sz w:val="24"/>
          <w:szCs w:val="24"/>
        </w:rPr>
        <w:t xml:space="preserve">Corinthian league </w:t>
      </w:r>
      <w:r>
        <w:rPr>
          <w:sz w:val="24"/>
          <w:szCs w:val="24"/>
        </w:rPr>
        <w:t>(as there was never any record of the league of Corinth having ever officially dissolved however it held little significance to anyone come the end reign of Alexander the great</w:t>
      </w:r>
      <w:r>
        <w:rPr>
          <w:rStyle w:val="FootnoteReference"/>
          <w:sz w:val="24"/>
          <w:szCs w:val="24"/>
        </w:rPr>
        <w:footnoteReference w:id="25"/>
      </w:r>
      <w:r>
        <w:rPr>
          <w:sz w:val="24"/>
          <w:szCs w:val="24"/>
        </w:rPr>
        <w:t>)</w:t>
      </w:r>
      <w:r>
        <w:rPr>
          <w:sz w:val="24"/>
          <w:szCs w:val="24"/>
        </w:rPr>
        <w:t xml:space="preserve"> then this alliance lasted only </w:t>
      </w:r>
      <w:r w:rsidR="00B822AC">
        <w:rPr>
          <w:sz w:val="24"/>
          <w:szCs w:val="24"/>
        </w:rPr>
        <w:t xml:space="preserve">15 </w:t>
      </w:r>
      <w:r w:rsidR="00186DD3">
        <w:rPr>
          <w:sz w:val="24"/>
          <w:szCs w:val="24"/>
        </w:rPr>
        <w:t>years</w:t>
      </w:r>
      <w:r>
        <w:rPr>
          <w:sz w:val="24"/>
          <w:szCs w:val="24"/>
        </w:rPr>
        <w:t>. The Delian League was around for about 69 years</w:t>
      </w:r>
      <w:r w:rsidR="00186DD3">
        <w:rPr>
          <w:sz w:val="24"/>
          <w:szCs w:val="24"/>
        </w:rPr>
        <w:t xml:space="preserve"> </w:t>
      </w:r>
      <w:r w:rsidR="00B822AC">
        <w:rPr>
          <w:sz w:val="24"/>
          <w:szCs w:val="24"/>
        </w:rPr>
        <w:t>(Having ended 30 years prior to the formation of the Second Athenian Confederacy</w:t>
      </w:r>
      <w:r w:rsidR="00B822AC">
        <w:rPr>
          <w:rStyle w:val="FootnoteReference"/>
          <w:sz w:val="24"/>
          <w:szCs w:val="24"/>
        </w:rPr>
        <w:footnoteReference w:id="26"/>
      </w:r>
      <w:r w:rsidR="00B822AC">
        <w:rPr>
          <w:sz w:val="24"/>
          <w:szCs w:val="24"/>
        </w:rPr>
        <w:t>)</w:t>
      </w:r>
      <w:r>
        <w:rPr>
          <w:sz w:val="24"/>
          <w:szCs w:val="24"/>
        </w:rPr>
        <w:t xml:space="preserve">, whilst the Second Athenian League lasted 41 years. And finally, the </w:t>
      </w:r>
      <w:r w:rsidR="00186DD3">
        <w:rPr>
          <w:sz w:val="24"/>
          <w:szCs w:val="24"/>
        </w:rPr>
        <w:t xml:space="preserve">Peloponnesian league </w:t>
      </w:r>
      <w:r w:rsidR="00D71C5E">
        <w:rPr>
          <w:sz w:val="24"/>
          <w:szCs w:val="24"/>
        </w:rPr>
        <w:t>stood for</w:t>
      </w:r>
      <w:r w:rsidR="00186DD3">
        <w:rPr>
          <w:sz w:val="24"/>
          <w:szCs w:val="24"/>
        </w:rPr>
        <w:t xml:space="preserve"> over a 125 </w:t>
      </w:r>
      <w:r w:rsidR="00D71C5E">
        <w:rPr>
          <w:sz w:val="24"/>
          <w:szCs w:val="24"/>
        </w:rPr>
        <w:t>years.</w:t>
      </w:r>
    </w:p>
    <w:p w:rsidR="000345C9" w:rsidRPr="00DE2EDC" w:rsidRDefault="000345C9" w:rsidP="00891EDF">
      <w:pPr>
        <w:spacing w:after="0"/>
        <w:rPr>
          <w:sz w:val="24"/>
          <w:szCs w:val="24"/>
        </w:rPr>
      </w:pPr>
    </w:p>
    <w:p w:rsidR="000345C9" w:rsidRPr="00DE2EDC" w:rsidRDefault="00D27915" w:rsidP="00891EDF">
      <w:pPr>
        <w:spacing w:after="0"/>
        <w:rPr>
          <w:sz w:val="24"/>
          <w:szCs w:val="24"/>
        </w:rPr>
      </w:pPr>
      <w:r w:rsidRPr="00DE2EDC">
        <w:rPr>
          <w:sz w:val="24"/>
          <w:szCs w:val="24"/>
        </w:rPr>
        <w:t xml:space="preserve">In conclusion, I </w:t>
      </w:r>
      <w:r w:rsidR="000345C9" w:rsidRPr="00DE2EDC">
        <w:rPr>
          <w:sz w:val="24"/>
          <w:szCs w:val="24"/>
        </w:rPr>
        <w:t>believe that</w:t>
      </w:r>
      <w:r w:rsidRPr="00DE2EDC">
        <w:rPr>
          <w:sz w:val="24"/>
          <w:szCs w:val="24"/>
        </w:rPr>
        <w:t xml:space="preserve"> this question is </w:t>
      </w:r>
      <w:r w:rsidR="00FC66B2" w:rsidRPr="00DE2EDC">
        <w:rPr>
          <w:sz w:val="24"/>
          <w:szCs w:val="24"/>
        </w:rPr>
        <w:t>quite</w:t>
      </w:r>
      <w:r w:rsidRPr="00DE2EDC">
        <w:rPr>
          <w:sz w:val="24"/>
          <w:szCs w:val="24"/>
        </w:rPr>
        <w:t xml:space="preserve"> difficult to answer</w:t>
      </w:r>
      <w:r w:rsidR="002C30D2">
        <w:rPr>
          <w:sz w:val="24"/>
          <w:szCs w:val="24"/>
        </w:rPr>
        <w:t>,</w:t>
      </w:r>
      <w:r w:rsidRPr="00DE2EDC">
        <w:rPr>
          <w:sz w:val="24"/>
          <w:szCs w:val="24"/>
        </w:rPr>
        <w:t xml:space="preserve"> as although</w:t>
      </w:r>
      <w:r w:rsidR="000345C9" w:rsidRPr="00DE2EDC">
        <w:rPr>
          <w:sz w:val="24"/>
          <w:szCs w:val="24"/>
        </w:rPr>
        <w:t xml:space="preserve"> the League of Corinth shares some of the same traits as the other leagues during the Classical period</w:t>
      </w:r>
      <w:r w:rsidR="002C30D2">
        <w:rPr>
          <w:sz w:val="24"/>
          <w:szCs w:val="24"/>
        </w:rPr>
        <w:t>,</w:t>
      </w:r>
      <w:r w:rsidRPr="00DE2EDC">
        <w:rPr>
          <w:sz w:val="24"/>
          <w:szCs w:val="24"/>
        </w:rPr>
        <w:t xml:space="preserve"> each treaty</w:t>
      </w:r>
      <w:r w:rsidR="0035530A">
        <w:rPr>
          <w:sz w:val="24"/>
          <w:szCs w:val="24"/>
        </w:rPr>
        <w:t xml:space="preserve"> -</w:t>
      </w:r>
      <w:r w:rsidRPr="00DE2EDC">
        <w:rPr>
          <w:sz w:val="24"/>
          <w:szCs w:val="24"/>
        </w:rPr>
        <w:t xml:space="preserve"> or alliance </w:t>
      </w:r>
      <w:r w:rsidR="0035530A">
        <w:rPr>
          <w:sz w:val="24"/>
          <w:szCs w:val="24"/>
        </w:rPr>
        <w:t xml:space="preserve">- </w:t>
      </w:r>
      <w:r w:rsidRPr="00DE2EDC">
        <w:rPr>
          <w:sz w:val="24"/>
          <w:szCs w:val="24"/>
        </w:rPr>
        <w:t xml:space="preserve">had their own set of rules and regulations and so could each be considered </w:t>
      </w:r>
      <w:r w:rsidR="0035530A">
        <w:rPr>
          <w:sz w:val="24"/>
          <w:szCs w:val="24"/>
        </w:rPr>
        <w:t>“</w:t>
      </w:r>
      <w:r w:rsidRPr="00DE2EDC">
        <w:rPr>
          <w:sz w:val="24"/>
          <w:szCs w:val="24"/>
        </w:rPr>
        <w:t>unique</w:t>
      </w:r>
      <w:r w:rsidR="0035530A">
        <w:rPr>
          <w:sz w:val="24"/>
          <w:szCs w:val="24"/>
        </w:rPr>
        <w:t>”</w:t>
      </w:r>
      <w:r w:rsidR="00FC66B2">
        <w:rPr>
          <w:sz w:val="24"/>
          <w:szCs w:val="24"/>
        </w:rPr>
        <w:t xml:space="preserve"> in their own right</w:t>
      </w:r>
      <w:r w:rsidRPr="00DE2EDC">
        <w:rPr>
          <w:sz w:val="24"/>
          <w:szCs w:val="24"/>
        </w:rPr>
        <w:t>.</w:t>
      </w:r>
    </w:p>
    <w:p w:rsidR="00D0269F" w:rsidRPr="00DE2EDC" w:rsidRDefault="00D0269F" w:rsidP="00891EDF">
      <w:pPr>
        <w:spacing w:after="0"/>
        <w:rPr>
          <w:sz w:val="24"/>
          <w:szCs w:val="24"/>
        </w:rPr>
      </w:pPr>
    </w:p>
    <w:p w:rsidR="00D0269F" w:rsidRPr="00DE2EDC" w:rsidRDefault="00D0269F" w:rsidP="00D0269F">
      <w:pPr>
        <w:spacing w:after="0"/>
        <w:jc w:val="center"/>
        <w:rPr>
          <w:b/>
          <w:sz w:val="24"/>
          <w:szCs w:val="24"/>
        </w:rPr>
      </w:pPr>
      <w:r w:rsidRPr="00DE2EDC">
        <w:rPr>
          <w:b/>
          <w:sz w:val="24"/>
          <w:szCs w:val="24"/>
        </w:rPr>
        <w:t>Bibliography</w:t>
      </w:r>
    </w:p>
    <w:p w:rsidR="00D0269F" w:rsidRPr="00DE2EDC" w:rsidRDefault="00D0269F" w:rsidP="00D0269F">
      <w:pPr>
        <w:spacing w:after="0"/>
        <w:rPr>
          <w:b/>
          <w:i/>
          <w:sz w:val="24"/>
          <w:szCs w:val="24"/>
        </w:rPr>
      </w:pPr>
      <w:r w:rsidRPr="00DE2EDC">
        <w:rPr>
          <w:b/>
          <w:i/>
          <w:sz w:val="24"/>
          <w:szCs w:val="24"/>
        </w:rPr>
        <w:t>Ancient</w:t>
      </w:r>
    </w:p>
    <w:p w:rsidR="00D90886" w:rsidRDefault="00D90886" w:rsidP="00D0269F">
      <w:pPr>
        <w:spacing w:after="0"/>
        <w:rPr>
          <w:sz w:val="24"/>
          <w:szCs w:val="24"/>
        </w:rPr>
      </w:pPr>
      <w:r>
        <w:rPr>
          <w:sz w:val="24"/>
          <w:szCs w:val="24"/>
        </w:rPr>
        <w:t xml:space="preserve">Isocrates. George </w:t>
      </w:r>
      <w:proofErr w:type="spellStart"/>
      <w:r>
        <w:rPr>
          <w:sz w:val="24"/>
          <w:szCs w:val="24"/>
        </w:rPr>
        <w:t>Norlin</w:t>
      </w:r>
      <w:proofErr w:type="spellEnd"/>
      <w:r>
        <w:rPr>
          <w:sz w:val="24"/>
          <w:szCs w:val="24"/>
        </w:rPr>
        <w:t xml:space="preserve"> (trans.) 1980. </w:t>
      </w:r>
      <w:hyperlink r:id="rId8" w:history="1">
        <w:r w:rsidR="006503B3">
          <w:rPr>
            <w:rStyle w:val="Hyperlink"/>
          </w:rPr>
          <w:t>http://www.perseus.tufts.edu/hopper/text?doc=Isoc.%204.64&amp;lang=original</w:t>
        </w:r>
      </w:hyperlink>
      <w:r w:rsidR="006503B3">
        <w:t xml:space="preserve"> [Accessed 18/07/19]</w:t>
      </w:r>
    </w:p>
    <w:p w:rsidR="00D0269F" w:rsidRPr="00DE2EDC" w:rsidRDefault="00D0269F" w:rsidP="00D0269F">
      <w:pPr>
        <w:spacing w:after="0"/>
        <w:rPr>
          <w:sz w:val="24"/>
          <w:szCs w:val="24"/>
        </w:rPr>
      </w:pPr>
      <w:r w:rsidRPr="00DE2EDC">
        <w:rPr>
          <w:sz w:val="24"/>
          <w:szCs w:val="24"/>
        </w:rPr>
        <w:t xml:space="preserve">RO22. Stephen Lambert &amp; P.J. Rhodes (trans.) Attic Inscriptions Online. </w:t>
      </w:r>
      <w:hyperlink r:id="rId9" w:history="1">
        <w:r w:rsidRPr="00DE2EDC">
          <w:rPr>
            <w:rStyle w:val="Hyperlink"/>
            <w:sz w:val="24"/>
            <w:szCs w:val="24"/>
          </w:rPr>
          <w:t>https://www.atticinscriptions.com/inscription/RO/22</w:t>
        </w:r>
      </w:hyperlink>
      <w:r w:rsidRPr="00DE2EDC">
        <w:rPr>
          <w:sz w:val="24"/>
          <w:szCs w:val="24"/>
        </w:rPr>
        <w:t xml:space="preserve"> [Accessed 28.01.19]</w:t>
      </w:r>
    </w:p>
    <w:p w:rsidR="00D0269F" w:rsidRPr="00DE2EDC" w:rsidRDefault="00D0269F" w:rsidP="00D0269F">
      <w:pPr>
        <w:spacing w:after="0"/>
        <w:rPr>
          <w:sz w:val="24"/>
          <w:szCs w:val="24"/>
        </w:rPr>
      </w:pPr>
      <w:r w:rsidRPr="00DE2EDC">
        <w:rPr>
          <w:sz w:val="24"/>
          <w:szCs w:val="24"/>
        </w:rPr>
        <w:t xml:space="preserve">Thucydides, </w:t>
      </w:r>
      <w:proofErr w:type="gramStart"/>
      <w:r w:rsidRPr="00DE2EDC">
        <w:rPr>
          <w:sz w:val="24"/>
          <w:szCs w:val="24"/>
        </w:rPr>
        <w:t>The</w:t>
      </w:r>
      <w:proofErr w:type="gramEnd"/>
      <w:r w:rsidRPr="00DE2EDC">
        <w:rPr>
          <w:sz w:val="24"/>
          <w:szCs w:val="24"/>
        </w:rPr>
        <w:t xml:space="preserve"> Peloponnesian War. J.M. Dent (trans.) 1910</w:t>
      </w:r>
      <w:r w:rsidR="002D4AFA" w:rsidRPr="00DE2EDC">
        <w:rPr>
          <w:sz w:val="24"/>
          <w:szCs w:val="24"/>
        </w:rPr>
        <w:t xml:space="preserve">. JSTOR. </w:t>
      </w:r>
      <w:hyperlink r:id="rId10" w:history="1">
        <w:r w:rsidR="002D4AFA" w:rsidRPr="00DE2EDC">
          <w:rPr>
            <w:rStyle w:val="Hyperlink"/>
            <w:sz w:val="24"/>
            <w:szCs w:val="24"/>
          </w:rPr>
          <w:t>http://www.perseus.tufts.edu/hopper/text?doc=Perseus%3Atext%3A1999.01.0200</w:t>
        </w:r>
      </w:hyperlink>
      <w:r w:rsidR="002D4AFA" w:rsidRPr="00DE2EDC">
        <w:rPr>
          <w:sz w:val="24"/>
          <w:szCs w:val="24"/>
        </w:rPr>
        <w:t xml:space="preserve"> [Accessed 25.01.19]</w:t>
      </w:r>
    </w:p>
    <w:p w:rsidR="00D0269F" w:rsidRPr="00DE2EDC" w:rsidRDefault="00D0269F" w:rsidP="00D0269F">
      <w:pPr>
        <w:spacing w:after="0"/>
        <w:rPr>
          <w:sz w:val="24"/>
          <w:szCs w:val="24"/>
        </w:rPr>
      </w:pPr>
    </w:p>
    <w:p w:rsidR="00D0269F" w:rsidRPr="00DE2EDC" w:rsidRDefault="00D0269F" w:rsidP="00D0269F">
      <w:pPr>
        <w:spacing w:after="0"/>
        <w:rPr>
          <w:b/>
          <w:i/>
          <w:sz w:val="24"/>
          <w:szCs w:val="24"/>
        </w:rPr>
      </w:pPr>
      <w:r w:rsidRPr="00DE2EDC">
        <w:rPr>
          <w:b/>
          <w:i/>
          <w:sz w:val="24"/>
          <w:szCs w:val="24"/>
        </w:rPr>
        <w:t>Modern</w:t>
      </w:r>
    </w:p>
    <w:p w:rsidR="00D0269F" w:rsidRPr="00DE2EDC" w:rsidRDefault="00D0269F" w:rsidP="00D0269F">
      <w:pPr>
        <w:spacing w:after="0"/>
        <w:rPr>
          <w:sz w:val="24"/>
          <w:szCs w:val="24"/>
        </w:rPr>
      </w:pPr>
      <w:proofErr w:type="spellStart"/>
      <w:r w:rsidRPr="00DE2EDC">
        <w:rPr>
          <w:sz w:val="24"/>
          <w:szCs w:val="24"/>
        </w:rPr>
        <w:t>Capreedy</w:t>
      </w:r>
      <w:proofErr w:type="spellEnd"/>
      <w:r w:rsidRPr="00DE2EDC">
        <w:rPr>
          <w:sz w:val="24"/>
          <w:szCs w:val="24"/>
        </w:rPr>
        <w:t xml:space="preserve">, J. 2008. ‘A League within a League: The Preservation of the </w:t>
      </w:r>
      <w:proofErr w:type="spellStart"/>
      <w:r w:rsidRPr="00DE2EDC">
        <w:rPr>
          <w:sz w:val="24"/>
          <w:szCs w:val="24"/>
        </w:rPr>
        <w:t>Elean</w:t>
      </w:r>
      <w:proofErr w:type="spellEnd"/>
      <w:r w:rsidRPr="00DE2EDC">
        <w:rPr>
          <w:sz w:val="24"/>
          <w:szCs w:val="24"/>
        </w:rPr>
        <w:t xml:space="preserve"> </w:t>
      </w:r>
      <w:proofErr w:type="spellStart"/>
      <w:r w:rsidRPr="00DE2EDC">
        <w:rPr>
          <w:sz w:val="24"/>
          <w:szCs w:val="24"/>
        </w:rPr>
        <w:t>Symmachy</w:t>
      </w:r>
      <w:proofErr w:type="spellEnd"/>
      <w:r w:rsidRPr="00DE2EDC">
        <w:rPr>
          <w:sz w:val="24"/>
          <w:szCs w:val="24"/>
        </w:rPr>
        <w:t xml:space="preserve">.’ The Classical World. 101(4) 485-503. </w:t>
      </w:r>
      <w:hyperlink r:id="rId11" w:history="1">
        <w:r w:rsidRPr="00DE2EDC">
          <w:rPr>
            <w:rStyle w:val="Hyperlink"/>
            <w:sz w:val="24"/>
            <w:szCs w:val="24"/>
          </w:rPr>
          <w:t>https://www-jstor-org.ezproxy.uwtsd.ac.uk/stable/pdf/25471970.pdf?refreqid=excelsior%3A532cda7f78b898e2273b3be471e624b6</w:t>
        </w:r>
      </w:hyperlink>
      <w:r w:rsidRPr="00DE2EDC">
        <w:rPr>
          <w:sz w:val="24"/>
          <w:szCs w:val="24"/>
        </w:rPr>
        <w:t xml:space="preserve"> [Accessed 28.01.19] </w:t>
      </w:r>
    </w:p>
    <w:p w:rsidR="00D0269F" w:rsidRDefault="00D0269F" w:rsidP="00D0269F">
      <w:pPr>
        <w:spacing w:after="0"/>
        <w:rPr>
          <w:sz w:val="24"/>
          <w:szCs w:val="24"/>
        </w:rPr>
      </w:pPr>
      <w:proofErr w:type="spellStart"/>
      <w:r w:rsidRPr="00DE2EDC">
        <w:rPr>
          <w:sz w:val="24"/>
          <w:szCs w:val="24"/>
        </w:rPr>
        <w:t>Cartledge</w:t>
      </w:r>
      <w:proofErr w:type="spellEnd"/>
      <w:r w:rsidRPr="00DE2EDC">
        <w:rPr>
          <w:sz w:val="24"/>
          <w:szCs w:val="24"/>
        </w:rPr>
        <w:t xml:space="preserve">, P.A. 2012. “Peloponnesian League.” The Oxford Classical Dictionary. Oxford; Oxford University Press. </w:t>
      </w:r>
      <w:hyperlink r:id="rId12" w:history="1">
        <w:r w:rsidR="00AF244D" w:rsidRPr="00DE2EDC">
          <w:rPr>
            <w:rStyle w:val="Hyperlink"/>
            <w:sz w:val="24"/>
            <w:szCs w:val="24"/>
          </w:rPr>
          <w:t>http://www.oxfordreference.com.ezproxy.uwtsd.ac.uk/view/10.1093/acref/9780199545568.001.0001/acref-9780199545568-e-4833?rskey=cqJ2Z1&amp;result=2</w:t>
        </w:r>
      </w:hyperlink>
      <w:r w:rsidR="00AF244D" w:rsidRPr="00DE2EDC">
        <w:rPr>
          <w:sz w:val="24"/>
          <w:szCs w:val="24"/>
        </w:rPr>
        <w:t xml:space="preserve"> [Accessed 12</w:t>
      </w:r>
      <w:r w:rsidRPr="00DE2EDC">
        <w:rPr>
          <w:sz w:val="24"/>
          <w:szCs w:val="24"/>
        </w:rPr>
        <w:t>.0</w:t>
      </w:r>
      <w:r w:rsidR="00AF244D" w:rsidRPr="00DE2EDC">
        <w:rPr>
          <w:sz w:val="24"/>
          <w:szCs w:val="24"/>
        </w:rPr>
        <w:t>4</w:t>
      </w:r>
      <w:r w:rsidRPr="00DE2EDC">
        <w:rPr>
          <w:sz w:val="24"/>
          <w:szCs w:val="24"/>
        </w:rPr>
        <w:t>.19]</w:t>
      </w:r>
    </w:p>
    <w:p w:rsidR="00FF2857" w:rsidRDefault="00FF2857" w:rsidP="00D0269F">
      <w:pPr>
        <w:spacing w:after="0"/>
        <w:rPr>
          <w:sz w:val="24"/>
          <w:szCs w:val="24"/>
        </w:rPr>
      </w:pPr>
      <w:proofErr w:type="spellStart"/>
      <w:r>
        <w:rPr>
          <w:sz w:val="24"/>
          <w:szCs w:val="24"/>
        </w:rPr>
        <w:t>Cartledge</w:t>
      </w:r>
      <w:proofErr w:type="spellEnd"/>
      <w:r>
        <w:rPr>
          <w:sz w:val="24"/>
          <w:szCs w:val="24"/>
        </w:rPr>
        <w:t>, P.A. 2003. “</w:t>
      </w:r>
      <w:proofErr w:type="spellStart"/>
      <w:r>
        <w:rPr>
          <w:sz w:val="24"/>
          <w:szCs w:val="24"/>
        </w:rPr>
        <w:t>Cleomenes</w:t>
      </w:r>
      <w:proofErr w:type="spellEnd"/>
      <w:r>
        <w:rPr>
          <w:sz w:val="24"/>
          <w:szCs w:val="24"/>
        </w:rPr>
        <w:t xml:space="preserve"> I” </w:t>
      </w:r>
      <w:r>
        <w:rPr>
          <w:i/>
          <w:sz w:val="24"/>
          <w:szCs w:val="24"/>
        </w:rPr>
        <w:t>Who’s who in the Classical World.</w:t>
      </w:r>
      <w:r>
        <w:rPr>
          <w:sz w:val="24"/>
          <w:szCs w:val="24"/>
        </w:rPr>
        <w:t xml:space="preserve"> Oxford; Oxford University Press. </w:t>
      </w:r>
      <w:hyperlink r:id="rId13" w:history="1">
        <w:r>
          <w:rPr>
            <w:rStyle w:val="Hyperlink"/>
          </w:rPr>
          <w:t>https://www-oxfordreference-com.ezproxy.uwtsd.ac.uk/view/10.1093/acref/9780192801074.001.0001/acref-9780192801074-e-136?rskey=sfQK0p&amp;result=4</w:t>
        </w:r>
      </w:hyperlink>
      <w:r>
        <w:t xml:space="preserve"> [Accessed 19/07/19]</w:t>
      </w:r>
      <w:r>
        <w:rPr>
          <w:sz w:val="24"/>
          <w:szCs w:val="24"/>
        </w:rPr>
        <w:t xml:space="preserve"> </w:t>
      </w:r>
    </w:p>
    <w:p w:rsidR="009C185A" w:rsidRDefault="009C185A" w:rsidP="00D0269F">
      <w:pPr>
        <w:spacing w:after="0"/>
        <w:rPr>
          <w:sz w:val="24"/>
          <w:szCs w:val="24"/>
        </w:rPr>
      </w:pPr>
      <w:proofErr w:type="spellStart"/>
      <w:r>
        <w:rPr>
          <w:sz w:val="24"/>
          <w:szCs w:val="24"/>
        </w:rPr>
        <w:t>Cawkwell</w:t>
      </w:r>
      <w:proofErr w:type="spellEnd"/>
      <w:r>
        <w:rPr>
          <w:sz w:val="24"/>
          <w:szCs w:val="24"/>
        </w:rPr>
        <w:t>, G. 2011.</w:t>
      </w:r>
      <w:r w:rsidR="00E23F70">
        <w:rPr>
          <w:sz w:val="24"/>
          <w:szCs w:val="24"/>
        </w:rPr>
        <w:t xml:space="preserve"> “Notes on the Failure of the Second Athenian Confederacy”</w:t>
      </w:r>
      <w:r>
        <w:rPr>
          <w:sz w:val="24"/>
          <w:szCs w:val="24"/>
        </w:rPr>
        <w:t xml:space="preserve"> </w:t>
      </w:r>
      <w:r w:rsidR="00F2095E">
        <w:rPr>
          <w:sz w:val="24"/>
          <w:szCs w:val="24"/>
        </w:rPr>
        <w:t>Cyrene to Chaeronea</w:t>
      </w:r>
      <w:r w:rsidR="00E23F70">
        <w:rPr>
          <w:sz w:val="24"/>
          <w:szCs w:val="24"/>
        </w:rPr>
        <w:t>, Chapter XI</w:t>
      </w:r>
      <w:r w:rsidR="00F2095E">
        <w:rPr>
          <w:sz w:val="24"/>
          <w:szCs w:val="24"/>
        </w:rPr>
        <w:t xml:space="preserve">. </w:t>
      </w:r>
      <w:r w:rsidR="00E23F70">
        <w:rPr>
          <w:sz w:val="24"/>
          <w:szCs w:val="24"/>
        </w:rPr>
        <w:t xml:space="preserve">Oxford; </w:t>
      </w:r>
      <w:r w:rsidR="00F2095E">
        <w:rPr>
          <w:sz w:val="24"/>
          <w:szCs w:val="24"/>
        </w:rPr>
        <w:t>Oxford University Press</w:t>
      </w:r>
    </w:p>
    <w:p w:rsidR="00E62DD6" w:rsidRDefault="00E62DD6" w:rsidP="00D0269F">
      <w:pPr>
        <w:spacing w:after="0"/>
      </w:pPr>
      <w:proofErr w:type="spellStart"/>
      <w:r>
        <w:rPr>
          <w:sz w:val="24"/>
          <w:szCs w:val="24"/>
        </w:rPr>
        <w:lastRenderedPageBreak/>
        <w:t>Darvill</w:t>
      </w:r>
      <w:proofErr w:type="spellEnd"/>
      <w:r>
        <w:rPr>
          <w:sz w:val="24"/>
          <w:szCs w:val="24"/>
        </w:rPr>
        <w:t xml:space="preserve">, T. 2008. ‘Classical Period’ </w:t>
      </w:r>
      <w:proofErr w:type="gramStart"/>
      <w:r>
        <w:rPr>
          <w:i/>
          <w:sz w:val="24"/>
          <w:szCs w:val="24"/>
        </w:rPr>
        <w:t>The</w:t>
      </w:r>
      <w:proofErr w:type="gramEnd"/>
      <w:r>
        <w:rPr>
          <w:i/>
          <w:sz w:val="24"/>
          <w:szCs w:val="24"/>
        </w:rPr>
        <w:t xml:space="preserve"> concise Oxford dictionary of Archaeology.</w:t>
      </w:r>
      <w:r>
        <w:rPr>
          <w:sz w:val="24"/>
          <w:szCs w:val="24"/>
        </w:rPr>
        <w:t xml:space="preserve"> Oxford; Oxford University Press. </w:t>
      </w:r>
      <w:hyperlink r:id="rId14" w:history="1">
        <w:r>
          <w:rPr>
            <w:rStyle w:val="Hyperlink"/>
          </w:rPr>
          <w:t>https://www-oxfordreference-com.ezproxy.uwtsd.ac.uk/view/10.1093/acref/9780199534043.001.0001/acref-9780199534043-e-866?rskey=0rxemR&amp;result=1</w:t>
        </w:r>
      </w:hyperlink>
      <w:r>
        <w:t xml:space="preserve"> [Accessed 18/07/19]</w:t>
      </w:r>
    </w:p>
    <w:p w:rsidR="00C22E57" w:rsidRDefault="00C22E57" w:rsidP="00D0269F">
      <w:pPr>
        <w:spacing w:after="0"/>
      </w:pPr>
      <w:r>
        <w:t>Holt, F. L. &amp; Stewart, A. 2010. “Alexander the Great”</w:t>
      </w:r>
      <w:r w:rsidR="002D149A">
        <w:t xml:space="preserve"> </w:t>
      </w:r>
      <w:r w:rsidR="002D149A">
        <w:rPr>
          <w:i/>
        </w:rPr>
        <w:t xml:space="preserve">The Oxford Encyclopaedia of Ancient Greece and Rome. </w:t>
      </w:r>
      <w:hyperlink r:id="rId15" w:history="1">
        <w:r w:rsidR="002D149A">
          <w:rPr>
            <w:rStyle w:val="Hyperlink"/>
          </w:rPr>
          <w:t>https://www-oxfordreference-com.ezproxy.uwtsd.ac.uk/view/10.1093/acref/9780195170726.001.0001/acref-9780195170726-e-</w:t>
        </w:r>
        <w:bookmarkStart w:id="0" w:name="_GoBack"/>
        <w:bookmarkEnd w:id="0"/>
        <w:r w:rsidR="002D149A">
          <w:rPr>
            <w:rStyle w:val="Hyperlink"/>
          </w:rPr>
          <w:t>48?rskey=rLa3tf&amp;result=10</w:t>
        </w:r>
      </w:hyperlink>
      <w:r w:rsidR="002D149A">
        <w:t xml:space="preserve"> [Accessed 19/07/19]</w:t>
      </w:r>
      <w:r>
        <w:t xml:space="preserve"> </w:t>
      </w:r>
    </w:p>
    <w:p w:rsidR="00FF2857" w:rsidRPr="00FF2857" w:rsidRDefault="00FF2857" w:rsidP="00D0269F">
      <w:pPr>
        <w:spacing w:after="0"/>
        <w:rPr>
          <w:sz w:val="24"/>
          <w:szCs w:val="24"/>
        </w:rPr>
      </w:pPr>
      <w:proofErr w:type="spellStart"/>
      <w:r>
        <w:t>Howatson</w:t>
      </w:r>
      <w:proofErr w:type="spellEnd"/>
      <w:r>
        <w:t>, M.C. 2011. “</w:t>
      </w:r>
      <w:proofErr w:type="spellStart"/>
      <w:r>
        <w:t>Peloponne’sian</w:t>
      </w:r>
      <w:proofErr w:type="spellEnd"/>
      <w:r>
        <w:t xml:space="preserve"> League” </w:t>
      </w:r>
      <w:r>
        <w:rPr>
          <w:i/>
        </w:rPr>
        <w:t>The Oxford Companion to Classical Literature.</w:t>
      </w:r>
      <w:r>
        <w:t xml:space="preserve"> Oxford; Oxford University Press.</w:t>
      </w:r>
    </w:p>
    <w:p w:rsidR="00D0269F" w:rsidRPr="00DE2EDC" w:rsidRDefault="00D0269F" w:rsidP="00D0269F">
      <w:pPr>
        <w:spacing w:after="0"/>
        <w:rPr>
          <w:sz w:val="24"/>
          <w:szCs w:val="24"/>
        </w:rPr>
      </w:pPr>
      <w:r w:rsidRPr="00DE2EDC">
        <w:rPr>
          <w:sz w:val="24"/>
          <w:szCs w:val="24"/>
        </w:rPr>
        <w:t>Martin, T.R. 2000. Ancient Greece: From Prehistoric to Hellenistic Times. London; Yale University Press</w:t>
      </w:r>
      <w:r w:rsidR="00FF2857">
        <w:rPr>
          <w:sz w:val="24"/>
          <w:szCs w:val="24"/>
        </w:rPr>
        <w:t xml:space="preserve">. </w:t>
      </w:r>
      <w:hyperlink r:id="rId16" w:history="1">
        <w:r w:rsidR="00FF2857">
          <w:rPr>
            <w:rStyle w:val="Hyperlink"/>
          </w:rPr>
          <w:t>https://www-oxfordreference-com.ezproxy.uwtsd.ac.uk/view/10.1093/acref/9780199548545.001.0001/acref-9780199548545-e-2290</w:t>
        </w:r>
      </w:hyperlink>
      <w:r w:rsidR="00FF2857">
        <w:t xml:space="preserve"> [Accessed 19/07/19]</w:t>
      </w:r>
    </w:p>
    <w:p w:rsidR="00D0269F" w:rsidRPr="00DE2EDC" w:rsidRDefault="00D0269F" w:rsidP="00D0269F">
      <w:pPr>
        <w:spacing w:after="0"/>
        <w:rPr>
          <w:color w:val="FF0000"/>
          <w:sz w:val="24"/>
          <w:szCs w:val="24"/>
        </w:rPr>
      </w:pPr>
      <w:proofErr w:type="spellStart"/>
      <w:r w:rsidRPr="00A81B54">
        <w:rPr>
          <w:sz w:val="24"/>
          <w:szCs w:val="24"/>
        </w:rPr>
        <w:t>Meiggs</w:t>
      </w:r>
      <w:proofErr w:type="spellEnd"/>
      <w:r w:rsidRPr="00A81B54">
        <w:rPr>
          <w:sz w:val="24"/>
          <w:szCs w:val="24"/>
        </w:rPr>
        <w:t xml:space="preserve">, R. &amp; </w:t>
      </w:r>
      <w:proofErr w:type="spellStart"/>
      <w:r w:rsidRPr="00A81B54">
        <w:rPr>
          <w:sz w:val="24"/>
          <w:szCs w:val="24"/>
        </w:rPr>
        <w:t>Hornblower</w:t>
      </w:r>
      <w:proofErr w:type="spellEnd"/>
      <w:r w:rsidRPr="00A81B54">
        <w:rPr>
          <w:sz w:val="24"/>
          <w:szCs w:val="24"/>
        </w:rPr>
        <w:t xml:space="preserve">, S. 2012. “Delian League” The Oxford Classical Dictionary. Oxford; Oxford University Press. </w:t>
      </w:r>
      <w:hyperlink r:id="rId17" w:history="1">
        <w:r w:rsidR="00B822AC">
          <w:rPr>
            <w:rStyle w:val="Hyperlink"/>
          </w:rPr>
          <w:t>https://www-oxfordreference-com.ezproxy.uwtsd.ac.uk/view/10.1093/acref/9780199545568.001.0001/acref-9780199545568-e-2074?rskey=hOOGvR&amp;result=4</w:t>
        </w:r>
      </w:hyperlink>
      <w:r w:rsidR="00B822AC" w:rsidRPr="00DE2EDC">
        <w:rPr>
          <w:color w:val="FF0000"/>
          <w:sz w:val="24"/>
          <w:szCs w:val="24"/>
        </w:rPr>
        <w:t xml:space="preserve"> </w:t>
      </w:r>
      <w:r w:rsidR="00B822AC" w:rsidRPr="00A81B54">
        <w:rPr>
          <w:sz w:val="24"/>
          <w:szCs w:val="24"/>
        </w:rPr>
        <w:t xml:space="preserve"> </w:t>
      </w:r>
      <w:r w:rsidRPr="00A81B54">
        <w:rPr>
          <w:sz w:val="24"/>
          <w:szCs w:val="24"/>
        </w:rPr>
        <w:t>[Accessed 28.01.19]</w:t>
      </w:r>
    </w:p>
    <w:p w:rsidR="00D0269F" w:rsidRPr="00DE2EDC" w:rsidRDefault="00D0269F" w:rsidP="00D0269F">
      <w:pPr>
        <w:spacing w:after="0"/>
        <w:rPr>
          <w:sz w:val="24"/>
          <w:szCs w:val="24"/>
        </w:rPr>
      </w:pPr>
      <w:r w:rsidRPr="00DE2EDC">
        <w:rPr>
          <w:sz w:val="24"/>
          <w:szCs w:val="24"/>
        </w:rPr>
        <w:t xml:space="preserve">Perlman, S. 1985. “Greek Diplomatic Tradition and the Corinthian League of Philip of Macedon” </w:t>
      </w:r>
      <w:proofErr w:type="spellStart"/>
      <w:r w:rsidRPr="00DE2EDC">
        <w:rPr>
          <w:i/>
          <w:sz w:val="24"/>
          <w:szCs w:val="24"/>
        </w:rPr>
        <w:t>Historia</w:t>
      </w:r>
      <w:proofErr w:type="spellEnd"/>
      <w:r w:rsidRPr="00DE2EDC">
        <w:rPr>
          <w:i/>
          <w:sz w:val="24"/>
          <w:szCs w:val="24"/>
        </w:rPr>
        <w:t xml:space="preserve">: </w:t>
      </w:r>
      <w:proofErr w:type="spellStart"/>
      <w:r w:rsidRPr="00DE2EDC">
        <w:rPr>
          <w:i/>
          <w:sz w:val="24"/>
          <w:szCs w:val="24"/>
        </w:rPr>
        <w:t>Zeitschrift</w:t>
      </w:r>
      <w:proofErr w:type="spellEnd"/>
      <w:r w:rsidRPr="00DE2EDC">
        <w:rPr>
          <w:i/>
          <w:sz w:val="24"/>
          <w:szCs w:val="24"/>
        </w:rPr>
        <w:t xml:space="preserve"> </w:t>
      </w:r>
      <w:proofErr w:type="spellStart"/>
      <w:r w:rsidRPr="00DE2EDC">
        <w:rPr>
          <w:i/>
          <w:sz w:val="24"/>
          <w:szCs w:val="24"/>
        </w:rPr>
        <w:t>Fui</w:t>
      </w:r>
      <w:proofErr w:type="spellEnd"/>
      <w:r w:rsidRPr="00DE2EDC">
        <w:rPr>
          <w:i/>
          <w:sz w:val="24"/>
          <w:szCs w:val="24"/>
        </w:rPr>
        <w:t xml:space="preserve"> </w:t>
      </w:r>
      <w:proofErr w:type="spellStart"/>
      <w:r w:rsidRPr="00DE2EDC">
        <w:rPr>
          <w:i/>
          <w:sz w:val="24"/>
          <w:szCs w:val="24"/>
        </w:rPr>
        <w:t>Alte</w:t>
      </w:r>
      <w:proofErr w:type="spellEnd"/>
      <w:r w:rsidRPr="00DE2EDC">
        <w:rPr>
          <w:i/>
          <w:sz w:val="24"/>
          <w:szCs w:val="24"/>
        </w:rPr>
        <w:t xml:space="preserve"> </w:t>
      </w:r>
      <w:proofErr w:type="spellStart"/>
      <w:r w:rsidRPr="00DE2EDC">
        <w:rPr>
          <w:i/>
          <w:sz w:val="24"/>
          <w:szCs w:val="24"/>
        </w:rPr>
        <w:t>Geschiechte</w:t>
      </w:r>
      <w:proofErr w:type="spellEnd"/>
      <w:r w:rsidRPr="00DE2EDC">
        <w:rPr>
          <w:i/>
          <w:sz w:val="24"/>
          <w:szCs w:val="24"/>
        </w:rPr>
        <w:t xml:space="preserve"> 34, no.2: 153-74. </w:t>
      </w:r>
      <w:hyperlink r:id="rId18" w:history="1">
        <w:r w:rsidRPr="00DE2EDC">
          <w:rPr>
            <w:rStyle w:val="Hyperlink"/>
            <w:rFonts w:cs="Arial"/>
            <w:sz w:val="24"/>
            <w:szCs w:val="24"/>
            <w:shd w:val="clear" w:color="auto" w:fill="FFFFFF"/>
          </w:rPr>
          <w:t>http://www.jstor.org/stable/4435919</w:t>
        </w:r>
      </w:hyperlink>
      <w:r w:rsidRPr="00DE2EDC">
        <w:rPr>
          <w:rFonts w:cs="Arial"/>
          <w:color w:val="333333"/>
          <w:sz w:val="24"/>
          <w:szCs w:val="24"/>
          <w:shd w:val="clear" w:color="auto" w:fill="FFFFFF"/>
        </w:rPr>
        <w:t xml:space="preserve">. </w:t>
      </w:r>
      <w:r w:rsidRPr="00DE2EDC">
        <w:rPr>
          <w:rFonts w:cs="Arial"/>
          <w:sz w:val="24"/>
          <w:szCs w:val="24"/>
          <w:shd w:val="clear" w:color="auto" w:fill="FFFFFF"/>
        </w:rPr>
        <w:t>[Accessed 28.01.19]</w:t>
      </w:r>
    </w:p>
    <w:p w:rsidR="00D0269F" w:rsidRPr="00DE2EDC" w:rsidRDefault="00D0269F" w:rsidP="00D0269F">
      <w:pPr>
        <w:spacing w:after="0"/>
        <w:rPr>
          <w:rFonts w:cs="Arial"/>
          <w:color w:val="000000"/>
          <w:sz w:val="24"/>
          <w:szCs w:val="24"/>
        </w:rPr>
      </w:pPr>
      <w:r w:rsidRPr="00DE2EDC">
        <w:rPr>
          <w:rFonts w:cs="Arial"/>
          <w:color w:val="000000"/>
          <w:sz w:val="24"/>
          <w:szCs w:val="24"/>
        </w:rPr>
        <w:t>Salmon, J.B. 2012. "Corinth, League of."  </w:t>
      </w:r>
      <w:r w:rsidRPr="00DE2EDC">
        <w:rPr>
          <w:rStyle w:val="Emphasis"/>
          <w:rFonts w:cs="Arial"/>
          <w:color w:val="000000"/>
          <w:sz w:val="24"/>
          <w:szCs w:val="24"/>
        </w:rPr>
        <w:t>The Oxford Classical Dictionary</w:t>
      </w:r>
      <w:r w:rsidRPr="00DE2EDC">
        <w:rPr>
          <w:rFonts w:cs="Arial"/>
          <w:color w:val="000000"/>
          <w:sz w:val="24"/>
          <w:szCs w:val="24"/>
        </w:rPr>
        <w:t xml:space="preserve">. Oxford; Oxford University Press. </w:t>
      </w:r>
      <w:hyperlink r:id="rId19" w:history="1">
        <w:r w:rsidRPr="00DE2EDC">
          <w:rPr>
            <w:rStyle w:val="Hyperlink"/>
            <w:rFonts w:cs="Arial"/>
            <w:sz w:val="24"/>
            <w:szCs w:val="24"/>
          </w:rPr>
          <w:t>http://www.oxfordreference.com.ezproxy.uwtsd.ac.uk/view/10.1093/acref/9780199545568.001.0001/acref-9780199545568-e-1821?rskey=EaGGg0&amp;result=1</w:t>
        </w:r>
      </w:hyperlink>
      <w:r w:rsidRPr="00DE2EDC">
        <w:rPr>
          <w:rFonts w:cs="Arial"/>
          <w:color w:val="000000"/>
          <w:sz w:val="24"/>
          <w:szCs w:val="24"/>
        </w:rPr>
        <w:t xml:space="preserve"> [Accessed 28.01.19]</w:t>
      </w:r>
    </w:p>
    <w:p w:rsidR="0084603A" w:rsidRDefault="0084603A" w:rsidP="00D0269F">
      <w:pPr>
        <w:spacing w:after="0"/>
        <w:rPr>
          <w:rFonts w:cs="Arial"/>
          <w:color w:val="000000"/>
          <w:sz w:val="24"/>
          <w:szCs w:val="24"/>
        </w:rPr>
      </w:pPr>
      <w:r w:rsidRPr="00DE2EDC">
        <w:rPr>
          <w:rFonts w:cs="Arial"/>
          <w:color w:val="000000"/>
          <w:sz w:val="24"/>
          <w:szCs w:val="24"/>
        </w:rPr>
        <w:t xml:space="preserve">Speake, J. &amp; </w:t>
      </w:r>
      <w:proofErr w:type="spellStart"/>
      <w:r w:rsidRPr="00DE2EDC">
        <w:rPr>
          <w:rFonts w:cs="Arial"/>
          <w:color w:val="000000"/>
          <w:sz w:val="24"/>
          <w:szCs w:val="24"/>
        </w:rPr>
        <w:t>LaFlaur</w:t>
      </w:r>
      <w:proofErr w:type="spellEnd"/>
      <w:r w:rsidRPr="00DE2EDC">
        <w:rPr>
          <w:rFonts w:cs="Arial"/>
          <w:color w:val="000000"/>
          <w:sz w:val="24"/>
          <w:szCs w:val="24"/>
        </w:rPr>
        <w:t xml:space="preserve">, M. 1999. Hegemon. The Oxford Essential Dictionary of </w:t>
      </w:r>
      <w:proofErr w:type="spellStart"/>
      <w:r w:rsidRPr="00DE2EDC">
        <w:rPr>
          <w:rFonts w:cs="Arial"/>
          <w:color w:val="000000"/>
          <w:sz w:val="24"/>
          <w:szCs w:val="24"/>
        </w:rPr>
        <w:t>Foreing</w:t>
      </w:r>
      <w:proofErr w:type="spellEnd"/>
      <w:r w:rsidRPr="00DE2EDC">
        <w:rPr>
          <w:rFonts w:cs="Arial"/>
          <w:color w:val="000000"/>
          <w:sz w:val="24"/>
          <w:szCs w:val="24"/>
        </w:rPr>
        <w:t xml:space="preserve"> Terms in English. Oxford; Oxford University Press. </w:t>
      </w:r>
      <w:hyperlink r:id="rId20" w:history="1">
        <w:r w:rsidRPr="00DE2EDC">
          <w:rPr>
            <w:rStyle w:val="Hyperlink"/>
            <w:rFonts w:cs="Arial"/>
            <w:sz w:val="24"/>
            <w:szCs w:val="24"/>
          </w:rPr>
          <w:t>http://www.oxfordreference.com.ezproxy.uwtsd.ac.uk/view/10.1093/acref/9780199891573.001.0001/acref-9780199891573-e-3033</w:t>
        </w:r>
      </w:hyperlink>
      <w:r w:rsidRPr="00DE2EDC">
        <w:rPr>
          <w:rFonts w:cs="Arial"/>
          <w:color w:val="000000"/>
          <w:sz w:val="24"/>
          <w:szCs w:val="24"/>
        </w:rPr>
        <w:t>. [Accessed 28.01.19]</w:t>
      </w:r>
    </w:p>
    <w:p w:rsidR="006503B3" w:rsidRPr="00DE2EDC" w:rsidRDefault="006503B3" w:rsidP="00D0269F">
      <w:pPr>
        <w:spacing w:after="0"/>
        <w:rPr>
          <w:rFonts w:cs="Arial"/>
          <w:color w:val="000000"/>
          <w:sz w:val="24"/>
          <w:szCs w:val="24"/>
        </w:rPr>
      </w:pPr>
      <w:r>
        <w:rPr>
          <w:rFonts w:cs="Arial"/>
          <w:color w:val="000000"/>
          <w:sz w:val="24"/>
          <w:szCs w:val="24"/>
        </w:rPr>
        <w:t xml:space="preserve">Too, Y.L. 2010. “Isocrates” </w:t>
      </w:r>
      <w:r w:rsidRPr="006503B3">
        <w:rPr>
          <w:rFonts w:cs="Arial"/>
          <w:i/>
          <w:color w:val="000000"/>
          <w:sz w:val="24"/>
          <w:szCs w:val="24"/>
        </w:rPr>
        <w:t xml:space="preserve">The Oxford </w:t>
      </w:r>
      <w:proofErr w:type="spellStart"/>
      <w:r w:rsidRPr="006503B3">
        <w:rPr>
          <w:rFonts w:cs="Arial"/>
          <w:i/>
          <w:color w:val="000000"/>
          <w:sz w:val="24"/>
          <w:szCs w:val="24"/>
        </w:rPr>
        <w:t>Encyclopedia</w:t>
      </w:r>
      <w:proofErr w:type="spellEnd"/>
      <w:r w:rsidRPr="006503B3">
        <w:rPr>
          <w:rFonts w:cs="Arial"/>
          <w:i/>
          <w:color w:val="000000"/>
          <w:sz w:val="24"/>
          <w:szCs w:val="24"/>
        </w:rPr>
        <w:t xml:space="preserve"> of Ancient Greece and Rome. Oxford; Oxford University Press. </w:t>
      </w:r>
      <w:hyperlink r:id="rId21" w:history="1">
        <w:r>
          <w:rPr>
            <w:rStyle w:val="Hyperlink"/>
          </w:rPr>
          <w:t>https://www-oxfordreference-com.ezproxy.uwtsd.ac.uk/view/10.1093/acref/9780195170726.001.0001/acref-9780195170726-e-639?rskey=anAF3v&amp;result=2</w:t>
        </w:r>
      </w:hyperlink>
      <w:r>
        <w:t xml:space="preserve"> [Accessed 18/07/19]</w:t>
      </w:r>
    </w:p>
    <w:p w:rsidR="00D0269F" w:rsidRDefault="00D0269F" w:rsidP="00D0269F">
      <w:pPr>
        <w:spacing w:after="0"/>
        <w:rPr>
          <w:rFonts w:cs="Arial"/>
          <w:color w:val="000000"/>
          <w:sz w:val="24"/>
          <w:szCs w:val="24"/>
        </w:rPr>
      </w:pPr>
      <w:proofErr w:type="spellStart"/>
      <w:r w:rsidRPr="00DE2EDC">
        <w:rPr>
          <w:rFonts w:cs="Arial"/>
          <w:color w:val="000000"/>
          <w:sz w:val="24"/>
          <w:szCs w:val="24"/>
        </w:rPr>
        <w:t>Tuplin</w:t>
      </w:r>
      <w:proofErr w:type="spellEnd"/>
      <w:r w:rsidRPr="00DE2EDC">
        <w:rPr>
          <w:rFonts w:cs="Arial"/>
          <w:color w:val="000000"/>
          <w:sz w:val="24"/>
          <w:szCs w:val="24"/>
        </w:rPr>
        <w:t xml:space="preserve">, C.J. 2012. “Second Athenian Confederacy” </w:t>
      </w:r>
      <w:r w:rsidRPr="006503B3">
        <w:rPr>
          <w:rFonts w:cs="Arial"/>
          <w:i/>
          <w:color w:val="000000"/>
          <w:sz w:val="24"/>
          <w:szCs w:val="24"/>
        </w:rPr>
        <w:t>The Oxford Classical Dictionary</w:t>
      </w:r>
      <w:r w:rsidRPr="00DE2EDC">
        <w:rPr>
          <w:rFonts w:cs="Arial"/>
          <w:color w:val="000000"/>
          <w:sz w:val="24"/>
          <w:szCs w:val="24"/>
        </w:rPr>
        <w:t xml:space="preserve">. Oxford; Oxford University Press. </w:t>
      </w:r>
      <w:hyperlink r:id="rId22" w:history="1">
        <w:r w:rsidRPr="00DE2EDC">
          <w:rPr>
            <w:rStyle w:val="Hyperlink"/>
            <w:rFonts w:cs="Arial"/>
            <w:sz w:val="24"/>
            <w:szCs w:val="24"/>
          </w:rPr>
          <w:t>http://www.oxfordreference.com.ezproxy.uwtsd.ac.uk/view/10.1093/acref/9780199545568.001.0001/acref-9780199545568-e-5779?rskey=VppQO3&amp;result=1</w:t>
        </w:r>
      </w:hyperlink>
      <w:r w:rsidRPr="00DE2EDC">
        <w:rPr>
          <w:rFonts w:cs="Arial"/>
          <w:color w:val="000000"/>
          <w:sz w:val="24"/>
          <w:szCs w:val="24"/>
        </w:rPr>
        <w:t xml:space="preserve"> [Accessed 28.01.19]</w:t>
      </w:r>
    </w:p>
    <w:p w:rsidR="00A30D51" w:rsidRPr="00DE2EDC" w:rsidRDefault="00A30D51" w:rsidP="00D0269F">
      <w:pPr>
        <w:spacing w:after="0"/>
        <w:rPr>
          <w:rFonts w:cs="Arial"/>
          <w:color w:val="000000"/>
          <w:sz w:val="24"/>
          <w:szCs w:val="24"/>
        </w:rPr>
      </w:pPr>
      <w:r>
        <w:rPr>
          <w:rFonts w:cs="Arial"/>
          <w:color w:val="000000"/>
          <w:sz w:val="24"/>
          <w:szCs w:val="24"/>
        </w:rPr>
        <w:t>Wade-</w:t>
      </w:r>
      <w:proofErr w:type="spellStart"/>
      <w:r>
        <w:rPr>
          <w:rFonts w:cs="Arial"/>
          <w:color w:val="000000"/>
          <w:sz w:val="24"/>
          <w:szCs w:val="24"/>
        </w:rPr>
        <w:t>Gery</w:t>
      </w:r>
      <w:proofErr w:type="spellEnd"/>
      <w:r>
        <w:rPr>
          <w:rFonts w:cs="Arial"/>
          <w:color w:val="000000"/>
          <w:sz w:val="24"/>
          <w:szCs w:val="24"/>
        </w:rPr>
        <w:t xml:space="preserve">, H. </w:t>
      </w:r>
      <w:proofErr w:type="spellStart"/>
      <w:r>
        <w:rPr>
          <w:rFonts w:cs="Arial"/>
          <w:color w:val="000000"/>
          <w:sz w:val="24"/>
          <w:szCs w:val="24"/>
        </w:rPr>
        <w:t>Denniston</w:t>
      </w:r>
      <w:proofErr w:type="spellEnd"/>
      <w:r>
        <w:rPr>
          <w:rFonts w:cs="Arial"/>
          <w:color w:val="000000"/>
          <w:sz w:val="24"/>
          <w:szCs w:val="24"/>
        </w:rPr>
        <w:t xml:space="preserve">, J &amp; </w:t>
      </w:r>
      <w:proofErr w:type="spellStart"/>
      <w:r>
        <w:rPr>
          <w:rFonts w:cs="Arial"/>
          <w:color w:val="000000"/>
          <w:sz w:val="24"/>
          <w:szCs w:val="24"/>
        </w:rPr>
        <w:t>Hornblower</w:t>
      </w:r>
      <w:proofErr w:type="spellEnd"/>
      <w:r>
        <w:rPr>
          <w:rFonts w:cs="Arial"/>
          <w:color w:val="000000"/>
          <w:sz w:val="24"/>
          <w:szCs w:val="24"/>
        </w:rPr>
        <w:t xml:space="preserve">. 2012. “Thucydides” </w:t>
      </w:r>
      <w:r>
        <w:rPr>
          <w:rFonts w:cs="Arial"/>
          <w:i/>
          <w:color w:val="000000"/>
          <w:sz w:val="24"/>
          <w:szCs w:val="24"/>
        </w:rPr>
        <w:t>The Oxford Classical Dictionary.</w:t>
      </w:r>
      <w:r>
        <w:rPr>
          <w:rFonts w:cs="Arial"/>
          <w:color w:val="000000"/>
          <w:sz w:val="24"/>
          <w:szCs w:val="24"/>
        </w:rPr>
        <w:t xml:space="preserve"> Oxford; Oxford University Press. </w:t>
      </w:r>
      <w:hyperlink r:id="rId23" w:history="1">
        <w:r>
          <w:rPr>
            <w:rStyle w:val="Hyperlink"/>
          </w:rPr>
          <w:t>https://www-oxfordreference-com.ezproxy.uwtsd.ac.uk/view/10.1093/acref/9780199545568.001.0001/acref-9780199545568-e-6427?rskey=tcEzQQ&amp;result=9</w:t>
        </w:r>
      </w:hyperlink>
      <w:r>
        <w:t xml:space="preserve"> [Accessed 19/07/19]</w:t>
      </w:r>
    </w:p>
    <w:p w:rsidR="00D0269F" w:rsidRPr="00DE2EDC" w:rsidRDefault="00D0269F" w:rsidP="00D0269F">
      <w:pPr>
        <w:spacing w:after="0"/>
        <w:rPr>
          <w:rFonts w:cs="Arial"/>
          <w:sz w:val="24"/>
          <w:szCs w:val="24"/>
        </w:rPr>
      </w:pPr>
      <w:r w:rsidRPr="00DE2EDC">
        <w:rPr>
          <w:rFonts w:cs="Arial"/>
          <w:sz w:val="24"/>
          <w:szCs w:val="24"/>
        </w:rPr>
        <w:lastRenderedPageBreak/>
        <w:t>Worthington, 1. 2004. Alexander the Great and the Greeks in 336? Another Reading of “IG” II</w:t>
      </w:r>
      <w:r w:rsidRPr="00DE2EDC">
        <w:rPr>
          <w:rFonts w:cs="Arial"/>
          <w:sz w:val="24"/>
          <w:szCs w:val="24"/>
          <w:vertAlign w:val="superscript"/>
        </w:rPr>
        <w:t xml:space="preserve">2 </w:t>
      </w:r>
      <w:r w:rsidRPr="00DE2EDC">
        <w:rPr>
          <w:rFonts w:cs="Arial"/>
          <w:sz w:val="24"/>
          <w:szCs w:val="24"/>
        </w:rPr>
        <w:t xml:space="preserve">329. </w:t>
      </w:r>
      <w:proofErr w:type="spellStart"/>
      <w:r w:rsidRPr="00DE2EDC">
        <w:rPr>
          <w:rFonts w:cs="Arial"/>
          <w:i/>
          <w:iCs/>
          <w:sz w:val="24"/>
          <w:szCs w:val="24"/>
          <w:shd w:val="clear" w:color="auto" w:fill="FFFFFF"/>
        </w:rPr>
        <w:t>Zeitschrift</w:t>
      </w:r>
      <w:proofErr w:type="spellEnd"/>
      <w:r w:rsidRPr="00DE2EDC">
        <w:rPr>
          <w:rFonts w:cs="Arial"/>
          <w:i/>
          <w:iCs/>
          <w:sz w:val="24"/>
          <w:szCs w:val="24"/>
          <w:shd w:val="clear" w:color="auto" w:fill="FFFFFF"/>
        </w:rPr>
        <w:t xml:space="preserve"> </w:t>
      </w:r>
      <w:proofErr w:type="spellStart"/>
      <w:r w:rsidRPr="00DE2EDC">
        <w:rPr>
          <w:rFonts w:cs="Arial"/>
          <w:i/>
          <w:iCs/>
          <w:sz w:val="24"/>
          <w:szCs w:val="24"/>
          <w:shd w:val="clear" w:color="auto" w:fill="FFFFFF"/>
        </w:rPr>
        <w:t>Für</w:t>
      </w:r>
      <w:proofErr w:type="spellEnd"/>
      <w:r w:rsidRPr="00DE2EDC">
        <w:rPr>
          <w:rFonts w:cs="Arial"/>
          <w:i/>
          <w:iCs/>
          <w:sz w:val="24"/>
          <w:szCs w:val="24"/>
          <w:shd w:val="clear" w:color="auto" w:fill="FFFFFF"/>
        </w:rPr>
        <w:t xml:space="preserve"> </w:t>
      </w:r>
      <w:proofErr w:type="spellStart"/>
      <w:r w:rsidRPr="00DE2EDC">
        <w:rPr>
          <w:rFonts w:cs="Arial"/>
          <w:i/>
          <w:iCs/>
          <w:sz w:val="24"/>
          <w:szCs w:val="24"/>
          <w:shd w:val="clear" w:color="auto" w:fill="FFFFFF"/>
        </w:rPr>
        <w:t>Papyrologie</w:t>
      </w:r>
      <w:proofErr w:type="spellEnd"/>
      <w:r w:rsidRPr="00DE2EDC">
        <w:rPr>
          <w:rFonts w:cs="Arial"/>
          <w:i/>
          <w:iCs/>
          <w:sz w:val="24"/>
          <w:szCs w:val="24"/>
          <w:shd w:val="clear" w:color="auto" w:fill="FFFFFF"/>
        </w:rPr>
        <w:t xml:space="preserve"> Und </w:t>
      </w:r>
      <w:proofErr w:type="spellStart"/>
      <w:r w:rsidRPr="00DE2EDC">
        <w:rPr>
          <w:rFonts w:cs="Arial"/>
          <w:i/>
          <w:iCs/>
          <w:sz w:val="24"/>
          <w:szCs w:val="24"/>
          <w:shd w:val="clear" w:color="auto" w:fill="FFFFFF"/>
        </w:rPr>
        <w:t>Epigraphik</w:t>
      </w:r>
      <w:proofErr w:type="spellEnd"/>
      <w:r w:rsidRPr="00DE2EDC">
        <w:rPr>
          <w:rFonts w:cs="Arial"/>
          <w:i/>
          <w:iCs/>
          <w:sz w:val="24"/>
          <w:szCs w:val="24"/>
          <w:shd w:val="clear" w:color="auto" w:fill="FFFFFF"/>
        </w:rPr>
        <w:t>,</w:t>
      </w:r>
      <w:r w:rsidRPr="00DE2EDC">
        <w:rPr>
          <w:rFonts w:cs="Arial"/>
          <w:sz w:val="24"/>
          <w:szCs w:val="24"/>
          <w:shd w:val="clear" w:color="auto" w:fill="FFFFFF"/>
        </w:rPr>
        <w:t> </w:t>
      </w:r>
      <w:r w:rsidRPr="00DE2EDC">
        <w:rPr>
          <w:rFonts w:cs="Arial"/>
          <w:i/>
          <w:iCs/>
          <w:sz w:val="24"/>
          <w:szCs w:val="24"/>
          <w:shd w:val="clear" w:color="auto" w:fill="FFFFFF"/>
        </w:rPr>
        <w:t>147</w:t>
      </w:r>
      <w:r w:rsidRPr="00DE2EDC">
        <w:rPr>
          <w:rFonts w:cs="Arial"/>
          <w:sz w:val="24"/>
          <w:szCs w:val="24"/>
          <w:shd w:val="clear" w:color="auto" w:fill="FFFFFF"/>
        </w:rPr>
        <w:t xml:space="preserve">, 59-71. </w:t>
      </w:r>
      <w:hyperlink r:id="rId24" w:history="1">
        <w:r w:rsidRPr="00DE2EDC">
          <w:rPr>
            <w:rStyle w:val="Hyperlink"/>
            <w:rFonts w:cs="Arial"/>
            <w:sz w:val="24"/>
            <w:szCs w:val="24"/>
            <w:shd w:val="clear" w:color="auto" w:fill="FFFFFF"/>
          </w:rPr>
          <w:t>http://www.jstor.org/stable/20191796</w:t>
        </w:r>
      </w:hyperlink>
      <w:r w:rsidRPr="00DE2EDC">
        <w:rPr>
          <w:rFonts w:cs="Arial"/>
          <w:color w:val="333333"/>
          <w:sz w:val="24"/>
          <w:szCs w:val="24"/>
          <w:shd w:val="clear" w:color="auto" w:fill="FFFFFF"/>
        </w:rPr>
        <w:t xml:space="preserve"> </w:t>
      </w:r>
      <w:r w:rsidRPr="00DE2EDC">
        <w:rPr>
          <w:rFonts w:cs="Arial"/>
          <w:sz w:val="24"/>
          <w:szCs w:val="24"/>
          <w:shd w:val="clear" w:color="auto" w:fill="FFFFFF"/>
        </w:rPr>
        <w:t xml:space="preserve">[Accessed 28.01.19] </w:t>
      </w:r>
    </w:p>
    <w:p w:rsidR="00A30D51" w:rsidRPr="00A30D51" w:rsidRDefault="00A30D51" w:rsidP="00D0269F">
      <w:pPr>
        <w:spacing w:after="0"/>
        <w:rPr>
          <w:rFonts w:cs="Arial"/>
          <w:sz w:val="24"/>
          <w:szCs w:val="24"/>
        </w:rPr>
      </w:pPr>
    </w:p>
    <w:p w:rsidR="00A30D51" w:rsidRPr="00A30D51" w:rsidRDefault="00A30D51" w:rsidP="00D0269F">
      <w:pPr>
        <w:spacing w:after="0"/>
        <w:rPr>
          <w:rFonts w:cs="Arial"/>
          <w:sz w:val="24"/>
          <w:szCs w:val="24"/>
        </w:rPr>
      </w:pPr>
    </w:p>
    <w:sectPr w:rsidR="00A30D51" w:rsidRPr="00A30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10CA" w:rsidRDefault="003710CA" w:rsidP="00377201">
      <w:pPr>
        <w:spacing w:after="0" w:line="240" w:lineRule="auto"/>
      </w:pPr>
      <w:r>
        <w:separator/>
      </w:r>
    </w:p>
  </w:endnote>
  <w:endnote w:type="continuationSeparator" w:id="0">
    <w:p w:rsidR="003710CA" w:rsidRDefault="003710CA" w:rsidP="0037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10CA" w:rsidRDefault="003710CA" w:rsidP="00377201">
      <w:pPr>
        <w:spacing w:after="0" w:line="240" w:lineRule="auto"/>
      </w:pPr>
      <w:r>
        <w:separator/>
      </w:r>
    </w:p>
  </w:footnote>
  <w:footnote w:type="continuationSeparator" w:id="0">
    <w:p w:rsidR="003710CA" w:rsidRDefault="003710CA" w:rsidP="00377201">
      <w:pPr>
        <w:spacing w:after="0" w:line="240" w:lineRule="auto"/>
      </w:pPr>
      <w:r>
        <w:continuationSeparator/>
      </w:r>
    </w:p>
  </w:footnote>
  <w:footnote w:id="1">
    <w:p w:rsidR="003A31E3" w:rsidRDefault="003A31E3" w:rsidP="003A31E3">
      <w:pPr>
        <w:pStyle w:val="FootnoteText"/>
      </w:pPr>
      <w:r>
        <w:rPr>
          <w:rStyle w:val="FootnoteReference"/>
        </w:rPr>
        <w:footnoteRef/>
      </w:r>
      <w:r>
        <w:t xml:space="preserve"> </w:t>
      </w:r>
      <w:proofErr w:type="spellStart"/>
      <w:r>
        <w:t>Darvill</w:t>
      </w:r>
      <w:proofErr w:type="spellEnd"/>
      <w:r>
        <w:t>. 2008</w:t>
      </w:r>
    </w:p>
  </w:footnote>
  <w:footnote w:id="2">
    <w:p w:rsidR="00703D63" w:rsidRDefault="00703D63">
      <w:pPr>
        <w:pStyle w:val="FootnoteText"/>
      </w:pPr>
      <w:r>
        <w:rPr>
          <w:rStyle w:val="FootnoteReference"/>
        </w:rPr>
        <w:footnoteRef/>
      </w:r>
      <w:r>
        <w:t xml:space="preserve"> Salmon. 2012</w:t>
      </w:r>
    </w:p>
  </w:footnote>
  <w:footnote w:id="3">
    <w:p w:rsidR="00703D63" w:rsidRDefault="00703D63">
      <w:pPr>
        <w:pStyle w:val="FootnoteText"/>
      </w:pPr>
      <w:r>
        <w:rPr>
          <w:rStyle w:val="FootnoteReference"/>
        </w:rPr>
        <w:footnoteRef/>
      </w:r>
      <w:r>
        <w:t xml:space="preserve"> Worthington. 2004. 59</w:t>
      </w:r>
    </w:p>
  </w:footnote>
  <w:footnote w:id="4">
    <w:p w:rsidR="00703D63" w:rsidRDefault="00703D63">
      <w:pPr>
        <w:pStyle w:val="FootnoteText"/>
      </w:pPr>
      <w:r>
        <w:rPr>
          <w:rStyle w:val="FootnoteReference"/>
        </w:rPr>
        <w:footnoteRef/>
      </w:r>
      <w:r>
        <w:t xml:space="preserve"> Perlman. 1985. 156</w:t>
      </w:r>
    </w:p>
  </w:footnote>
  <w:footnote w:id="5">
    <w:p w:rsidR="006503B3" w:rsidRDefault="006503B3">
      <w:pPr>
        <w:pStyle w:val="FootnoteText"/>
      </w:pPr>
      <w:r>
        <w:rPr>
          <w:rStyle w:val="FootnoteReference"/>
        </w:rPr>
        <w:footnoteRef/>
      </w:r>
      <w:r>
        <w:t xml:space="preserve"> Too. 2010.</w:t>
      </w:r>
    </w:p>
  </w:footnote>
  <w:footnote w:id="6">
    <w:p w:rsidR="00DA6719" w:rsidRDefault="00DA6719" w:rsidP="00DA6719">
      <w:pPr>
        <w:pStyle w:val="FootnoteText"/>
      </w:pPr>
      <w:r>
        <w:rPr>
          <w:rStyle w:val="FootnoteReference"/>
        </w:rPr>
        <w:footnoteRef/>
      </w:r>
      <w:r>
        <w:t xml:space="preserve"> </w:t>
      </w:r>
      <w:proofErr w:type="spellStart"/>
      <w:r>
        <w:t>Isoc</w:t>
      </w:r>
      <w:proofErr w:type="spellEnd"/>
      <w:r>
        <w:t>. 4. 64</w:t>
      </w:r>
    </w:p>
  </w:footnote>
  <w:footnote w:id="7">
    <w:p w:rsidR="00DA6719" w:rsidRDefault="00DA6719" w:rsidP="00DA6719">
      <w:pPr>
        <w:pStyle w:val="FootnoteText"/>
      </w:pPr>
      <w:r>
        <w:rPr>
          <w:rStyle w:val="FootnoteReference"/>
        </w:rPr>
        <w:footnoteRef/>
      </w:r>
      <w:r>
        <w:t xml:space="preserve"> Perlman. 1985. 153</w:t>
      </w:r>
    </w:p>
  </w:footnote>
  <w:footnote w:id="8">
    <w:p w:rsidR="00703D63" w:rsidRDefault="00703D63">
      <w:pPr>
        <w:pStyle w:val="FootnoteText"/>
      </w:pPr>
      <w:r>
        <w:rPr>
          <w:rStyle w:val="FootnoteReference"/>
        </w:rPr>
        <w:footnoteRef/>
      </w:r>
      <w:r>
        <w:t xml:space="preserve"> Worthington. 2004. 59</w:t>
      </w:r>
    </w:p>
  </w:footnote>
  <w:footnote w:id="9">
    <w:p w:rsidR="00A30D51" w:rsidRDefault="00A30D51">
      <w:pPr>
        <w:pStyle w:val="FootnoteText"/>
      </w:pPr>
      <w:r>
        <w:rPr>
          <w:rStyle w:val="FootnoteReference"/>
        </w:rPr>
        <w:footnoteRef/>
      </w:r>
      <w:r>
        <w:t xml:space="preserve"> Wade-</w:t>
      </w:r>
      <w:proofErr w:type="spellStart"/>
      <w:r>
        <w:t>Gery</w:t>
      </w:r>
      <w:proofErr w:type="spellEnd"/>
      <w:r>
        <w:t xml:space="preserve">, </w:t>
      </w:r>
      <w:proofErr w:type="spellStart"/>
      <w:r>
        <w:t>Denniston</w:t>
      </w:r>
      <w:proofErr w:type="spellEnd"/>
      <w:r>
        <w:t xml:space="preserve"> &amp; </w:t>
      </w:r>
      <w:proofErr w:type="spellStart"/>
      <w:r>
        <w:t>Hornblower</w:t>
      </w:r>
      <w:proofErr w:type="spellEnd"/>
      <w:r>
        <w:t>. 2012</w:t>
      </w:r>
    </w:p>
  </w:footnote>
  <w:footnote w:id="10">
    <w:p w:rsidR="001415B9" w:rsidRDefault="001415B9">
      <w:pPr>
        <w:pStyle w:val="FootnoteText"/>
      </w:pPr>
      <w:r>
        <w:rPr>
          <w:rStyle w:val="FootnoteReference"/>
        </w:rPr>
        <w:footnoteRef/>
      </w:r>
      <w:r>
        <w:t xml:space="preserve"> Martin. 2000. 96</w:t>
      </w:r>
    </w:p>
  </w:footnote>
  <w:footnote w:id="11">
    <w:p w:rsidR="00891EDF" w:rsidRDefault="00891EDF" w:rsidP="00891EDF">
      <w:pPr>
        <w:pStyle w:val="FootnoteText"/>
      </w:pPr>
      <w:r>
        <w:rPr>
          <w:rStyle w:val="FootnoteReference"/>
        </w:rPr>
        <w:footnoteRef/>
      </w:r>
      <w:r>
        <w:t xml:space="preserve"> Martin. 2000. 106</w:t>
      </w:r>
    </w:p>
  </w:footnote>
  <w:footnote w:id="12">
    <w:p w:rsidR="00891EDF" w:rsidRDefault="00891EDF">
      <w:pPr>
        <w:pStyle w:val="FootnoteText"/>
      </w:pPr>
      <w:r>
        <w:rPr>
          <w:rStyle w:val="FootnoteReference"/>
        </w:rPr>
        <w:footnoteRef/>
      </w:r>
      <w:r>
        <w:t xml:space="preserve"> </w:t>
      </w:r>
      <w:proofErr w:type="spellStart"/>
      <w:r>
        <w:t>Thuc</w:t>
      </w:r>
      <w:proofErr w:type="spellEnd"/>
      <w:r>
        <w:t>. 1.95</w:t>
      </w:r>
    </w:p>
  </w:footnote>
  <w:footnote w:id="13">
    <w:p w:rsidR="00AF244D" w:rsidRDefault="00AF244D">
      <w:pPr>
        <w:pStyle w:val="FootnoteText"/>
      </w:pPr>
      <w:r>
        <w:rPr>
          <w:rStyle w:val="FootnoteReference"/>
        </w:rPr>
        <w:footnoteRef/>
      </w:r>
      <w:r>
        <w:t xml:space="preserve"> </w:t>
      </w:r>
      <w:proofErr w:type="spellStart"/>
      <w:r>
        <w:t>Cartledge</w:t>
      </w:r>
      <w:proofErr w:type="spellEnd"/>
      <w:r>
        <w:t>. 2012</w:t>
      </w:r>
    </w:p>
  </w:footnote>
  <w:footnote w:id="14">
    <w:p w:rsidR="00AA67CF" w:rsidRDefault="00AA67CF">
      <w:pPr>
        <w:pStyle w:val="FootnoteText"/>
      </w:pPr>
      <w:r>
        <w:rPr>
          <w:rStyle w:val="FootnoteReference"/>
        </w:rPr>
        <w:footnoteRef/>
      </w:r>
      <w:r>
        <w:t xml:space="preserve"> </w:t>
      </w:r>
      <w:proofErr w:type="spellStart"/>
      <w:r>
        <w:t>Cartledge</w:t>
      </w:r>
      <w:proofErr w:type="spellEnd"/>
      <w:r>
        <w:t>. 2003</w:t>
      </w:r>
    </w:p>
  </w:footnote>
  <w:footnote w:id="15">
    <w:p w:rsidR="00FF2857" w:rsidRDefault="00FF2857">
      <w:pPr>
        <w:pStyle w:val="FootnoteText"/>
      </w:pPr>
      <w:r>
        <w:rPr>
          <w:rStyle w:val="FootnoteReference"/>
        </w:rPr>
        <w:footnoteRef/>
      </w:r>
      <w:r>
        <w:t xml:space="preserve"> </w:t>
      </w:r>
      <w:proofErr w:type="spellStart"/>
      <w:r>
        <w:t>Howatson</w:t>
      </w:r>
      <w:proofErr w:type="spellEnd"/>
      <w:r>
        <w:t>. 2011</w:t>
      </w:r>
    </w:p>
  </w:footnote>
  <w:footnote w:id="16">
    <w:p w:rsidR="00D0269F" w:rsidRDefault="00D0269F">
      <w:pPr>
        <w:pStyle w:val="FootnoteText"/>
      </w:pPr>
      <w:r>
        <w:rPr>
          <w:rStyle w:val="FootnoteReference"/>
        </w:rPr>
        <w:footnoteRef/>
      </w:r>
      <w:r>
        <w:t xml:space="preserve"> </w:t>
      </w:r>
      <w:proofErr w:type="spellStart"/>
      <w:r>
        <w:t>Capreedy</w:t>
      </w:r>
      <w:proofErr w:type="spellEnd"/>
      <w:r>
        <w:t>. 2008. 485.</w:t>
      </w:r>
    </w:p>
  </w:footnote>
  <w:footnote w:id="17">
    <w:p w:rsidR="00AF244D" w:rsidRDefault="00AF244D">
      <w:pPr>
        <w:pStyle w:val="FootnoteText"/>
      </w:pPr>
      <w:r>
        <w:rPr>
          <w:rStyle w:val="FootnoteReference"/>
        </w:rPr>
        <w:footnoteRef/>
      </w:r>
      <w:r>
        <w:t xml:space="preserve"> </w:t>
      </w:r>
      <w:proofErr w:type="spellStart"/>
      <w:r>
        <w:t>Capreedy</w:t>
      </w:r>
      <w:proofErr w:type="spellEnd"/>
      <w:r>
        <w:t>. 2008. 486</w:t>
      </w:r>
    </w:p>
  </w:footnote>
  <w:footnote w:id="18">
    <w:p w:rsidR="001100DA" w:rsidRDefault="001100DA">
      <w:pPr>
        <w:pStyle w:val="FootnoteText"/>
      </w:pPr>
      <w:r>
        <w:rPr>
          <w:rStyle w:val="FootnoteReference"/>
        </w:rPr>
        <w:footnoteRef/>
      </w:r>
      <w:r>
        <w:t xml:space="preserve"> Gagarin. 2010. 9</w:t>
      </w:r>
    </w:p>
  </w:footnote>
  <w:footnote w:id="19">
    <w:p w:rsidR="000345C9" w:rsidRDefault="000345C9">
      <w:pPr>
        <w:pStyle w:val="FootnoteText"/>
      </w:pPr>
      <w:r>
        <w:rPr>
          <w:rStyle w:val="FootnoteReference"/>
        </w:rPr>
        <w:footnoteRef/>
      </w:r>
      <w:r>
        <w:t xml:space="preserve"> </w:t>
      </w:r>
      <w:proofErr w:type="spellStart"/>
      <w:r>
        <w:t>Tuplin</w:t>
      </w:r>
      <w:proofErr w:type="spellEnd"/>
      <w:r>
        <w:t>. 2012</w:t>
      </w:r>
    </w:p>
  </w:footnote>
  <w:footnote w:id="20">
    <w:p w:rsidR="00665F5E" w:rsidRDefault="00665F5E">
      <w:pPr>
        <w:pStyle w:val="FootnoteText"/>
      </w:pPr>
      <w:r>
        <w:rPr>
          <w:rStyle w:val="FootnoteReference"/>
        </w:rPr>
        <w:footnoteRef/>
      </w:r>
      <w:r>
        <w:t xml:space="preserve"> RO 22</w:t>
      </w:r>
    </w:p>
  </w:footnote>
  <w:footnote w:id="21">
    <w:p w:rsidR="003A3969" w:rsidRDefault="003A3969" w:rsidP="003A3969">
      <w:pPr>
        <w:pStyle w:val="FootnoteText"/>
      </w:pPr>
      <w:r>
        <w:rPr>
          <w:rStyle w:val="FootnoteReference"/>
        </w:rPr>
        <w:footnoteRef/>
      </w:r>
      <w:r>
        <w:t xml:space="preserve"> </w:t>
      </w:r>
      <w:proofErr w:type="spellStart"/>
      <w:r>
        <w:t>Cawkwell</w:t>
      </w:r>
      <w:proofErr w:type="spellEnd"/>
      <w:r>
        <w:t>. 2011.XI.1</w:t>
      </w:r>
    </w:p>
  </w:footnote>
  <w:footnote w:id="22">
    <w:p w:rsidR="005F691F" w:rsidRDefault="005F691F">
      <w:pPr>
        <w:pStyle w:val="FootnoteText"/>
      </w:pPr>
      <w:r>
        <w:rPr>
          <w:rStyle w:val="FootnoteReference"/>
        </w:rPr>
        <w:footnoteRef/>
      </w:r>
      <w:r>
        <w:t xml:space="preserve"> </w:t>
      </w:r>
      <w:proofErr w:type="spellStart"/>
      <w:r>
        <w:t>Cawkwell</w:t>
      </w:r>
      <w:proofErr w:type="spellEnd"/>
      <w:r>
        <w:t>. 2011. XI. 2</w:t>
      </w:r>
    </w:p>
  </w:footnote>
  <w:footnote w:id="23">
    <w:p w:rsidR="0084603A" w:rsidRDefault="0084603A">
      <w:pPr>
        <w:pStyle w:val="FootnoteText"/>
      </w:pPr>
      <w:r>
        <w:rPr>
          <w:rStyle w:val="FootnoteReference"/>
        </w:rPr>
        <w:footnoteRef/>
      </w:r>
      <w:r>
        <w:t xml:space="preserve"> </w:t>
      </w:r>
      <w:r>
        <w:rPr>
          <w:rFonts w:cs="Arial"/>
          <w:color w:val="000000"/>
        </w:rPr>
        <w:t xml:space="preserve">Speake &amp; </w:t>
      </w:r>
      <w:proofErr w:type="spellStart"/>
      <w:r>
        <w:rPr>
          <w:rFonts w:cs="Arial"/>
          <w:color w:val="000000"/>
        </w:rPr>
        <w:t>LaFlaur</w:t>
      </w:r>
      <w:proofErr w:type="spellEnd"/>
      <w:r>
        <w:rPr>
          <w:rFonts w:cs="Arial"/>
          <w:color w:val="000000"/>
        </w:rPr>
        <w:t>. 1999</w:t>
      </w:r>
    </w:p>
  </w:footnote>
  <w:footnote w:id="24">
    <w:p w:rsidR="0035530A" w:rsidRDefault="0035530A">
      <w:pPr>
        <w:pStyle w:val="FootnoteText"/>
      </w:pPr>
      <w:r>
        <w:rPr>
          <w:rStyle w:val="FootnoteReference"/>
        </w:rPr>
        <w:footnoteRef/>
      </w:r>
      <w:r>
        <w:t xml:space="preserve"> </w:t>
      </w:r>
      <w:r>
        <w:t>Too. 2010.</w:t>
      </w:r>
    </w:p>
  </w:footnote>
  <w:footnote w:id="25">
    <w:p w:rsidR="005B58E7" w:rsidRDefault="005B58E7" w:rsidP="005B58E7">
      <w:pPr>
        <w:pStyle w:val="FootnoteText"/>
      </w:pPr>
      <w:r>
        <w:rPr>
          <w:rStyle w:val="FootnoteReference"/>
        </w:rPr>
        <w:footnoteRef/>
      </w:r>
      <w:r>
        <w:t xml:space="preserve"> Salmon. 2012</w:t>
      </w:r>
    </w:p>
  </w:footnote>
  <w:footnote w:id="26">
    <w:p w:rsidR="00B822AC" w:rsidRDefault="00B822AC" w:rsidP="00B822AC">
      <w:pPr>
        <w:pStyle w:val="FootnoteText"/>
      </w:pPr>
      <w:r>
        <w:rPr>
          <w:rStyle w:val="FootnoteReference"/>
        </w:rPr>
        <w:footnoteRef/>
      </w:r>
      <w:r>
        <w:t xml:space="preserve"> </w:t>
      </w:r>
      <w:proofErr w:type="spellStart"/>
      <w:r>
        <w:t>Meiggs</w:t>
      </w:r>
      <w:proofErr w:type="spellEnd"/>
      <w:r>
        <w:t xml:space="preserve"> &amp; </w:t>
      </w:r>
      <w:proofErr w:type="spellStart"/>
      <w:r>
        <w:t>Hornblower</w:t>
      </w:r>
      <w:proofErr w:type="spellEnd"/>
      <w:r>
        <w:t>. 2012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3676C14"/>
    <w:multiLevelType w:val="hybridMultilevel"/>
    <w:tmpl w:val="64E2B156"/>
    <w:lvl w:ilvl="0" w:tplc="68F2A9E6">
      <w:numFmt w:val="bullet"/>
      <w:lvlText w:val="-"/>
      <w:lvlJc w:val="left"/>
      <w:pPr>
        <w:ind w:left="410" w:hanging="360"/>
      </w:pPr>
      <w:rPr>
        <w:rFonts w:ascii="Calibri" w:eastAsiaTheme="minorHAnsi" w:hAnsi="Calibri" w:cs="Calibri" w:hint="default"/>
      </w:rPr>
    </w:lvl>
    <w:lvl w:ilvl="1" w:tplc="08090003">
      <w:start w:val="1"/>
      <w:numFmt w:val="bullet"/>
      <w:lvlText w:val="o"/>
      <w:lvlJc w:val="left"/>
      <w:pPr>
        <w:ind w:left="1130" w:hanging="360"/>
      </w:pPr>
      <w:rPr>
        <w:rFonts w:ascii="Courier New" w:hAnsi="Courier New" w:cs="Courier New" w:hint="default"/>
      </w:rPr>
    </w:lvl>
    <w:lvl w:ilvl="2" w:tplc="08090005">
      <w:start w:val="1"/>
      <w:numFmt w:val="bullet"/>
      <w:lvlText w:val=""/>
      <w:lvlJc w:val="left"/>
      <w:pPr>
        <w:ind w:left="1850" w:hanging="360"/>
      </w:pPr>
      <w:rPr>
        <w:rFonts w:ascii="Wingdings" w:hAnsi="Wingdings" w:hint="default"/>
      </w:rPr>
    </w:lvl>
    <w:lvl w:ilvl="3" w:tplc="08090001">
      <w:start w:val="1"/>
      <w:numFmt w:val="bullet"/>
      <w:lvlText w:val=""/>
      <w:lvlJc w:val="left"/>
      <w:pPr>
        <w:ind w:left="2570" w:hanging="360"/>
      </w:pPr>
      <w:rPr>
        <w:rFonts w:ascii="Symbol" w:hAnsi="Symbol" w:hint="default"/>
      </w:rPr>
    </w:lvl>
    <w:lvl w:ilvl="4" w:tplc="08090003">
      <w:start w:val="1"/>
      <w:numFmt w:val="bullet"/>
      <w:lvlText w:val="o"/>
      <w:lvlJc w:val="left"/>
      <w:pPr>
        <w:ind w:left="3290" w:hanging="360"/>
      </w:pPr>
      <w:rPr>
        <w:rFonts w:ascii="Courier New" w:hAnsi="Courier New" w:cs="Courier New" w:hint="default"/>
      </w:rPr>
    </w:lvl>
    <w:lvl w:ilvl="5" w:tplc="08090005">
      <w:start w:val="1"/>
      <w:numFmt w:val="bullet"/>
      <w:lvlText w:val=""/>
      <w:lvlJc w:val="left"/>
      <w:pPr>
        <w:ind w:left="4010" w:hanging="360"/>
      </w:pPr>
      <w:rPr>
        <w:rFonts w:ascii="Wingdings" w:hAnsi="Wingdings" w:hint="default"/>
      </w:rPr>
    </w:lvl>
    <w:lvl w:ilvl="6" w:tplc="08090001">
      <w:start w:val="1"/>
      <w:numFmt w:val="bullet"/>
      <w:lvlText w:val=""/>
      <w:lvlJc w:val="left"/>
      <w:pPr>
        <w:ind w:left="4730" w:hanging="360"/>
      </w:pPr>
      <w:rPr>
        <w:rFonts w:ascii="Symbol" w:hAnsi="Symbol" w:hint="default"/>
      </w:rPr>
    </w:lvl>
    <w:lvl w:ilvl="7" w:tplc="08090003">
      <w:start w:val="1"/>
      <w:numFmt w:val="bullet"/>
      <w:lvlText w:val="o"/>
      <w:lvlJc w:val="left"/>
      <w:pPr>
        <w:ind w:left="5450" w:hanging="360"/>
      </w:pPr>
      <w:rPr>
        <w:rFonts w:ascii="Courier New" w:hAnsi="Courier New" w:cs="Courier New" w:hint="default"/>
      </w:rPr>
    </w:lvl>
    <w:lvl w:ilvl="8" w:tplc="08090005">
      <w:start w:val="1"/>
      <w:numFmt w:val="bullet"/>
      <w:lvlText w:val=""/>
      <w:lvlJc w:val="left"/>
      <w:pPr>
        <w:ind w:left="6170" w:hanging="360"/>
      </w:pPr>
      <w:rPr>
        <w:rFonts w:ascii="Wingdings" w:hAnsi="Wingdings" w:hint="default"/>
      </w:rPr>
    </w:lvl>
  </w:abstractNum>
  <w:abstractNum w:abstractNumId="1" w15:restartNumberingAfterBreak="0">
    <w:nsid w:val="6F5E2E8A"/>
    <w:multiLevelType w:val="hybridMultilevel"/>
    <w:tmpl w:val="CECCF26A"/>
    <w:lvl w:ilvl="0" w:tplc="F0BE40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7201"/>
    <w:rsid w:val="000345C9"/>
    <w:rsid w:val="000E2B16"/>
    <w:rsid w:val="001100DA"/>
    <w:rsid w:val="001415B9"/>
    <w:rsid w:val="00174D0D"/>
    <w:rsid w:val="00186DD3"/>
    <w:rsid w:val="00192F9F"/>
    <w:rsid w:val="001A4486"/>
    <w:rsid w:val="00280A3A"/>
    <w:rsid w:val="002A0DD6"/>
    <w:rsid w:val="002B0690"/>
    <w:rsid w:val="002C30D2"/>
    <w:rsid w:val="002D149A"/>
    <w:rsid w:val="002D4AFA"/>
    <w:rsid w:val="0035530A"/>
    <w:rsid w:val="003710CA"/>
    <w:rsid w:val="00377201"/>
    <w:rsid w:val="003A31E3"/>
    <w:rsid w:val="003A3969"/>
    <w:rsid w:val="004215D2"/>
    <w:rsid w:val="00427AC7"/>
    <w:rsid w:val="00443E5C"/>
    <w:rsid w:val="005B58E7"/>
    <w:rsid w:val="005F691F"/>
    <w:rsid w:val="006503B3"/>
    <w:rsid w:val="00665F5E"/>
    <w:rsid w:val="00703D63"/>
    <w:rsid w:val="00754016"/>
    <w:rsid w:val="007632CA"/>
    <w:rsid w:val="00772098"/>
    <w:rsid w:val="00776E59"/>
    <w:rsid w:val="0078795F"/>
    <w:rsid w:val="00817F9B"/>
    <w:rsid w:val="0084603A"/>
    <w:rsid w:val="00882E56"/>
    <w:rsid w:val="00891EDF"/>
    <w:rsid w:val="008D48CE"/>
    <w:rsid w:val="00954048"/>
    <w:rsid w:val="009B61D6"/>
    <w:rsid w:val="009C185A"/>
    <w:rsid w:val="00A30D51"/>
    <w:rsid w:val="00A81B54"/>
    <w:rsid w:val="00AA67CF"/>
    <w:rsid w:val="00AF244D"/>
    <w:rsid w:val="00B822AC"/>
    <w:rsid w:val="00C06D86"/>
    <w:rsid w:val="00C073BD"/>
    <w:rsid w:val="00C22E57"/>
    <w:rsid w:val="00C56E88"/>
    <w:rsid w:val="00C83182"/>
    <w:rsid w:val="00CA637E"/>
    <w:rsid w:val="00CE098E"/>
    <w:rsid w:val="00D0269F"/>
    <w:rsid w:val="00D27915"/>
    <w:rsid w:val="00D71C5E"/>
    <w:rsid w:val="00D87A3C"/>
    <w:rsid w:val="00D90886"/>
    <w:rsid w:val="00D951C0"/>
    <w:rsid w:val="00DA6719"/>
    <w:rsid w:val="00DE2EDC"/>
    <w:rsid w:val="00DE7031"/>
    <w:rsid w:val="00DF7372"/>
    <w:rsid w:val="00E23F70"/>
    <w:rsid w:val="00E62DD6"/>
    <w:rsid w:val="00F15BE0"/>
    <w:rsid w:val="00F2095E"/>
    <w:rsid w:val="00F26128"/>
    <w:rsid w:val="00F8469B"/>
    <w:rsid w:val="00FC66B2"/>
    <w:rsid w:val="00FF2857"/>
    <w:rsid w:val="00FF2B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22AC2C7-DB03-4767-8700-A4AB11FDD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772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72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7201"/>
    <w:rPr>
      <w:sz w:val="20"/>
      <w:szCs w:val="20"/>
    </w:rPr>
  </w:style>
  <w:style w:type="character" w:styleId="FootnoteReference">
    <w:name w:val="footnote reference"/>
    <w:basedOn w:val="DefaultParagraphFont"/>
    <w:uiPriority w:val="99"/>
    <w:semiHidden/>
    <w:unhideWhenUsed/>
    <w:rsid w:val="00377201"/>
    <w:rPr>
      <w:vertAlign w:val="superscript"/>
    </w:rPr>
  </w:style>
  <w:style w:type="paragraph" w:styleId="ListParagraph">
    <w:name w:val="List Paragraph"/>
    <w:basedOn w:val="Normal"/>
    <w:uiPriority w:val="34"/>
    <w:qFormat/>
    <w:rsid w:val="00772098"/>
    <w:pPr>
      <w:spacing w:after="160" w:line="256" w:lineRule="auto"/>
      <w:ind w:left="720"/>
      <w:contextualSpacing/>
    </w:pPr>
  </w:style>
  <w:style w:type="character" w:styleId="Hyperlink">
    <w:name w:val="Hyperlink"/>
    <w:basedOn w:val="DefaultParagraphFont"/>
    <w:uiPriority w:val="99"/>
    <w:unhideWhenUsed/>
    <w:rsid w:val="00D0269F"/>
    <w:rPr>
      <w:color w:val="0000FF"/>
      <w:u w:val="single"/>
    </w:rPr>
  </w:style>
  <w:style w:type="character" w:styleId="Emphasis">
    <w:name w:val="Emphasis"/>
    <w:basedOn w:val="DefaultParagraphFont"/>
    <w:uiPriority w:val="20"/>
    <w:qFormat/>
    <w:rsid w:val="00D026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9217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Isoc.%204.64&amp;lang=original" TargetMode="External"/><Relationship Id="rId13" Type="http://schemas.openxmlformats.org/officeDocument/2006/relationships/hyperlink" Target="https://www-oxfordreference-com.ezproxy.uwtsd.ac.uk/view/10.1093/acref/9780192801074.001.0001/acref-9780192801074-e-136?rskey=sfQK0p&amp;result=4" TargetMode="External"/><Relationship Id="rId18" Type="http://schemas.openxmlformats.org/officeDocument/2006/relationships/hyperlink" Target="http://www.jstor.org/stable/443591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oxfordreference-com.ezproxy.uwtsd.ac.uk/view/10.1093/acref/9780195170726.001.0001/acref-9780195170726-e-639?rskey=anAF3v&amp;result=2" TargetMode="External"/><Relationship Id="rId7" Type="http://schemas.openxmlformats.org/officeDocument/2006/relationships/endnotes" Target="endnotes.xml"/><Relationship Id="rId12" Type="http://schemas.openxmlformats.org/officeDocument/2006/relationships/hyperlink" Target="http://www.oxfordreference.com.ezproxy.uwtsd.ac.uk/view/10.1093/acref/9780199545568.001.0001/acref-9780199545568-e-4833?rskey=cqJ2Z1&amp;result=2" TargetMode="External"/><Relationship Id="rId17" Type="http://schemas.openxmlformats.org/officeDocument/2006/relationships/hyperlink" Target="https://www-oxfordreference-com.ezproxy.uwtsd.ac.uk/view/10.1093/acref/9780199545568.001.0001/acref-9780199545568-e-2074?rskey=hOOGvR&amp;result=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oxfordreference-com.ezproxy.uwtsd.ac.uk/view/10.1093/acref/9780199548545.001.0001/acref-9780199548545-e-2290" TargetMode="External"/><Relationship Id="rId20" Type="http://schemas.openxmlformats.org/officeDocument/2006/relationships/hyperlink" Target="http://www.oxfordreference.com.ezproxy.uwtsd.ac.uk/view/10.1093/acref/9780199891573.001.0001/acref-9780199891573-e-303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ezproxy.uwtsd.ac.uk/stable/pdf/25471970.pdf?refreqid=excelsior%3A532cda7f78b898e2273b3be471e624b6" TargetMode="External"/><Relationship Id="rId24" Type="http://schemas.openxmlformats.org/officeDocument/2006/relationships/hyperlink" Target="http://www.jstor.org/stable/20191796" TargetMode="External"/><Relationship Id="rId5" Type="http://schemas.openxmlformats.org/officeDocument/2006/relationships/webSettings" Target="webSettings.xml"/><Relationship Id="rId15" Type="http://schemas.openxmlformats.org/officeDocument/2006/relationships/hyperlink" Target="https://www-oxfordreference-com.ezproxy.uwtsd.ac.uk/view/10.1093/acref/9780195170726.001.0001/acref-9780195170726-e-48?rskey=rLa3tf&amp;result=10" TargetMode="External"/><Relationship Id="rId23" Type="http://schemas.openxmlformats.org/officeDocument/2006/relationships/hyperlink" Target="https://www-oxfordreference-com.ezproxy.uwtsd.ac.uk/view/10.1093/acref/9780199545568.001.0001/acref-9780199545568-e-6427?rskey=tcEzQQ&amp;result=9" TargetMode="External"/><Relationship Id="rId10" Type="http://schemas.openxmlformats.org/officeDocument/2006/relationships/hyperlink" Target="http://www.perseus.tufts.edu/hopper/text?doc=Perseus%3Atext%3A1999.01.0200" TargetMode="External"/><Relationship Id="rId19" Type="http://schemas.openxmlformats.org/officeDocument/2006/relationships/hyperlink" Target="http://www.oxfordreference.com.ezproxy.uwtsd.ac.uk/view/10.1093/acref/9780199545568.001.0001/acref-9780199545568-e-1821?rskey=EaGGg0&amp;result=1" TargetMode="External"/><Relationship Id="rId4" Type="http://schemas.openxmlformats.org/officeDocument/2006/relationships/settings" Target="settings.xml"/><Relationship Id="rId9" Type="http://schemas.openxmlformats.org/officeDocument/2006/relationships/hyperlink" Target="https://www.atticinscriptions.com/inscription/RO/22" TargetMode="External"/><Relationship Id="rId14" Type="http://schemas.openxmlformats.org/officeDocument/2006/relationships/hyperlink" Target="https://www-oxfordreference-com.ezproxy.uwtsd.ac.uk/view/10.1093/acref/9780199534043.001.0001/acref-9780199534043-e-866?rskey=0rxemR&amp;result=1" TargetMode="External"/><Relationship Id="rId22" Type="http://schemas.openxmlformats.org/officeDocument/2006/relationships/hyperlink" Target="http://www.oxfordreference.com.ezproxy.uwtsd.ac.uk/view/10.1093/acref/9780199545568.001.0001/acref-9780199545568-e-5779?rskey=VppQO3&amp;result=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C303D7-6D28-45E8-AA96-DC3DB13A2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1356</TotalTime>
  <Pages>5</Pages>
  <Words>1822</Words>
  <Characters>10387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 Watson</cp:lastModifiedBy>
  <cp:revision>34</cp:revision>
  <dcterms:created xsi:type="dcterms:W3CDTF">2019-01-28T19:41:00Z</dcterms:created>
  <dcterms:modified xsi:type="dcterms:W3CDTF">2019-07-19T20:59:00Z</dcterms:modified>
</cp:coreProperties>
</file>