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6AA823" w14:textId="77777777" w:rsidR="00652B20" w:rsidRDefault="00652B20" w:rsidP="00CF7DDE">
      <w:pPr>
        <w:ind w:firstLineChars="200" w:firstLine="482"/>
        <w:jc w:val="center"/>
        <w:rPr>
          <w:rFonts w:cs="Arial"/>
          <w:b/>
          <w:szCs w:val="24"/>
        </w:rPr>
      </w:pPr>
    </w:p>
    <w:p w14:paraId="52C128B8" w14:textId="77777777" w:rsidR="00652B20" w:rsidRDefault="00652B20" w:rsidP="00CF7DDE">
      <w:pPr>
        <w:ind w:firstLineChars="200" w:firstLine="482"/>
        <w:jc w:val="center"/>
        <w:rPr>
          <w:rFonts w:cs="Arial"/>
          <w:b/>
          <w:szCs w:val="24"/>
        </w:rPr>
      </w:pPr>
    </w:p>
    <w:p w14:paraId="57440B29" w14:textId="77777777" w:rsidR="00652B20" w:rsidRDefault="00652B20" w:rsidP="00CF7DDE">
      <w:pPr>
        <w:ind w:firstLineChars="200" w:firstLine="482"/>
        <w:jc w:val="center"/>
        <w:rPr>
          <w:rFonts w:cs="Arial"/>
          <w:b/>
          <w:szCs w:val="24"/>
        </w:rPr>
      </w:pPr>
    </w:p>
    <w:p w14:paraId="686D0872" w14:textId="77777777" w:rsidR="00652B20" w:rsidRDefault="00652B20" w:rsidP="00CF7DDE">
      <w:pPr>
        <w:ind w:firstLine="0"/>
        <w:rPr>
          <w:rFonts w:cs="Arial"/>
          <w:b/>
          <w:szCs w:val="24"/>
        </w:rPr>
      </w:pPr>
    </w:p>
    <w:p w14:paraId="39E9F47A" w14:textId="77777777" w:rsidR="00652B20" w:rsidRDefault="00652B20" w:rsidP="00CF7DDE">
      <w:pPr>
        <w:ind w:firstLineChars="200" w:firstLine="482"/>
        <w:jc w:val="center"/>
        <w:rPr>
          <w:rFonts w:cs="Arial"/>
          <w:b/>
          <w:szCs w:val="24"/>
        </w:rPr>
      </w:pPr>
    </w:p>
    <w:p w14:paraId="5F54B7D9" w14:textId="77777777" w:rsidR="00652B20" w:rsidRDefault="00FB20CA" w:rsidP="00CF7DDE">
      <w:pPr>
        <w:ind w:firstLineChars="200" w:firstLine="482"/>
        <w:jc w:val="center"/>
        <w:rPr>
          <w:rFonts w:cs="Arial"/>
          <w:b/>
          <w:szCs w:val="24"/>
        </w:rPr>
      </w:pPr>
      <w:r>
        <w:rPr>
          <w:rFonts w:cs="Arial"/>
          <w:b/>
          <w:szCs w:val="24"/>
        </w:rPr>
        <w:t xml:space="preserve">BMIH5006 </w:t>
      </w:r>
    </w:p>
    <w:p w14:paraId="501DDD44" w14:textId="77777777" w:rsidR="00652B20" w:rsidRDefault="00652B20" w:rsidP="00CF7DDE">
      <w:pPr>
        <w:ind w:firstLineChars="200" w:firstLine="482"/>
        <w:jc w:val="center"/>
        <w:rPr>
          <w:rFonts w:cs="Arial"/>
          <w:b/>
          <w:szCs w:val="24"/>
        </w:rPr>
      </w:pPr>
    </w:p>
    <w:p w14:paraId="24BE66F3" w14:textId="77777777" w:rsidR="00652B20" w:rsidRDefault="00FB20CA" w:rsidP="00CF7DDE">
      <w:pPr>
        <w:ind w:firstLineChars="200" w:firstLine="482"/>
        <w:jc w:val="center"/>
        <w:rPr>
          <w:rFonts w:cs="Arial"/>
          <w:b/>
          <w:szCs w:val="24"/>
        </w:rPr>
      </w:pPr>
      <w:r>
        <w:rPr>
          <w:rFonts w:cs="Arial"/>
          <w:b/>
          <w:szCs w:val="24"/>
        </w:rPr>
        <w:t xml:space="preserve">Sustainable Hospitality </w:t>
      </w:r>
      <w:r>
        <w:rPr>
          <w:rFonts w:cs="Arial"/>
          <w:b/>
          <w:szCs w:val="24"/>
          <w:lang w:val="en-US"/>
        </w:rPr>
        <w:t>and</w:t>
      </w:r>
      <w:r>
        <w:rPr>
          <w:rFonts w:cs="Arial"/>
          <w:b/>
          <w:szCs w:val="24"/>
        </w:rPr>
        <w:t xml:space="preserve"> Tourism Management</w:t>
      </w:r>
    </w:p>
    <w:p w14:paraId="37804BAC" w14:textId="77777777" w:rsidR="00652B20" w:rsidRDefault="00652B20" w:rsidP="00CF7DDE">
      <w:pPr>
        <w:ind w:firstLineChars="200" w:firstLine="482"/>
        <w:jc w:val="center"/>
        <w:rPr>
          <w:rFonts w:cs="Arial"/>
          <w:b/>
          <w:szCs w:val="24"/>
        </w:rPr>
      </w:pPr>
    </w:p>
    <w:p w14:paraId="4FE3E5B1" w14:textId="77777777" w:rsidR="00652B20" w:rsidRDefault="00FB20CA" w:rsidP="00CF7DDE">
      <w:pPr>
        <w:ind w:firstLineChars="200" w:firstLine="482"/>
        <w:jc w:val="center"/>
        <w:rPr>
          <w:rFonts w:cs="Arial"/>
          <w:b/>
          <w:szCs w:val="24"/>
          <w:lang w:val="en-US" w:eastAsia="en-GB"/>
        </w:rPr>
      </w:pPr>
      <w:r>
        <w:rPr>
          <w:rFonts w:cs="Arial"/>
          <w:b/>
          <w:szCs w:val="24"/>
          <w:lang w:val="en-US" w:eastAsia="en-GB"/>
        </w:rPr>
        <w:t>Essay: A Vision of Change: Sustainability in the hotel industry</w:t>
      </w:r>
    </w:p>
    <w:p w14:paraId="74EF99D4" w14:textId="77777777" w:rsidR="00652B20" w:rsidRDefault="00652B20" w:rsidP="00CF7DDE">
      <w:pPr>
        <w:ind w:firstLineChars="200" w:firstLine="482"/>
        <w:jc w:val="center"/>
        <w:rPr>
          <w:rFonts w:cs="Arial"/>
          <w:b/>
          <w:szCs w:val="24"/>
          <w:lang w:val="en-US" w:eastAsia="en-GB"/>
        </w:rPr>
      </w:pPr>
    </w:p>
    <w:p w14:paraId="26ED54C0" w14:textId="77777777" w:rsidR="00652B20" w:rsidRDefault="00FB20CA" w:rsidP="00CF7DDE">
      <w:pPr>
        <w:ind w:firstLineChars="200" w:firstLine="482"/>
        <w:jc w:val="center"/>
        <w:rPr>
          <w:rFonts w:cs="Arial"/>
          <w:b/>
          <w:szCs w:val="24"/>
          <w:lang w:val="en-US" w:eastAsia="en-GB"/>
        </w:rPr>
      </w:pPr>
      <w:r>
        <w:rPr>
          <w:rFonts w:cs="Arial"/>
          <w:b/>
          <w:szCs w:val="24"/>
          <w:lang w:val="en-US" w:eastAsia="en-GB"/>
        </w:rPr>
        <w:t>CSR Policy of Hilton</w:t>
      </w:r>
    </w:p>
    <w:p w14:paraId="79D9119A" w14:textId="77777777" w:rsidR="00652B20" w:rsidRDefault="00652B20" w:rsidP="00CF7DDE">
      <w:pPr>
        <w:ind w:firstLineChars="200" w:firstLine="482"/>
        <w:jc w:val="center"/>
        <w:rPr>
          <w:rFonts w:cs="Arial"/>
          <w:b/>
          <w:szCs w:val="24"/>
          <w:lang w:val="en-US" w:eastAsia="en-GB"/>
        </w:rPr>
      </w:pPr>
    </w:p>
    <w:p w14:paraId="17854891" w14:textId="7D6003CB" w:rsidR="00652B20" w:rsidRDefault="00FB20CA" w:rsidP="00CF7DDE">
      <w:pPr>
        <w:ind w:firstLineChars="200" w:firstLine="480"/>
        <w:jc w:val="center"/>
        <w:rPr>
          <w:rFonts w:cs="Arial"/>
          <w:szCs w:val="24"/>
        </w:rPr>
      </w:pPr>
      <w:r>
        <w:rPr>
          <w:rFonts w:cs="Arial"/>
          <w:szCs w:val="24"/>
        </w:rPr>
        <w:t xml:space="preserve">Name of the </w:t>
      </w:r>
      <w:r>
        <w:rPr>
          <w:rFonts w:cs="Arial"/>
          <w:szCs w:val="24"/>
          <w:lang w:val="en-US"/>
        </w:rPr>
        <w:t>Student</w:t>
      </w:r>
      <w:r w:rsidR="00AE130A">
        <w:rPr>
          <w:rFonts w:cs="Arial"/>
          <w:szCs w:val="24"/>
        </w:rPr>
        <w:t>: Bianca Alexandra Burcea</w:t>
      </w:r>
    </w:p>
    <w:p w14:paraId="6F3DB3D2" w14:textId="213478FF" w:rsidR="00652B20" w:rsidRDefault="00FB20CA" w:rsidP="00CF7DDE">
      <w:pPr>
        <w:ind w:firstLineChars="200" w:firstLine="480"/>
        <w:jc w:val="center"/>
        <w:rPr>
          <w:rFonts w:cs="Arial"/>
          <w:szCs w:val="24"/>
          <w:lang w:val="en-US"/>
        </w:rPr>
      </w:pPr>
      <w:r>
        <w:rPr>
          <w:rFonts w:cs="Arial"/>
          <w:szCs w:val="24"/>
          <w:lang w:val="en-US"/>
        </w:rPr>
        <w:t>Student ID</w:t>
      </w:r>
      <w:r w:rsidR="00AE130A">
        <w:rPr>
          <w:rFonts w:cs="Arial"/>
          <w:szCs w:val="24"/>
          <w:lang w:val="en-US"/>
        </w:rPr>
        <w:t xml:space="preserve">: 2122114 </w:t>
      </w:r>
    </w:p>
    <w:p w14:paraId="2D2874A1" w14:textId="355CCB47" w:rsidR="00652B20" w:rsidRDefault="00AE130A" w:rsidP="00CF7DDE">
      <w:pPr>
        <w:ind w:firstLineChars="200" w:firstLine="480"/>
        <w:jc w:val="center"/>
        <w:rPr>
          <w:rFonts w:cs="Arial"/>
          <w:szCs w:val="24"/>
        </w:rPr>
      </w:pPr>
      <w:r>
        <w:rPr>
          <w:rFonts w:cs="Arial"/>
          <w:szCs w:val="24"/>
        </w:rPr>
        <w:t xml:space="preserve"> </w:t>
      </w:r>
      <w:r w:rsidR="00FB20CA">
        <w:rPr>
          <w:rFonts w:cs="Arial"/>
          <w:szCs w:val="24"/>
        </w:rPr>
        <w:t>Name of the tutor</w:t>
      </w:r>
      <w:r>
        <w:rPr>
          <w:rFonts w:cs="Arial"/>
          <w:szCs w:val="24"/>
        </w:rPr>
        <w:t xml:space="preserve">: Kathryn Roberts </w:t>
      </w:r>
    </w:p>
    <w:p w14:paraId="040F095A" w14:textId="77777777" w:rsidR="00652B20" w:rsidRDefault="00FB20CA" w:rsidP="00CF7DDE">
      <w:pPr>
        <w:ind w:firstLineChars="200" w:firstLine="480"/>
        <w:jc w:val="center"/>
        <w:rPr>
          <w:rFonts w:eastAsiaTheme="majorEastAsia" w:cs="Arial"/>
          <w:b/>
          <w:szCs w:val="24"/>
          <w:lang w:val="en-US" w:eastAsia="en-GB"/>
        </w:rPr>
      </w:pPr>
      <w:r>
        <w:rPr>
          <w:rFonts w:cs="Arial"/>
          <w:szCs w:val="24"/>
        </w:rPr>
        <w:br w:type="page"/>
      </w:r>
    </w:p>
    <w:sdt>
      <w:sdtPr>
        <w:rPr>
          <w:rFonts w:ascii="Arial" w:eastAsiaTheme="minorHAnsi" w:hAnsi="Arial" w:cs="Arial"/>
          <w:color w:val="000000" w:themeColor="text1"/>
          <w:sz w:val="24"/>
          <w:szCs w:val="24"/>
          <w:lang w:val="en-GB"/>
        </w:rPr>
        <w:id w:val="-1999491509"/>
        <w:docPartObj>
          <w:docPartGallery w:val="Table of Contents"/>
          <w:docPartUnique/>
        </w:docPartObj>
      </w:sdtPr>
      <w:sdtEndPr>
        <w:rPr>
          <w:b/>
          <w:bCs/>
        </w:rPr>
      </w:sdtEndPr>
      <w:sdtContent>
        <w:p w14:paraId="4FE67266" w14:textId="77777777" w:rsidR="00652B20" w:rsidRDefault="00FB20CA" w:rsidP="00CF7DDE">
          <w:pPr>
            <w:pStyle w:val="TOCHeading1"/>
            <w:spacing w:before="0" w:line="360" w:lineRule="auto"/>
            <w:contextualSpacing/>
            <w:jc w:val="center"/>
            <w:rPr>
              <w:rFonts w:ascii="Arial" w:hAnsi="Arial" w:cs="Arial"/>
              <w:b/>
              <w:color w:val="000000" w:themeColor="text1"/>
              <w:sz w:val="24"/>
              <w:szCs w:val="24"/>
            </w:rPr>
          </w:pPr>
          <w:r>
            <w:rPr>
              <w:rFonts w:ascii="Arial" w:hAnsi="Arial" w:cs="Arial"/>
              <w:b/>
              <w:color w:val="000000" w:themeColor="text1"/>
              <w:sz w:val="24"/>
              <w:szCs w:val="24"/>
            </w:rPr>
            <w:t>Table of Contents</w:t>
          </w:r>
        </w:p>
        <w:p w14:paraId="56BF8F71" w14:textId="77777777" w:rsidR="00652B20" w:rsidRDefault="00FB20CA" w:rsidP="00CF7DDE">
          <w:pPr>
            <w:pStyle w:val="TOC1"/>
            <w:tabs>
              <w:tab w:val="right" w:leader="dot" w:pos="9360"/>
            </w:tabs>
            <w:ind w:firstLine="0"/>
            <w:rPr>
              <w:rFonts w:cs="Arial"/>
              <w:szCs w:val="24"/>
            </w:rPr>
          </w:pPr>
          <w:r>
            <w:rPr>
              <w:rFonts w:cs="Arial"/>
              <w:b/>
              <w:bCs/>
              <w:szCs w:val="24"/>
            </w:rPr>
            <w:fldChar w:fldCharType="begin"/>
          </w:r>
          <w:r>
            <w:rPr>
              <w:rFonts w:cs="Arial"/>
              <w:b/>
              <w:bCs/>
              <w:szCs w:val="24"/>
            </w:rPr>
            <w:instrText xml:space="preserve"> TOC \o "1-3" \h \z \u </w:instrText>
          </w:r>
          <w:r>
            <w:rPr>
              <w:rFonts w:cs="Arial"/>
              <w:b/>
              <w:bCs/>
              <w:szCs w:val="24"/>
            </w:rPr>
            <w:fldChar w:fldCharType="separate"/>
          </w:r>
          <w:hyperlink w:anchor="_Toc14090" w:history="1">
            <w:r>
              <w:rPr>
                <w:rFonts w:cs="Arial"/>
                <w:szCs w:val="24"/>
                <w:lang w:val="en-US"/>
              </w:rPr>
              <w:t>Introduction</w:t>
            </w:r>
            <w:r>
              <w:rPr>
                <w:rFonts w:cs="Arial"/>
                <w:szCs w:val="24"/>
              </w:rPr>
              <w:tab/>
            </w:r>
            <w:r>
              <w:rPr>
                <w:rFonts w:cs="Arial"/>
                <w:szCs w:val="24"/>
              </w:rPr>
              <w:fldChar w:fldCharType="begin"/>
            </w:r>
            <w:r>
              <w:rPr>
                <w:rFonts w:cs="Arial"/>
                <w:szCs w:val="24"/>
              </w:rPr>
              <w:instrText xml:space="preserve"> PAGEREF _Toc14090 \h </w:instrText>
            </w:r>
            <w:r>
              <w:rPr>
                <w:rFonts w:cs="Arial"/>
                <w:szCs w:val="24"/>
              </w:rPr>
            </w:r>
            <w:r>
              <w:rPr>
                <w:rFonts w:cs="Arial"/>
                <w:szCs w:val="24"/>
              </w:rPr>
              <w:fldChar w:fldCharType="separate"/>
            </w:r>
            <w:r>
              <w:rPr>
                <w:rFonts w:cs="Arial"/>
                <w:szCs w:val="24"/>
              </w:rPr>
              <w:t>3</w:t>
            </w:r>
            <w:r>
              <w:rPr>
                <w:rFonts w:cs="Arial"/>
                <w:szCs w:val="24"/>
              </w:rPr>
              <w:fldChar w:fldCharType="end"/>
            </w:r>
          </w:hyperlink>
        </w:p>
        <w:p w14:paraId="0DEEBA78" w14:textId="77777777" w:rsidR="00652B20" w:rsidRDefault="00FC176E" w:rsidP="00CF7DDE">
          <w:pPr>
            <w:pStyle w:val="TOC1"/>
            <w:tabs>
              <w:tab w:val="right" w:leader="dot" w:pos="9360"/>
            </w:tabs>
            <w:ind w:firstLine="0"/>
            <w:rPr>
              <w:rFonts w:cs="Arial"/>
              <w:szCs w:val="24"/>
            </w:rPr>
          </w:pPr>
          <w:hyperlink w:anchor="_Toc6360" w:history="1">
            <w:r w:rsidR="00FB20CA">
              <w:rPr>
                <w:rFonts w:cs="Arial"/>
                <w:szCs w:val="24"/>
              </w:rPr>
              <w:t xml:space="preserve"> </w:t>
            </w:r>
            <w:r w:rsidR="00FB20CA">
              <w:rPr>
                <w:rFonts w:cs="Arial"/>
                <w:szCs w:val="24"/>
                <w:lang w:val="en-US"/>
              </w:rPr>
              <w:t>Discussion</w:t>
            </w:r>
            <w:r w:rsidR="00FB20CA">
              <w:rPr>
                <w:rFonts w:cs="Arial"/>
                <w:szCs w:val="24"/>
              </w:rPr>
              <w:tab/>
            </w:r>
            <w:r w:rsidR="00FB20CA">
              <w:rPr>
                <w:rFonts w:cs="Arial"/>
                <w:szCs w:val="24"/>
              </w:rPr>
              <w:fldChar w:fldCharType="begin"/>
            </w:r>
            <w:r w:rsidR="00FB20CA">
              <w:rPr>
                <w:rFonts w:cs="Arial"/>
                <w:szCs w:val="24"/>
              </w:rPr>
              <w:instrText xml:space="preserve"> PAGEREF _Toc6360 \h </w:instrText>
            </w:r>
            <w:r w:rsidR="00FB20CA">
              <w:rPr>
                <w:rFonts w:cs="Arial"/>
                <w:szCs w:val="24"/>
              </w:rPr>
            </w:r>
            <w:r w:rsidR="00FB20CA">
              <w:rPr>
                <w:rFonts w:cs="Arial"/>
                <w:szCs w:val="24"/>
              </w:rPr>
              <w:fldChar w:fldCharType="separate"/>
            </w:r>
            <w:r w:rsidR="00FB20CA">
              <w:rPr>
                <w:rFonts w:cs="Arial"/>
                <w:szCs w:val="24"/>
              </w:rPr>
              <w:t>3</w:t>
            </w:r>
            <w:r w:rsidR="00FB20CA">
              <w:rPr>
                <w:rFonts w:cs="Arial"/>
                <w:szCs w:val="24"/>
              </w:rPr>
              <w:fldChar w:fldCharType="end"/>
            </w:r>
          </w:hyperlink>
        </w:p>
        <w:p w14:paraId="1A744DF6" w14:textId="77777777" w:rsidR="00652B20" w:rsidRDefault="00FC176E" w:rsidP="00CF7DDE">
          <w:pPr>
            <w:pStyle w:val="TOC1"/>
            <w:tabs>
              <w:tab w:val="right" w:leader="dot" w:pos="9360"/>
            </w:tabs>
            <w:ind w:firstLine="0"/>
            <w:rPr>
              <w:rFonts w:cs="Arial"/>
              <w:szCs w:val="24"/>
            </w:rPr>
          </w:pPr>
          <w:hyperlink w:anchor="_Toc12525" w:history="1">
            <w:r w:rsidR="00FB20CA">
              <w:rPr>
                <w:rFonts w:cs="Arial"/>
                <w:szCs w:val="24"/>
              </w:rPr>
              <w:t>Conclusion</w:t>
            </w:r>
            <w:r w:rsidR="00FB20CA">
              <w:rPr>
                <w:rFonts w:cs="Arial"/>
                <w:szCs w:val="24"/>
              </w:rPr>
              <w:tab/>
            </w:r>
            <w:r w:rsidR="00FB20CA">
              <w:rPr>
                <w:rFonts w:cs="Arial"/>
                <w:szCs w:val="24"/>
              </w:rPr>
              <w:fldChar w:fldCharType="begin"/>
            </w:r>
            <w:r w:rsidR="00FB20CA">
              <w:rPr>
                <w:rFonts w:cs="Arial"/>
                <w:szCs w:val="24"/>
              </w:rPr>
              <w:instrText xml:space="preserve"> PAGEREF _Toc12525 \h </w:instrText>
            </w:r>
            <w:r w:rsidR="00FB20CA">
              <w:rPr>
                <w:rFonts w:cs="Arial"/>
                <w:szCs w:val="24"/>
              </w:rPr>
            </w:r>
            <w:r w:rsidR="00FB20CA">
              <w:rPr>
                <w:rFonts w:cs="Arial"/>
                <w:szCs w:val="24"/>
              </w:rPr>
              <w:fldChar w:fldCharType="separate"/>
            </w:r>
            <w:r w:rsidR="00FB20CA">
              <w:rPr>
                <w:rFonts w:cs="Arial"/>
                <w:szCs w:val="24"/>
              </w:rPr>
              <w:t>9</w:t>
            </w:r>
            <w:r w:rsidR="00FB20CA">
              <w:rPr>
                <w:rFonts w:cs="Arial"/>
                <w:szCs w:val="24"/>
              </w:rPr>
              <w:fldChar w:fldCharType="end"/>
            </w:r>
          </w:hyperlink>
        </w:p>
        <w:p w14:paraId="7ADF8AF7" w14:textId="77777777" w:rsidR="00652B20" w:rsidRDefault="00FC176E" w:rsidP="00CF7DDE">
          <w:pPr>
            <w:pStyle w:val="TOC1"/>
            <w:tabs>
              <w:tab w:val="right" w:leader="dot" w:pos="9360"/>
            </w:tabs>
            <w:ind w:firstLine="0"/>
            <w:rPr>
              <w:rFonts w:cs="Arial"/>
              <w:szCs w:val="24"/>
            </w:rPr>
          </w:pPr>
          <w:hyperlink w:anchor="_Toc287" w:history="1">
            <w:r w:rsidR="00FB20CA">
              <w:rPr>
                <w:rFonts w:cs="Arial"/>
                <w:szCs w:val="24"/>
              </w:rPr>
              <w:t>References</w:t>
            </w:r>
            <w:r w:rsidR="00FB20CA">
              <w:rPr>
                <w:rFonts w:cs="Arial"/>
                <w:szCs w:val="24"/>
              </w:rPr>
              <w:tab/>
            </w:r>
            <w:r w:rsidR="00FB20CA">
              <w:rPr>
                <w:rFonts w:cs="Arial"/>
                <w:szCs w:val="24"/>
              </w:rPr>
              <w:fldChar w:fldCharType="begin"/>
            </w:r>
            <w:r w:rsidR="00FB20CA">
              <w:rPr>
                <w:rFonts w:cs="Arial"/>
                <w:szCs w:val="24"/>
              </w:rPr>
              <w:instrText xml:space="preserve"> PAGEREF _Toc287 \h </w:instrText>
            </w:r>
            <w:r w:rsidR="00FB20CA">
              <w:rPr>
                <w:rFonts w:cs="Arial"/>
                <w:szCs w:val="24"/>
              </w:rPr>
            </w:r>
            <w:r w:rsidR="00FB20CA">
              <w:rPr>
                <w:rFonts w:cs="Arial"/>
                <w:szCs w:val="24"/>
              </w:rPr>
              <w:fldChar w:fldCharType="separate"/>
            </w:r>
            <w:r w:rsidR="00FB20CA">
              <w:rPr>
                <w:rFonts w:cs="Arial"/>
                <w:szCs w:val="24"/>
              </w:rPr>
              <w:t>10</w:t>
            </w:r>
            <w:r w:rsidR="00FB20CA">
              <w:rPr>
                <w:rFonts w:cs="Arial"/>
                <w:szCs w:val="24"/>
              </w:rPr>
              <w:fldChar w:fldCharType="end"/>
            </w:r>
          </w:hyperlink>
        </w:p>
        <w:p w14:paraId="6CE31333" w14:textId="77777777" w:rsidR="00652B20" w:rsidRDefault="00FB20CA" w:rsidP="00CF7DDE">
          <w:pPr>
            <w:ind w:firstLine="0"/>
            <w:contextualSpacing/>
            <w:rPr>
              <w:rFonts w:cs="Arial"/>
              <w:szCs w:val="24"/>
            </w:rPr>
          </w:pPr>
          <w:r>
            <w:rPr>
              <w:rFonts w:cs="Arial"/>
              <w:bCs/>
              <w:szCs w:val="24"/>
            </w:rPr>
            <w:fldChar w:fldCharType="end"/>
          </w:r>
        </w:p>
      </w:sdtContent>
    </w:sdt>
    <w:p w14:paraId="5E6473E7" w14:textId="77777777" w:rsidR="00652B20" w:rsidRDefault="00FB20CA" w:rsidP="00CF7DDE">
      <w:pPr>
        <w:pStyle w:val="Heading1"/>
        <w:rPr>
          <w:rFonts w:cs="Arial"/>
          <w:color w:val="000000" w:themeColor="text1"/>
          <w:szCs w:val="24"/>
        </w:rPr>
      </w:pPr>
      <w:r>
        <w:rPr>
          <w:rFonts w:cs="Arial"/>
          <w:color w:val="000000" w:themeColor="text1"/>
          <w:szCs w:val="24"/>
        </w:rPr>
        <w:br w:type="page"/>
      </w:r>
    </w:p>
    <w:p w14:paraId="4EBF3FCE" w14:textId="77777777" w:rsidR="00652B20" w:rsidRDefault="00FB20CA" w:rsidP="00CF7DDE">
      <w:pPr>
        <w:pStyle w:val="Heading1"/>
        <w:rPr>
          <w:rFonts w:cs="Arial"/>
          <w:color w:val="000000" w:themeColor="text1"/>
          <w:szCs w:val="24"/>
        </w:rPr>
      </w:pPr>
      <w:bookmarkStart w:id="0" w:name="_Toc13512"/>
      <w:bookmarkStart w:id="1" w:name="_Toc14090"/>
      <w:r>
        <w:rPr>
          <w:rFonts w:cs="Arial"/>
          <w:color w:val="000000" w:themeColor="text1"/>
          <w:szCs w:val="24"/>
        </w:rPr>
        <w:lastRenderedPageBreak/>
        <w:t>Introduction</w:t>
      </w:r>
      <w:bookmarkEnd w:id="0"/>
      <w:bookmarkEnd w:id="1"/>
    </w:p>
    <w:p w14:paraId="19FFA857" w14:textId="77777777" w:rsidR="00652B20" w:rsidRDefault="00FB20CA" w:rsidP="00CF7DDE">
      <w:pPr>
        <w:ind w:firstLine="0"/>
        <w:rPr>
          <w:rFonts w:cs="Arial"/>
          <w:szCs w:val="24"/>
        </w:rPr>
      </w:pPr>
      <w:r>
        <w:rPr>
          <w:rFonts w:cs="Arial"/>
          <w:szCs w:val="24"/>
        </w:rPr>
        <w:t>The hospitality industry has had a major environmental impact</w:t>
      </w:r>
      <w:r>
        <w:rPr>
          <w:rFonts w:cs="Arial"/>
          <w:szCs w:val="24"/>
          <w:lang w:val="en-US"/>
        </w:rPr>
        <w:t xml:space="preserve"> and in the industry, sustainable practises are crucial for future generations</w:t>
      </w:r>
      <w:r>
        <w:rPr>
          <w:rFonts w:cs="Arial"/>
          <w:szCs w:val="24"/>
        </w:rPr>
        <w:t>. High energy and water usage, waste production, and consumable use all contribute to the destruction of the environment (Cooper, 2021). The sustainability movement has developed as a response to the industry</w:t>
      </w:r>
      <w:r>
        <w:rPr>
          <w:rFonts w:cs="Arial"/>
          <w:szCs w:val="24"/>
          <w:lang w:val="en-US"/>
        </w:rPr>
        <w:t>'</w:t>
      </w:r>
      <w:r>
        <w:rPr>
          <w:rFonts w:cs="Arial"/>
          <w:szCs w:val="24"/>
        </w:rPr>
        <w:t>s growing awareness of its ecological footprint and social responsibility. This essay examines Hilton</w:t>
      </w:r>
      <w:r>
        <w:rPr>
          <w:rFonts w:cs="Arial"/>
          <w:szCs w:val="24"/>
          <w:lang w:val="en-US"/>
        </w:rPr>
        <w:t>'</w:t>
      </w:r>
      <w:r>
        <w:rPr>
          <w:rFonts w:cs="Arial"/>
          <w:szCs w:val="24"/>
        </w:rPr>
        <w:t>s Corporate Social Responsibility (CSR) policy and the hospitality industry</w:t>
      </w:r>
      <w:r>
        <w:rPr>
          <w:rFonts w:cs="Arial"/>
          <w:szCs w:val="24"/>
          <w:lang w:val="en-US"/>
        </w:rPr>
        <w:t>'</w:t>
      </w:r>
      <w:r>
        <w:rPr>
          <w:rFonts w:cs="Arial"/>
          <w:szCs w:val="24"/>
        </w:rPr>
        <w:t xml:space="preserve">s sustainability transformation. </w:t>
      </w:r>
      <w:r>
        <w:rPr>
          <w:rFonts w:cs="Arial"/>
          <w:szCs w:val="24"/>
          <w:lang w:val="en-US"/>
        </w:rPr>
        <w:t xml:space="preserve">Hilton's CSR policy shows how sustainable </w:t>
      </w:r>
      <w:r w:rsidRPr="008921F2">
        <w:rPr>
          <w:rFonts w:cs="Arial"/>
          <w:szCs w:val="24"/>
        </w:rPr>
        <w:t>practises</w:t>
      </w:r>
      <w:r>
        <w:rPr>
          <w:rFonts w:cs="Arial"/>
          <w:szCs w:val="24"/>
          <w:lang w:val="en-US"/>
        </w:rPr>
        <w:t xml:space="preserve"> and responsible business behaviour may be integrated into an organisation (Hgv, 2022). </w:t>
      </w:r>
      <w:r>
        <w:rPr>
          <w:rFonts w:cs="Arial"/>
          <w:szCs w:val="24"/>
        </w:rPr>
        <w:t xml:space="preserve">The Hilton ESG </w:t>
      </w:r>
      <w:r>
        <w:rPr>
          <w:rFonts w:cs="Arial"/>
          <w:szCs w:val="24"/>
          <w:lang w:val="en-US"/>
        </w:rPr>
        <w:t>(</w:t>
      </w:r>
      <w:r>
        <w:rPr>
          <w:rFonts w:cs="Arial"/>
          <w:szCs w:val="24"/>
        </w:rPr>
        <w:t>2023</w:t>
      </w:r>
      <w:r>
        <w:rPr>
          <w:rFonts w:cs="Arial"/>
          <w:szCs w:val="24"/>
          <w:lang w:val="en-US"/>
        </w:rPr>
        <w:t>)</w:t>
      </w:r>
      <w:r>
        <w:rPr>
          <w:rFonts w:cs="Arial"/>
          <w:szCs w:val="24"/>
        </w:rPr>
        <w:t xml:space="preserve"> report </w:t>
      </w:r>
      <w:r>
        <w:rPr>
          <w:rFonts w:cs="Arial"/>
          <w:szCs w:val="24"/>
          <w:lang w:val="en-US"/>
        </w:rPr>
        <w:t xml:space="preserve">stated </w:t>
      </w:r>
      <w:r>
        <w:rPr>
          <w:rFonts w:cs="Arial"/>
          <w:szCs w:val="24"/>
        </w:rPr>
        <w:t xml:space="preserve">the CSR policy </w:t>
      </w:r>
      <w:r>
        <w:rPr>
          <w:rFonts w:cs="Arial"/>
          <w:szCs w:val="24"/>
          <w:lang w:val="en-US"/>
        </w:rPr>
        <w:t>"</w:t>
      </w:r>
      <w:r>
        <w:rPr>
          <w:rFonts w:cs="Arial"/>
          <w:szCs w:val="24"/>
        </w:rPr>
        <w:t>an all-encompassing strategy embracing a wide variety of environmental, social, and governance concerns.</w:t>
      </w:r>
      <w:r>
        <w:rPr>
          <w:rFonts w:cs="Arial"/>
          <w:szCs w:val="24"/>
          <w:lang w:val="en-US"/>
        </w:rPr>
        <w:t xml:space="preserve">" </w:t>
      </w:r>
      <w:r>
        <w:rPr>
          <w:rFonts w:cs="Arial"/>
          <w:szCs w:val="24"/>
        </w:rPr>
        <w:t xml:space="preserve">According to Hgv (2022), this CSR policy prioritises </w:t>
      </w:r>
      <w:r>
        <w:rPr>
          <w:rFonts w:cs="Arial"/>
          <w:szCs w:val="24"/>
          <w:lang w:val="en-US"/>
        </w:rPr>
        <w:t>"</w:t>
      </w:r>
      <w:r>
        <w:rPr>
          <w:rFonts w:cs="Arial"/>
          <w:szCs w:val="24"/>
        </w:rPr>
        <w:t>social impact,</w:t>
      </w:r>
      <w:r>
        <w:rPr>
          <w:rFonts w:cs="Arial"/>
          <w:szCs w:val="24"/>
          <w:lang w:val="en-US"/>
        </w:rPr>
        <w:t>"</w:t>
      </w:r>
      <w:r>
        <w:rPr>
          <w:rFonts w:cs="Arial"/>
          <w:szCs w:val="24"/>
        </w:rPr>
        <w:t xml:space="preserve"> </w:t>
      </w:r>
      <w:r>
        <w:rPr>
          <w:rFonts w:cs="Arial"/>
          <w:szCs w:val="24"/>
          <w:lang w:val="en-US"/>
        </w:rPr>
        <w:t>"</w:t>
      </w:r>
      <w:r>
        <w:rPr>
          <w:rFonts w:cs="Arial"/>
          <w:szCs w:val="24"/>
        </w:rPr>
        <w:t>community engagement,</w:t>
      </w:r>
      <w:r>
        <w:rPr>
          <w:rFonts w:cs="Arial"/>
          <w:szCs w:val="24"/>
          <w:lang w:val="en-US"/>
        </w:rPr>
        <w:t>"</w:t>
      </w:r>
      <w:r>
        <w:rPr>
          <w:rFonts w:cs="Arial"/>
          <w:szCs w:val="24"/>
        </w:rPr>
        <w:t xml:space="preserve"> </w:t>
      </w:r>
      <w:r>
        <w:rPr>
          <w:rFonts w:cs="Arial"/>
          <w:szCs w:val="24"/>
          <w:lang w:val="en-US"/>
        </w:rPr>
        <w:t>"</w:t>
      </w:r>
      <w:r>
        <w:rPr>
          <w:rFonts w:cs="Arial"/>
          <w:szCs w:val="24"/>
        </w:rPr>
        <w:t>ethical work practises,</w:t>
      </w:r>
      <w:r>
        <w:rPr>
          <w:rFonts w:cs="Arial"/>
          <w:szCs w:val="24"/>
          <w:lang w:val="en-US"/>
        </w:rPr>
        <w:t>"</w:t>
      </w:r>
      <w:r>
        <w:rPr>
          <w:rFonts w:cs="Arial"/>
          <w:szCs w:val="24"/>
        </w:rPr>
        <w:t xml:space="preserve"> </w:t>
      </w:r>
      <w:r>
        <w:rPr>
          <w:rFonts w:cs="Arial"/>
          <w:szCs w:val="24"/>
          <w:lang w:val="en-US"/>
        </w:rPr>
        <w:t>"</w:t>
      </w:r>
      <w:r>
        <w:rPr>
          <w:rFonts w:cs="Arial"/>
          <w:szCs w:val="24"/>
        </w:rPr>
        <w:t>protection of human rights,</w:t>
      </w:r>
      <w:r>
        <w:rPr>
          <w:rFonts w:cs="Arial"/>
          <w:szCs w:val="24"/>
          <w:lang w:val="en-US"/>
        </w:rPr>
        <w:t>"</w:t>
      </w:r>
      <w:r>
        <w:rPr>
          <w:rFonts w:cs="Arial"/>
          <w:szCs w:val="24"/>
        </w:rPr>
        <w:t xml:space="preserve"> and </w:t>
      </w:r>
      <w:r>
        <w:rPr>
          <w:rFonts w:cs="Arial"/>
          <w:szCs w:val="24"/>
          <w:lang w:val="en-US"/>
        </w:rPr>
        <w:t>"</w:t>
      </w:r>
      <w:r>
        <w:rPr>
          <w:rFonts w:cs="Arial"/>
          <w:szCs w:val="24"/>
        </w:rPr>
        <w:t>environmental conservation</w:t>
      </w:r>
      <w:r>
        <w:rPr>
          <w:rFonts w:cs="Arial"/>
          <w:szCs w:val="24"/>
          <w:lang w:val="en-US"/>
        </w:rPr>
        <w:t>"</w:t>
      </w:r>
      <w:r>
        <w:rPr>
          <w:rFonts w:cs="Arial"/>
          <w:szCs w:val="24"/>
        </w:rPr>
        <w:t xml:space="preserve"> This essay critically analyses this policy</w:t>
      </w:r>
      <w:r>
        <w:rPr>
          <w:rFonts w:cs="Arial"/>
          <w:szCs w:val="24"/>
          <w:lang w:val="en-US"/>
        </w:rPr>
        <w:t>'</w:t>
      </w:r>
      <w:r>
        <w:rPr>
          <w:rFonts w:cs="Arial"/>
          <w:szCs w:val="24"/>
        </w:rPr>
        <w:t>s significance to sustainability and examines why hotels like Hilton have made sustainability a fundamental part of their corporate plan.</w:t>
      </w:r>
      <w:r>
        <w:rPr>
          <w:rFonts w:cs="Arial"/>
          <w:szCs w:val="24"/>
          <w:lang w:val="en-US"/>
        </w:rPr>
        <w:t xml:space="preserve"> </w:t>
      </w:r>
      <w:r>
        <w:rPr>
          <w:rFonts w:cs="Arial"/>
          <w:szCs w:val="24"/>
        </w:rPr>
        <w:t>Besides covering Hilton</w:t>
      </w:r>
      <w:r>
        <w:rPr>
          <w:rFonts w:cs="Arial"/>
          <w:szCs w:val="24"/>
          <w:lang w:val="en-US"/>
        </w:rPr>
        <w:t>'</w:t>
      </w:r>
      <w:r>
        <w:rPr>
          <w:rFonts w:cs="Arial"/>
          <w:szCs w:val="24"/>
        </w:rPr>
        <w:t xml:space="preserve">s CSR strategy and the circular economy, this essay will emphasise the Triple Bottom Line and sustainability pillars. </w:t>
      </w:r>
    </w:p>
    <w:p w14:paraId="7FE9D7A9" w14:textId="77777777" w:rsidR="00652B20" w:rsidRDefault="00FB20CA" w:rsidP="00CF7DDE">
      <w:pPr>
        <w:pStyle w:val="Heading1"/>
        <w:rPr>
          <w:rFonts w:cs="Arial"/>
          <w:color w:val="000000" w:themeColor="text1"/>
          <w:szCs w:val="24"/>
        </w:rPr>
      </w:pPr>
      <w:bookmarkStart w:id="2" w:name="_Toc6360"/>
      <w:r>
        <w:rPr>
          <w:rFonts w:cs="Arial"/>
          <w:color w:val="000000" w:themeColor="text1"/>
          <w:szCs w:val="24"/>
        </w:rPr>
        <w:br/>
        <w:t>Discussion</w:t>
      </w:r>
      <w:bookmarkEnd w:id="2"/>
    </w:p>
    <w:p w14:paraId="4903683A" w14:textId="77777777" w:rsidR="00652B20" w:rsidRDefault="00FB20CA" w:rsidP="00CF7DDE">
      <w:pPr>
        <w:ind w:firstLine="0"/>
        <w:rPr>
          <w:rFonts w:cs="Arial"/>
          <w:szCs w:val="24"/>
        </w:rPr>
      </w:pPr>
      <w:r>
        <w:rPr>
          <w:rFonts w:cs="Arial"/>
          <w:szCs w:val="24"/>
        </w:rPr>
        <w:t>The Hilton Corporation pays close attention to Corporate Social Responsibility (CSR) according to its well-defined CSR policy (Hgv, 2022). This policy aligns Hilton</w:t>
      </w:r>
      <w:r>
        <w:rPr>
          <w:rFonts w:cs="Arial"/>
          <w:szCs w:val="24"/>
          <w:lang w:val="en-US"/>
        </w:rPr>
        <w:t>'</w:t>
      </w:r>
      <w:r>
        <w:rPr>
          <w:rFonts w:cs="Arial"/>
          <w:szCs w:val="24"/>
        </w:rPr>
        <w:t xml:space="preserve">s environmental, social, and governance concerns with </w:t>
      </w:r>
      <w:r>
        <w:rPr>
          <w:rFonts w:cs="Arial"/>
          <w:szCs w:val="24"/>
          <w:lang w:val="en-US"/>
        </w:rPr>
        <w:t>initiative "</w:t>
      </w:r>
      <w:r>
        <w:rPr>
          <w:rFonts w:cs="Arial"/>
          <w:szCs w:val="24"/>
        </w:rPr>
        <w:t>Travel with Purpose.</w:t>
      </w:r>
      <w:r>
        <w:rPr>
          <w:rFonts w:cs="Arial"/>
          <w:szCs w:val="24"/>
          <w:lang w:val="en-US"/>
        </w:rPr>
        <w:t>"</w:t>
      </w:r>
      <w:r>
        <w:rPr>
          <w:rFonts w:cs="Arial"/>
          <w:szCs w:val="24"/>
        </w:rPr>
        <w:t xml:space="preserve"> This CSR policy prioritises human rights, environmental protection, community engagement, and ethical labour.</w:t>
      </w:r>
      <w:r>
        <w:rPr>
          <w:rFonts w:cs="Arial"/>
          <w:szCs w:val="24"/>
          <w:lang w:val="en-US"/>
        </w:rPr>
        <w:t xml:space="preserve"> </w:t>
      </w:r>
      <w:r>
        <w:rPr>
          <w:rFonts w:cs="Arial"/>
          <w:szCs w:val="24"/>
        </w:rPr>
        <w:t>Regarding the environment, Hilton is committed to reducing its impact through sustainable practises. Plans include reducing carbon emissions, energy, water, and garbage (Hgv, 2022). Hilton promotes sustainable food and promotes ethical purchasing (Ruiz Molina et al., 2022). Through hotel operations, the goal is to improve the world by meeting global sustainability and environmental conservation goals (Hilton ESG, 2023)</w:t>
      </w:r>
    </w:p>
    <w:p w14:paraId="22C26066" w14:textId="77777777" w:rsidR="00652B20" w:rsidRDefault="00FB20CA" w:rsidP="00CF7DDE">
      <w:pPr>
        <w:ind w:firstLine="0"/>
        <w:rPr>
          <w:rFonts w:cs="Arial"/>
          <w:szCs w:val="24"/>
        </w:rPr>
      </w:pPr>
      <w:r>
        <w:rPr>
          <w:rFonts w:cs="Arial"/>
          <w:szCs w:val="24"/>
        </w:rPr>
        <w:t xml:space="preserve">The Hilton CSR policy encourages community engagement. Through projects and alliances, Hilton supports community development. This engagement includes </w:t>
      </w:r>
      <w:r>
        <w:rPr>
          <w:rFonts w:cs="Arial"/>
          <w:szCs w:val="24"/>
        </w:rPr>
        <w:lastRenderedPageBreak/>
        <w:t>community development, education, and inclusive growth (Hgv, 2022). Hilton</w:t>
      </w:r>
      <w:r>
        <w:rPr>
          <w:rFonts w:cs="Arial"/>
          <w:szCs w:val="24"/>
          <w:lang w:val="en-US"/>
        </w:rPr>
        <w:t>'</w:t>
      </w:r>
      <w:r>
        <w:rPr>
          <w:rFonts w:cs="Arial"/>
          <w:szCs w:val="24"/>
        </w:rPr>
        <w:t>s engagement in community programmes displays its commitment as a responsible corporate citizen with a good societal impact.</w:t>
      </w:r>
      <w:r>
        <w:rPr>
          <w:rFonts w:cs="Arial"/>
          <w:szCs w:val="24"/>
          <w:lang w:val="en-US"/>
        </w:rPr>
        <w:t xml:space="preserve"> </w:t>
      </w:r>
      <w:r>
        <w:rPr>
          <w:rFonts w:cs="Arial"/>
          <w:szCs w:val="24"/>
        </w:rPr>
        <w:t>The protection of human rights and ethical labour practises is another vital component of Hilton</w:t>
      </w:r>
      <w:r>
        <w:rPr>
          <w:rFonts w:cs="Arial"/>
          <w:szCs w:val="24"/>
          <w:lang w:val="en-US"/>
        </w:rPr>
        <w:t>'</w:t>
      </w:r>
      <w:r>
        <w:rPr>
          <w:rFonts w:cs="Arial"/>
          <w:szCs w:val="24"/>
        </w:rPr>
        <w:t xml:space="preserve">s CSR policy. Hilton is dedicated to a harassment- and discrimination-free workplace environment (Hgv, 2022). This focus extends to supplier chain employment practises to provide fair wages and a safe and healthy workplace (Bohdanowicz </w:t>
      </w:r>
      <w:r>
        <w:rPr>
          <w:rFonts w:cs="Arial"/>
          <w:szCs w:val="24"/>
          <w:lang w:val="en-US"/>
        </w:rPr>
        <w:t>and</w:t>
      </w:r>
      <w:r>
        <w:rPr>
          <w:rFonts w:cs="Arial"/>
          <w:szCs w:val="24"/>
        </w:rPr>
        <w:t xml:space="preserve"> Zientara, 2016). </w:t>
      </w:r>
    </w:p>
    <w:p w14:paraId="15F8EF0A" w14:textId="77777777" w:rsidR="00652B20" w:rsidRDefault="00FB20CA" w:rsidP="00CF7DDE">
      <w:pPr>
        <w:ind w:firstLine="0"/>
        <w:rPr>
          <w:rFonts w:cs="Arial"/>
          <w:szCs w:val="24"/>
        </w:rPr>
      </w:pPr>
      <w:r>
        <w:rPr>
          <w:rFonts w:cs="Arial"/>
          <w:szCs w:val="24"/>
        </w:rPr>
        <w:t>The Hilton Corporation</w:t>
      </w:r>
      <w:r>
        <w:rPr>
          <w:rFonts w:cs="Arial"/>
          <w:szCs w:val="24"/>
          <w:lang w:val="en-US"/>
        </w:rPr>
        <w:t>'</w:t>
      </w:r>
      <w:r>
        <w:rPr>
          <w:rFonts w:cs="Arial"/>
          <w:szCs w:val="24"/>
        </w:rPr>
        <w:t>s CSR policy prioritises sustainability due to the global shift towards responsible business practises. The hospitality industry</w:t>
      </w:r>
      <w:r>
        <w:rPr>
          <w:rFonts w:cs="Arial"/>
          <w:szCs w:val="24"/>
          <w:lang w:val="en-US"/>
        </w:rPr>
        <w:t>'</w:t>
      </w:r>
      <w:r>
        <w:rPr>
          <w:rFonts w:cs="Arial"/>
          <w:szCs w:val="24"/>
        </w:rPr>
        <w:t xml:space="preserve">s huge environmental footprint and social responsibilities drive this approach (Sloan, Legrand, </w:t>
      </w:r>
      <w:r>
        <w:rPr>
          <w:rFonts w:cs="Arial"/>
          <w:szCs w:val="24"/>
          <w:lang w:val="en-US"/>
        </w:rPr>
        <w:t>and</w:t>
      </w:r>
      <w:r>
        <w:rPr>
          <w:rFonts w:cs="Arial"/>
          <w:szCs w:val="24"/>
        </w:rPr>
        <w:t xml:space="preserve"> Chen, 2017). As a means of reducing environmental degradation, saving resources, and addressing social concerns, companies like Hilton are under pressure to include sustainability into their business plan (Ertuna, Karatas-Ozkan, </w:t>
      </w:r>
      <w:r>
        <w:rPr>
          <w:rFonts w:cs="Arial"/>
          <w:szCs w:val="24"/>
          <w:lang w:val="en-US"/>
        </w:rPr>
        <w:t>and</w:t>
      </w:r>
      <w:r>
        <w:rPr>
          <w:rFonts w:cs="Arial"/>
          <w:szCs w:val="24"/>
        </w:rPr>
        <w:t xml:space="preserve"> Yamak, 2019).</w:t>
      </w:r>
      <w:r>
        <w:rPr>
          <w:rFonts w:cs="Arial"/>
          <w:szCs w:val="24"/>
          <w:lang w:val="en-US"/>
        </w:rPr>
        <w:t xml:space="preserve"> </w:t>
      </w:r>
      <w:r>
        <w:rPr>
          <w:rFonts w:cs="Arial"/>
          <w:szCs w:val="24"/>
        </w:rPr>
        <w:t>Hilton, like other corporations in the hospitality industry, operates in a society that increasingly demands ethical behaviour. Inkson and Minnaert (2018) report rising demand for sustainable business products and services. A CSR policy that prioritises sustainability in line with changing consumer expectations may boost Hilton</w:t>
      </w:r>
      <w:r>
        <w:rPr>
          <w:rFonts w:cs="Arial"/>
          <w:szCs w:val="24"/>
          <w:lang w:val="en-US"/>
        </w:rPr>
        <w:t>'</w:t>
      </w:r>
      <w:r>
        <w:rPr>
          <w:rFonts w:cs="Arial"/>
          <w:szCs w:val="24"/>
        </w:rPr>
        <w:t>s brand reputation and customer loyalty (Haski-Leventhal, 2018). Hilton includes sustainability in their CSR approach because it matters to goodwill, customer acquisition, and industry competitiveness (Culler, 2015).</w:t>
      </w:r>
    </w:p>
    <w:p w14:paraId="09F71F23" w14:textId="77777777" w:rsidR="00652B20" w:rsidRDefault="00FB20CA" w:rsidP="00CF7DDE">
      <w:pPr>
        <w:ind w:firstLine="0"/>
        <w:rPr>
          <w:rFonts w:cs="Arial"/>
          <w:szCs w:val="24"/>
        </w:rPr>
      </w:pPr>
      <w:r>
        <w:rPr>
          <w:rFonts w:cs="Arial"/>
          <w:szCs w:val="24"/>
        </w:rPr>
        <w:t>Additionally, there has been a shift in the regulatory environment towards enforcing stricter environmental and social regulations on businesses (Cooper, 2021). Governments worldwide are establishing ambitious sustainability goals to combat climate change and promote a circular economy. This requires Hilton and other hospitality companies to make sustainability a core part of their CSR policy (Jauhari, 2021). These restrictions require companies to reduce their environmental impact. Hilton</w:t>
      </w:r>
      <w:r>
        <w:rPr>
          <w:rFonts w:cs="Arial"/>
          <w:szCs w:val="24"/>
          <w:lang w:val="en-US"/>
        </w:rPr>
        <w:t>'</w:t>
      </w:r>
      <w:r>
        <w:rPr>
          <w:rFonts w:cs="Arial"/>
          <w:szCs w:val="24"/>
        </w:rPr>
        <w:t xml:space="preserve">s sustainability efforts show its proactive approach to social and environmental issues and regulatory compliance (Costa </w:t>
      </w:r>
      <w:r>
        <w:rPr>
          <w:rFonts w:cs="Arial"/>
          <w:szCs w:val="24"/>
          <w:lang w:val="en-US"/>
        </w:rPr>
        <w:t>and</w:t>
      </w:r>
      <w:r>
        <w:rPr>
          <w:rFonts w:cs="Arial"/>
          <w:szCs w:val="24"/>
        </w:rPr>
        <w:t xml:space="preserve"> Costa, 2022).</w:t>
      </w:r>
    </w:p>
    <w:p w14:paraId="687246A6" w14:textId="77777777" w:rsidR="00652B20" w:rsidRDefault="00FB20CA" w:rsidP="00CF7DDE">
      <w:pPr>
        <w:ind w:firstLine="0"/>
        <w:rPr>
          <w:rFonts w:cs="Arial"/>
          <w:szCs w:val="24"/>
        </w:rPr>
      </w:pPr>
      <w:r>
        <w:rPr>
          <w:rFonts w:cs="Arial"/>
          <w:szCs w:val="24"/>
        </w:rPr>
        <w:t xml:space="preserve">Stakeholders including investors, shareholders, and employees are also prioritising environmental, social, and governance (ESG) factors (Korstanje </w:t>
      </w:r>
      <w:r>
        <w:rPr>
          <w:rFonts w:cs="Arial"/>
          <w:szCs w:val="24"/>
          <w:lang w:val="en-US"/>
        </w:rPr>
        <w:t>and</w:t>
      </w:r>
      <w:r>
        <w:rPr>
          <w:rFonts w:cs="Arial"/>
          <w:szCs w:val="24"/>
        </w:rPr>
        <w:t xml:space="preserve"> Nedelea, 2020). Corporate Social Responsibility (CSR) efforts with a sustainability focus are favourably </w:t>
      </w:r>
      <w:r>
        <w:rPr>
          <w:rFonts w:cs="Arial"/>
          <w:szCs w:val="24"/>
        </w:rPr>
        <w:lastRenderedPageBreak/>
        <w:t>accepted by stakeholders that value responsible long-term investment (Hilton ESG, 2023). Hilton says aligning with ESG standards attracts sustainable investments, enhances organisational resilience, and boosts long-term financial success, justifying its CSR policy sustainability.</w:t>
      </w:r>
    </w:p>
    <w:p w14:paraId="030D2C58" w14:textId="77777777" w:rsidR="00652B20" w:rsidRDefault="00FB20CA" w:rsidP="00CF7DDE">
      <w:pPr>
        <w:ind w:firstLine="0"/>
        <w:rPr>
          <w:rFonts w:cs="Arial"/>
          <w:szCs w:val="24"/>
        </w:rPr>
      </w:pPr>
      <w:r>
        <w:rPr>
          <w:rFonts w:cs="Arial"/>
          <w:szCs w:val="24"/>
        </w:rPr>
        <w:t xml:space="preserve">Hilton has prioritised sustainability because to growing business concerns about competitive pressures and government initiatives. Rising global government pressures and regulatory frameworks push hotels to prioritise sustainability. Governments are implementing severe environmental standards to reduce the environmental impact of numerous industries, including hospitality (Sloan, Legrand, </w:t>
      </w:r>
      <w:r>
        <w:rPr>
          <w:rFonts w:cs="Arial"/>
          <w:szCs w:val="24"/>
          <w:lang w:val="en-US"/>
        </w:rPr>
        <w:t>and</w:t>
      </w:r>
      <w:r>
        <w:rPr>
          <w:rFonts w:cs="Arial"/>
          <w:szCs w:val="24"/>
        </w:rPr>
        <w:t xml:space="preserve"> Chen, 2017). These rules target carbon emissions, water conservation, waste management, and energy efficiency. If they violate regulations, Hilton may be fined and lose goodwill (Jauhari, 2021). Hotels must prioritise sustainability to be compliant and avoid penalties.</w:t>
      </w:r>
    </w:p>
    <w:p w14:paraId="2B6ADDDF" w14:textId="77777777" w:rsidR="00652B20" w:rsidRDefault="00FB20CA" w:rsidP="00CF7DDE">
      <w:pPr>
        <w:ind w:firstLine="0"/>
        <w:rPr>
          <w:rFonts w:cs="Arial"/>
          <w:szCs w:val="24"/>
        </w:rPr>
      </w:pPr>
      <w:r>
        <w:rPr>
          <w:rFonts w:cs="Arial"/>
          <w:szCs w:val="24"/>
        </w:rPr>
        <w:t xml:space="preserve">Growing client tastes and sustainability consciousness have increased hospitality industry competition. (2016) Bohdanowicz </w:t>
      </w:r>
      <w:r>
        <w:rPr>
          <w:rFonts w:cs="Arial"/>
          <w:szCs w:val="24"/>
          <w:lang w:val="en-US"/>
        </w:rPr>
        <w:t>and</w:t>
      </w:r>
      <w:r>
        <w:rPr>
          <w:rFonts w:cs="Arial"/>
          <w:szCs w:val="24"/>
        </w:rPr>
        <w:t xml:space="preserve"> Zientara Competitive business models and marketing strategies increasingly include sustainability. To be competitive, hotels must meet clients</w:t>
      </w:r>
      <w:r>
        <w:rPr>
          <w:rFonts w:cs="Arial"/>
          <w:szCs w:val="24"/>
          <w:lang w:val="en-US"/>
        </w:rPr>
        <w:t>'</w:t>
      </w:r>
      <w:r>
        <w:rPr>
          <w:rFonts w:cs="Arial"/>
          <w:szCs w:val="24"/>
        </w:rPr>
        <w:t xml:space="preserve"> eco-friendly and socially responsible expectations (Haski-Leventhal, 2018). According to Korstanje and Nedelea (2020), sustainable practises boost a hotel</w:t>
      </w:r>
      <w:r>
        <w:rPr>
          <w:rFonts w:cs="Arial"/>
          <w:szCs w:val="24"/>
          <w:lang w:val="en-US"/>
        </w:rPr>
        <w:t>'</w:t>
      </w:r>
      <w:r>
        <w:rPr>
          <w:rFonts w:cs="Arial"/>
          <w:szCs w:val="24"/>
        </w:rPr>
        <w:t>s bottom line and attract eco-conscious guests. Today</w:t>
      </w:r>
      <w:r>
        <w:rPr>
          <w:rFonts w:cs="Arial"/>
          <w:szCs w:val="24"/>
          <w:lang w:val="en-US"/>
        </w:rPr>
        <w:t>'</w:t>
      </w:r>
      <w:r>
        <w:rPr>
          <w:rFonts w:cs="Arial"/>
          <w:szCs w:val="24"/>
        </w:rPr>
        <w:t>s competitive industry has made sustainability a key differentiator.</w:t>
      </w:r>
    </w:p>
    <w:p w14:paraId="3DCE8CCE" w14:textId="77777777" w:rsidR="00652B20" w:rsidRDefault="00FB20CA" w:rsidP="00CF7DDE">
      <w:pPr>
        <w:ind w:firstLine="0"/>
        <w:rPr>
          <w:rFonts w:cs="Arial"/>
          <w:szCs w:val="24"/>
        </w:rPr>
      </w:pPr>
      <w:r>
        <w:rPr>
          <w:rFonts w:cs="Arial"/>
          <w:szCs w:val="24"/>
        </w:rPr>
        <w:t>Investors and stakeholders are increasingly considering environmental and social performance when evaluating companies for investments and partnerships. Good governance and ethical business behaviour affect a company</w:t>
      </w:r>
      <w:r>
        <w:rPr>
          <w:rFonts w:cs="Arial"/>
          <w:szCs w:val="24"/>
          <w:lang w:val="en-US"/>
        </w:rPr>
        <w:t>'</w:t>
      </w:r>
      <w:r>
        <w:rPr>
          <w:rFonts w:cs="Arial"/>
          <w:szCs w:val="24"/>
        </w:rPr>
        <w:t xml:space="preserve">s sustainability (Hilton ESG, 2023) and vice versa. Hilton knows that sustainability may attract sustainable investments and partnerships (Sloan et al., 2017). Investors respect long-term sustainability and responsible business practises, therefore companies with excellent ESG profiles attract more financing (Costa </w:t>
      </w:r>
      <w:r>
        <w:rPr>
          <w:rFonts w:cs="Arial"/>
          <w:szCs w:val="24"/>
          <w:lang w:val="en-US"/>
        </w:rPr>
        <w:t>and</w:t>
      </w:r>
      <w:r>
        <w:rPr>
          <w:rFonts w:cs="Arial"/>
          <w:szCs w:val="24"/>
        </w:rPr>
        <w:t xml:space="preserve"> Costa, 2022). In order to attract investments and gain the trust of its stakeholders, Hilton</w:t>
      </w:r>
      <w:r>
        <w:rPr>
          <w:rFonts w:cs="Arial"/>
          <w:szCs w:val="24"/>
          <w:lang w:val="en-US"/>
        </w:rPr>
        <w:t>'</w:t>
      </w:r>
      <w:r>
        <w:rPr>
          <w:rFonts w:cs="Arial"/>
          <w:szCs w:val="24"/>
        </w:rPr>
        <w:t>s CSR policy emphasises sustainability.</w:t>
      </w:r>
    </w:p>
    <w:p w14:paraId="37FC8EAE" w14:textId="28DDBA59" w:rsidR="00652B20" w:rsidRDefault="008921F2" w:rsidP="00CF7DDE">
      <w:pPr>
        <w:ind w:firstLine="0"/>
        <w:rPr>
          <w:rFonts w:cs="Arial"/>
          <w:szCs w:val="24"/>
        </w:rPr>
      </w:pPr>
      <w:r>
        <w:rPr>
          <w:rFonts w:cs="Arial"/>
          <w:szCs w:val="24"/>
        </w:rPr>
        <w:t>An important step towards a business model that considers the social, economic, and environmental impact of Hilton</w:t>
      </w:r>
      <w:r>
        <w:rPr>
          <w:rFonts w:cs="Arial"/>
          <w:szCs w:val="24"/>
          <w:lang w:val="en-US"/>
        </w:rPr>
        <w:t>'</w:t>
      </w:r>
      <w:r>
        <w:rPr>
          <w:rFonts w:cs="Arial"/>
          <w:szCs w:val="24"/>
        </w:rPr>
        <w:t>s operations is the integration of sustainability into the company</w:t>
      </w:r>
      <w:r>
        <w:rPr>
          <w:rFonts w:cs="Arial"/>
          <w:szCs w:val="24"/>
          <w:lang w:val="en-US"/>
        </w:rPr>
        <w:t>'</w:t>
      </w:r>
      <w:r>
        <w:rPr>
          <w:rFonts w:cs="Arial"/>
          <w:szCs w:val="24"/>
        </w:rPr>
        <w:t xml:space="preserve">s corporate agenda. This integration goes beyond checking boxes to demonstrate responsible business activity. Hilton has realised that sustainability is a </w:t>
      </w:r>
      <w:r>
        <w:rPr>
          <w:rFonts w:cs="Arial"/>
          <w:szCs w:val="24"/>
        </w:rPr>
        <w:lastRenderedPageBreak/>
        <w:t>moral necessity and a smart business strategy, according to Sloan et al. (2017). Compliance with evolving consumer expectations and regulatory obligations boosts the company</w:t>
      </w:r>
      <w:r>
        <w:rPr>
          <w:rFonts w:cs="Arial"/>
          <w:szCs w:val="24"/>
          <w:lang w:val="en-US"/>
        </w:rPr>
        <w:t>'</w:t>
      </w:r>
      <w:r>
        <w:rPr>
          <w:rFonts w:cs="Arial"/>
          <w:szCs w:val="24"/>
        </w:rPr>
        <w:t>s image, attracts new consumers, and boosts profits (Hilton ESG, 2023)</w:t>
      </w:r>
    </w:p>
    <w:p w14:paraId="6EFA8CDD" w14:textId="77777777" w:rsidR="00652B20" w:rsidRDefault="00FB20CA" w:rsidP="00CF7DDE">
      <w:pPr>
        <w:ind w:firstLine="0"/>
        <w:rPr>
          <w:rFonts w:cs="Arial"/>
          <w:szCs w:val="24"/>
        </w:rPr>
      </w:pPr>
      <w:r>
        <w:rPr>
          <w:rFonts w:cs="Arial"/>
          <w:szCs w:val="24"/>
        </w:rPr>
        <w:t>The initial steps in Hilton</w:t>
      </w:r>
      <w:r>
        <w:rPr>
          <w:rFonts w:cs="Arial"/>
          <w:szCs w:val="24"/>
          <w:lang w:val="en-US"/>
        </w:rPr>
        <w:t>'</w:t>
      </w:r>
      <w:r>
        <w:rPr>
          <w:rFonts w:cs="Arial"/>
          <w:szCs w:val="24"/>
        </w:rPr>
        <w:t>s sustainability integration into its business agenda are the acknowledgement of the company</w:t>
      </w:r>
      <w:r>
        <w:rPr>
          <w:rFonts w:cs="Arial"/>
          <w:szCs w:val="24"/>
          <w:lang w:val="en-US"/>
        </w:rPr>
        <w:t>'</w:t>
      </w:r>
      <w:r>
        <w:rPr>
          <w:rFonts w:cs="Arial"/>
          <w:szCs w:val="24"/>
        </w:rPr>
        <w:t>s environmental impact and the necessity to reduce its ecological footprint. This includes reducing energy, water, and waste at all their properties worldwide (Hgv, 2022). Hilton ESG (2023) has pledged to halve carbon emissions and eliminate soap waste by 2030. This pledge shows Hilton</w:t>
      </w:r>
      <w:r>
        <w:rPr>
          <w:rFonts w:cs="Arial"/>
          <w:szCs w:val="24"/>
          <w:lang w:val="en-US"/>
        </w:rPr>
        <w:t>'</w:t>
      </w:r>
      <w:r>
        <w:rPr>
          <w:rFonts w:cs="Arial"/>
          <w:szCs w:val="24"/>
        </w:rPr>
        <w:t xml:space="preserve">s commitment to environmental stewardship and makes it a leader in sustainable business (Johansson </w:t>
      </w:r>
      <w:r>
        <w:rPr>
          <w:rFonts w:cs="Arial"/>
          <w:szCs w:val="24"/>
          <w:lang w:val="en-US"/>
        </w:rPr>
        <w:t>and</w:t>
      </w:r>
      <w:r>
        <w:rPr>
          <w:rFonts w:cs="Arial"/>
          <w:szCs w:val="24"/>
        </w:rPr>
        <w:t xml:space="preserve"> Larsson, 2015).</w:t>
      </w:r>
    </w:p>
    <w:p w14:paraId="1CFAEA75" w14:textId="77777777" w:rsidR="00652B20" w:rsidRDefault="00FB20CA" w:rsidP="00CF7DDE">
      <w:pPr>
        <w:ind w:firstLine="0"/>
        <w:rPr>
          <w:rFonts w:cs="Arial"/>
          <w:szCs w:val="24"/>
        </w:rPr>
      </w:pPr>
      <w:r>
        <w:rPr>
          <w:rFonts w:cs="Arial"/>
          <w:szCs w:val="24"/>
        </w:rPr>
        <w:t>Hilton</w:t>
      </w:r>
      <w:r>
        <w:rPr>
          <w:rFonts w:cs="Arial"/>
          <w:szCs w:val="24"/>
          <w:lang w:val="en-US"/>
        </w:rPr>
        <w:t>'</w:t>
      </w:r>
      <w:r>
        <w:rPr>
          <w:rFonts w:cs="Arial"/>
          <w:szCs w:val="24"/>
        </w:rPr>
        <w:t>s corporate agenda also prioritises community engagement and support. Hilton</w:t>
      </w:r>
      <w:r>
        <w:rPr>
          <w:rFonts w:cs="Arial"/>
          <w:szCs w:val="24"/>
          <w:lang w:val="en-US"/>
        </w:rPr>
        <w:t>'</w:t>
      </w:r>
      <w:r>
        <w:rPr>
          <w:rFonts w:cs="Arial"/>
          <w:szCs w:val="24"/>
        </w:rPr>
        <w:t>s charitable and community development efforts provide good social impact (Hgv, 2022). This meets societal expectations of corporate responsibility and positions Hilton as a socially responsible brand, increasing customer trust and loyalty (Culler, 2015). Hilton engages in its communities to depict itself as a responsible corporate citizen concerned with society</w:t>
      </w:r>
      <w:r>
        <w:rPr>
          <w:rFonts w:cs="Arial"/>
          <w:szCs w:val="24"/>
          <w:lang w:val="en-US"/>
        </w:rPr>
        <w:t>'</w:t>
      </w:r>
      <w:r>
        <w:rPr>
          <w:rFonts w:cs="Arial"/>
          <w:szCs w:val="24"/>
        </w:rPr>
        <w:t>s well-being.</w:t>
      </w:r>
      <w:r>
        <w:rPr>
          <w:rFonts w:cs="Arial"/>
          <w:szCs w:val="24"/>
          <w:lang w:val="en-US"/>
        </w:rPr>
        <w:t xml:space="preserve"> </w:t>
      </w:r>
      <w:r>
        <w:rPr>
          <w:rFonts w:cs="Arial"/>
          <w:szCs w:val="24"/>
        </w:rPr>
        <w:t xml:space="preserve">The business sustainability agenda requires responsible procurement and ethical employment practises. Hilton minimises environmental impact across its operations and supply chain (Hgv, 2022). Support ethical suppliers and responsible material sourcing. According to Bohdanowicz </w:t>
      </w:r>
      <w:r>
        <w:rPr>
          <w:rFonts w:cs="Arial"/>
          <w:szCs w:val="24"/>
          <w:lang w:val="en-US"/>
        </w:rPr>
        <w:t>and</w:t>
      </w:r>
      <w:r>
        <w:rPr>
          <w:rFonts w:cs="Arial"/>
          <w:szCs w:val="24"/>
        </w:rPr>
        <w:t xml:space="preserve"> Zientara (2016), a sustainable and equitable supply chain is essential to achieving sustainability goals.</w:t>
      </w:r>
    </w:p>
    <w:p w14:paraId="61013AD5" w14:textId="77777777" w:rsidR="00652B20" w:rsidRDefault="00FB20CA" w:rsidP="00CF7DDE">
      <w:pPr>
        <w:ind w:firstLine="0"/>
        <w:rPr>
          <w:rFonts w:cs="Arial"/>
          <w:szCs w:val="24"/>
        </w:rPr>
      </w:pPr>
      <w:r>
        <w:rPr>
          <w:rFonts w:cs="Arial"/>
          <w:szCs w:val="24"/>
        </w:rPr>
        <w:t>Hilton</w:t>
      </w:r>
      <w:r>
        <w:rPr>
          <w:rFonts w:cs="Arial"/>
          <w:szCs w:val="24"/>
          <w:lang w:val="en-US"/>
        </w:rPr>
        <w:t>'</w:t>
      </w:r>
      <w:r>
        <w:rPr>
          <w:rFonts w:cs="Arial"/>
          <w:szCs w:val="24"/>
        </w:rPr>
        <w:t>s CSR in the hospitality industry is based on the principles of the circular economy. The circular economy is an economic model that reduces waste and maximises resource utilisation by regenerating and reusing materials (Cooper, 2021). Hilton</w:t>
      </w:r>
      <w:r>
        <w:rPr>
          <w:rFonts w:cs="Arial"/>
          <w:szCs w:val="24"/>
          <w:lang w:val="en-US"/>
        </w:rPr>
        <w:t>'</w:t>
      </w:r>
      <w:r>
        <w:rPr>
          <w:rFonts w:cs="Arial"/>
          <w:szCs w:val="24"/>
        </w:rPr>
        <w:t>s CSR efforts practise sustainable resource use and waste minim</w:t>
      </w:r>
      <w:r>
        <w:rPr>
          <w:rFonts w:cs="Arial"/>
          <w:szCs w:val="24"/>
          <w:lang w:val="en-US"/>
        </w:rPr>
        <w:t>isa</w:t>
      </w:r>
      <w:r>
        <w:rPr>
          <w:rFonts w:cs="Arial"/>
          <w:szCs w:val="24"/>
        </w:rPr>
        <w:t>tion, which aligns with these principles. The company</w:t>
      </w:r>
      <w:r>
        <w:rPr>
          <w:rFonts w:cs="Arial"/>
          <w:szCs w:val="24"/>
          <w:lang w:val="en-US"/>
        </w:rPr>
        <w:t>'</w:t>
      </w:r>
      <w:r>
        <w:rPr>
          <w:rFonts w:cs="Arial"/>
          <w:szCs w:val="24"/>
        </w:rPr>
        <w:t>s dedication to sustainable practises, which in turn support efficient resource use and a circular economy, strengthens Hilton</w:t>
      </w:r>
      <w:r>
        <w:rPr>
          <w:rFonts w:cs="Arial"/>
          <w:szCs w:val="24"/>
          <w:lang w:val="en-US"/>
        </w:rPr>
        <w:t>'</w:t>
      </w:r>
      <w:r>
        <w:rPr>
          <w:rFonts w:cs="Arial"/>
          <w:szCs w:val="24"/>
        </w:rPr>
        <w:t>s commitment to environmental stewardship.</w:t>
      </w:r>
    </w:p>
    <w:p w14:paraId="073ADD4A" w14:textId="77777777" w:rsidR="00652B20" w:rsidRDefault="00FB20CA" w:rsidP="00CF7DDE">
      <w:pPr>
        <w:ind w:firstLine="0"/>
        <w:rPr>
          <w:rFonts w:cs="Arial"/>
          <w:szCs w:val="24"/>
        </w:rPr>
      </w:pPr>
      <w:r>
        <w:rPr>
          <w:rFonts w:cs="Arial"/>
          <w:szCs w:val="24"/>
        </w:rPr>
        <w:t>Hilton has implemented various sustainable resource use initiatives to reduce resource use. Hilton</w:t>
      </w:r>
      <w:r>
        <w:rPr>
          <w:rFonts w:cs="Arial"/>
          <w:szCs w:val="24"/>
          <w:lang w:val="en-US"/>
        </w:rPr>
        <w:t>'</w:t>
      </w:r>
      <w:r>
        <w:rPr>
          <w:rFonts w:cs="Arial"/>
          <w:szCs w:val="24"/>
        </w:rPr>
        <w:t xml:space="preserve">s carbon footprint reduction activities include energy-saving and renewable energy utilisation (Sloan et al., 2017). Hilton reduces its environmental impact through adopting renewable energy and energy-efficient technologies. Hilton is responsible for </w:t>
      </w:r>
      <w:r>
        <w:rPr>
          <w:rFonts w:cs="Arial"/>
          <w:szCs w:val="24"/>
        </w:rPr>
        <w:lastRenderedPageBreak/>
        <w:t>water use and management (Hgv, 2022). These strategies support the circular economy by prolonging resource life and reducing waste.</w:t>
      </w:r>
      <w:r>
        <w:rPr>
          <w:rFonts w:cs="Arial"/>
          <w:szCs w:val="24"/>
          <w:lang w:val="en-US"/>
        </w:rPr>
        <w:t xml:space="preserve"> </w:t>
      </w:r>
      <w:r>
        <w:rPr>
          <w:rFonts w:cs="Arial"/>
          <w:szCs w:val="24"/>
        </w:rPr>
        <w:t>Hilton</w:t>
      </w:r>
      <w:r>
        <w:rPr>
          <w:rFonts w:cs="Arial"/>
          <w:szCs w:val="24"/>
          <w:lang w:val="en-US"/>
        </w:rPr>
        <w:t>'</w:t>
      </w:r>
      <w:r>
        <w:rPr>
          <w:rFonts w:cs="Arial"/>
          <w:szCs w:val="24"/>
        </w:rPr>
        <w:t>s CSR efforts emphasise waste reduction, which supports the circular economy. Company-wide recycling and waste minim</w:t>
      </w:r>
      <w:r>
        <w:rPr>
          <w:rFonts w:cs="Arial"/>
          <w:szCs w:val="24"/>
          <w:lang w:val="en-US"/>
        </w:rPr>
        <w:t>isa</w:t>
      </w:r>
      <w:r>
        <w:rPr>
          <w:rFonts w:cs="Arial"/>
          <w:szCs w:val="24"/>
        </w:rPr>
        <w:t>tion are Hilton priority (Hgv, 2022). Effective waste management and recycling reduce the need for new supplies and minimise environmental impact. Hilton is also reducing its use of single-use plastics to employ more sustainable materials (Hgv, 2022).</w:t>
      </w:r>
    </w:p>
    <w:p w14:paraId="78482689" w14:textId="77777777" w:rsidR="00652B20" w:rsidRDefault="00FB20CA" w:rsidP="00CF7DDE">
      <w:pPr>
        <w:ind w:firstLine="0"/>
        <w:rPr>
          <w:rFonts w:cs="Arial"/>
          <w:szCs w:val="24"/>
        </w:rPr>
      </w:pPr>
      <w:r>
        <w:rPr>
          <w:rFonts w:cs="Arial"/>
          <w:szCs w:val="24"/>
        </w:rPr>
        <w:t>Hilton is addressing environmental concerns and achieving long-term business success by linking CSR to the principles of the circular economy. Businesses can save money and improve their reputation by eliminating waste and utilising resources more effectively (Jauhari, 2021). The circular economy framework amplifies these benefits by aligning with sustainability goals, encouraging innovation, and ensuring responsible resource use throughout the lifespan. The integration of CSR within a circular economy paradigm, which will result in a more sustainable and responsible hospitality industry, demonstrates Hilton</w:t>
      </w:r>
      <w:r>
        <w:rPr>
          <w:rFonts w:cs="Arial"/>
          <w:szCs w:val="24"/>
          <w:lang w:val="en-US"/>
        </w:rPr>
        <w:t>'</w:t>
      </w:r>
      <w:r>
        <w:rPr>
          <w:rFonts w:cs="Arial"/>
          <w:szCs w:val="24"/>
        </w:rPr>
        <w:t>s commitment to sustainable practises and resource management.</w:t>
      </w:r>
    </w:p>
    <w:p w14:paraId="02FB60FE" w14:textId="77777777" w:rsidR="00652B20" w:rsidRDefault="00FB20CA" w:rsidP="00CF7DDE">
      <w:pPr>
        <w:ind w:firstLine="0"/>
        <w:rPr>
          <w:rFonts w:cs="Arial"/>
          <w:szCs w:val="24"/>
        </w:rPr>
      </w:pPr>
      <w:r>
        <w:rPr>
          <w:rFonts w:cs="Arial"/>
          <w:szCs w:val="24"/>
        </w:rPr>
        <w:t>A company</w:t>
      </w:r>
      <w:r>
        <w:rPr>
          <w:rFonts w:cs="Arial"/>
          <w:szCs w:val="24"/>
          <w:lang w:val="en-US"/>
        </w:rPr>
        <w:t>'</w:t>
      </w:r>
      <w:r>
        <w:rPr>
          <w:rFonts w:cs="Arial"/>
          <w:szCs w:val="24"/>
        </w:rPr>
        <w:t xml:space="preserve">s economic, social, and environmental repercussions are considered in the Triple Bottom Line (TBL) framework. These variables are often called </w:t>
      </w:r>
      <w:r>
        <w:rPr>
          <w:rFonts w:cs="Arial"/>
          <w:szCs w:val="24"/>
          <w:lang w:val="en-US"/>
        </w:rPr>
        <w:t>"</w:t>
      </w:r>
      <w:r>
        <w:rPr>
          <w:rFonts w:cs="Arial"/>
          <w:szCs w:val="24"/>
        </w:rPr>
        <w:t>profits, people, and planet</w:t>
      </w:r>
      <w:r>
        <w:rPr>
          <w:rFonts w:cs="Arial"/>
          <w:szCs w:val="24"/>
          <w:lang w:val="en-US"/>
        </w:rPr>
        <w:t>"</w:t>
      </w:r>
      <w:r>
        <w:rPr>
          <w:rFonts w:cs="Arial"/>
          <w:szCs w:val="24"/>
        </w:rPr>
        <w:t>. Notwithstanding economic advantages, TBL recommends measuring a company</w:t>
      </w:r>
      <w:r>
        <w:rPr>
          <w:rFonts w:cs="Arial"/>
          <w:szCs w:val="24"/>
          <w:lang w:val="en-US"/>
        </w:rPr>
        <w:t>'</w:t>
      </w:r>
      <w:r>
        <w:rPr>
          <w:rFonts w:cs="Arial"/>
          <w:szCs w:val="24"/>
        </w:rPr>
        <w:t>s performance by social equity and environmental sustainability. Thanks to this comprehensive strategy, a company</w:t>
      </w:r>
      <w:r>
        <w:rPr>
          <w:rFonts w:cs="Arial"/>
          <w:szCs w:val="24"/>
          <w:lang w:val="en-US"/>
        </w:rPr>
        <w:t>'</w:t>
      </w:r>
      <w:r>
        <w:rPr>
          <w:rFonts w:cs="Arial"/>
          <w:szCs w:val="24"/>
        </w:rPr>
        <w:t>s social and environmental impact is considered alongside its economic performance (Elkington, 1997). Because of Hilton</w:t>
      </w:r>
      <w:r>
        <w:rPr>
          <w:rFonts w:cs="Arial"/>
          <w:szCs w:val="24"/>
          <w:lang w:val="en-US"/>
        </w:rPr>
        <w:t>'</w:t>
      </w:r>
      <w:r>
        <w:rPr>
          <w:rFonts w:cs="Arial"/>
          <w:szCs w:val="24"/>
        </w:rPr>
        <w:t>s commitment to environmental, social, and economic responsibility, the Triple Bottom Line concept is relevant to its sustainability efforts.</w:t>
      </w:r>
    </w:p>
    <w:p w14:paraId="00C49046" w14:textId="77777777" w:rsidR="00652B20" w:rsidRDefault="00FB20CA" w:rsidP="00CF7DDE">
      <w:pPr>
        <w:ind w:firstLine="0"/>
        <w:rPr>
          <w:rFonts w:cs="Arial"/>
          <w:szCs w:val="24"/>
        </w:rPr>
      </w:pPr>
      <w:r>
        <w:rPr>
          <w:rFonts w:cs="Arial"/>
          <w:szCs w:val="24"/>
        </w:rPr>
        <w:t>Hilton</w:t>
      </w:r>
      <w:r>
        <w:rPr>
          <w:rFonts w:cs="Arial"/>
          <w:szCs w:val="24"/>
          <w:lang w:val="en-US"/>
        </w:rPr>
        <w:t>'</w:t>
      </w:r>
      <w:r>
        <w:rPr>
          <w:rFonts w:cs="Arial"/>
          <w:szCs w:val="24"/>
        </w:rPr>
        <w:t>s sustainability efforts boost profits, so invest in them. Sustainable technology and practises need initial investments but save money over time. Sloan et al. (2017) found that waste reduction and energy-efficient infrastructure can significantly reduce operational expenses. The company</w:t>
      </w:r>
      <w:r>
        <w:rPr>
          <w:rFonts w:cs="Arial"/>
          <w:szCs w:val="24"/>
          <w:lang w:val="en-US"/>
        </w:rPr>
        <w:t>'</w:t>
      </w:r>
      <w:r>
        <w:rPr>
          <w:rFonts w:cs="Arial"/>
          <w:szCs w:val="24"/>
        </w:rPr>
        <w:t>s economic value increases as sustainability practises boost brand recognition, attracting environmentally conscious customers and investors (Jauhari, 2021). Thus, Hilton</w:t>
      </w:r>
      <w:r>
        <w:rPr>
          <w:rFonts w:cs="Arial"/>
          <w:szCs w:val="24"/>
          <w:lang w:val="en-US"/>
        </w:rPr>
        <w:t>'</w:t>
      </w:r>
      <w:r>
        <w:rPr>
          <w:rFonts w:cs="Arial"/>
          <w:szCs w:val="24"/>
        </w:rPr>
        <w:t>s financial success is due to its commitment to sustainability and responsible business.</w:t>
      </w:r>
    </w:p>
    <w:p w14:paraId="0FDF700D" w14:textId="77777777" w:rsidR="00652B20" w:rsidRDefault="00FB20CA" w:rsidP="00CF7DDE">
      <w:pPr>
        <w:ind w:firstLine="0"/>
        <w:rPr>
          <w:rFonts w:cs="Arial"/>
          <w:szCs w:val="24"/>
        </w:rPr>
      </w:pPr>
      <w:r>
        <w:rPr>
          <w:rFonts w:cs="Arial"/>
          <w:szCs w:val="24"/>
        </w:rPr>
        <w:t>Socially, Hilton</w:t>
      </w:r>
      <w:r>
        <w:rPr>
          <w:rFonts w:cs="Arial"/>
          <w:szCs w:val="24"/>
          <w:lang w:val="en-US"/>
        </w:rPr>
        <w:t>'</w:t>
      </w:r>
      <w:r>
        <w:rPr>
          <w:rFonts w:cs="Arial"/>
          <w:szCs w:val="24"/>
        </w:rPr>
        <w:t>s sustainability operations have an impact on personnel, guests, community, and society. Hilton</w:t>
      </w:r>
      <w:r>
        <w:rPr>
          <w:rFonts w:cs="Arial"/>
          <w:szCs w:val="24"/>
          <w:lang w:val="en-US"/>
        </w:rPr>
        <w:t>'</w:t>
      </w:r>
      <w:r>
        <w:rPr>
          <w:rFonts w:cs="Arial"/>
          <w:szCs w:val="24"/>
        </w:rPr>
        <w:t>s goal aligns with the Triple Bottom Line</w:t>
      </w:r>
      <w:r>
        <w:rPr>
          <w:rFonts w:cs="Arial"/>
          <w:szCs w:val="24"/>
          <w:lang w:val="en-US"/>
        </w:rPr>
        <w:t>'</w:t>
      </w:r>
      <w:r>
        <w:rPr>
          <w:rFonts w:cs="Arial"/>
          <w:szCs w:val="24"/>
        </w:rPr>
        <w:t xml:space="preserve">s social focus on </w:t>
      </w:r>
      <w:r>
        <w:rPr>
          <w:rFonts w:cs="Arial"/>
          <w:szCs w:val="24"/>
        </w:rPr>
        <w:lastRenderedPageBreak/>
        <w:t xml:space="preserve">ethical labour, diversity and inclusion, and community engagement (Hgv, 2022). Hilton supports local initiatives like healthcare, education, and disaster relief through its </w:t>
      </w:r>
      <w:r>
        <w:rPr>
          <w:rFonts w:cs="Arial"/>
          <w:szCs w:val="24"/>
          <w:lang w:val="en-US"/>
        </w:rPr>
        <w:t>"</w:t>
      </w:r>
      <w:r>
        <w:rPr>
          <w:rFonts w:cs="Arial"/>
          <w:szCs w:val="24"/>
        </w:rPr>
        <w:t>Travel with Purpose</w:t>
      </w:r>
      <w:r>
        <w:rPr>
          <w:rFonts w:cs="Arial"/>
          <w:szCs w:val="24"/>
          <w:lang w:val="en-US"/>
        </w:rPr>
        <w:t>"</w:t>
      </w:r>
      <w:r>
        <w:rPr>
          <w:rFonts w:cs="Arial"/>
          <w:szCs w:val="24"/>
        </w:rPr>
        <w:t xml:space="preserve"> programme, which is only one example of how the company gives back to the community (Hgv, 2022). Hilton</w:t>
      </w:r>
      <w:r>
        <w:rPr>
          <w:rFonts w:cs="Arial"/>
          <w:szCs w:val="24"/>
          <w:lang w:val="en-US"/>
        </w:rPr>
        <w:t>'</w:t>
      </w:r>
      <w:r>
        <w:rPr>
          <w:rFonts w:cs="Arial"/>
          <w:szCs w:val="24"/>
        </w:rPr>
        <w:t>s corporate social responsibility and aim to have a positive impact on society are shown through these efforts.</w:t>
      </w:r>
    </w:p>
    <w:p w14:paraId="09DA6A0D" w14:textId="77777777" w:rsidR="00652B20" w:rsidRDefault="00FB20CA" w:rsidP="00CF7DDE">
      <w:pPr>
        <w:ind w:firstLine="0"/>
        <w:rPr>
          <w:rFonts w:cs="Arial"/>
          <w:szCs w:val="24"/>
        </w:rPr>
      </w:pPr>
      <w:r>
        <w:rPr>
          <w:rFonts w:cs="Arial"/>
          <w:szCs w:val="24"/>
        </w:rPr>
        <w:t>Hilton</w:t>
      </w:r>
      <w:r>
        <w:rPr>
          <w:rFonts w:cs="Arial"/>
          <w:szCs w:val="24"/>
          <w:lang w:val="en-US"/>
        </w:rPr>
        <w:t>'</w:t>
      </w:r>
      <w:r>
        <w:rPr>
          <w:rFonts w:cs="Arial"/>
          <w:szCs w:val="24"/>
        </w:rPr>
        <w:t>s sustainability efforts represent the Triple Bottom Line</w:t>
      </w:r>
      <w:r>
        <w:rPr>
          <w:rFonts w:cs="Arial"/>
          <w:szCs w:val="24"/>
          <w:lang w:val="en-US"/>
        </w:rPr>
        <w:t>'</w:t>
      </w:r>
      <w:r>
        <w:rPr>
          <w:rFonts w:cs="Arial"/>
          <w:szCs w:val="24"/>
        </w:rPr>
        <w:t xml:space="preserve">s </w:t>
      </w:r>
      <w:r>
        <w:rPr>
          <w:rFonts w:cs="Arial"/>
          <w:szCs w:val="24"/>
          <w:lang w:val="en-US"/>
        </w:rPr>
        <w:t>"</w:t>
      </w:r>
      <w:r>
        <w:rPr>
          <w:rFonts w:cs="Arial"/>
          <w:szCs w:val="24"/>
        </w:rPr>
        <w:t>planet</w:t>
      </w:r>
      <w:r>
        <w:rPr>
          <w:rFonts w:cs="Arial"/>
          <w:szCs w:val="24"/>
          <w:lang w:val="en-US"/>
        </w:rPr>
        <w:t>"</w:t>
      </w:r>
      <w:r>
        <w:rPr>
          <w:rFonts w:cs="Arial"/>
          <w:szCs w:val="24"/>
        </w:rPr>
        <w:t xml:space="preserve"> dimension. Hotels</w:t>
      </w:r>
      <w:r>
        <w:rPr>
          <w:rFonts w:cs="Arial"/>
          <w:szCs w:val="24"/>
          <w:lang w:val="en-US"/>
        </w:rPr>
        <w:t>'</w:t>
      </w:r>
      <w:r>
        <w:rPr>
          <w:rFonts w:cs="Arial"/>
          <w:szCs w:val="24"/>
        </w:rPr>
        <w:t xml:space="preserve"> environmental measures include conservation, energy efficiency, trash reduction, and responsible sourcing (Hgv, 2022). The company aims to reduce its water, garbage, and carbon footprint. Through these actions, Hilton lessens its impact on the environment while promoting sustainability and responsible resource management.</w:t>
      </w:r>
    </w:p>
    <w:p w14:paraId="1B233871" w14:textId="77777777" w:rsidR="00652B20" w:rsidRDefault="00FB20CA" w:rsidP="00CF7DDE">
      <w:pPr>
        <w:ind w:firstLine="0"/>
        <w:rPr>
          <w:rFonts w:cs="Arial"/>
          <w:szCs w:val="24"/>
        </w:rPr>
      </w:pPr>
      <w:r>
        <w:rPr>
          <w:rFonts w:cs="Arial"/>
          <w:szCs w:val="24"/>
        </w:rPr>
        <w:t>The CSR policy of Hilton supports sustainability through a number of key pillars that align with the sustainability framework. This framework has three pillars: environmental responsibility, social impact, and governance. To reaffirm the Triple Bottom Line principles, which focus economic, social, and environmental concerns (Hgv, 2022), each of these components demonstrates Hilton</w:t>
      </w:r>
      <w:r>
        <w:rPr>
          <w:rFonts w:cs="Arial"/>
          <w:szCs w:val="24"/>
          <w:lang w:val="en-US"/>
        </w:rPr>
        <w:t>'</w:t>
      </w:r>
      <w:r>
        <w:rPr>
          <w:rFonts w:cs="Arial"/>
          <w:szCs w:val="24"/>
        </w:rPr>
        <w:t>s commitment to sustainable business practises. These pillars reveal Hilton</w:t>
      </w:r>
      <w:r>
        <w:rPr>
          <w:rFonts w:cs="Arial"/>
          <w:szCs w:val="24"/>
          <w:lang w:val="en-US"/>
        </w:rPr>
        <w:t>'</w:t>
      </w:r>
      <w:r>
        <w:rPr>
          <w:rFonts w:cs="Arial"/>
          <w:szCs w:val="24"/>
        </w:rPr>
        <w:t>s comprehensive sustainability strategy.</w:t>
      </w:r>
    </w:p>
    <w:p w14:paraId="31390A2B" w14:textId="77777777" w:rsidR="00652B20" w:rsidRDefault="00FB20CA" w:rsidP="00CF7DDE">
      <w:pPr>
        <w:ind w:firstLine="0"/>
        <w:rPr>
          <w:rFonts w:cs="Arial"/>
          <w:szCs w:val="24"/>
        </w:rPr>
      </w:pPr>
      <w:r>
        <w:rPr>
          <w:rFonts w:cs="Arial"/>
          <w:szCs w:val="24"/>
        </w:rPr>
        <w:t>With a focus on lowering the company</w:t>
      </w:r>
      <w:r>
        <w:rPr>
          <w:rFonts w:cs="Arial"/>
          <w:szCs w:val="24"/>
          <w:lang w:val="en-US"/>
        </w:rPr>
        <w:t>'</w:t>
      </w:r>
      <w:r>
        <w:rPr>
          <w:rFonts w:cs="Arial"/>
          <w:szCs w:val="24"/>
        </w:rPr>
        <w:t>s carbon footprint, Hilton</w:t>
      </w:r>
      <w:r>
        <w:rPr>
          <w:rFonts w:cs="Arial"/>
          <w:szCs w:val="24"/>
          <w:lang w:val="en-US"/>
        </w:rPr>
        <w:t>'</w:t>
      </w:r>
      <w:r>
        <w:rPr>
          <w:rFonts w:cs="Arial"/>
          <w:szCs w:val="24"/>
        </w:rPr>
        <w:t>s CSR policy prioritises environmental responsibility</w:t>
      </w:r>
      <w:r>
        <w:rPr>
          <w:rFonts w:cs="Arial"/>
          <w:szCs w:val="24"/>
          <w:lang w:val="en-US"/>
        </w:rPr>
        <w:t xml:space="preserve"> (Edgell, 2020)</w:t>
      </w:r>
      <w:r>
        <w:rPr>
          <w:rFonts w:cs="Arial"/>
          <w:szCs w:val="24"/>
        </w:rPr>
        <w:t>. Energy, water, and waste usage are being reduced. Hilton has set certain carbon footprint and renewable energy targets to reduce its environmental impact (Hgv, 2022). Hilton</w:t>
      </w:r>
      <w:r>
        <w:rPr>
          <w:rFonts w:cs="Arial"/>
          <w:szCs w:val="24"/>
          <w:lang w:val="en-US"/>
        </w:rPr>
        <w:t>'</w:t>
      </w:r>
      <w:r>
        <w:rPr>
          <w:rFonts w:cs="Arial"/>
          <w:szCs w:val="24"/>
        </w:rPr>
        <w:t>s resource management and environmental preservation goals align with industry sustainability goals (Sloan et al., 2017).</w:t>
      </w:r>
      <w:r>
        <w:rPr>
          <w:rFonts w:cs="Arial"/>
          <w:szCs w:val="24"/>
          <w:lang w:val="en-US"/>
        </w:rPr>
        <w:t xml:space="preserve"> </w:t>
      </w:r>
      <w:r>
        <w:rPr>
          <w:rFonts w:cs="Arial"/>
          <w:szCs w:val="24"/>
        </w:rPr>
        <w:t xml:space="preserve">The feelings and requirements of stakeholders including personnel, neighbours, and tourists are another key pillar, social impact. Hilton supports charitable, educational, and community improvement projects through its </w:t>
      </w:r>
      <w:r>
        <w:rPr>
          <w:rFonts w:cs="Arial"/>
          <w:szCs w:val="24"/>
          <w:lang w:val="en-US"/>
        </w:rPr>
        <w:t>"</w:t>
      </w:r>
      <w:r>
        <w:rPr>
          <w:rFonts w:cs="Arial"/>
          <w:szCs w:val="24"/>
        </w:rPr>
        <w:t>Travel with Purpose</w:t>
      </w:r>
      <w:r>
        <w:rPr>
          <w:rFonts w:cs="Arial"/>
          <w:szCs w:val="24"/>
          <w:lang w:val="en-US"/>
        </w:rPr>
        <w:t>"</w:t>
      </w:r>
      <w:r>
        <w:rPr>
          <w:rFonts w:cs="Arial"/>
          <w:szCs w:val="24"/>
        </w:rPr>
        <w:t xml:space="preserve"> programme (Hgv, 2022). Hilton supports local communities and advances society to leave a decent social footprint. The company promotes diversity, inclusivity, and ethical employment practises as part of its social sustainability (Hgv, 2022).</w:t>
      </w:r>
    </w:p>
    <w:p w14:paraId="7447EBBC" w14:textId="77777777" w:rsidR="00652B20" w:rsidRDefault="00FB20CA" w:rsidP="00CF7DDE">
      <w:pPr>
        <w:ind w:firstLine="0"/>
        <w:rPr>
          <w:rFonts w:cs="Arial"/>
          <w:szCs w:val="24"/>
        </w:rPr>
      </w:pPr>
      <w:r>
        <w:rPr>
          <w:rFonts w:cs="Arial"/>
          <w:szCs w:val="24"/>
        </w:rPr>
        <w:t>Governance, the third pillar, keeps Hilton</w:t>
      </w:r>
      <w:r>
        <w:rPr>
          <w:rFonts w:cs="Arial"/>
          <w:szCs w:val="24"/>
          <w:lang w:val="en-US"/>
        </w:rPr>
        <w:t>'</w:t>
      </w:r>
      <w:r>
        <w:rPr>
          <w:rFonts w:cs="Arial"/>
          <w:szCs w:val="24"/>
        </w:rPr>
        <w:t>s operations transparent, responsible, and ethical. Legal compliance, ethical business practise, and responsible corporate governance are incorporated (Hgv, 2022). Hilton</w:t>
      </w:r>
      <w:r>
        <w:rPr>
          <w:rFonts w:cs="Arial"/>
          <w:szCs w:val="24"/>
          <w:lang w:val="en-US"/>
        </w:rPr>
        <w:t>'</w:t>
      </w:r>
      <w:r>
        <w:rPr>
          <w:rFonts w:cs="Arial"/>
          <w:szCs w:val="24"/>
        </w:rPr>
        <w:t xml:space="preserve">s governance practises, which aim to encourage honesty and build trust with stakeholders (Haski-Leventhal, 2018), </w:t>
      </w:r>
      <w:r>
        <w:rPr>
          <w:rFonts w:cs="Arial"/>
          <w:szCs w:val="24"/>
        </w:rPr>
        <w:lastRenderedPageBreak/>
        <w:t>demonstrate its commitment to sustainability and responsible management.</w:t>
      </w:r>
      <w:r>
        <w:rPr>
          <w:rFonts w:cs="Arial"/>
          <w:szCs w:val="24"/>
          <w:lang w:val="en-US"/>
        </w:rPr>
        <w:t xml:space="preserve"> </w:t>
      </w:r>
      <w:r>
        <w:rPr>
          <w:rFonts w:cs="Arial"/>
          <w:szCs w:val="24"/>
        </w:rPr>
        <w:t>The integration of these CSR pillars in Hilton</w:t>
      </w:r>
      <w:r>
        <w:rPr>
          <w:rFonts w:cs="Arial"/>
          <w:szCs w:val="24"/>
          <w:lang w:val="en-US"/>
        </w:rPr>
        <w:t>'</w:t>
      </w:r>
      <w:r>
        <w:rPr>
          <w:rFonts w:cs="Arial"/>
          <w:szCs w:val="24"/>
        </w:rPr>
        <w:t>s CSR policy demonstrates a comprehensive approach to sustainability, incorporating economic, social, and environmental factors. Hilton</w:t>
      </w:r>
      <w:r>
        <w:rPr>
          <w:rFonts w:cs="Arial"/>
          <w:szCs w:val="24"/>
          <w:lang w:val="en-US"/>
        </w:rPr>
        <w:t>'</w:t>
      </w:r>
      <w:r>
        <w:rPr>
          <w:rFonts w:cs="Arial"/>
          <w:szCs w:val="24"/>
        </w:rPr>
        <w:t>s objective is to make a positive impact on society, the environment, and its stakeholders through the application of these pillars while maintaining ethical governance and financial stability. The rising corpus of research on sustainability in the hospitality industry supports this all-encompassing approach (Ertuna et al., 2019).</w:t>
      </w:r>
    </w:p>
    <w:p w14:paraId="062B7C84" w14:textId="77777777" w:rsidR="00652B20" w:rsidRDefault="00652B20" w:rsidP="00CF7DDE">
      <w:pPr>
        <w:ind w:firstLine="0"/>
        <w:rPr>
          <w:rFonts w:cs="Arial"/>
          <w:szCs w:val="24"/>
        </w:rPr>
      </w:pPr>
    </w:p>
    <w:p w14:paraId="4D54991D" w14:textId="77777777" w:rsidR="00652B20" w:rsidRDefault="00FB20CA" w:rsidP="00CF7DDE">
      <w:pPr>
        <w:pStyle w:val="Heading1"/>
        <w:rPr>
          <w:rFonts w:cs="Arial"/>
          <w:color w:val="000000" w:themeColor="text1"/>
          <w:szCs w:val="24"/>
        </w:rPr>
      </w:pPr>
      <w:bookmarkStart w:id="3" w:name="_Toc12525"/>
      <w:r>
        <w:rPr>
          <w:rFonts w:cs="Arial"/>
          <w:color w:val="000000" w:themeColor="text1"/>
          <w:szCs w:val="24"/>
        </w:rPr>
        <w:t>Conclusion</w:t>
      </w:r>
      <w:bookmarkEnd w:id="3"/>
    </w:p>
    <w:p w14:paraId="4182BA1D" w14:textId="77777777" w:rsidR="00652B20" w:rsidRDefault="00FB20CA" w:rsidP="00CF7DDE">
      <w:pPr>
        <w:ind w:firstLine="0"/>
        <w:rPr>
          <w:rFonts w:cs="Arial"/>
          <w:szCs w:val="24"/>
        </w:rPr>
      </w:pPr>
      <w:r>
        <w:rPr>
          <w:rFonts w:cs="Arial"/>
          <w:szCs w:val="24"/>
        </w:rPr>
        <w:t>Finally, Hilton</w:t>
      </w:r>
      <w:r>
        <w:rPr>
          <w:rFonts w:cs="Arial"/>
          <w:szCs w:val="24"/>
          <w:lang w:val="en-US"/>
        </w:rPr>
        <w:t>'</w:t>
      </w:r>
      <w:r>
        <w:rPr>
          <w:rFonts w:cs="Arial"/>
          <w:szCs w:val="24"/>
        </w:rPr>
        <w:t>s CSR policy shows its broad approach to sustainability, which covers environmental responsibility, social impact, and governance. Environmental responsibility includes reducing energy, water, and garbage. Social impact projects emphasise community and employee well-being through charity and diversity and inclusion. Ethical business practises, legal compliance, and open communication are strong governance pillars.</w:t>
      </w:r>
      <w:r>
        <w:rPr>
          <w:rFonts w:cs="Arial"/>
          <w:szCs w:val="24"/>
          <w:lang w:val="en-US"/>
        </w:rPr>
        <w:t xml:space="preserve"> </w:t>
      </w:r>
      <w:r>
        <w:rPr>
          <w:rFonts w:cs="Arial"/>
          <w:szCs w:val="24"/>
        </w:rPr>
        <w:t>Hilton</w:t>
      </w:r>
      <w:r>
        <w:rPr>
          <w:rFonts w:cs="Arial"/>
          <w:szCs w:val="24"/>
          <w:lang w:val="en-US"/>
        </w:rPr>
        <w:t>'</w:t>
      </w:r>
      <w:r>
        <w:rPr>
          <w:rFonts w:cs="Arial"/>
          <w:szCs w:val="24"/>
        </w:rPr>
        <w:t>s commitment to sustainability is based on the Triple Bottom Line, including economic, social, and environmental considerations. The company</w:t>
      </w:r>
      <w:r>
        <w:rPr>
          <w:rFonts w:cs="Arial"/>
          <w:szCs w:val="24"/>
          <w:lang w:val="en-US"/>
        </w:rPr>
        <w:t>'</w:t>
      </w:r>
      <w:r>
        <w:rPr>
          <w:rFonts w:cs="Arial"/>
          <w:szCs w:val="24"/>
        </w:rPr>
        <w:t>s sustainability efforts reduce its environmental impact and benefit society. Hilton shows how social responsibility goes beyond profit by empowering and uplifting local communities through education, philanthropy, and community development. Ethical governance builds trust and credibility, which is essential for long-term sustainability.</w:t>
      </w:r>
      <w:r>
        <w:rPr>
          <w:rFonts w:cs="Arial"/>
          <w:szCs w:val="24"/>
          <w:lang w:val="en-US"/>
        </w:rPr>
        <w:t xml:space="preserve"> </w:t>
      </w:r>
      <w:r>
        <w:rPr>
          <w:rFonts w:cs="Arial"/>
          <w:szCs w:val="24"/>
        </w:rPr>
        <w:t>Hilton</w:t>
      </w:r>
      <w:r>
        <w:rPr>
          <w:rFonts w:cs="Arial"/>
          <w:szCs w:val="24"/>
          <w:lang w:val="en-US"/>
        </w:rPr>
        <w:t>'</w:t>
      </w:r>
      <w:r>
        <w:rPr>
          <w:rFonts w:cs="Arial"/>
          <w:szCs w:val="24"/>
        </w:rPr>
        <w:t>s sustainability efforts may benefit the hospitality industry. Sustainable business practises reduce operating costs by improving energy and material efficiency. Hotel</w:t>
      </w:r>
      <w:r>
        <w:rPr>
          <w:rFonts w:cs="Arial"/>
          <w:szCs w:val="24"/>
          <w:lang w:val="en-US"/>
        </w:rPr>
        <w:t>'</w:t>
      </w:r>
      <w:r>
        <w:rPr>
          <w:rFonts w:cs="Arial"/>
          <w:szCs w:val="24"/>
        </w:rPr>
        <w:t>s reputation and customer loyalty improve when environmentally conscious customers buy at eco-friendly enterprises. Consumer expectations are changing, making sustainability a competitive advantage in a fast-growing business.</w:t>
      </w:r>
    </w:p>
    <w:p w14:paraId="4F2AB670" w14:textId="77777777" w:rsidR="00652B20" w:rsidRDefault="00652B20" w:rsidP="00CF7DDE">
      <w:pPr>
        <w:ind w:firstLine="0"/>
        <w:rPr>
          <w:rFonts w:cs="Arial"/>
          <w:szCs w:val="24"/>
        </w:rPr>
      </w:pPr>
    </w:p>
    <w:p w14:paraId="34A5C09A" w14:textId="77777777" w:rsidR="00652B20" w:rsidRDefault="00FB20CA" w:rsidP="00CF7DDE">
      <w:pPr>
        <w:ind w:firstLine="0"/>
        <w:rPr>
          <w:rFonts w:cs="Arial"/>
          <w:szCs w:val="24"/>
        </w:rPr>
      </w:pPr>
      <w:r>
        <w:rPr>
          <w:rFonts w:cs="Arial"/>
          <w:szCs w:val="24"/>
        </w:rPr>
        <w:br w:type="page"/>
      </w:r>
    </w:p>
    <w:p w14:paraId="55DAAC96" w14:textId="77777777" w:rsidR="00652B20" w:rsidRDefault="00FB20CA" w:rsidP="00CF7DDE">
      <w:pPr>
        <w:pStyle w:val="Heading1"/>
        <w:rPr>
          <w:rFonts w:cs="Arial"/>
          <w:color w:val="000000" w:themeColor="text1"/>
          <w:szCs w:val="24"/>
        </w:rPr>
      </w:pPr>
      <w:bookmarkStart w:id="4" w:name="_Toc127471479"/>
      <w:bookmarkStart w:id="5" w:name="_Toc287"/>
      <w:r>
        <w:rPr>
          <w:rFonts w:cs="Arial"/>
          <w:color w:val="000000" w:themeColor="text1"/>
          <w:szCs w:val="24"/>
        </w:rPr>
        <w:lastRenderedPageBreak/>
        <w:t>References</w:t>
      </w:r>
      <w:bookmarkEnd w:id="4"/>
      <w:bookmarkEnd w:id="5"/>
    </w:p>
    <w:p w14:paraId="411BCBC3"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Bohdanowicz, P., and Zientara, P. (2016). CSR-inspired environmental initiatives in top hotel chains. In Tourism enterprises and the sustainability agenda across Europe (pp. 93-120). Routledge.</w:t>
      </w:r>
    </w:p>
    <w:p w14:paraId="6264C670"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Cooper, C. (2021) Essentials of tourism. Third edition. London: SAGE.</w:t>
      </w:r>
    </w:p>
    <w:p w14:paraId="4F1DA548"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Costa, and Costa, C. (2022). Sustainability and competitiveness in the hospitality industry (Costa and C. Costa, Eds.). Business Science Reference</w:t>
      </w:r>
    </w:p>
    <w:p w14:paraId="3F5A98E4"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Culler, C. (2015). Good Works: The Topoi of Corporate Social Responsibility in the Travel and Tourism Industry.</w:t>
      </w:r>
    </w:p>
    <w:p w14:paraId="11A84596"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Edgell. (2020). Managing sustainable tourism : a legacy for the future (Third edition). Routledge.</w:t>
      </w:r>
    </w:p>
    <w:p w14:paraId="7F824E66"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Ertuna, B., Karatas-Ozkan, M., and Yamak, S. (2019). Diffusion of sustainability and CSR discourse in hospitality industry: Dynamics of local context. International Journal of Contemporary Hospitality Management, 31(6), 2564-2581.</w:t>
      </w:r>
    </w:p>
    <w:p w14:paraId="4506A720"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Haski-Leventhal, D. (2018) Strategic corporate social responsibility : tools and theories for responsible management. London: SAGE.</w:t>
      </w:r>
    </w:p>
    <w:p w14:paraId="2B464B12"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Hgv. (2022). Hilton Grand Vacations - Corporate Social Responsibility - Overview. [online] Available at: https://corporate.hgv.com/corporate-social-responsibility/overview/default.aspx [Accessed 12 Oct. 2023].‌</w:t>
      </w:r>
    </w:p>
    <w:p w14:paraId="42BAC037"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Hilton ESG. (2023). Travel with Purpose | Environmental, Social and Governance at Hilton. [online] Available at: https://esg.hilton.com/#:~:text=Learn%20More-,Social%20Impact,the%20protection%20of%20human%20rights. [Accessed 12 Oct. 2023].‌</w:t>
      </w:r>
    </w:p>
    <w:p w14:paraId="116CCD2F"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Inkson, C. and Minnaert, L. (2018) Tourism management : an introduction. 2nd ed. London: SAGE.</w:t>
      </w:r>
    </w:p>
    <w:p w14:paraId="16083754"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Jauhari, V (2021) ‘Managing Sustainability in the Hospitality and Tourism Industry: Paradigms and Directions for the Future’ 9 th edn.Oakville: Apple Academic Press. Inc</w:t>
      </w:r>
    </w:p>
    <w:p w14:paraId="543F4E48"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Johansson, A., and Larsson, L. (2015). A standalone sustainability balanced scorecard.</w:t>
      </w:r>
    </w:p>
    <w:p w14:paraId="1BAB05E9"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Korstanje, George, B., and Nedelea, A. (2020). Strategies for promoting sustainable hospitality and tourism services. IGI Global.</w:t>
      </w:r>
    </w:p>
    <w:p w14:paraId="0B0E88C0"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lastRenderedPageBreak/>
        <w:t>Ruiz Molina, M. E., Belda-Miquel, S., Hytti, A., and Gil-Saura, I. (2022). Addressing sustainable food management in hotels: proposing a framework and examining hotel groups. British Food Journal, 124(2), 462-492.</w:t>
      </w:r>
    </w:p>
    <w:p w14:paraId="47A0DDB4" w14:textId="77777777" w:rsidR="00652B20" w:rsidRDefault="00FB20CA" w:rsidP="00CF7DDE">
      <w:pPr>
        <w:ind w:left="480" w:hangingChars="200" w:hanging="480"/>
        <w:contextualSpacing/>
        <w:rPr>
          <w:rFonts w:cs="Arial"/>
          <w:szCs w:val="24"/>
          <w:shd w:val="clear" w:color="auto" w:fill="FFFFFF"/>
          <w:lang w:val="en-US"/>
        </w:rPr>
      </w:pPr>
      <w:r>
        <w:rPr>
          <w:rFonts w:cs="Arial"/>
          <w:szCs w:val="24"/>
          <w:shd w:val="clear" w:color="auto" w:fill="FFFFFF"/>
          <w:lang w:val="en-US"/>
        </w:rPr>
        <w:t>Sloan, P., Legrand, W. and Chen, J.S. (2017) Sustainability in the hospitality industry : principles of sustainable operations. 3r</w:t>
      </w:r>
      <w:bookmarkStart w:id="6" w:name="_GoBack"/>
      <w:bookmarkEnd w:id="6"/>
      <w:r>
        <w:rPr>
          <w:rFonts w:cs="Arial"/>
          <w:szCs w:val="24"/>
          <w:shd w:val="clear" w:color="auto" w:fill="FFFFFF"/>
          <w:lang w:val="en-US"/>
        </w:rPr>
        <w:t>d edn. London: Butterworth-Heinemann.</w:t>
      </w:r>
    </w:p>
    <w:sectPr w:rsidR="00652B20">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8BF8EA" w14:textId="77777777" w:rsidR="00FC176E" w:rsidRDefault="00FC176E">
      <w:pPr>
        <w:spacing w:line="240" w:lineRule="auto"/>
      </w:pPr>
      <w:r>
        <w:separator/>
      </w:r>
    </w:p>
  </w:endnote>
  <w:endnote w:type="continuationSeparator" w:id="0">
    <w:p w14:paraId="28948FEF" w14:textId="77777777" w:rsidR="00FC176E" w:rsidRDefault="00FC17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等线 Light">
    <w:altName w:val="ESRI AMFM Electric"/>
    <w:charset w:val="00"/>
    <w:family w:val="auto"/>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0A9B55" w14:textId="77777777" w:rsidR="00FC176E" w:rsidRDefault="00FC176E">
      <w:r>
        <w:separator/>
      </w:r>
    </w:p>
  </w:footnote>
  <w:footnote w:type="continuationSeparator" w:id="0">
    <w:p w14:paraId="3C16A815" w14:textId="77777777" w:rsidR="00FC176E" w:rsidRDefault="00FC17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9109822"/>
    </w:sdtPr>
    <w:sdtEndPr/>
    <w:sdtContent>
      <w:p w14:paraId="5D62ED9F" w14:textId="77777777" w:rsidR="00652B20" w:rsidRDefault="00FB20CA">
        <w:pPr>
          <w:pStyle w:val="Header"/>
          <w:jc w:val="right"/>
        </w:pPr>
        <w:r>
          <w:fldChar w:fldCharType="begin"/>
        </w:r>
        <w:r>
          <w:instrText xml:space="preserve"> PAGE   \* MERGEFORMAT </w:instrText>
        </w:r>
        <w:r>
          <w:fldChar w:fldCharType="separate"/>
        </w:r>
        <w:r>
          <w:t>12</w:t>
        </w:r>
        <w:r>
          <w:fldChar w:fldCharType="end"/>
        </w:r>
      </w:p>
    </w:sdtContent>
  </w:sdt>
  <w:p w14:paraId="3742C45B" w14:textId="77777777" w:rsidR="00652B20" w:rsidRDefault="00652B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wMDQ1Nje3sDQ2MrZQ0lEKTi0uzszPAykwqQUAlr3oYywAAAA="/>
  </w:docVars>
  <w:rsids>
    <w:rsidRoot w:val="00C90AE2"/>
    <w:rsid w:val="000114BB"/>
    <w:rsid w:val="00024B37"/>
    <w:rsid w:val="00042FFA"/>
    <w:rsid w:val="00046C9B"/>
    <w:rsid w:val="00047145"/>
    <w:rsid w:val="0005503C"/>
    <w:rsid w:val="000D2063"/>
    <w:rsid w:val="000E0DB1"/>
    <w:rsid w:val="001023E0"/>
    <w:rsid w:val="00106C63"/>
    <w:rsid w:val="00146D3E"/>
    <w:rsid w:val="001505E5"/>
    <w:rsid w:val="0016787B"/>
    <w:rsid w:val="00192AAE"/>
    <w:rsid w:val="00193C40"/>
    <w:rsid w:val="00197798"/>
    <w:rsid w:val="001A523E"/>
    <w:rsid w:val="001E61E7"/>
    <w:rsid w:val="002240F3"/>
    <w:rsid w:val="002440DB"/>
    <w:rsid w:val="002620AA"/>
    <w:rsid w:val="0027131F"/>
    <w:rsid w:val="002773FE"/>
    <w:rsid w:val="00294BB3"/>
    <w:rsid w:val="00297E22"/>
    <w:rsid w:val="002F124C"/>
    <w:rsid w:val="003123B5"/>
    <w:rsid w:val="00316AA6"/>
    <w:rsid w:val="00334C55"/>
    <w:rsid w:val="003739B4"/>
    <w:rsid w:val="00391E90"/>
    <w:rsid w:val="003B6D5B"/>
    <w:rsid w:val="003D1C82"/>
    <w:rsid w:val="003F4D27"/>
    <w:rsid w:val="0046535A"/>
    <w:rsid w:val="00477044"/>
    <w:rsid w:val="00496419"/>
    <w:rsid w:val="004C55E6"/>
    <w:rsid w:val="004E3382"/>
    <w:rsid w:val="004F70B6"/>
    <w:rsid w:val="00535A11"/>
    <w:rsid w:val="00537850"/>
    <w:rsid w:val="00546509"/>
    <w:rsid w:val="0055550A"/>
    <w:rsid w:val="00555C8C"/>
    <w:rsid w:val="00557FD5"/>
    <w:rsid w:val="0056322B"/>
    <w:rsid w:val="005733BE"/>
    <w:rsid w:val="00574FB9"/>
    <w:rsid w:val="00594537"/>
    <w:rsid w:val="005A6824"/>
    <w:rsid w:val="005F1943"/>
    <w:rsid w:val="00635F86"/>
    <w:rsid w:val="0065181D"/>
    <w:rsid w:val="00652B20"/>
    <w:rsid w:val="00655F08"/>
    <w:rsid w:val="00660D13"/>
    <w:rsid w:val="00662601"/>
    <w:rsid w:val="0066264C"/>
    <w:rsid w:val="0066585C"/>
    <w:rsid w:val="00676A76"/>
    <w:rsid w:val="00682836"/>
    <w:rsid w:val="0068482A"/>
    <w:rsid w:val="00692B30"/>
    <w:rsid w:val="006A26FD"/>
    <w:rsid w:val="006A69CE"/>
    <w:rsid w:val="006C6863"/>
    <w:rsid w:val="006D5E16"/>
    <w:rsid w:val="006F331D"/>
    <w:rsid w:val="00711180"/>
    <w:rsid w:val="007410DB"/>
    <w:rsid w:val="00741B0A"/>
    <w:rsid w:val="00742BBA"/>
    <w:rsid w:val="00750806"/>
    <w:rsid w:val="007558F3"/>
    <w:rsid w:val="00765046"/>
    <w:rsid w:val="00782D9E"/>
    <w:rsid w:val="00793716"/>
    <w:rsid w:val="007A70FD"/>
    <w:rsid w:val="007D773C"/>
    <w:rsid w:val="007F0759"/>
    <w:rsid w:val="0081724E"/>
    <w:rsid w:val="00823E64"/>
    <w:rsid w:val="00827369"/>
    <w:rsid w:val="008522BD"/>
    <w:rsid w:val="008523B0"/>
    <w:rsid w:val="00852E96"/>
    <w:rsid w:val="008921F2"/>
    <w:rsid w:val="008A4046"/>
    <w:rsid w:val="008A6BD9"/>
    <w:rsid w:val="008A7586"/>
    <w:rsid w:val="00922C4B"/>
    <w:rsid w:val="00934EB0"/>
    <w:rsid w:val="00944D22"/>
    <w:rsid w:val="00946C7D"/>
    <w:rsid w:val="00967BF0"/>
    <w:rsid w:val="00982D16"/>
    <w:rsid w:val="009C2FE4"/>
    <w:rsid w:val="009F27BC"/>
    <w:rsid w:val="00A1753E"/>
    <w:rsid w:val="00A304A2"/>
    <w:rsid w:val="00A31271"/>
    <w:rsid w:val="00A81595"/>
    <w:rsid w:val="00A9023E"/>
    <w:rsid w:val="00AB287D"/>
    <w:rsid w:val="00AB377A"/>
    <w:rsid w:val="00AD67B1"/>
    <w:rsid w:val="00AE130A"/>
    <w:rsid w:val="00AF3F19"/>
    <w:rsid w:val="00B41CA0"/>
    <w:rsid w:val="00B44D48"/>
    <w:rsid w:val="00B50C02"/>
    <w:rsid w:val="00B614A2"/>
    <w:rsid w:val="00B62FDF"/>
    <w:rsid w:val="00B640CE"/>
    <w:rsid w:val="00B71D2B"/>
    <w:rsid w:val="00B84690"/>
    <w:rsid w:val="00B97311"/>
    <w:rsid w:val="00BA30E8"/>
    <w:rsid w:val="00BA3754"/>
    <w:rsid w:val="00BB57C1"/>
    <w:rsid w:val="00C02CFC"/>
    <w:rsid w:val="00C24299"/>
    <w:rsid w:val="00C42089"/>
    <w:rsid w:val="00C46FE5"/>
    <w:rsid w:val="00C7417F"/>
    <w:rsid w:val="00C74E49"/>
    <w:rsid w:val="00C90AE2"/>
    <w:rsid w:val="00C9419C"/>
    <w:rsid w:val="00CE2A7E"/>
    <w:rsid w:val="00CE2F0E"/>
    <w:rsid w:val="00CE63C0"/>
    <w:rsid w:val="00CF036D"/>
    <w:rsid w:val="00CF7DDE"/>
    <w:rsid w:val="00D014C1"/>
    <w:rsid w:val="00D0543B"/>
    <w:rsid w:val="00D0713D"/>
    <w:rsid w:val="00D25630"/>
    <w:rsid w:val="00D97031"/>
    <w:rsid w:val="00DC61C2"/>
    <w:rsid w:val="00DC7916"/>
    <w:rsid w:val="00DE6E12"/>
    <w:rsid w:val="00DF4663"/>
    <w:rsid w:val="00DF74F0"/>
    <w:rsid w:val="00E0434D"/>
    <w:rsid w:val="00E0642C"/>
    <w:rsid w:val="00E06948"/>
    <w:rsid w:val="00E2289D"/>
    <w:rsid w:val="00E24589"/>
    <w:rsid w:val="00E4306A"/>
    <w:rsid w:val="00E43CBF"/>
    <w:rsid w:val="00E4534A"/>
    <w:rsid w:val="00E534D8"/>
    <w:rsid w:val="00E620C9"/>
    <w:rsid w:val="00EC0938"/>
    <w:rsid w:val="00EF1045"/>
    <w:rsid w:val="00F04CA2"/>
    <w:rsid w:val="00F12DD1"/>
    <w:rsid w:val="00F140D5"/>
    <w:rsid w:val="00F174AD"/>
    <w:rsid w:val="00F2376B"/>
    <w:rsid w:val="00F7344F"/>
    <w:rsid w:val="00F7766F"/>
    <w:rsid w:val="00FB1453"/>
    <w:rsid w:val="00FB20CA"/>
    <w:rsid w:val="00FC1458"/>
    <w:rsid w:val="00FC176E"/>
    <w:rsid w:val="00FE4D91"/>
    <w:rsid w:val="022724AB"/>
    <w:rsid w:val="02713ECF"/>
    <w:rsid w:val="029670B0"/>
    <w:rsid w:val="03457D43"/>
    <w:rsid w:val="03D432C5"/>
    <w:rsid w:val="03D67F82"/>
    <w:rsid w:val="04DB7EE8"/>
    <w:rsid w:val="04E77346"/>
    <w:rsid w:val="060A6EE3"/>
    <w:rsid w:val="067370A2"/>
    <w:rsid w:val="074912AC"/>
    <w:rsid w:val="07D13BE9"/>
    <w:rsid w:val="08DD077D"/>
    <w:rsid w:val="09005B9E"/>
    <w:rsid w:val="09903C9B"/>
    <w:rsid w:val="0B5155A0"/>
    <w:rsid w:val="0B83153D"/>
    <w:rsid w:val="0BDA5B72"/>
    <w:rsid w:val="0C7E676A"/>
    <w:rsid w:val="0DB4420C"/>
    <w:rsid w:val="0DC66338"/>
    <w:rsid w:val="0EDA076B"/>
    <w:rsid w:val="0F554F54"/>
    <w:rsid w:val="100A68DF"/>
    <w:rsid w:val="10B803CA"/>
    <w:rsid w:val="11223B28"/>
    <w:rsid w:val="11C33160"/>
    <w:rsid w:val="12F92BFB"/>
    <w:rsid w:val="14003E71"/>
    <w:rsid w:val="14A84978"/>
    <w:rsid w:val="1520484C"/>
    <w:rsid w:val="15671D54"/>
    <w:rsid w:val="16B02545"/>
    <w:rsid w:val="16D15681"/>
    <w:rsid w:val="17106DC9"/>
    <w:rsid w:val="18FD5F21"/>
    <w:rsid w:val="192656BE"/>
    <w:rsid w:val="1A3A47B7"/>
    <w:rsid w:val="1A4160EC"/>
    <w:rsid w:val="1AE90C7D"/>
    <w:rsid w:val="1BDF0051"/>
    <w:rsid w:val="1D2C738D"/>
    <w:rsid w:val="1D420479"/>
    <w:rsid w:val="1D567413"/>
    <w:rsid w:val="1F8B3EF6"/>
    <w:rsid w:val="202017B2"/>
    <w:rsid w:val="212E169D"/>
    <w:rsid w:val="23040ECE"/>
    <w:rsid w:val="243E0148"/>
    <w:rsid w:val="243E2486"/>
    <w:rsid w:val="24D179A1"/>
    <w:rsid w:val="25815CE3"/>
    <w:rsid w:val="266F5191"/>
    <w:rsid w:val="276035B8"/>
    <w:rsid w:val="284F0A1F"/>
    <w:rsid w:val="28620C9E"/>
    <w:rsid w:val="2A564F1C"/>
    <w:rsid w:val="2AE0311F"/>
    <w:rsid w:val="2B5A68AC"/>
    <w:rsid w:val="2B6751A1"/>
    <w:rsid w:val="2BBE1E54"/>
    <w:rsid w:val="2BD34277"/>
    <w:rsid w:val="2BF04825"/>
    <w:rsid w:val="2C5B5B13"/>
    <w:rsid w:val="2C8B3B77"/>
    <w:rsid w:val="2C9C1FAD"/>
    <w:rsid w:val="2CB54318"/>
    <w:rsid w:val="2E144D73"/>
    <w:rsid w:val="2FF6325E"/>
    <w:rsid w:val="30273D1D"/>
    <w:rsid w:val="30DA263E"/>
    <w:rsid w:val="31045C48"/>
    <w:rsid w:val="310C5ADB"/>
    <w:rsid w:val="328D33FB"/>
    <w:rsid w:val="32CF5169"/>
    <w:rsid w:val="33321433"/>
    <w:rsid w:val="33507242"/>
    <w:rsid w:val="35B24179"/>
    <w:rsid w:val="36E71661"/>
    <w:rsid w:val="370928E9"/>
    <w:rsid w:val="37471E40"/>
    <w:rsid w:val="37A70E90"/>
    <w:rsid w:val="38FC5AA3"/>
    <w:rsid w:val="39D0007B"/>
    <w:rsid w:val="3A455684"/>
    <w:rsid w:val="3ACB4F85"/>
    <w:rsid w:val="3B8A3226"/>
    <w:rsid w:val="3B8A40BE"/>
    <w:rsid w:val="3CC2763E"/>
    <w:rsid w:val="3EC45B0A"/>
    <w:rsid w:val="3ED42FCB"/>
    <w:rsid w:val="3F034800"/>
    <w:rsid w:val="400D0385"/>
    <w:rsid w:val="40832B6C"/>
    <w:rsid w:val="40D66D9C"/>
    <w:rsid w:val="416D098E"/>
    <w:rsid w:val="420E64EB"/>
    <w:rsid w:val="42407FBF"/>
    <w:rsid w:val="42912758"/>
    <w:rsid w:val="431D412A"/>
    <w:rsid w:val="43C05E61"/>
    <w:rsid w:val="446012BE"/>
    <w:rsid w:val="44A142A6"/>
    <w:rsid w:val="45F95B5C"/>
    <w:rsid w:val="464F4CF3"/>
    <w:rsid w:val="46DD1A88"/>
    <w:rsid w:val="470A2EDA"/>
    <w:rsid w:val="475A2371"/>
    <w:rsid w:val="47652830"/>
    <w:rsid w:val="47C170E4"/>
    <w:rsid w:val="49222F70"/>
    <w:rsid w:val="49E97FD0"/>
    <w:rsid w:val="49EB6D57"/>
    <w:rsid w:val="49EE6B1C"/>
    <w:rsid w:val="4B3C6A51"/>
    <w:rsid w:val="4C2F6420"/>
    <w:rsid w:val="4C6A76CD"/>
    <w:rsid w:val="4CCD7950"/>
    <w:rsid w:val="4D88254F"/>
    <w:rsid w:val="4E892B8E"/>
    <w:rsid w:val="4F1B24A1"/>
    <w:rsid w:val="4FB045C9"/>
    <w:rsid w:val="509A4341"/>
    <w:rsid w:val="521046FE"/>
    <w:rsid w:val="525B32AE"/>
    <w:rsid w:val="53427D28"/>
    <w:rsid w:val="534976B3"/>
    <w:rsid w:val="54D7233D"/>
    <w:rsid w:val="54E502EA"/>
    <w:rsid w:val="55434BCF"/>
    <w:rsid w:val="556A7762"/>
    <w:rsid w:val="55F777AB"/>
    <w:rsid w:val="57A803AC"/>
    <w:rsid w:val="581E3286"/>
    <w:rsid w:val="58254EED"/>
    <w:rsid w:val="59E62395"/>
    <w:rsid w:val="59F273E9"/>
    <w:rsid w:val="5AA10BBF"/>
    <w:rsid w:val="5AC90A3C"/>
    <w:rsid w:val="5B276899"/>
    <w:rsid w:val="5D153F00"/>
    <w:rsid w:val="5EE70CA7"/>
    <w:rsid w:val="5F3D33F1"/>
    <w:rsid w:val="60DC26AF"/>
    <w:rsid w:val="61136531"/>
    <w:rsid w:val="61E3617D"/>
    <w:rsid w:val="6316159D"/>
    <w:rsid w:val="63AB746A"/>
    <w:rsid w:val="63B9462A"/>
    <w:rsid w:val="643423CE"/>
    <w:rsid w:val="656161B7"/>
    <w:rsid w:val="663F60B3"/>
    <w:rsid w:val="68D779D0"/>
    <w:rsid w:val="6A300EBE"/>
    <w:rsid w:val="6B165840"/>
    <w:rsid w:val="6BBA6AA5"/>
    <w:rsid w:val="6BBA7E94"/>
    <w:rsid w:val="6C364E1E"/>
    <w:rsid w:val="6CDA5ADC"/>
    <w:rsid w:val="6CF2497E"/>
    <w:rsid w:val="6E306D57"/>
    <w:rsid w:val="6E857CCC"/>
    <w:rsid w:val="70230F84"/>
    <w:rsid w:val="702E2F9A"/>
    <w:rsid w:val="705D2CAC"/>
    <w:rsid w:val="70A3137D"/>
    <w:rsid w:val="70AD2C07"/>
    <w:rsid w:val="70D6093D"/>
    <w:rsid w:val="70FE1184"/>
    <w:rsid w:val="70FF2250"/>
    <w:rsid w:val="725715D2"/>
    <w:rsid w:val="7390108F"/>
    <w:rsid w:val="743059D3"/>
    <w:rsid w:val="744011C6"/>
    <w:rsid w:val="74F67B59"/>
    <w:rsid w:val="75B634FA"/>
    <w:rsid w:val="770064EC"/>
    <w:rsid w:val="7791059C"/>
    <w:rsid w:val="78544F19"/>
    <w:rsid w:val="790B6327"/>
    <w:rsid w:val="79CC6D57"/>
    <w:rsid w:val="7A622655"/>
    <w:rsid w:val="7B462A30"/>
    <w:rsid w:val="7DAA55FB"/>
    <w:rsid w:val="7DAA6C39"/>
    <w:rsid w:val="7DC5345E"/>
    <w:rsid w:val="7DF00F37"/>
    <w:rsid w:val="7DF2702E"/>
    <w:rsid w:val="7EE01021"/>
    <w:rsid w:val="7EEE184F"/>
    <w:rsid w:val="7F2F39DC"/>
    <w:rsid w:val="7F7B2D34"/>
    <w:rsid w:val="7FF066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272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qFormat="1"/>
    <w:lsdException w:name="Medium Shading 2" w:uiPriority="64"/>
    <w:lsdException w:name="Medium List 1" w:uiPriority="65"/>
    <w:lsdException w:name="Medium List 2" w:uiPriority="66" w:qFormat="1"/>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qFormat="1"/>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qFormat="1"/>
    <w:lsdException w:name="Light Grid Accent 2" w:uiPriority="62"/>
    <w:lsdException w:name="Medium Shading 1 Accent 2" w:uiPriority="63" w:qFormat="1"/>
    <w:lsdException w:name="Medium Shading 2 Accent 2" w:uiPriority="64" w:qFormat="1"/>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lsdException w:name="Light Grid Accent 3" w:uiPriority="62"/>
    <w:lsdException w:name="Medium Shading 1 Accent 3" w:uiPriority="63" w:qFormat="1"/>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line="360" w:lineRule="auto"/>
      <w:ind w:firstLine="720"/>
      <w:jc w:val="both"/>
    </w:pPr>
    <w:rPr>
      <w:rFonts w:ascii="Arial" w:eastAsiaTheme="minorHAnsi" w:hAnsi="Arial" w:cstheme="minorBidi"/>
      <w:color w:val="000000" w:themeColor="text1"/>
      <w:sz w:val="24"/>
      <w:szCs w:val="22"/>
      <w:lang w:val="en-GB"/>
    </w:rPr>
  </w:style>
  <w:style w:type="paragraph" w:styleId="Heading1">
    <w:name w:val="heading 1"/>
    <w:basedOn w:val="Normal"/>
    <w:next w:val="Normal"/>
    <w:link w:val="Heading1Char"/>
    <w:uiPriority w:val="9"/>
    <w:qFormat/>
    <w:pPr>
      <w:keepNext/>
      <w:keepLines/>
      <w:ind w:firstLine="0"/>
      <w:contextualSpacing/>
      <w:outlineLvl w:val="0"/>
    </w:pPr>
    <w:rPr>
      <w:rFonts w:eastAsiaTheme="majorEastAsia" w:cstheme="majorBidi"/>
      <w:b/>
      <w:color w:val="auto"/>
      <w:szCs w:val="32"/>
      <w:lang w:val="en-US" w:eastAsia="en-GB"/>
    </w:rPr>
  </w:style>
  <w:style w:type="paragraph" w:styleId="Heading2">
    <w:name w:val="heading 2"/>
    <w:basedOn w:val="Normal"/>
    <w:next w:val="Normal"/>
    <w:link w:val="Heading2Char"/>
    <w:uiPriority w:val="9"/>
    <w:unhideWhenUsed/>
    <w:qFormat/>
    <w:pPr>
      <w:keepNext/>
      <w:keepLines/>
      <w:ind w:firstLine="0"/>
      <w:contextualSpacing/>
      <w:jc w:val="left"/>
      <w:outlineLvl w:val="1"/>
    </w:pPr>
    <w:rPr>
      <w:rFonts w:eastAsiaTheme="majorEastAsia" w:cstheme="majorBidi"/>
      <w:b/>
      <w:i/>
      <w:szCs w:val="26"/>
      <w:lang w:val="en-US" w:eastAsia="en-GB"/>
    </w:rPr>
  </w:style>
  <w:style w:type="paragraph" w:styleId="Heading3">
    <w:name w:val="heading 3"/>
    <w:basedOn w:val="Normal"/>
    <w:next w:val="Normal"/>
    <w:link w:val="Heading3Char"/>
    <w:uiPriority w:val="9"/>
    <w:unhideWhenUsed/>
    <w:qFormat/>
    <w:pPr>
      <w:ind w:firstLine="0"/>
      <w:contextualSpacing/>
      <w:jc w:val="center"/>
      <w:outlineLvl w:val="2"/>
    </w:pPr>
    <w:rPr>
      <w:b/>
    </w:rPr>
  </w:style>
  <w:style w:type="paragraph" w:styleId="Heading4">
    <w:name w:val="heading 4"/>
    <w:next w:val="Normal"/>
    <w:uiPriority w:val="9"/>
    <w:semiHidden/>
    <w:unhideWhenUsed/>
    <w:qFormat/>
    <w:pPr>
      <w:spacing w:beforeAutospacing="1" w:afterAutospacing="1"/>
      <w:outlineLvl w:val="3"/>
    </w:pPr>
    <w:rPr>
      <w:rFonts w:ascii="SimSun" w:hAnsi="SimSun" w:hint="eastAsia"/>
      <w:b/>
      <w:bCs/>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uiPriority w:val="99"/>
    <w:semiHidden/>
    <w:unhideWhenUsed/>
    <w:qFormat/>
    <w:pPr>
      <w:spacing w:beforeAutospacing="1" w:afterAutospacing="1"/>
    </w:pPr>
    <w:rPr>
      <w:sz w:val="24"/>
      <w:szCs w:val="24"/>
      <w:lang w:eastAsia="zh-CN"/>
    </w:rPr>
  </w:style>
  <w:style w:type="character" w:styleId="Strong">
    <w:name w:val="Strong"/>
    <w:basedOn w:val="DefaultParagraphFont"/>
    <w:uiPriority w:val="22"/>
    <w:qFormat/>
    <w:rPr>
      <w:b/>
      <w:bCs/>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paragraph" w:styleId="TOC3">
    <w:name w:val="toc 3"/>
    <w:basedOn w:val="Normal"/>
    <w:next w:val="Normal"/>
    <w:uiPriority w:val="39"/>
    <w:semiHidden/>
    <w:unhideWhenUsed/>
    <w:qFormat/>
    <w:pPr>
      <w:ind w:leftChars="400" w:left="840"/>
    </w:pPr>
  </w:style>
  <w:style w:type="character" w:customStyle="1" w:styleId="Heading1Char">
    <w:name w:val="Heading 1 Char"/>
    <w:basedOn w:val="DefaultParagraphFont"/>
    <w:link w:val="Heading1"/>
    <w:uiPriority w:val="9"/>
    <w:qFormat/>
    <w:rPr>
      <w:rFonts w:ascii="Arial" w:eastAsiaTheme="majorEastAsia" w:hAnsi="Arial" w:cstheme="majorBidi"/>
      <w:b/>
      <w:sz w:val="24"/>
      <w:szCs w:val="32"/>
      <w:lang w:eastAsia="en-GB"/>
    </w:rPr>
  </w:style>
  <w:style w:type="character" w:customStyle="1" w:styleId="Heading2Char">
    <w:name w:val="Heading 2 Char"/>
    <w:basedOn w:val="DefaultParagraphFont"/>
    <w:link w:val="Heading2"/>
    <w:uiPriority w:val="9"/>
    <w:qFormat/>
    <w:rPr>
      <w:rFonts w:ascii="Arial" w:eastAsiaTheme="majorEastAsia" w:hAnsi="Arial" w:cstheme="majorBidi"/>
      <w:b/>
      <w:i/>
      <w:color w:val="000000" w:themeColor="text1"/>
      <w:sz w:val="24"/>
      <w:szCs w:val="26"/>
      <w:lang w:eastAsia="en-GB"/>
    </w:rPr>
  </w:style>
  <w:style w:type="character" w:customStyle="1" w:styleId="Heading3Char">
    <w:name w:val="Heading 3 Char"/>
    <w:basedOn w:val="DefaultParagraphFont"/>
    <w:link w:val="Heading3"/>
    <w:uiPriority w:val="9"/>
    <w:qFormat/>
    <w:rPr>
      <w:rFonts w:ascii="Arial" w:hAnsi="Arial"/>
      <w:b/>
      <w:color w:val="000000" w:themeColor="text1"/>
      <w:sz w:val="24"/>
      <w:lang w:val="en-GB"/>
    </w:rPr>
  </w:style>
  <w:style w:type="paragraph" w:styleId="NoSpacing">
    <w:name w:val="No Spacing"/>
    <w:uiPriority w:val="1"/>
    <w:qFormat/>
    <w:pPr>
      <w:spacing w:line="360" w:lineRule="auto"/>
      <w:ind w:left="720" w:hanging="720"/>
      <w:jc w:val="both"/>
    </w:pPr>
    <w:rPr>
      <w:rFonts w:ascii="Arial" w:eastAsiaTheme="minorHAnsi" w:hAnsi="Arial" w:cstheme="minorBidi"/>
      <w:color w:val="000000" w:themeColor="text1"/>
      <w:sz w:val="24"/>
      <w:szCs w:val="22"/>
      <w:lang w:val="en-GB"/>
    </w:rPr>
  </w:style>
  <w:style w:type="character" w:customStyle="1" w:styleId="HeaderChar">
    <w:name w:val="Header Char"/>
    <w:basedOn w:val="DefaultParagraphFont"/>
    <w:link w:val="Header"/>
    <w:uiPriority w:val="99"/>
    <w:qFormat/>
    <w:rPr>
      <w:rFonts w:ascii="Arial" w:hAnsi="Arial"/>
      <w:color w:val="000000" w:themeColor="text1"/>
      <w:sz w:val="24"/>
      <w:lang w:val="en-GB"/>
    </w:rPr>
  </w:style>
  <w:style w:type="character" w:customStyle="1" w:styleId="FooterChar">
    <w:name w:val="Footer Char"/>
    <w:basedOn w:val="DefaultParagraphFont"/>
    <w:link w:val="Footer"/>
    <w:uiPriority w:val="99"/>
    <w:qFormat/>
    <w:rPr>
      <w:rFonts w:ascii="Arial" w:hAnsi="Arial"/>
      <w:color w:val="000000" w:themeColor="text1"/>
      <w:sz w:val="24"/>
      <w:lang w:val="en-GB"/>
    </w:rPr>
  </w:style>
  <w:style w:type="paragraph" w:customStyle="1" w:styleId="TOCHeading1">
    <w:name w:val="TOC Heading1"/>
    <w:basedOn w:val="Heading1"/>
    <w:next w:val="Normal"/>
    <w:uiPriority w:val="39"/>
    <w:unhideWhenUsed/>
    <w:qFormat/>
    <w:pPr>
      <w:spacing w:before="240" w:line="259" w:lineRule="auto"/>
      <w:contextualSpacing w:val="0"/>
      <w:jc w:val="left"/>
      <w:outlineLvl w:val="9"/>
    </w:pPr>
    <w:rPr>
      <w:rFonts w:asciiTheme="majorHAnsi" w:hAnsiTheme="majorHAnsi"/>
      <w:b w:val="0"/>
      <w:color w:val="2E74B5" w:themeColor="accent1" w:themeShade="BF"/>
      <w:sz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FA3B6-FB93-4184-9620-202501B71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2950</Words>
  <Characters>16820</Characters>
  <Application>Microsoft Office Word</Application>
  <DocSecurity>0</DocSecurity>
  <Lines>140</Lines>
  <Paragraphs>39</Paragraphs>
  <ScaleCrop>false</ScaleCrop>
  <Company/>
  <LinksUpToDate>false</LinksUpToDate>
  <CharactersWithSpaces>19731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2023-10-17T10:19:00Z</dcterms:created>
  <dcterms:modified xsi:type="dcterms:W3CDTF">2023-10-17T10:19:00Z</dcterms:modified>
</cp:coreProperties>
</file>