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3F3DD" w14:textId="77777777" w:rsidR="00395487" w:rsidRPr="00FF6BD2" w:rsidRDefault="00395487" w:rsidP="00CC649A">
      <w:pPr>
        <w:spacing w:after="240" w:line="360" w:lineRule="auto"/>
        <w:jc w:val="center"/>
        <w:rPr>
          <w:rFonts w:ascii="Times New Roman" w:hAnsi="Times New Roman" w:cs="Times New Roman"/>
          <w:color w:val="000000" w:themeColor="text1"/>
          <w:sz w:val="28"/>
          <w:szCs w:val="24"/>
          <w:lang w:val="en-GB"/>
        </w:rPr>
      </w:pPr>
      <w:bookmarkStart w:id="0" w:name="_lry4pd7j65q2" w:colFirst="0" w:colLast="0"/>
      <w:bookmarkEnd w:id="0"/>
    </w:p>
    <w:p w14:paraId="1A3F5BF9" w14:textId="77777777" w:rsidR="00395487" w:rsidRPr="00FF6BD2" w:rsidRDefault="00395487" w:rsidP="00CC649A">
      <w:pPr>
        <w:spacing w:after="240" w:line="360" w:lineRule="auto"/>
        <w:jc w:val="center"/>
        <w:rPr>
          <w:rFonts w:ascii="Times New Roman" w:hAnsi="Times New Roman" w:cs="Times New Roman"/>
          <w:color w:val="000000" w:themeColor="text1"/>
          <w:sz w:val="28"/>
          <w:szCs w:val="24"/>
          <w:lang w:val="en-GB"/>
        </w:rPr>
      </w:pPr>
    </w:p>
    <w:p w14:paraId="05CF849D" w14:textId="77777777" w:rsidR="00395487" w:rsidRPr="00FF6BD2" w:rsidRDefault="00395487" w:rsidP="00CC649A">
      <w:pPr>
        <w:spacing w:after="240" w:line="360" w:lineRule="auto"/>
        <w:jc w:val="center"/>
        <w:rPr>
          <w:rFonts w:ascii="Times New Roman" w:hAnsi="Times New Roman" w:cs="Times New Roman"/>
          <w:b/>
          <w:color w:val="000000" w:themeColor="text1"/>
          <w:sz w:val="28"/>
          <w:szCs w:val="24"/>
          <w:lang w:val="en-GB"/>
        </w:rPr>
      </w:pPr>
    </w:p>
    <w:p w14:paraId="051F2DEA" w14:textId="77777777" w:rsidR="00395487" w:rsidRPr="00FF6BD2" w:rsidRDefault="00395487" w:rsidP="00CC649A">
      <w:pPr>
        <w:spacing w:before="240" w:after="240" w:line="360" w:lineRule="auto"/>
        <w:jc w:val="center"/>
        <w:rPr>
          <w:rFonts w:ascii="Times New Roman" w:hAnsi="Times New Roman" w:cs="Times New Roman"/>
          <w:b/>
          <w:color w:val="000000" w:themeColor="text1"/>
          <w:sz w:val="32"/>
          <w:szCs w:val="24"/>
          <w:lang w:val="en-GB"/>
        </w:rPr>
      </w:pPr>
      <w:r w:rsidRPr="00FF6BD2">
        <w:rPr>
          <w:rFonts w:ascii="Times New Roman" w:hAnsi="Times New Roman" w:cs="Times New Roman"/>
          <w:b/>
          <w:color w:val="000000" w:themeColor="text1"/>
          <w:sz w:val="32"/>
          <w:szCs w:val="24"/>
          <w:lang w:val="en-GB"/>
        </w:rPr>
        <w:t>Programme: MSc Cybersecurity and Digital Forensics</w:t>
      </w:r>
    </w:p>
    <w:p w14:paraId="18312A4D" w14:textId="77777777" w:rsidR="00395487" w:rsidRPr="00FF6BD2" w:rsidRDefault="00395487" w:rsidP="00CC649A">
      <w:pPr>
        <w:spacing w:before="240" w:after="240" w:line="360" w:lineRule="auto"/>
        <w:jc w:val="center"/>
        <w:rPr>
          <w:rFonts w:ascii="Times New Roman" w:hAnsi="Times New Roman" w:cs="Times New Roman"/>
          <w:b/>
          <w:color w:val="000000" w:themeColor="text1"/>
          <w:sz w:val="32"/>
          <w:szCs w:val="24"/>
          <w:lang w:val="en-GB"/>
        </w:rPr>
      </w:pPr>
      <w:r w:rsidRPr="00FF6BD2">
        <w:rPr>
          <w:rFonts w:ascii="Times New Roman" w:hAnsi="Times New Roman" w:cs="Times New Roman"/>
          <w:b/>
          <w:color w:val="000000" w:themeColor="text1"/>
          <w:sz w:val="32"/>
          <w:szCs w:val="24"/>
          <w:lang w:val="en-GB"/>
        </w:rPr>
        <w:t>Module: Data Security, Governance and Compliance</w:t>
      </w:r>
    </w:p>
    <w:p w14:paraId="3130799B" w14:textId="77777777" w:rsidR="00395487" w:rsidRPr="00FF6BD2" w:rsidRDefault="00395487" w:rsidP="00CC649A">
      <w:pPr>
        <w:spacing w:before="240" w:after="240" w:line="360" w:lineRule="auto"/>
        <w:jc w:val="center"/>
        <w:rPr>
          <w:rFonts w:ascii="Times New Roman" w:hAnsi="Times New Roman" w:cs="Times New Roman"/>
          <w:b/>
          <w:color w:val="000000" w:themeColor="text1"/>
          <w:sz w:val="32"/>
          <w:szCs w:val="24"/>
          <w:lang w:val="en-GB"/>
        </w:rPr>
      </w:pPr>
      <w:r w:rsidRPr="00FF6BD2">
        <w:rPr>
          <w:rFonts w:ascii="Times New Roman" w:hAnsi="Times New Roman" w:cs="Times New Roman"/>
          <w:b/>
          <w:color w:val="000000" w:themeColor="text1"/>
          <w:sz w:val="32"/>
          <w:szCs w:val="24"/>
          <w:lang w:val="en-GB"/>
        </w:rPr>
        <w:t xml:space="preserve">Module code: ACCA7028 </w:t>
      </w:r>
    </w:p>
    <w:p w14:paraId="2BB5FA8A" w14:textId="77777777" w:rsidR="00395487" w:rsidRPr="00FF6BD2" w:rsidRDefault="00395487" w:rsidP="00CC649A">
      <w:pPr>
        <w:spacing w:after="240" w:line="360" w:lineRule="auto"/>
        <w:jc w:val="center"/>
        <w:rPr>
          <w:rFonts w:ascii="Times New Roman" w:hAnsi="Times New Roman" w:cs="Times New Roman"/>
          <w:b/>
          <w:color w:val="000000" w:themeColor="text1"/>
          <w:sz w:val="28"/>
          <w:szCs w:val="24"/>
          <w:lang w:val="en-GB"/>
        </w:rPr>
      </w:pPr>
      <w:r w:rsidRPr="00FF6BD2">
        <w:rPr>
          <w:rFonts w:ascii="Times New Roman" w:hAnsi="Times New Roman" w:cs="Times New Roman"/>
          <w:b/>
          <w:color w:val="000000" w:themeColor="text1"/>
          <w:sz w:val="32"/>
          <w:szCs w:val="24"/>
          <w:lang w:val="en-GB"/>
        </w:rPr>
        <w:t xml:space="preserve">Title: </w:t>
      </w:r>
      <w:r w:rsidRPr="00FF6BD2">
        <w:rPr>
          <w:rFonts w:ascii="Times New Roman" w:hAnsi="Times New Roman" w:cs="Times New Roman"/>
          <w:b/>
          <w:color w:val="000000" w:themeColor="text1"/>
          <w:sz w:val="28"/>
          <w:szCs w:val="24"/>
          <w:lang w:val="en-GB"/>
        </w:rPr>
        <w:t xml:space="preserve"> </w:t>
      </w:r>
      <w:r w:rsidRPr="00FF6BD2">
        <w:rPr>
          <w:rFonts w:ascii="Times New Roman" w:hAnsi="Times New Roman" w:cs="Times New Roman"/>
          <w:b/>
          <w:bCs/>
          <w:color w:val="000000" w:themeColor="text1"/>
          <w:sz w:val="32"/>
        </w:rPr>
        <w:t xml:space="preserve">Information Security Governance Framework for </w:t>
      </w:r>
      <w:proofErr w:type="spellStart"/>
      <w:r w:rsidRPr="00FF6BD2">
        <w:rPr>
          <w:rFonts w:ascii="Times New Roman" w:hAnsi="Times New Roman" w:cs="Times New Roman"/>
          <w:b/>
          <w:bCs/>
          <w:color w:val="000000" w:themeColor="text1"/>
          <w:sz w:val="32"/>
        </w:rPr>
        <w:t>AeroLink</w:t>
      </w:r>
      <w:proofErr w:type="spellEnd"/>
      <w:r w:rsidRPr="00FF6BD2">
        <w:rPr>
          <w:rFonts w:ascii="Times New Roman" w:hAnsi="Times New Roman" w:cs="Times New Roman"/>
          <w:b/>
          <w:bCs/>
          <w:color w:val="000000" w:themeColor="text1"/>
          <w:sz w:val="32"/>
        </w:rPr>
        <w:t xml:space="preserve"> Logistics (ALL)</w:t>
      </w:r>
    </w:p>
    <w:p w14:paraId="7F5941B1" w14:textId="77777777" w:rsidR="00395487" w:rsidRPr="00FF6BD2" w:rsidRDefault="00395487" w:rsidP="00CC649A">
      <w:pPr>
        <w:spacing w:before="240" w:after="240" w:line="360" w:lineRule="auto"/>
        <w:jc w:val="center"/>
        <w:rPr>
          <w:rFonts w:ascii="Times New Roman" w:hAnsi="Times New Roman" w:cs="Times New Roman"/>
          <w:b/>
          <w:color w:val="000000" w:themeColor="text1"/>
          <w:sz w:val="32"/>
          <w:szCs w:val="24"/>
          <w:lang w:val="en-GB"/>
        </w:rPr>
      </w:pPr>
      <w:r w:rsidRPr="00FF6BD2">
        <w:rPr>
          <w:rFonts w:ascii="Times New Roman" w:hAnsi="Times New Roman" w:cs="Times New Roman"/>
          <w:b/>
          <w:color w:val="000000" w:themeColor="text1"/>
          <w:sz w:val="32"/>
          <w:szCs w:val="24"/>
          <w:lang w:val="en-GB"/>
        </w:rPr>
        <w:t>Lecturer: Dr Ayman El Hajjar</w:t>
      </w:r>
    </w:p>
    <w:p w14:paraId="1E3A2108" w14:textId="690302D8" w:rsidR="00395487" w:rsidRPr="00FF6BD2" w:rsidRDefault="00395487" w:rsidP="00CC649A">
      <w:pPr>
        <w:spacing w:before="240" w:after="240" w:line="360" w:lineRule="auto"/>
        <w:jc w:val="center"/>
        <w:rPr>
          <w:rFonts w:ascii="Times New Roman" w:hAnsi="Times New Roman" w:cs="Times New Roman"/>
          <w:b/>
          <w:color w:val="000000" w:themeColor="text1"/>
          <w:sz w:val="32"/>
          <w:szCs w:val="24"/>
          <w:lang w:val="en-GB"/>
        </w:rPr>
      </w:pPr>
      <w:r w:rsidRPr="00FF6BD2">
        <w:rPr>
          <w:rFonts w:ascii="Times New Roman" w:hAnsi="Times New Roman" w:cs="Times New Roman"/>
          <w:b/>
          <w:color w:val="000000" w:themeColor="text1"/>
          <w:sz w:val="32"/>
          <w:szCs w:val="24"/>
          <w:lang w:val="en-GB"/>
        </w:rPr>
        <w:t>Student Name:</w:t>
      </w:r>
      <w:r w:rsidR="00284854">
        <w:rPr>
          <w:rFonts w:ascii="Times New Roman" w:hAnsi="Times New Roman" w:cs="Times New Roman"/>
          <w:b/>
          <w:color w:val="000000" w:themeColor="text1"/>
          <w:sz w:val="32"/>
          <w:szCs w:val="24"/>
          <w:lang w:val="en-GB"/>
        </w:rPr>
        <w:t xml:space="preserve"> </w:t>
      </w:r>
      <w:proofErr w:type="spellStart"/>
      <w:r w:rsidR="00284854">
        <w:rPr>
          <w:rFonts w:ascii="Times New Roman" w:hAnsi="Times New Roman" w:cs="Times New Roman"/>
          <w:b/>
          <w:color w:val="000000" w:themeColor="text1"/>
          <w:sz w:val="32"/>
          <w:szCs w:val="24"/>
          <w:lang w:val="en-GB"/>
        </w:rPr>
        <w:t>Dharmikkumar</w:t>
      </w:r>
      <w:proofErr w:type="spellEnd"/>
      <w:r w:rsidR="00284854">
        <w:rPr>
          <w:rFonts w:ascii="Times New Roman" w:hAnsi="Times New Roman" w:cs="Times New Roman"/>
          <w:b/>
          <w:color w:val="000000" w:themeColor="text1"/>
          <w:sz w:val="32"/>
          <w:szCs w:val="24"/>
          <w:lang w:val="en-GB"/>
        </w:rPr>
        <w:t xml:space="preserve"> Dabgar</w:t>
      </w:r>
    </w:p>
    <w:p w14:paraId="371201F4" w14:textId="0959C1CB" w:rsidR="00395487" w:rsidRPr="00FF6BD2" w:rsidRDefault="00395487" w:rsidP="00CC649A">
      <w:pPr>
        <w:spacing w:before="240" w:after="240" w:line="360" w:lineRule="auto"/>
        <w:jc w:val="center"/>
        <w:rPr>
          <w:color w:val="000000" w:themeColor="text1"/>
          <w:sz w:val="24"/>
          <w:szCs w:val="24"/>
          <w:lang w:val="en-GB"/>
        </w:rPr>
      </w:pPr>
      <w:r w:rsidRPr="00FF6BD2">
        <w:rPr>
          <w:rFonts w:ascii="Times New Roman" w:hAnsi="Times New Roman" w:cs="Times New Roman"/>
          <w:b/>
          <w:color w:val="000000" w:themeColor="text1"/>
          <w:sz w:val="32"/>
          <w:szCs w:val="24"/>
          <w:lang w:val="en-GB"/>
        </w:rPr>
        <w:t>Student ID:</w:t>
      </w:r>
      <w:r w:rsidR="00284854">
        <w:rPr>
          <w:rFonts w:ascii="Times New Roman" w:hAnsi="Times New Roman" w:cs="Times New Roman"/>
          <w:b/>
          <w:color w:val="000000" w:themeColor="text1"/>
          <w:sz w:val="32"/>
          <w:szCs w:val="24"/>
          <w:lang w:val="en-GB"/>
        </w:rPr>
        <w:t xml:space="preserve"> 2536691</w:t>
      </w:r>
      <w:r w:rsidRPr="00FF6BD2">
        <w:rPr>
          <w:color w:val="000000" w:themeColor="text1"/>
          <w:sz w:val="24"/>
          <w:szCs w:val="24"/>
          <w:lang w:val="en-GB"/>
        </w:rPr>
        <w:br w:type="page"/>
      </w:r>
    </w:p>
    <w:p w14:paraId="48E1C382" w14:textId="77777777" w:rsidR="00395487" w:rsidRPr="00FF6BD2" w:rsidRDefault="00395487" w:rsidP="00CC649A">
      <w:pPr>
        <w:spacing w:before="240" w:after="240" w:line="360" w:lineRule="auto"/>
        <w:jc w:val="center"/>
        <w:rPr>
          <w:rFonts w:ascii="Times New Roman" w:hAnsi="Times New Roman" w:cs="Times New Roman"/>
          <w:b/>
          <w:color w:val="000000" w:themeColor="text1"/>
          <w:sz w:val="28"/>
          <w:szCs w:val="24"/>
          <w:lang w:val="en-GB"/>
        </w:rPr>
      </w:pPr>
      <w:r w:rsidRPr="00FF6BD2">
        <w:rPr>
          <w:rFonts w:ascii="Times New Roman" w:hAnsi="Times New Roman" w:cs="Times New Roman"/>
          <w:b/>
          <w:color w:val="000000" w:themeColor="text1"/>
          <w:sz w:val="28"/>
          <w:szCs w:val="24"/>
          <w:lang w:val="en-GB"/>
        </w:rPr>
        <w:lastRenderedPageBreak/>
        <w:t>Abstract</w:t>
      </w:r>
    </w:p>
    <w:p w14:paraId="26910F3F" w14:textId="59776A5F" w:rsidR="00395487" w:rsidRPr="00FF6BD2" w:rsidRDefault="00941CB7" w:rsidP="00941CB7">
      <w:pPr>
        <w:spacing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 xml:space="preserve">This report evaluates the problems associated with the information security governance in </w:t>
      </w:r>
      <w:proofErr w:type="spellStart"/>
      <w:r w:rsidRPr="00FF6BD2">
        <w:rPr>
          <w:rFonts w:ascii="Times New Roman" w:hAnsi="Times New Roman" w:cs="Times New Roman"/>
          <w:color w:val="000000" w:themeColor="text1"/>
          <w:sz w:val="24"/>
          <w:szCs w:val="24"/>
          <w:lang w:val="en-GB"/>
        </w:rPr>
        <w:t>AeroLink</w:t>
      </w:r>
      <w:proofErr w:type="spellEnd"/>
      <w:r w:rsidRPr="00FF6BD2">
        <w:rPr>
          <w:rFonts w:ascii="Times New Roman" w:hAnsi="Times New Roman" w:cs="Times New Roman"/>
          <w:color w:val="000000" w:themeColor="text1"/>
          <w:sz w:val="24"/>
          <w:szCs w:val="24"/>
          <w:lang w:val="en-GB"/>
        </w:rPr>
        <w:t xml:space="preserve"> Logistics (ALL), a multinational logistics company, because the firm is increasingly becoming exposed to cyber-attacks owing to cloud computing, artificial intelligence, Internet of Things (IoT), and outsourcing. The report evaluates some of the most prevalent information security models such as NIST CSF 2.0, ISO/IEC 27001:2022, COBIT 2019, and ITIL 4, and examines how these models can help resolve the </w:t>
      </w:r>
      <w:r w:rsidR="002B6CCA" w:rsidRPr="00FF6BD2">
        <w:rPr>
          <w:rFonts w:ascii="Times New Roman" w:hAnsi="Times New Roman" w:cs="Times New Roman"/>
          <w:color w:val="000000" w:themeColor="text1"/>
          <w:sz w:val="24"/>
          <w:szCs w:val="24"/>
          <w:lang w:val="en-GB"/>
        </w:rPr>
        <w:t>security problems in the organis</w:t>
      </w:r>
      <w:r w:rsidRPr="00FF6BD2">
        <w:rPr>
          <w:rFonts w:ascii="Times New Roman" w:hAnsi="Times New Roman" w:cs="Times New Roman"/>
          <w:color w:val="000000" w:themeColor="text1"/>
          <w:sz w:val="24"/>
          <w:szCs w:val="24"/>
          <w:lang w:val="en-GB"/>
        </w:rPr>
        <w:t>ation.</w:t>
      </w:r>
      <w:r w:rsidR="002E20D9" w:rsidRPr="00FF6BD2">
        <w:rPr>
          <w:rFonts w:ascii="Times New Roman" w:hAnsi="Times New Roman" w:cs="Times New Roman"/>
          <w:color w:val="000000" w:themeColor="text1"/>
          <w:sz w:val="24"/>
          <w:szCs w:val="24"/>
          <w:lang w:val="en-GB"/>
        </w:rPr>
        <w:t xml:space="preserve"> </w:t>
      </w:r>
      <w:r w:rsidRPr="00FF6BD2">
        <w:rPr>
          <w:rFonts w:ascii="Times New Roman" w:hAnsi="Times New Roman" w:cs="Times New Roman"/>
          <w:color w:val="000000" w:themeColor="text1"/>
          <w:sz w:val="24"/>
          <w:szCs w:val="24"/>
          <w:lang w:val="en-GB"/>
        </w:rPr>
        <w:t>The proposed governance model will create value</w:t>
      </w:r>
      <w:r w:rsidR="002B6CCA" w:rsidRPr="00FF6BD2">
        <w:rPr>
          <w:rFonts w:ascii="Times New Roman" w:hAnsi="Times New Roman" w:cs="Times New Roman"/>
          <w:color w:val="000000" w:themeColor="text1"/>
          <w:sz w:val="24"/>
          <w:szCs w:val="24"/>
          <w:lang w:val="en-GB"/>
        </w:rPr>
        <w:t xml:space="preserve"> for the security of the organis</w:t>
      </w:r>
      <w:r w:rsidRPr="00FF6BD2">
        <w:rPr>
          <w:rFonts w:ascii="Times New Roman" w:hAnsi="Times New Roman" w:cs="Times New Roman"/>
          <w:color w:val="000000" w:themeColor="text1"/>
          <w:sz w:val="24"/>
          <w:szCs w:val="24"/>
          <w:lang w:val="en-GB"/>
        </w:rPr>
        <w:t>ation through improving its governance, risk management, regulatory compliance, incident response management, business continuity, and vendor security management. The proposed governance model that integrates the use of COBIT 2019, ISO/IEC 27001:2022, NIST Cybersecurity Framework (CSF) 2.0, and ITIL 4 provides an effective model that will help improve the resilience, regulatory compliance, service delivery, and threat response of ALL.</w:t>
      </w:r>
      <w:r w:rsidR="00395487" w:rsidRPr="00FF6BD2">
        <w:rPr>
          <w:rFonts w:ascii="Times New Roman" w:hAnsi="Times New Roman" w:cs="Times New Roman"/>
          <w:color w:val="000000" w:themeColor="text1"/>
          <w:sz w:val="24"/>
          <w:szCs w:val="24"/>
          <w:lang w:val="en-GB"/>
        </w:rPr>
        <w:br w:type="page"/>
      </w:r>
    </w:p>
    <w:sdt>
      <w:sdtPr>
        <w:rPr>
          <w:rFonts w:ascii="Times New Roman" w:eastAsia="Arial" w:hAnsi="Times New Roman" w:cs="Times New Roman"/>
          <w:b/>
          <w:color w:val="000000" w:themeColor="text1"/>
          <w:sz w:val="28"/>
          <w:szCs w:val="22"/>
          <w:lang w:val="en"/>
        </w:rPr>
        <w:id w:val="-1792279767"/>
        <w:docPartObj>
          <w:docPartGallery w:val="Table of Contents"/>
          <w:docPartUnique/>
        </w:docPartObj>
      </w:sdtPr>
      <w:sdtEndPr>
        <w:rPr>
          <w:rFonts w:ascii="Arial" w:hAnsi="Arial" w:cs="Arial"/>
          <w:bCs/>
          <w:noProof/>
          <w:sz w:val="22"/>
        </w:rPr>
      </w:sdtEndPr>
      <w:sdtContent>
        <w:p w14:paraId="26029E42" w14:textId="77777777" w:rsidR="00395487" w:rsidRPr="00FF6BD2" w:rsidRDefault="00395487" w:rsidP="00CC649A">
          <w:pPr>
            <w:pStyle w:val="TOCHeading"/>
            <w:spacing w:after="240" w:line="360" w:lineRule="auto"/>
            <w:jc w:val="center"/>
            <w:rPr>
              <w:rFonts w:ascii="Times New Roman" w:hAnsi="Times New Roman" w:cs="Times New Roman"/>
              <w:b/>
              <w:color w:val="000000" w:themeColor="text1"/>
              <w:sz w:val="28"/>
            </w:rPr>
          </w:pPr>
          <w:r w:rsidRPr="00FF6BD2">
            <w:rPr>
              <w:rFonts w:ascii="Times New Roman" w:hAnsi="Times New Roman" w:cs="Times New Roman"/>
              <w:b/>
              <w:color w:val="000000" w:themeColor="text1"/>
              <w:sz w:val="28"/>
            </w:rPr>
            <w:t>Table of Contents</w:t>
          </w:r>
        </w:p>
        <w:p w14:paraId="165BF354" w14:textId="473ED0C5" w:rsidR="002B6CCA" w:rsidRPr="00FF6BD2" w:rsidRDefault="00395487" w:rsidP="002B6CCA">
          <w:pPr>
            <w:pStyle w:val="TOC1"/>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r w:rsidRPr="00FF6BD2">
            <w:rPr>
              <w:rFonts w:ascii="Times New Roman" w:hAnsi="Times New Roman" w:cs="Times New Roman"/>
              <w:color w:val="000000" w:themeColor="text1"/>
              <w:sz w:val="24"/>
              <w:szCs w:val="24"/>
            </w:rPr>
            <w:fldChar w:fldCharType="begin"/>
          </w:r>
          <w:r w:rsidRPr="00FF6BD2">
            <w:rPr>
              <w:rFonts w:ascii="Times New Roman" w:hAnsi="Times New Roman" w:cs="Times New Roman"/>
              <w:color w:val="000000" w:themeColor="text1"/>
              <w:sz w:val="24"/>
              <w:szCs w:val="24"/>
            </w:rPr>
            <w:instrText xml:space="preserve"> TOC \o "1-3" \h \z \u </w:instrText>
          </w:r>
          <w:r w:rsidRPr="00FF6BD2">
            <w:rPr>
              <w:rFonts w:ascii="Times New Roman" w:hAnsi="Times New Roman" w:cs="Times New Roman"/>
              <w:color w:val="000000" w:themeColor="text1"/>
              <w:sz w:val="24"/>
              <w:szCs w:val="24"/>
            </w:rPr>
            <w:fldChar w:fldCharType="separate"/>
          </w:r>
          <w:hyperlink w:anchor="_Toc236741061" w:history="1">
            <w:r w:rsidR="002B6CCA" w:rsidRPr="00FF6BD2">
              <w:rPr>
                <w:rStyle w:val="Hyperlink"/>
                <w:rFonts w:ascii="Times New Roman" w:hAnsi="Times New Roman" w:cs="Times New Roman"/>
                <w:noProof/>
                <w:color w:val="000000" w:themeColor="text1"/>
                <w:sz w:val="24"/>
                <w:szCs w:val="24"/>
                <w:lang w:val="en-GB"/>
              </w:rPr>
              <w:t xml:space="preserve">1. </w:t>
            </w:r>
            <w:r w:rsidR="002B6CCA" w:rsidRPr="00FF6BD2">
              <w:rPr>
                <w:rStyle w:val="Hyperlink"/>
                <w:rFonts w:ascii="Times New Roman" w:hAnsi="Times New Roman" w:cs="Times New Roman"/>
                <w:noProof/>
                <w:color w:val="000000" w:themeColor="text1"/>
                <w:sz w:val="24"/>
                <w:szCs w:val="24"/>
              </w:rPr>
              <w:t>Introduction</w:t>
            </w:r>
            <w:r w:rsidR="002B6CCA" w:rsidRPr="00FF6BD2">
              <w:rPr>
                <w:rFonts w:ascii="Times New Roman" w:hAnsi="Times New Roman" w:cs="Times New Roman"/>
                <w:noProof/>
                <w:webHidden/>
                <w:color w:val="000000" w:themeColor="text1"/>
                <w:sz w:val="24"/>
                <w:szCs w:val="24"/>
              </w:rPr>
              <w:tab/>
            </w:r>
            <w:r w:rsidR="002B6CCA" w:rsidRPr="00FF6BD2">
              <w:rPr>
                <w:rFonts w:ascii="Times New Roman" w:hAnsi="Times New Roman" w:cs="Times New Roman"/>
                <w:noProof/>
                <w:webHidden/>
                <w:color w:val="000000" w:themeColor="text1"/>
                <w:sz w:val="24"/>
                <w:szCs w:val="24"/>
              </w:rPr>
              <w:fldChar w:fldCharType="begin"/>
            </w:r>
            <w:r w:rsidR="002B6CCA" w:rsidRPr="00FF6BD2">
              <w:rPr>
                <w:rFonts w:ascii="Times New Roman" w:hAnsi="Times New Roman" w:cs="Times New Roman"/>
                <w:noProof/>
                <w:webHidden/>
                <w:color w:val="000000" w:themeColor="text1"/>
                <w:sz w:val="24"/>
                <w:szCs w:val="24"/>
              </w:rPr>
              <w:instrText xml:space="preserve"> PAGEREF _Toc236741061 \h </w:instrText>
            </w:r>
            <w:r w:rsidR="002B6CCA" w:rsidRPr="00FF6BD2">
              <w:rPr>
                <w:rFonts w:ascii="Times New Roman" w:hAnsi="Times New Roman" w:cs="Times New Roman"/>
                <w:noProof/>
                <w:webHidden/>
                <w:color w:val="000000" w:themeColor="text1"/>
                <w:sz w:val="24"/>
                <w:szCs w:val="24"/>
              </w:rPr>
            </w:r>
            <w:r w:rsidR="002B6CCA"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4</w:t>
            </w:r>
            <w:r w:rsidR="002B6CCA" w:rsidRPr="00FF6BD2">
              <w:rPr>
                <w:rFonts w:ascii="Times New Roman" w:hAnsi="Times New Roman" w:cs="Times New Roman"/>
                <w:noProof/>
                <w:webHidden/>
                <w:color w:val="000000" w:themeColor="text1"/>
                <w:sz w:val="24"/>
                <w:szCs w:val="24"/>
              </w:rPr>
              <w:fldChar w:fldCharType="end"/>
            </w:r>
          </w:hyperlink>
        </w:p>
        <w:p w14:paraId="60929722" w14:textId="6E117996"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62" w:history="1">
            <w:r w:rsidRPr="00FF6BD2">
              <w:rPr>
                <w:rStyle w:val="Hyperlink"/>
                <w:rFonts w:ascii="Times New Roman" w:hAnsi="Times New Roman" w:cs="Times New Roman"/>
                <w:noProof/>
                <w:color w:val="000000" w:themeColor="text1"/>
                <w:sz w:val="24"/>
                <w:szCs w:val="24"/>
                <w:lang w:val="en-GB"/>
              </w:rPr>
              <w:t>1.1 Background</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_Toc236741062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4</w:t>
            </w:r>
            <w:r w:rsidRPr="00FF6BD2">
              <w:rPr>
                <w:rFonts w:ascii="Times New Roman" w:hAnsi="Times New Roman" w:cs="Times New Roman"/>
                <w:noProof/>
                <w:webHidden/>
                <w:color w:val="000000" w:themeColor="text1"/>
                <w:sz w:val="24"/>
                <w:szCs w:val="24"/>
              </w:rPr>
              <w:fldChar w:fldCharType="end"/>
            </w:r>
          </w:hyperlink>
        </w:p>
        <w:p w14:paraId="72BCE756" w14:textId="09ED9CAC"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63" w:history="1">
            <w:r w:rsidRPr="00FF6BD2">
              <w:rPr>
                <w:rStyle w:val="Hyperlink"/>
                <w:rFonts w:ascii="Times New Roman" w:hAnsi="Times New Roman" w:cs="Times New Roman"/>
                <w:noProof/>
                <w:color w:val="000000" w:themeColor="text1"/>
                <w:sz w:val="24"/>
                <w:szCs w:val="24"/>
                <w:lang w:val="en-GB"/>
              </w:rPr>
              <w:t>1.2 Case Study Overview</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_Toc236741063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4</w:t>
            </w:r>
            <w:r w:rsidRPr="00FF6BD2">
              <w:rPr>
                <w:rFonts w:ascii="Times New Roman" w:hAnsi="Times New Roman" w:cs="Times New Roman"/>
                <w:noProof/>
                <w:webHidden/>
                <w:color w:val="000000" w:themeColor="text1"/>
                <w:sz w:val="24"/>
                <w:szCs w:val="24"/>
              </w:rPr>
              <w:fldChar w:fldCharType="end"/>
            </w:r>
          </w:hyperlink>
        </w:p>
        <w:p w14:paraId="5403D556" w14:textId="56AE93CD"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64" w:history="1">
            <w:r w:rsidRPr="00FF6BD2">
              <w:rPr>
                <w:rStyle w:val="Hyperlink"/>
                <w:rFonts w:ascii="Times New Roman" w:hAnsi="Times New Roman" w:cs="Times New Roman"/>
                <w:noProof/>
                <w:color w:val="000000" w:themeColor="text1"/>
                <w:sz w:val="24"/>
                <w:szCs w:val="24"/>
                <w:lang w:val="en-GB"/>
              </w:rPr>
              <w:t xml:space="preserve">1.3 </w:t>
            </w:r>
            <w:r w:rsidRPr="00FF6BD2">
              <w:rPr>
                <w:rStyle w:val="Hyperlink"/>
                <w:rFonts w:ascii="Times New Roman" w:hAnsi="Times New Roman" w:cs="Times New Roman"/>
                <w:noProof/>
                <w:color w:val="000000" w:themeColor="text1"/>
                <w:sz w:val="24"/>
                <w:szCs w:val="24"/>
              </w:rPr>
              <w:t>Aim</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_Toc236741064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5</w:t>
            </w:r>
            <w:r w:rsidRPr="00FF6BD2">
              <w:rPr>
                <w:rFonts w:ascii="Times New Roman" w:hAnsi="Times New Roman" w:cs="Times New Roman"/>
                <w:noProof/>
                <w:webHidden/>
                <w:color w:val="000000" w:themeColor="text1"/>
                <w:sz w:val="24"/>
                <w:szCs w:val="24"/>
              </w:rPr>
              <w:fldChar w:fldCharType="end"/>
            </w:r>
          </w:hyperlink>
        </w:p>
        <w:p w14:paraId="321C3144" w14:textId="28895193"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65" w:history="1">
            <w:r w:rsidRPr="00FF6BD2">
              <w:rPr>
                <w:rStyle w:val="Hyperlink"/>
                <w:rFonts w:ascii="Times New Roman" w:hAnsi="Times New Roman" w:cs="Times New Roman"/>
                <w:noProof/>
                <w:color w:val="000000" w:themeColor="text1"/>
                <w:sz w:val="24"/>
                <w:szCs w:val="24"/>
                <w:lang w:val="en-GB"/>
              </w:rPr>
              <w:t xml:space="preserve">1.4 </w:t>
            </w:r>
            <w:r w:rsidRPr="00FF6BD2">
              <w:rPr>
                <w:rStyle w:val="Hyperlink"/>
                <w:rFonts w:ascii="Times New Roman" w:hAnsi="Times New Roman" w:cs="Times New Roman"/>
                <w:noProof/>
                <w:color w:val="000000" w:themeColor="text1"/>
                <w:sz w:val="24"/>
                <w:szCs w:val="24"/>
              </w:rPr>
              <w:t>Objectives</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_Toc236741065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5</w:t>
            </w:r>
            <w:r w:rsidRPr="00FF6BD2">
              <w:rPr>
                <w:rFonts w:ascii="Times New Roman" w:hAnsi="Times New Roman" w:cs="Times New Roman"/>
                <w:noProof/>
                <w:webHidden/>
                <w:color w:val="000000" w:themeColor="text1"/>
                <w:sz w:val="24"/>
                <w:szCs w:val="24"/>
              </w:rPr>
              <w:fldChar w:fldCharType="end"/>
            </w:r>
          </w:hyperlink>
        </w:p>
        <w:p w14:paraId="7E9ABC31" w14:textId="727DF118" w:rsidR="002B6CCA" w:rsidRPr="00FF6BD2" w:rsidRDefault="002B6CCA" w:rsidP="002B6CCA">
          <w:pPr>
            <w:pStyle w:val="TOC1"/>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66" w:history="1">
            <w:r w:rsidRPr="00FF6BD2">
              <w:rPr>
                <w:rStyle w:val="Hyperlink"/>
                <w:rFonts w:ascii="Times New Roman" w:hAnsi="Times New Roman" w:cs="Times New Roman"/>
                <w:noProof/>
                <w:color w:val="000000" w:themeColor="text1"/>
                <w:sz w:val="24"/>
                <w:szCs w:val="24"/>
                <w:lang w:val="en-GB"/>
              </w:rPr>
              <w:t xml:space="preserve">2. </w:t>
            </w:r>
            <w:r w:rsidRPr="00FF6BD2">
              <w:rPr>
                <w:rStyle w:val="Hyperlink"/>
                <w:rFonts w:ascii="Times New Roman" w:hAnsi="Times New Roman" w:cs="Times New Roman"/>
                <w:noProof/>
                <w:color w:val="000000" w:themeColor="text1"/>
                <w:sz w:val="24"/>
                <w:szCs w:val="24"/>
              </w:rPr>
              <w:t>Assumptions</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_Toc236741066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5</w:t>
            </w:r>
            <w:r w:rsidRPr="00FF6BD2">
              <w:rPr>
                <w:rFonts w:ascii="Times New Roman" w:hAnsi="Times New Roman" w:cs="Times New Roman"/>
                <w:noProof/>
                <w:webHidden/>
                <w:color w:val="000000" w:themeColor="text1"/>
                <w:sz w:val="24"/>
                <w:szCs w:val="24"/>
              </w:rPr>
              <w:fldChar w:fldCharType="end"/>
            </w:r>
          </w:hyperlink>
        </w:p>
        <w:p w14:paraId="11329060" w14:textId="3E55827B" w:rsidR="002B6CCA" w:rsidRPr="00FF6BD2" w:rsidRDefault="002B6CCA" w:rsidP="002B6CCA">
          <w:pPr>
            <w:pStyle w:val="TOC1"/>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67" w:history="1">
            <w:r w:rsidRPr="00FF6BD2">
              <w:rPr>
                <w:rStyle w:val="Hyperlink"/>
                <w:rFonts w:ascii="Times New Roman" w:hAnsi="Times New Roman" w:cs="Times New Roman"/>
                <w:noProof/>
                <w:color w:val="000000" w:themeColor="text1"/>
                <w:sz w:val="24"/>
                <w:szCs w:val="24"/>
                <w:lang w:val="en-GB"/>
              </w:rPr>
              <w:t xml:space="preserve">3. </w:t>
            </w:r>
            <w:r w:rsidRPr="00FF6BD2">
              <w:rPr>
                <w:rStyle w:val="Hyperlink"/>
                <w:rFonts w:ascii="Times New Roman" w:hAnsi="Times New Roman" w:cs="Times New Roman"/>
                <w:noProof/>
                <w:color w:val="000000" w:themeColor="text1"/>
                <w:sz w:val="24"/>
                <w:szCs w:val="24"/>
              </w:rPr>
              <w:t>Literature</w:t>
            </w:r>
            <w:r w:rsidRPr="00FF6BD2">
              <w:rPr>
                <w:rStyle w:val="Hyperlink"/>
                <w:rFonts w:ascii="Times New Roman" w:hAnsi="Times New Roman" w:cs="Times New Roman"/>
                <w:noProof/>
                <w:color w:val="000000" w:themeColor="text1"/>
                <w:sz w:val="24"/>
                <w:szCs w:val="24"/>
                <w:lang w:val="en-GB"/>
              </w:rPr>
              <w:t xml:space="preserve"> Review: Information Security Frameworks</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_Toc236741067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7</w:t>
            </w:r>
            <w:r w:rsidRPr="00FF6BD2">
              <w:rPr>
                <w:rFonts w:ascii="Times New Roman" w:hAnsi="Times New Roman" w:cs="Times New Roman"/>
                <w:noProof/>
                <w:webHidden/>
                <w:color w:val="000000" w:themeColor="text1"/>
                <w:sz w:val="24"/>
                <w:szCs w:val="24"/>
              </w:rPr>
              <w:fldChar w:fldCharType="end"/>
            </w:r>
          </w:hyperlink>
        </w:p>
        <w:p w14:paraId="5BD96DFE" w14:textId="005AF954"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68" w:history="1">
            <w:r w:rsidRPr="00FF6BD2">
              <w:rPr>
                <w:rStyle w:val="Hyperlink"/>
                <w:rFonts w:ascii="Times New Roman" w:hAnsi="Times New Roman" w:cs="Times New Roman"/>
                <w:noProof/>
                <w:color w:val="000000" w:themeColor="text1"/>
                <w:sz w:val="24"/>
                <w:szCs w:val="24"/>
                <w:lang w:val="en-GB"/>
              </w:rPr>
              <w:t xml:space="preserve">3.1 Information </w:t>
            </w:r>
            <w:r w:rsidRPr="00FF6BD2">
              <w:rPr>
                <w:rStyle w:val="Hyperlink"/>
                <w:rFonts w:ascii="Times New Roman" w:hAnsi="Times New Roman" w:cs="Times New Roman"/>
                <w:noProof/>
                <w:color w:val="000000" w:themeColor="text1"/>
                <w:sz w:val="24"/>
                <w:szCs w:val="24"/>
              </w:rPr>
              <w:t>Security</w:t>
            </w:r>
            <w:r w:rsidRPr="00FF6BD2">
              <w:rPr>
                <w:rStyle w:val="Hyperlink"/>
                <w:rFonts w:ascii="Times New Roman" w:hAnsi="Times New Roman" w:cs="Times New Roman"/>
                <w:noProof/>
                <w:color w:val="000000" w:themeColor="text1"/>
                <w:sz w:val="24"/>
                <w:szCs w:val="24"/>
                <w:lang w:val="en-GB"/>
              </w:rPr>
              <w:t xml:space="preserve"> Governance</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_Toc236741068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7</w:t>
            </w:r>
            <w:r w:rsidRPr="00FF6BD2">
              <w:rPr>
                <w:rFonts w:ascii="Times New Roman" w:hAnsi="Times New Roman" w:cs="Times New Roman"/>
                <w:noProof/>
                <w:webHidden/>
                <w:color w:val="000000" w:themeColor="text1"/>
                <w:sz w:val="24"/>
                <w:szCs w:val="24"/>
              </w:rPr>
              <w:fldChar w:fldCharType="end"/>
            </w:r>
          </w:hyperlink>
        </w:p>
        <w:p w14:paraId="3F5D8F2D" w14:textId="361BD103"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69" w:history="1">
            <w:r w:rsidRPr="00FF6BD2">
              <w:rPr>
                <w:rStyle w:val="Hyperlink"/>
                <w:rFonts w:ascii="Times New Roman" w:hAnsi="Times New Roman" w:cs="Times New Roman"/>
                <w:noProof/>
                <w:color w:val="000000" w:themeColor="text1"/>
                <w:sz w:val="24"/>
                <w:szCs w:val="24"/>
                <w:lang w:val="en-GB"/>
              </w:rPr>
              <w:t>3.2 NIST Cybersecurity Framework (CSF) 2.0</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_Toc236741069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9</w:t>
            </w:r>
            <w:r w:rsidRPr="00FF6BD2">
              <w:rPr>
                <w:rFonts w:ascii="Times New Roman" w:hAnsi="Times New Roman" w:cs="Times New Roman"/>
                <w:noProof/>
                <w:webHidden/>
                <w:color w:val="000000" w:themeColor="text1"/>
                <w:sz w:val="24"/>
                <w:szCs w:val="24"/>
              </w:rPr>
              <w:fldChar w:fldCharType="end"/>
            </w:r>
          </w:hyperlink>
        </w:p>
        <w:p w14:paraId="034A8C64" w14:textId="4AC85491"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70" w:history="1">
            <w:r w:rsidRPr="00FF6BD2">
              <w:rPr>
                <w:rStyle w:val="Hyperlink"/>
                <w:rFonts w:ascii="Times New Roman" w:hAnsi="Times New Roman" w:cs="Times New Roman"/>
                <w:noProof/>
                <w:color w:val="000000" w:themeColor="text1"/>
                <w:sz w:val="24"/>
                <w:szCs w:val="24"/>
                <w:lang w:val="en-GB"/>
              </w:rPr>
              <w:t>3.3 ISO/IEC 27001:2022</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_Toc236741070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10</w:t>
            </w:r>
            <w:r w:rsidRPr="00FF6BD2">
              <w:rPr>
                <w:rFonts w:ascii="Times New Roman" w:hAnsi="Times New Roman" w:cs="Times New Roman"/>
                <w:noProof/>
                <w:webHidden/>
                <w:color w:val="000000" w:themeColor="text1"/>
                <w:sz w:val="24"/>
                <w:szCs w:val="24"/>
              </w:rPr>
              <w:fldChar w:fldCharType="end"/>
            </w:r>
          </w:hyperlink>
        </w:p>
        <w:p w14:paraId="5DF8800A" w14:textId="22A62517"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71" w:history="1">
            <w:r w:rsidRPr="00FF6BD2">
              <w:rPr>
                <w:rStyle w:val="Hyperlink"/>
                <w:rFonts w:ascii="Times New Roman" w:hAnsi="Times New Roman" w:cs="Times New Roman"/>
                <w:noProof/>
                <w:color w:val="000000" w:themeColor="text1"/>
                <w:sz w:val="24"/>
                <w:szCs w:val="24"/>
                <w:lang w:val="en-GB"/>
              </w:rPr>
              <w:t xml:space="preserve">3.4 </w:t>
            </w:r>
            <w:r w:rsidRPr="00FF6BD2">
              <w:rPr>
                <w:rStyle w:val="Hyperlink"/>
                <w:rFonts w:ascii="Times New Roman" w:hAnsi="Times New Roman" w:cs="Times New Roman"/>
                <w:noProof/>
                <w:color w:val="000000" w:themeColor="text1"/>
                <w:sz w:val="24"/>
                <w:szCs w:val="24"/>
              </w:rPr>
              <w:t>COBIT</w:t>
            </w:r>
            <w:r w:rsidRPr="00FF6BD2">
              <w:rPr>
                <w:rStyle w:val="Hyperlink"/>
                <w:rFonts w:ascii="Times New Roman" w:hAnsi="Times New Roman" w:cs="Times New Roman"/>
                <w:noProof/>
                <w:color w:val="000000" w:themeColor="text1"/>
                <w:sz w:val="24"/>
                <w:szCs w:val="24"/>
                <w:lang w:val="en-GB"/>
              </w:rPr>
              <w:t xml:space="preserve"> 2019</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_Toc236741071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11</w:t>
            </w:r>
            <w:r w:rsidRPr="00FF6BD2">
              <w:rPr>
                <w:rFonts w:ascii="Times New Roman" w:hAnsi="Times New Roman" w:cs="Times New Roman"/>
                <w:noProof/>
                <w:webHidden/>
                <w:color w:val="000000" w:themeColor="text1"/>
                <w:sz w:val="24"/>
                <w:szCs w:val="24"/>
              </w:rPr>
              <w:fldChar w:fldCharType="end"/>
            </w:r>
          </w:hyperlink>
        </w:p>
        <w:p w14:paraId="2154E3D1" w14:textId="4ABD8A84"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72" w:history="1">
            <w:r w:rsidRPr="00FF6BD2">
              <w:rPr>
                <w:rStyle w:val="Hyperlink"/>
                <w:rFonts w:ascii="Times New Roman" w:hAnsi="Times New Roman" w:cs="Times New Roman"/>
                <w:noProof/>
                <w:color w:val="000000" w:themeColor="text1"/>
                <w:sz w:val="24"/>
                <w:szCs w:val="24"/>
                <w:lang w:val="en-GB"/>
              </w:rPr>
              <w:t xml:space="preserve">3.5 </w:t>
            </w:r>
            <w:r w:rsidRPr="00FF6BD2">
              <w:rPr>
                <w:rStyle w:val="Hyperlink"/>
                <w:rFonts w:ascii="Times New Roman" w:hAnsi="Times New Roman" w:cs="Times New Roman"/>
                <w:noProof/>
                <w:color w:val="000000" w:themeColor="text1"/>
                <w:sz w:val="24"/>
                <w:szCs w:val="24"/>
              </w:rPr>
              <w:t>ITIL</w:t>
            </w:r>
            <w:r w:rsidRPr="00FF6BD2">
              <w:rPr>
                <w:rStyle w:val="Hyperlink"/>
                <w:rFonts w:ascii="Times New Roman" w:hAnsi="Times New Roman" w:cs="Times New Roman"/>
                <w:noProof/>
                <w:color w:val="000000" w:themeColor="text1"/>
                <w:sz w:val="24"/>
                <w:szCs w:val="24"/>
                <w:lang w:val="en-GB"/>
              </w:rPr>
              <w:t xml:space="preserve"> 4</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_Toc236741072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12</w:t>
            </w:r>
            <w:r w:rsidRPr="00FF6BD2">
              <w:rPr>
                <w:rFonts w:ascii="Times New Roman" w:hAnsi="Times New Roman" w:cs="Times New Roman"/>
                <w:noProof/>
                <w:webHidden/>
                <w:color w:val="000000" w:themeColor="text1"/>
                <w:sz w:val="24"/>
                <w:szCs w:val="24"/>
              </w:rPr>
              <w:fldChar w:fldCharType="end"/>
            </w:r>
          </w:hyperlink>
        </w:p>
        <w:p w14:paraId="50B48DC9" w14:textId="7BBDA1BB"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73" w:history="1">
            <w:r w:rsidRPr="00FF6BD2">
              <w:rPr>
                <w:rStyle w:val="Hyperlink"/>
                <w:rFonts w:ascii="Times New Roman" w:hAnsi="Times New Roman" w:cs="Times New Roman"/>
                <w:noProof/>
                <w:color w:val="000000" w:themeColor="text1"/>
                <w:sz w:val="24"/>
                <w:szCs w:val="24"/>
                <w:lang w:val="en-GB"/>
              </w:rPr>
              <w:t xml:space="preserve">3.6 </w:t>
            </w:r>
            <w:r w:rsidRPr="00FF6BD2">
              <w:rPr>
                <w:rStyle w:val="Hyperlink"/>
                <w:rFonts w:ascii="Times New Roman" w:hAnsi="Times New Roman" w:cs="Times New Roman"/>
                <w:noProof/>
                <w:color w:val="000000" w:themeColor="text1"/>
                <w:sz w:val="24"/>
                <w:szCs w:val="24"/>
              </w:rPr>
              <w:t>Comparative</w:t>
            </w:r>
            <w:r w:rsidRPr="00FF6BD2">
              <w:rPr>
                <w:rStyle w:val="Hyperlink"/>
                <w:rFonts w:ascii="Times New Roman" w:hAnsi="Times New Roman" w:cs="Times New Roman"/>
                <w:noProof/>
                <w:color w:val="000000" w:themeColor="text1"/>
                <w:sz w:val="24"/>
                <w:szCs w:val="24"/>
                <w:lang w:val="en-GB"/>
              </w:rPr>
              <w:t xml:space="preserve"> Analysis</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_Toc236741073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13</w:t>
            </w:r>
            <w:r w:rsidRPr="00FF6BD2">
              <w:rPr>
                <w:rFonts w:ascii="Times New Roman" w:hAnsi="Times New Roman" w:cs="Times New Roman"/>
                <w:noProof/>
                <w:webHidden/>
                <w:color w:val="000000" w:themeColor="text1"/>
                <w:sz w:val="24"/>
                <w:szCs w:val="24"/>
              </w:rPr>
              <w:fldChar w:fldCharType="end"/>
            </w:r>
          </w:hyperlink>
        </w:p>
        <w:p w14:paraId="39B02F16" w14:textId="2E29CFA5" w:rsidR="002B6CCA" w:rsidRPr="00FF6BD2" w:rsidRDefault="002B6CCA" w:rsidP="002B6CCA">
          <w:pPr>
            <w:pStyle w:val="TOC1"/>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74" w:history="1">
            <w:r w:rsidRPr="00FF6BD2">
              <w:rPr>
                <w:rStyle w:val="Hyperlink"/>
                <w:rFonts w:ascii="Times New Roman" w:hAnsi="Times New Roman" w:cs="Times New Roman"/>
                <w:noProof/>
                <w:color w:val="000000" w:themeColor="text1"/>
                <w:sz w:val="24"/>
                <w:szCs w:val="24"/>
                <w:lang w:val="en-GB"/>
              </w:rPr>
              <w:t>4. Security Gap Analysis</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_Toc236741074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15</w:t>
            </w:r>
            <w:r w:rsidRPr="00FF6BD2">
              <w:rPr>
                <w:rFonts w:ascii="Times New Roman" w:hAnsi="Times New Roman" w:cs="Times New Roman"/>
                <w:noProof/>
                <w:webHidden/>
                <w:color w:val="000000" w:themeColor="text1"/>
                <w:sz w:val="24"/>
                <w:szCs w:val="24"/>
              </w:rPr>
              <w:fldChar w:fldCharType="end"/>
            </w:r>
          </w:hyperlink>
        </w:p>
        <w:p w14:paraId="370B3B61" w14:textId="084A515D" w:rsidR="002B6CCA" w:rsidRPr="00FF6BD2" w:rsidRDefault="002B6CCA" w:rsidP="002B6CCA">
          <w:pPr>
            <w:pStyle w:val="TOC1"/>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75" w:history="1">
            <w:r w:rsidRPr="00FF6BD2">
              <w:rPr>
                <w:rStyle w:val="Hyperlink"/>
                <w:rFonts w:ascii="Times New Roman" w:hAnsi="Times New Roman" w:cs="Times New Roman"/>
                <w:noProof/>
                <w:color w:val="000000" w:themeColor="text1"/>
                <w:sz w:val="24"/>
                <w:szCs w:val="24"/>
                <w:lang w:val="en-GB"/>
              </w:rPr>
              <w:t>5. Proposed Integrated Security Governance Framework</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_Toc236741075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17</w:t>
            </w:r>
            <w:r w:rsidRPr="00FF6BD2">
              <w:rPr>
                <w:rFonts w:ascii="Times New Roman" w:hAnsi="Times New Roman" w:cs="Times New Roman"/>
                <w:noProof/>
                <w:webHidden/>
                <w:color w:val="000000" w:themeColor="text1"/>
                <w:sz w:val="24"/>
                <w:szCs w:val="24"/>
              </w:rPr>
              <w:fldChar w:fldCharType="end"/>
            </w:r>
          </w:hyperlink>
        </w:p>
        <w:p w14:paraId="44F1D0A7" w14:textId="7409598D" w:rsidR="002B6CCA" w:rsidRPr="00FF6BD2" w:rsidRDefault="002B6CCA" w:rsidP="002B6CCA">
          <w:pPr>
            <w:pStyle w:val="TOC1"/>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76" w:history="1">
            <w:r w:rsidRPr="00FF6BD2">
              <w:rPr>
                <w:rStyle w:val="Hyperlink"/>
                <w:rFonts w:ascii="Times New Roman" w:hAnsi="Times New Roman" w:cs="Times New Roman"/>
                <w:noProof/>
                <w:color w:val="000000" w:themeColor="text1"/>
                <w:sz w:val="24"/>
                <w:szCs w:val="24"/>
                <w:lang w:val="en-GB"/>
              </w:rPr>
              <w:t>5. Proposed Integrated Security Governance Framework</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_Toc236741076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17</w:t>
            </w:r>
            <w:r w:rsidRPr="00FF6BD2">
              <w:rPr>
                <w:rFonts w:ascii="Times New Roman" w:hAnsi="Times New Roman" w:cs="Times New Roman"/>
                <w:noProof/>
                <w:webHidden/>
                <w:color w:val="000000" w:themeColor="text1"/>
                <w:sz w:val="24"/>
                <w:szCs w:val="24"/>
              </w:rPr>
              <w:fldChar w:fldCharType="end"/>
            </w:r>
          </w:hyperlink>
        </w:p>
        <w:p w14:paraId="0BDE7D66" w14:textId="3EEEC619"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77" w:history="1">
            <w:r w:rsidRPr="00FF6BD2">
              <w:rPr>
                <w:rStyle w:val="Hyperlink"/>
                <w:rFonts w:ascii="Times New Roman" w:hAnsi="Times New Roman" w:cs="Times New Roman"/>
                <w:noProof/>
                <w:color w:val="000000" w:themeColor="text1"/>
                <w:sz w:val="24"/>
                <w:szCs w:val="24"/>
                <w:lang w:val="en-GB"/>
              </w:rPr>
              <w:t>5.1 Framework Overview</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_Toc236741077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17</w:t>
            </w:r>
            <w:r w:rsidRPr="00FF6BD2">
              <w:rPr>
                <w:rFonts w:ascii="Times New Roman" w:hAnsi="Times New Roman" w:cs="Times New Roman"/>
                <w:noProof/>
                <w:webHidden/>
                <w:color w:val="000000" w:themeColor="text1"/>
                <w:sz w:val="24"/>
                <w:szCs w:val="24"/>
              </w:rPr>
              <w:fldChar w:fldCharType="end"/>
            </w:r>
          </w:hyperlink>
        </w:p>
        <w:p w14:paraId="717D66A7" w14:textId="0D80EC6D"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78" w:history="1">
            <w:r w:rsidRPr="00FF6BD2">
              <w:rPr>
                <w:rStyle w:val="Hyperlink"/>
                <w:rFonts w:ascii="Times New Roman" w:hAnsi="Times New Roman" w:cs="Times New Roman"/>
                <w:noProof/>
                <w:color w:val="000000" w:themeColor="text1"/>
                <w:sz w:val="24"/>
                <w:szCs w:val="24"/>
                <w:lang w:val="en-GB"/>
              </w:rPr>
              <w:t>5.2 Governance Structure</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_Toc236741078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18</w:t>
            </w:r>
            <w:r w:rsidRPr="00FF6BD2">
              <w:rPr>
                <w:rFonts w:ascii="Times New Roman" w:hAnsi="Times New Roman" w:cs="Times New Roman"/>
                <w:noProof/>
                <w:webHidden/>
                <w:color w:val="000000" w:themeColor="text1"/>
                <w:sz w:val="24"/>
                <w:szCs w:val="24"/>
              </w:rPr>
              <w:fldChar w:fldCharType="end"/>
            </w:r>
          </w:hyperlink>
        </w:p>
        <w:p w14:paraId="72D80223" w14:textId="04D7B850"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79" w:history="1">
            <w:r w:rsidRPr="00FF6BD2">
              <w:rPr>
                <w:rStyle w:val="Hyperlink"/>
                <w:rFonts w:ascii="Times New Roman" w:hAnsi="Times New Roman" w:cs="Times New Roman"/>
                <w:noProof/>
                <w:color w:val="000000" w:themeColor="text1"/>
                <w:sz w:val="24"/>
                <w:szCs w:val="24"/>
                <w:lang w:val="en-GB"/>
              </w:rPr>
              <w:t>5.3 Risk Management</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_Toc236741079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19</w:t>
            </w:r>
            <w:r w:rsidRPr="00FF6BD2">
              <w:rPr>
                <w:rFonts w:ascii="Times New Roman" w:hAnsi="Times New Roman" w:cs="Times New Roman"/>
                <w:noProof/>
                <w:webHidden/>
                <w:color w:val="000000" w:themeColor="text1"/>
                <w:sz w:val="24"/>
                <w:szCs w:val="24"/>
              </w:rPr>
              <w:fldChar w:fldCharType="end"/>
            </w:r>
          </w:hyperlink>
        </w:p>
        <w:p w14:paraId="63D6E117" w14:textId="306AABBC"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80" w:history="1">
            <w:r w:rsidRPr="00FF6BD2">
              <w:rPr>
                <w:rStyle w:val="Hyperlink"/>
                <w:rFonts w:ascii="Times New Roman" w:hAnsi="Times New Roman" w:cs="Times New Roman"/>
                <w:noProof/>
                <w:color w:val="000000" w:themeColor="text1"/>
                <w:sz w:val="24"/>
                <w:szCs w:val="24"/>
                <w:lang w:val="en-GB"/>
              </w:rPr>
              <w:t>5.4 Security Policies</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_Toc236741080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20</w:t>
            </w:r>
            <w:r w:rsidRPr="00FF6BD2">
              <w:rPr>
                <w:rFonts w:ascii="Times New Roman" w:hAnsi="Times New Roman" w:cs="Times New Roman"/>
                <w:noProof/>
                <w:webHidden/>
                <w:color w:val="000000" w:themeColor="text1"/>
                <w:sz w:val="24"/>
                <w:szCs w:val="24"/>
              </w:rPr>
              <w:fldChar w:fldCharType="end"/>
            </w:r>
          </w:hyperlink>
        </w:p>
        <w:p w14:paraId="45860A3E" w14:textId="2E5679CD"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81" w:history="1">
            <w:r w:rsidRPr="00FF6BD2">
              <w:rPr>
                <w:rStyle w:val="Hyperlink"/>
                <w:rFonts w:ascii="Times New Roman" w:hAnsi="Times New Roman" w:cs="Times New Roman"/>
                <w:noProof/>
                <w:color w:val="000000" w:themeColor="text1"/>
                <w:sz w:val="24"/>
                <w:szCs w:val="24"/>
                <w:lang w:val="en-GB"/>
              </w:rPr>
              <w:t>5.5 Identity and Access Management</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_Toc236741081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21</w:t>
            </w:r>
            <w:r w:rsidRPr="00FF6BD2">
              <w:rPr>
                <w:rFonts w:ascii="Times New Roman" w:hAnsi="Times New Roman" w:cs="Times New Roman"/>
                <w:noProof/>
                <w:webHidden/>
                <w:color w:val="000000" w:themeColor="text1"/>
                <w:sz w:val="24"/>
                <w:szCs w:val="24"/>
              </w:rPr>
              <w:fldChar w:fldCharType="end"/>
            </w:r>
          </w:hyperlink>
        </w:p>
        <w:p w14:paraId="4243D307" w14:textId="0058D0BD"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82" w:history="1">
            <w:r w:rsidRPr="00FF6BD2">
              <w:rPr>
                <w:rStyle w:val="Hyperlink"/>
                <w:rFonts w:ascii="Times New Roman" w:hAnsi="Times New Roman" w:cs="Times New Roman"/>
                <w:noProof/>
                <w:color w:val="000000" w:themeColor="text1"/>
                <w:sz w:val="24"/>
                <w:szCs w:val="24"/>
                <w:lang w:val="en-GB"/>
              </w:rPr>
              <w:t>5.6 Protection Mechanisms</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_Toc236741082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22</w:t>
            </w:r>
            <w:r w:rsidRPr="00FF6BD2">
              <w:rPr>
                <w:rFonts w:ascii="Times New Roman" w:hAnsi="Times New Roman" w:cs="Times New Roman"/>
                <w:noProof/>
                <w:webHidden/>
                <w:color w:val="000000" w:themeColor="text1"/>
                <w:sz w:val="24"/>
                <w:szCs w:val="24"/>
              </w:rPr>
              <w:fldChar w:fldCharType="end"/>
            </w:r>
          </w:hyperlink>
        </w:p>
        <w:p w14:paraId="3F03799A" w14:textId="3D1A7B43"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83" w:history="1">
            <w:r w:rsidRPr="00FF6BD2">
              <w:rPr>
                <w:rStyle w:val="Hyperlink"/>
                <w:rFonts w:ascii="Times New Roman" w:hAnsi="Times New Roman" w:cs="Times New Roman"/>
                <w:noProof/>
                <w:color w:val="000000" w:themeColor="text1"/>
                <w:sz w:val="24"/>
                <w:szCs w:val="24"/>
                <w:lang w:val="en-GB"/>
              </w:rPr>
              <w:t>5.7 Vendor and SLA Management</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_Toc236741083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23</w:t>
            </w:r>
            <w:r w:rsidRPr="00FF6BD2">
              <w:rPr>
                <w:rFonts w:ascii="Times New Roman" w:hAnsi="Times New Roman" w:cs="Times New Roman"/>
                <w:noProof/>
                <w:webHidden/>
                <w:color w:val="000000" w:themeColor="text1"/>
                <w:sz w:val="24"/>
                <w:szCs w:val="24"/>
              </w:rPr>
              <w:fldChar w:fldCharType="end"/>
            </w:r>
          </w:hyperlink>
        </w:p>
        <w:p w14:paraId="035CDC6B" w14:textId="277630B3"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84" w:history="1">
            <w:r w:rsidRPr="00FF6BD2">
              <w:rPr>
                <w:rStyle w:val="Hyperlink"/>
                <w:rFonts w:ascii="Times New Roman" w:hAnsi="Times New Roman" w:cs="Times New Roman"/>
                <w:noProof/>
                <w:color w:val="000000" w:themeColor="text1"/>
                <w:sz w:val="24"/>
                <w:szCs w:val="24"/>
                <w:lang w:val="en-GB"/>
              </w:rPr>
              <w:t>5.8 Incident Response</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_Toc236741084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24</w:t>
            </w:r>
            <w:r w:rsidRPr="00FF6BD2">
              <w:rPr>
                <w:rFonts w:ascii="Times New Roman" w:hAnsi="Times New Roman" w:cs="Times New Roman"/>
                <w:noProof/>
                <w:webHidden/>
                <w:color w:val="000000" w:themeColor="text1"/>
                <w:sz w:val="24"/>
                <w:szCs w:val="24"/>
              </w:rPr>
              <w:fldChar w:fldCharType="end"/>
            </w:r>
          </w:hyperlink>
        </w:p>
        <w:p w14:paraId="1C80B5B0" w14:textId="18E88E7B"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85" w:history="1">
            <w:r w:rsidRPr="00FF6BD2">
              <w:rPr>
                <w:rStyle w:val="Hyperlink"/>
                <w:rFonts w:ascii="Times New Roman" w:hAnsi="Times New Roman" w:cs="Times New Roman"/>
                <w:noProof/>
                <w:color w:val="000000" w:themeColor="text1"/>
                <w:sz w:val="24"/>
                <w:szCs w:val="24"/>
                <w:lang w:val="en-GB"/>
              </w:rPr>
              <w:t>5.9 Business Continuity</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_Toc236741085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25</w:t>
            </w:r>
            <w:r w:rsidRPr="00FF6BD2">
              <w:rPr>
                <w:rFonts w:ascii="Times New Roman" w:hAnsi="Times New Roman" w:cs="Times New Roman"/>
                <w:noProof/>
                <w:webHidden/>
                <w:color w:val="000000" w:themeColor="text1"/>
                <w:sz w:val="24"/>
                <w:szCs w:val="24"/>
              </w:rPr>
              <w:fldChar w:fldCharType="end"/>
            </w:r>
          </w:hyperlink>
        </w:p>
        <w:p w14:paraId="10C6D8FD" w14:textId="07FA04FF"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86" w:history="1">
            <w:r w:rsidRPr="00FF6BD2">
              <w:rPr>
                <w:rStyle w:val="Hyperlink"/>
                <w:rFonts w:ascii="Times New Roman" w:hAnsi="Times New Roman" w:cs="Times New Roman"/>
                <w:noProof/>
                <w:color w:val="000000" w:themeColor="text1"/>
                <w:sz w:val="24"/>
                <w:szCs w:val="24"/>
                <w:lang w:val="en-GB"/>
              </w:rPr>
              <w:t>5.10 Compliance Strategy</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_Toc236741086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26</w:t>
            </w:r>
            <w:r w:rsidRPr="00FF6BD2">
              <w:rPr>
                <w:rFonts w:ascii="Times New Roman" w:hAnsi="Times New Roman" w:cs="Times New Roman"/>
                <w:noProof/>
                <w:webHidden/>
                <w:color w:val="000000" w:themeColor="text1"/>
                <w:sz w:val="24"/>
                <w:szCs w:val="24"/>
              </w:rPr>
              <w:fldChar w:fldCharType="end"/>
            </w:r>
          </w:hyperlink>
        </w:p>
        <w:p w14:paraId="377F104B" w14:textId="0C85C23E" w:rsidR="002B6CCA" w:rsidRPr="00FF6BD2" w:rsidRDefault="002B6CCA" w:rsidP="002B6CCA">
          <w:pPr>
            <w:pStyle w:val="TOC1"/>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87" w:history="1">
            <w:r w:rsidRPr="00FF6BD2">
              <w:rPr>
                <w:rStyle w:val="Hyperlink"/>
                <w:rFonts w:ascii="Times New Roman" w:hAnsi="Times New Roman" w:cs="Times New Roman"/>
                <w:noProof/>
                <w:color w:val="000000" w:themeColor="text1"/>
                <w:sz w:val="24"/>
                <w:szCs w:val="24"/>
                <w:lang w:val="en-GB"/>
              </w:rPr>
              <w:t>6. Critical Discussion: Importance of Continuous Updates to Regulations and Standards</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_Toc236741087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26</w:t>
            </w:r>
            <w:r w:rsidRPr="00FF6BD2">
              <w:rPr>
                <w:rFonts w:ascii="Times New Roman" w:hAnsi="Times New Roman" w:cs="Times New Roman"/>
                <w:noProof/>
                <w:webHidden/>
                <w:color w:val="000000" w:themeColor="text1"/>
                <w:sz w:val="24"/>
                <w:szCs w:val="24"/>
              </w:rPr>
              <w:fldChar w:fldCharType="end"/>
            </w:r>
          </w:hyperlink>
        </w:p>
        <w:p w14:paraId="20A0D16F" w14:textId="413F3ADA" w:rsidR="002B6CCA" w:rsidRPr="00FF6BD2" w:rsidRDefault="002B6CCA" w:rsidP="002B6CCA">
          <w:pPr>
            <w:pStyle w:val="TOC1"/>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88" w:history="1">
            <w:r w:rsidRPr="00FF6BD2">
              <w:rPr>
                <w:rStyle w:val="Hyperlink"/>
                <w:rFonts w:ascii="Times New Roman" w:hAnsi="Times New Roman" w:cs="Times New Roman"/>
                <w:noProof/>
                <w:color w:val="000000" w:themeColor="text1"/>
                <w:sz w:val="24"/>
                <w:szCs w:val="24"/>
                <w:lang w:val="en-GB"/>
              </w:rPr>
              <w:t>7. Conclusion and Recommendations</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_Toc236741088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28</w:t>
            </w:r>
            <w:r w:rsidRPr="00FF6BD2">
              <w:rPr>
                <w:rFonts w:ascii="Times New Roman" w:hAnsi="Times New Roman" w:cs="Times New Roman"/>
                <w:noProof/>
                <w:webHidden/>
                <w:color w:val="000000" w:themeColor="text1"/>
                <w:sz w:val="24"/>
                <w:szCs w:val="24"/>
              </w:rPr>
              <w:fldChar w:fldCharType="end"/>
            </w:r>
          </w:hyperlink>
        </w:p>
        <w:p w14:paraId="548F4E0A" w14:textId="30C9BE23" w:rsidR="002B6CCA" w:rsidRPr="00FF6BD2" w:rsidRDefault="002B6CCA" w:rsidP="002B6CCA">
          <w:pPr>
            <w:pStyle w:val="TOC1"/>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89" w:history="1">
            <w:r w:rsidRPr="00FF6BD2">
              <w:rPr>
                <w:rStyle w:val="Hyperlink"/>
                <w:rFonts w:ascii="Times New Roman" w:hAnsi="Times New Roman" w:cs="Times New Roman"/>
                <w:noProof/>
                <w:color w:val="000000" w:themeColor="text1"/>
                <w:sz w:val="24"/>
                <w:szCs w:val="24"/>
              </w:rPr>
              <w:t>Reference</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_Toc236741089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29</w:t>
            </w:r>
            <w:r w:rsidRPr="00FF6BD2">
              <w:rPr>
                <w:rFonts w:ascii="Times New Roman" w:hAnsi="Times New Roman" w:cs="Times New Roman"/>
                <w:noProof/>
                <w:webHidden/>
                <w:color w:val="000000" w:themeColor="text1"/>
                <w:sz w:val="24"/>
                <w:szCs w:val="24"/>
              </w:rPr>
              <w:fldChar w:fldCharType="end"/>
            </w:r>
          </w:hyperlink>
        </w:p>
        <w:p w14:paraId="18B1B0C0" w14:textId="0B0F4383" w:rsidR="002B6CCA" w:rsidRPr="00FF6BD2" w:rsidRDefault="002B6CCA" w:rsidP="002B6CCA">
          <w:pPr>
            <w:pStyle w:val="TOC1"/>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90" w:history="1">
            <w:r w:rsidRPr="00FF6BD2">
              <w:rPr>
                <w:rStyle w:val="Hyperlink"/>
                <w:rFonts w:ascii="Times New Roman" w:hAnsi="Times New Roman" w:cs="Times New Roman"/>
                <w:noProof/>
                <w:color w:val="000000" w:themeColor="text1"/>
                <w:sz w:val="24"/>
                <w:szCs w:val="24"/>
              </w:rPr>
              <w:t>Appendices</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_Toc236741090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36</w:t>
            </w:r>
            <w:r w:rsidRPr="00FF6BD2">
              <w:rPr>
                <w:rFonts w:ascii="Times New Roman" w:hAnsi="Times New Roman" w:cs="Times New Roman"/>
                <w:noProof/>
                <w:webHidden/>
                <w:color w:val="000000" w:themeColor="text1"/>
                <w:sz w:val="24"/>
                <w:szCs w:val="24"/>
              </w:rPr>
              <w:fldChar w:fldCharType="end"/>
            </w:r>
          </w:hyperlink>
        </w:p>
        <w:p w14:paraId="73D6646D" w14:textId="786EB695"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91" w:history="1">
            <w:r w:rsidRPr="00FF6BD2">
              <w:rPr>
                <w:rStyle w:val="Hyperlink"/>
                <w:rFonts w:ascii="Times New Roman" w:hAnsi="Times New Roman" w:cs="Times New Roman"/>
                <w:noProof/>
                <w:color w:val="000000" w:themeColor="text1"/>
                <w:sz w:val="24"/>
                <w:szCs w:val="24"/>
              </w:rPr>
              <w:t>Appendix A: RACI Matrix</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_Toc236741091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36</w:t>
            </w:r>
            <w:r w:rsidRPr="00FF6BD2">
              <w:rPr>
                <w:rFonts w:ascii="Times New Roman" w:hAnsi="Times New Roman" w:cs="Times New Roman"/>
                <w:noProof/>
                <w:webHidden/>
                <w:color w:val="000000" w:themeColor="text1"/>
                <w:sz w:val="24"/>
                <w:szCs w:val="24"/>
              </w:rPr>
              <w:fldChar w:fldCharType="end"/>
            </w:r>
          </w:hyperlink>
        </w:p>
        <w:p w14:paraId="02D7B006" w14:textId="48D11A6A"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92" w:history="1">
            <w:r w:rsidRPr="00FF6BD2">
              <w:rPr>
                <w:rStyle w:val="Hyperlink"/>
                <w:rFonts w:ascii="Times New Roman" w:hAnsi="Times New Roman" w:cs="Times New Roman"/>
                <w:noProof/>
                <w:color w:val="000000" w:themeColor="text1"/>
                <w:sz w:val="24"/>
                <w:szCs w:val="24"/>
              </w:rPr>
              <w:t>Appendix B: Security Policy Matrix for AeroLink Logistics (ALL)</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_Toc236741092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38</w:t>
            </w:r>
            <w:r w:rsidRPr="00FF6BD2">
              <w:rPr>
                <w:rFonts w:ascii="Times New Roman" w:hAnsi="Times New Roman" w:cs="Times New Roman"/>
                <w:noProof/>
                <w:webHidden/>
                <w:color w:val="000000" w:themeColor="text1"/>
                <w:sz w:val="24"/>
                <w:szCs w:val="24"/>
              </w:rPr>
              <w:fldChar w:fldCharType="end"/>
            </w:r>
          </w:hyperlink>
        </w:p>
        <w:p w14:paraId="27888490" w14:textId="4FEAF026" w:rsidR="002B6CCA" w:rsidRPr="00FF6BD2" w:rsidRDefault="002B6CCA" w:rsidP="002B6CCA">
          <w:pPr>
            <w:pStyle w:val="TOC2"/>
            <w:tabs>
              <w:tab w:val="right" w:leader="dot" w:pos="9350"/>
            </w:tabs>
            <w:spacing w:after="0" w:line="240" w:lineRule="auto"/>
            <w:jc w:val="both"/>
            <w:rPr>
              <w:rFonts w:ascii="Times New Roman" w:eastAsiaTheme="minorEastAsia" w:hAnsi="Times New Roman" w:cs="Times New Roman"/>
              <w:noProof/>
              <w:color w:val="000000" w:themeColor="text1"/>
              <w:sz w:val="24"/>
              <w:szCs w:val="24"/>
              <w:lang w:val="en-US"/>
            </w:rPr>
          </w:pPr>
          <w:hyperlink w:anchor="_Toc236741093" w:history="1">
            <w:r w:rsidRPr="00FF6BD2">
              <w:rPr>
                <w:rStyle w:val="Hyperlink"/>
                <w:rFonts w:ascii="Times New Roman" w:hAnsi="Times New Roman" w:cs="Times New Roman"/>
                <w:noProof/>
                <w:color w:val="000000" w:themeColor="text1"/>
                <w:sz w:val="24"/>
                <w:szCs w:val="24"/>
              </w:rPr>
              <w:t>Appendix C: Vendor Risk Matrix for AeroLink Logistics (ALL)</w:t>
            </w:r>
            <w:r w:rsidRPr="00FF6BD2">
              <w:rPr>
                <w:rFonts w:ascii="Times New Roman" w:hAnsi="Times New Roman" w:cs="Times New Roman"/>
                <w:noProof/>
                <w:webHidden/>
                <w:color w:val="000000" w:themeColor="text1"/>
                <w:sz w:val="24"/>
                <w:szCs w:val="24"/>
              </w:rPr>
              <w:tab/>
            </w:r>
            <w:r w:rsidRPr="00FF6BD2">
              <w:rPr>
                <w:rFonts w:ascii="Times New Roman" w:hAnsi="Times New Roman" w:cs="Times New Roman"/>
                <w:noProof/>
                <w:webHidden/>
                <w:color w:val="000000" w:themeColor="text1"/>
                <w:sz w:val="24"/>
                <w:szCs w:val="24"/>
              </w:rPr>
              <w:fldChar w:fldCharType="begin"/>
            </w:r>
            <w:r w:rsidRPr="00FF6BD2">
              <w:rPr>
                <w:rFonts w:ascii="Times New Roman" w:hAnsi="Times New Roman" w:cs="Times New Roman"/>
                <w:noProof/>
                <w:webHidden/>
                <w:color w:val="000000" w:themeColor="text1"/>
                <w:sz w:val="24"/>
                <w:szCs w:val="24"/>
              </w:rPr>
              <w:instrText xml:space="preserve"> PAGEREF _Toc236741093 \h </w:instrText>
            </w:r>
            <w:r w:rsidRPr="00FF6BD2">
              <w:rPr>
                <w:rFonts w:ascii="Times New Roman" w:hAnsi="Times New Roman" w:cs="Times New Roman"/>
                <w:noProof/>
                <w:webHidden/>
                <w:color w:val="000000" w:themeColor="text1"/>
                <w:sz w:val="24"/>
                <w:szCs w:val="24"/>
              </w:rPr>
            </w:r>
            <w:r w:rsidRPr="00FF6BD2">
              <w:rPr>
                <w:rFonts w:ascii="Times New Roman" w:hAnsi="Times New Roman" w:cs="Times New Roman"/>
                <w:noProof/>
                <w:webHidden/>
                <w:color w:val="000000" w:themeColor="text1"/>
                <w:sz w:val="24"/>
                <w:szCs w:val="24"/>
              </w:rPr>
              <w:fldChar w:fldCharType="separate"/>
            </w:r>
            <w:r w:rsidR="00FF6BD2">
              <w:rPr>
                <w:rFonts w:ascii="Times New Roman" w:hAnsi="Times New Roman" w:cs="Times New Roman"/>
                <w:noProof/>
                <w:webHidden/>
                <w:color w:val="000000" w:themeColor="text1"/>
                <w:sz w:val="24"/>
                <w:szCs w:val="24"/>
              </w:rPr>
              <w:t>39</w:t>
            </w:r>
            <w:r w:rsidRPr="00FF6BD2">
              <w:rPr>
                <w:rFonts w:ascii="Times New Roman" w:hAnsi="Times New Roman" w:cs="Times New Roman"/>
                <w:noProof/>
                <w:webHidden/>
                <w:color w:val="000000" w:themeColor="text1"/>
                <w:sz w:val="24"/>
                <w:szCs w:val="24"/>
              </w:rPr>
              <w:fldChar w:fldCharType="end"/>
            </w:r>
          </w:hyperlink>
        </w:p>
        <w:p w14:paraId="11511766" w14:textId="21FA31F9" w:rsidR="00395487" w:rsidRPr="00FF6BD2" w:rsidRDefault="00395487" w:rsidP="002B6CCA">
          <w:pPr>
            <w:spacing w:line="240" w:lineRule="auto"/>
            <w:jc w:val="both"/>
            <w:rPr>
              <w:color w:val="000000" w:themeColor="text1"/>
            </w:rPr>
          </w:pPr>
          <w:r w:rsidRPr="00FF6BD2">
            <w:rPr>
              <w:rFonts w:ascii="Times New Roman" w:hAnsi="Times New Roman" w:cs="Times New Roman"/>
              <w:b/>
              <w:bCs/>
              <w:noProof/>
              <w:color w:val="000000" w:themeColor="text1"/>
              <w:sz w:val="24"/>
              <w:szCs w:val="24"/>
            </w:rPr>
            <w:fldChar w:fldCharType="end"/>
          </w:r>
        </w:p>
      </w:sdtContent>
    </w:sdt>
    <w:p w14:paraId="6EFB52E2" w14:textId="77777777" w:rsidR="00395487" w:rsidRPr="00FF6BD2" w:rsidRDefault="00395487" w:rsidP="00CC649A">
      <w:pPr>
        <w:spacing w:before="240" w:after="240" w:line="360" w:lineRule="auto"/>
        <w:jc w:val="both"/>
        <w:rPr>
          <w:rFonts w:ascii="Times New Roman" w:hAnsi="Times New Roman" w:cs="Times New Roman"/>
          <w:color w:val="000000" w:themeColor="text1"/>
          <w:sz w:val="24"/>
          <w:szCs w:val="24"/>
          <w:lang w:val="en-GB"/>
        </w:rPr>
      </w:pPr>
    </w:p>
    <w:p w14:paraId="3AA79619" w14:textId="77777777" w:rsidR="00395487" w:rsidRPr="00FF6BD2" w:rsidRDefault="00395487" w:rsidP="00CC649A">
      <w:pPr>
        <w:spacing w:after="240" w:line="360" w:lineRule="auto"/>
        <w:rPr>
          <w:rFonts w:ascii="Times New Roman" w:hAnsi="Times New Roman"/>
          <w:b/>
          <w:color w:val="000000" w:themeColor="text1"/>
          <w:sz w:val="24"/>
          <w:szCs w:val="24"/>
          <w:lang w:val="en-GB"/>
        </w:rPr>
      </w:pPr>
      <w:r w:rsidRPr="00FF6BD2">
        <w:rPr>
          <w:color w:val="000000" w:themeColor="text1"/>
          <w:sz w:val="24"/>
          <w:szCs w:val="24"/>
          <w:lang w:val="en-GB"/>
        </w:rPr>
        <w:br w:type="page"/>
      </w:r>
    </w:p>
    <w:p w14:paraId="4A36096F" w14:textId="77777777" w:rsidR="00731467" w:rsidRPr="00FF6BD2" w:rsidRDefault="00657F43" w:rsidP="00CC649A">
      <w:pPr>
        <w:pStyle w:val="Heading1"/>
        <w:spacing w:after="240"/>
        <w:rPr>
          <w:color w:val="000000" w:themeColor="text1"/>
          <w:lang w:val="en-GB"/>
        </w:rPr>
      </w:pPr>
      <w:bookmarkStart w:id="1" w:name="_Toc236741061"/>
      <w:r w:rsidRPr="00FF6BD2">
        <w:rPr>
          <w:color w:val="000000" w:themeColor="text1"/>
          <w:lang w:val="en-GB"/>
        </w:rPr>
        <w:lastRenderedPageBreak/>
        <w:t xml:space="preserve">1. </w:t>
      </w:r>
      <w:r w:rsidRPr="00FF6BD2">
        <w:rPr>
          <w:color w:val="000000" w:themeColor="text1"/>
        </w:rPr>
        <w:t>Introduction</w:t>
      </w:r>
      <w:bookmarkEnd w:id="1"/>
    </w:p>
    <w:p w14:paraId="1614C4B0" w14:textId="77777777" w:rsidR="00731467" w:rsidRPr="00FF6BD2" w:rsidRDefault="00657F43" w:rsidP="00CC649A">
      <w:pPr>
        <w:pStyle w:val="Heading2"/>
        <w:spacing w:after="240"/>
        <w:rPr>
          <w:color w:val="000000" w:themeColor="text1"/>
          <w:lang w:val="en-GB"/>
        </w:rPr>
      </w:pPr>
      <w:bookmarkStart w:id="2" w:name="_gu41mujeabwn" w:colFirst="0" w:colLast="0"/>
      <w:bookmarkStart w:id="3" w:name="_Toc236741062"/>
      <w:bookmarkEnd w:id="2"/>
      <w:r w:rsidRPr="00FF6BD2">
        <w:rPr>
          <w:color w:val="000000" w:themeColor="text1"/>
          <w:lang w:val="en-GB"/>
        </w:rPr>
        <w:t>1.1 Background</w:t>
      </w:r>
      <w:bookmarkEnd w:id="3"/>
    </w:p>
    <w:p w14:paraId="35CA53DA" w14:textId="179205DC"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Organisations have been transformed by digital transformation due to the use of cloud computing, AI, IoT, and outsourcing of digital services, thereby improving efficiency, scalability, and decision-making processes in organisations. Consequently, cybersecurity has become an important consideration for organisations due to the fact that the above-mentioned digital technologies expand the attack surfaces in organisations, thus leaving them prone to advanced cyber-attac</w:t>
      </w:r>
      <w:r w:rsidR="004F4266" w:rsidRPr="00FF6BD2">
        <w:rPr>
          <w:rFonts w:ascii="Times New Roman" w:hAnsi="Times New Roman" w:cs="Times New Roman"/>
          <w:color w:val="000000" w:themeColor="text1"/>
          <w:sz w:val="24"/>
          <w:szCs w:val="24"/>
          <w:lang w:val="en-GB"/>
        </w:rPr>
        <w:t>ks [1]</w:t>
      </w:r>
      <w:r w:rsidRPr="00FF6BD2">
        <w:rPr>
          <w:rFonts w:ascii="Times New Roman" w:hAnsi="Times New Roman" w:cs="Times New Roman"/>
          <w:color w:val="000000" w:themeColor="text1"/>
          <w:sz w:val="24"/>
          <w:szCs w:val="24"/>
          <w:lang w:val="en-GB"/>
        </w:rPr>
        <w:t xml:space="preserve">. Over 72% of firms in the world experienced the impacts of ransomware attacks in 2023, a record </w:t>
      </w:r>
      <w:r w:rsidR="004F4266" w:rsidRPr="00FF6BD2">
        <w:rPr>
          <w:rFonts w:ascii="Times New Roman" w:hAnsi="Times New Roman" w:cs="Times New Roman"/>
          <w:color w:val="000000" w:themeColor="text1"/>
          <w:sz w:val="24"/>
          <w:szCs w:val="24"/>
          <w:lang w:val="en-GB"/>
        </w:rPr>
        <w:t xml:space="preserve">[2]. </w:t>
      </w:r>
      <w:r w:rsidRPr="00FF6BD2">
        <w:rPr>
          <w:rFonts w:ascii="Times New Roman" w:hAnsi="Times New Roman" w:cs="Times New Roman"/>
          <w:color w:val="000000" w:themeColor="text1"/>
          <w:sz w:val="24"/>
          <w:szCs w:val="24"/>
          <w:lang w:val="en-GB"/>
        </w:rPr>
        <w:t>Furthermore, cloud computing and AI have created issues of governance because organisations have embraced new technologies faster than it is possible t</w:t>
      </w:r>
      <w:r w:rsidR="004F4266" w:rsidRPr="00FF6BD2">
        <w:rPr>
          <w:rFonts w:ascii="Times New Roman" w:hAnsi="Times New Roman" w:cs="Times New Roman"/>
          <w:color w:val="000000" w:themeColor="text1"/>
          <w:sz w:val="24"/>
          <w:szCs w:val="24"/>
          <w:lang w:val="en-GB"/>
        </w:rPr>
        <w:t xml:space="preserve">o create governance mechanisms [3]. </w:t>
      </w:r>
      <w:r w:rsidRPr="00FF6BD2">
        <w:rPr>
          <w:rFonts w:ascii="Times New Roman" w:hAnsi="Times New Roman" w:cs="Times New Roman"/>
          <w:color w:val="000000" w:themeColor="text1"/>
          <w:sz w:val="24"/>
          <w:szCs w:val="24"/>
          <w:lang w:val="en-GB"/>
        </w:rPr>
        <w:t>Thus, the growing use of external providers of IT services has added new risks which need to be governed continuously during the entire service lifecycle.</w:t>
      </w:r>
    </w:p>
    <w:p w14:paraId="2DFFA9B7" w14:textId="77777777" w:rsidR="00731467" w:rsidRPr="00FF6BD2" w:rsidRDefault="00657F43" w:rsidP="00CC649A">
      <w:pPr>
        <w:pStyle w:val="Heading2"/>
        <w:spacing w:after="240"/>
        <w:rPr>
          <w:color w:val="000000" w:themeColor="text1"/>
          <w:lang w:val="en-GB"/>
        </w:rPr>
      </w:pPr>
      <w:bookmarkStart w:id="4" w:name="_7zpyozc8u6rz" w:colFirst="0" w:colLast="0"/>
      <w:bookmarkStart w:id="5" w:name="_Toc236741063"/>
      <w:bookmarkEnd w:id="4"/>
      <w:r w:rsidRPr="00FF6BD2">
        <w:rPr>
          <w:color w:val="000000" w:themeColor="text1"/>
          <w:lang w:val="en-GB"/>
        </w:rPr>
        <w:t>1.2 Case Study Overview</w:t>
      </w:r>
      <w:bookmarkEnd w:id="5"/>
    </w:p>
    <w:p w14:paraId="441E8AF3" w14:textId="4DCBE91F"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proofErr w:type="spellStart"/>
      <w:r w:rsidRPr="00FF6BD2">
        <w:rPr>
          <w:rFonts w:ascii="Times New Roman" w:hAnsi="Times New Roman" w:cs="Times New Roman"/>
          <w:color w:val="000000" w:themeColor="text1"/>
          <w:sz w:val="24"/>
          <w:szCs w:val="24"/>
          <w:lang w:val="en-GB"/>
        </w:rPr>
        <w:t>AeroLink</w:t>
      </w:r>
      <w:proofErr w:type="spellEnd"/>
      <w:r w:rsidRPr="00FF6BD2">
        <w:rPr>
          <w:rFonts w:ascii="Times New Roman" w:hAnsi="Times New Roman" w:cs="Times New Roman"/>
          <w:color w:val="000000" w:themeColor="text1"/>
          <w:sz w:val="24"/>
          <w:szCs w:val="24"/>
          <w:lang w:val="en-GB"/>
        </w:rPr>
        <w:t xml:space="preserve"> Logistics (ALL) is an international logistics company that delivers complete logistics solutions with a global reach, reliability, and customer satisfa</w:t>
      </w:r>
      <w:r w:rsidR="004F4266" w:rsidRPr="00FF6BD2">
        <w:rPr>
          <w:rFonts w:ascii="Times New Roman" w:hAnsi="Times New Roman" w:cs="Times New Roman"/>
          <w:color w:val="000000" w:themeColor="text1"/>
          <w:sz w:val="24"/>
          <w:szCs w:val="24"/>
          <w:lang w:val="en-GB"/>
        </w:rPr>
        <w:t>ction [4]</w:t>
      </w:r>
      <w:r w:rsidRPr="00FF6BD2">
        <w:rPr>
          <w:rFonts w:ascii="Times New Roman" w:hAnsi="Times New Roman" w:cs="Times New Roman"/>
          <w:color w:val="000000" w:themeColor="text1"/>
          <w:sz w:val="24"/>
          <w:szCs w:val="24"/>
          <w:lang w:val="en-GB"/>
        </w:rPr>
        <w:t xml:space="preserve">. It heavily depends on the use of cloud infrastructure, Internet of Things (IoT)-based tracking systems, advanced analytics using AI, and outsourced Infrastructure-as-a-Service (IaaS) and Software-as-a-Service (SaaS). Nevertheless, the company has been experiencing several data breaches due to the unauthorized access of confidential and personal information regarding its customers by unknown individuals, indicating poor cybersecurity practices in the company. </w:t>
      </w:r>
    </w:p>
    <w:p w14:paraId="62C57254" w14:textId="77777777" w:rsidR="00395487" w:rsidRPr="00FF6BD2" w:rsidRDefault="00395487" w:rsidP="00CC649A">
      <w:pPr>
        <w:spacing w:before="240" w:after="240" w:line="360" w:lineRule="auto"/>
        <w:jc w:val="both"/>
        <w:rPr>
          <w:rFonts w:ascii="Times New Roman" w:hAnsi="Times New Roman" w:cs="Times New Roman"/>
          <w:color w:val="000000" w:themeColor="text1"/>
          <w:sz w:val="24"/>
          <w:szCs w:val="24"/>
          <w:lang w:val="en-GB"/>
        </w:rPr>
      </w:pPr>
      <w:r w:rsidRPr="00FF6BD2">
        <w:rPr>
          <w:noProof/>
          <w:color w:val="000000" w:themeColor="text1"/>
          <w:sz w:val="24"/>
          <w:szCs w:val="24"/>
          <w:lang w:val="en-US"/>
        </w:rPr>
        <w:drawing>
          <wp:inline distT="0" distB="0" distL="0" distR="0" wp14:anchorId="2A8E0BC0" wp14:editId="49A29133">
            <wp:extent cx="5829300" cy="1990725"/>
            <wp:effectExtent l="0" t="0" r="0"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BBFE97D" w14:textId="77777777" w:rsidR="00731467" w:rsidRPr="00FF6BD2" w:rsidRDefault="00395487" w:rsidP="00CC649A">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lastRenderedPageBreak/>
        <w:t>Figure 1:</w:t>
      </w:r>
      <w:r w:rsidR="00657F43" w:rsidRPr="00FF6BD2">
        <w:rPr>
          <w:rFonts w:ascii="Times New Roman" w:hAnsi="Times New Roman" w:cs="Times New Roman"/>
          <w:b/>
          <w:color w:val="000000" w:themeColor="text1"/>
          <w:sz w:val="24"/>
          <w:szCs w:val="24"/>
          <w:lang w:val="en-GB"/>
        </w:rPr>
        <w:t xml:space="preserve"> Current Security Challenges of </w:t>
      </w:r>
      <w:proofErr w:type="spellStart"/>
      <w:r w:rsidR="00657F43" w:rsidRPr="00FF6BD2">
        <w:rPr>
          <w:rFonts w:ascii="Times New Roman" w:hAnsi="Times New Roman" w:cs="Times New Roman"/>
          <w:b/>
          <w:color w:val="000000" w:themeColor="text1"/>
          <w:sz w:val="24"/>
          <w:szCs w:val="24"/>
          <w:lang w:val="en-GB"/>
        </w:rPr>
        <w:t>AeroLink</w:t>
      </w:r>
      <w:proofErr w:type="spellEnd"/>
      <w:r w:rsidR="00657F43" w:rsidRPr="00FF6BD2">
        <w:rPr>
          <w:rFonts w:ascii="Times New Roman" w:hAnsi="Times New Roman" w:cs="Times New Roman"/>
          <w:b/>
          <w:color w:val="000000" w:themeColor="text1"/>
          <w:sz w:val="24"/>
          <w:szCs w:val="24"/>
          <w:lang w:val="en-GB"/>
        </w:rPr>
        <w:t xml:space="preserve"> Logistics</w:t>
      </w:r>
    </w:p>
    <w:p w14:paraId="1C6D4C9C" w14:textId="536B7D08" w:rsidR="00731467" w:rsidRPr="00FF6BD2" w:rsidRDefault="00731467" w:rsidP="00CC649A">
      <w:pPr>
        <w:spacing w:before="240" w:after="240" w:line="360" w:lineRule="auto"/>
        <w:jc w:val="center"/>
        <w:rPr>
          <w:rFonts w:ascii="Times New Roman" w:hAnsi="Times New Roman" w:cs="Times New Roman"/>
          <w:color w:val="000000" w:themeColor="text1"/>
          <w:sz w:val="24"/>
          <w:szCs w:val="24"/>
          <w:lang w:val="en-GB"/>
        </w:rPr>
      </w:pPr>
    </w:p>
    <w:p w14:paraId="2820BB3D" w14:textId="77777777" w:rsidR="00731467" w:rsidRPr="00FF6BD2" w:rsidRDefault="00657F43" w:rsidP="00CC649A">
      <w:pPr>
        <w:pStyle w:val="Heading2"/>
        <w:spacing w:after="240"/>
        <w:rPr>
          <w:color w:val="000000" w:themeColor="text1"/>
          <w:lang w:val="en-GB"/>
        </w:rPr>
      </w:pPr>
      <w:bookmarkStart w:id="6" w:name="_v7do6us3kkxj" w:colFirst="0" w:colLast="0"/>
      <w:bookmarkStart w:id="7" w:name="_Toc236741064"/>
      <w:bookmarkEnd w:id="6"/>
      <w:r w:rsidRPr="00FF6BD2">
        <w:rPr>
          <w:color w:val="000000" w:themeColor="text1"/>
          <w:lang w:val="en-GB"/>
        </w:rPr>
        <w:t xml:space="preserve">1.3 </w:t>
      </w:r>
      <w:r w:rsidRPr="00FF6BD2">
        <w:rPr>
          <w:color w:val="000000" w:themeColor="text1"/>
        </w:rPr>
        <w:t>Aim</w:t>
      </w:r>
      <w:bookmarkEnd w:id="7"/>
    </w:p>
    <w:p w14:paraId="0ABBE057" w14:textId="7FAEF56E"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 xml:space="preserve">This report </w:t>
      </w:r>
      <w:r w:rsidR="00995BF4" w:rsidRPr="00FF6BD2">
        <w:rPr>
          <w:rFonts w:ascii="Times New Roman" w:hAnsi="Times New Roman" w:cs="Times New Roman"/>
          <w:color w:val="000000" w:themeColor="text1"/>
          <w:sz w:val="24"/>
          <w:szCs w:val="24"/>
          <w:lang w:val="en-GB"/>
        </w:rPr>
        <w:t>analyses</w:t>
      </w:r>
      <w:r w:rsidRPr="00FF6BD2">
        <w:rPr>
          <w:rFonts w:ascii="Times New Roman" w:hAnsi="Times New Roman" w:cs="Times New Roman"/>
          <w:color w:val="000000" w:themeColor="text1"/>
          <w:sz w:val="24"/>
          <w:szCs w:val="24"/>
          <w:lang w:val="en-GB"/>
        </w:rPr>
        <w:t xml:space="preserve"> the top information security governance frameworks and constructs a framework for information security governance and compliance that fits the unique operational and regulatory needs of </w:t>
      </w:r>
      <w:proofErr w:type="spellStart"/>
      <w:r w:rsidRPr="00FF6BD2">
        <w:rPr>
          <w:rFonts w:ascii="Times New Roman" w:hAnsi="Times New Roman" w:cs="Times New Roman"/>
          <w:color w:val="000000" w:themeColor="text1"/>
          <w:sz w:val="24"/>
          <w:szCs w:val="24"/>
          <w:lang w:val="en-GB"/>
        </w:rPr>
        <w:t>AeroLink</w:t>
      </w:r>
      <w:proofErr w:type="spellEnd"/>
      <w:r w:rsidRPr="00FF6BD2">
        <w:rPr>
          <w:rFonts w:ascii="Times New Roman" w:hAnsi="Times New Roman" w:cs="Times New Roman"/>
          <w:color w:val="000000" w:themeColor="text1"/>
          <w:sz w:val="24"/>
          <w:szCs w:val="24"/>
          <w:lang w:val="en-GB"/>
        </w:rPr>
        <w:t xml:space="preserve"> Logistics.</w:t>
      </w:r>
    </w:p>
    <w:p w14:paraId="649A2087" w14:textId="77777777" w:rsidR="00731467" w:rsidRPr="00FF6BD2" w:rsidRDefault="00657F43" w:rsidP="00CC649A">
      <w:pPr>
        <w:pStyle w:val="Heading2"/>
        <w:spacing w:after="240"/>
        <w:rPr>
          <w:color w:val="000000" w:themeColor="text1"/>
          <w:lang w:val="en-GB"/>
        </w:rPr>
      </w:pPr>
      <w:bookmarkStart w:id="8" w:name="_lnvaokrsfq75" w:colFirst="0" w:colLast="0"/>
      <w:bookmarkStart w:id="9" w:name="_Toc236741065"/>
      <w:bookmarkEnd w:id="8"/>
      <w:r w:rsidRPr="00FF6BD2">
        <w:rPr>
          <w:color w:val="000000" w:themeColor="text1"/>
          <w:lang w:val="en-GB"/>
        </w:rPr>
        <w:t xml:space="preserve">1.4 </w:t>
      </w:r>
      <w:r w:rsidRPr="00FF6BD2">
        <w:rPr>
          <w:color w:val="000000" w:themeColor="text1"/>
        </w:rPr>
        <w:t>Objectives</w:t>
      </w:r>
      <w:bookmarkEnd w:id="9"/>
    </w:p>
    <w:p w14:paraId="07DEBA5B" w14:textId="77777777" w:rsidR="00731467" w:rsidRPr="00FF6BD2" w:rsidRDefault="00657F43" w:rsidP="00CC649A">
      <w:pPr>
        <w:pStyle w:val="ListParagraph"/>
        <w:numPr>
          <w:ilvl w:val="0"/>
          <w:numId w:val="2"/>
        </w:num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To critically evaluate leading information security frameworks and standards.</w:t>
      </w:r>
    </w:p>
    <w:p w14:paraId="069FEA56" w14:textId="77777777" w:rsidR="00731467" w:rsidRPr="00FF6BD2" w:rsidRDefault="00657F43" w:rsidP="00CC649A">
      <w:pPr>
        <w:pStyle w:val="ListParagraph"/>
        <w:numPr>
          <w:ilvl w:val="0"/>
          <w:numId w:val="2"/>
        </w:num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To compare security governance models to determine their suitability for addressing security.</w:t>
      </w:r>
    </w:p>
    <w:p w14:paraId="3FED9E56" w14:textId="77777777" w:rsidR="00731467" w:rsidRPr="00FF6BD2" w:rsidRDefault="00657F43" w:rsidP="00CC649A">
      <w:pPr>
        <w:pStyle w:val="ListParagraph"/>
        <w:numPr>
          <w:ilvl w:val="0"/>
          <w:numId w:val="2"/>
        </w:num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 xml:space="preserve">To determine the risks relating to cybersecurity, governance, and regulatory compliance associated with </w:t>
      </w:r>
      <w:proofErr w:type="spellStart"/>
      <w:r w:rsidRPr="00FF6BD2">
        <w:rPr>
          <w:rFonts w:ascii="Times New Roman" w:hAnsi="Times New Roman" w:cs="Times New Roman"/>
          <w:color w:val="000000" w:themeColor="text1"/>
          <w:sz w:val="24"/>
          <w:szCs w:val="24"/>
          <w:lang w:val="en-GB"/>
        </w:rPr>
        <w:t>AeroLink</w:t>
      </w:r>
      <w:proofErr w:type="spellEnd"/>
      <w:r w:rsidRPr="00FF6BD2">
        <w:rPr>
          <w:rFonts w:ascii="Times New Roman" w:hAnsi="Times New Roman" w:cs="Times New Roman"/>
          <w:color w:val="000000" w:themeColor="text1"/>
          <w:sz w:val="24"/>
          <w:szCs w:val="24"/>
          <w:lang w:val="en-GB"/>
        </w:rPr>
        <w:t xml:space="preserve"> Logistics from the case study.</w:t>
      </w:r>
    </w:p>
    <w:p w14:paraId="19E032D2" w14:textId="77777777" w:rsidR="00731467" w:rsidRPr="00FF6BD2" w:rsidRDefault="00657F43" w:rsidP="00CC649A">
      <w:pPr>
        <w:pStyle w:val="ListParagraph"/>
        <w:numPr>
          <w:ilvl w:val="0"/>
          <w:numId w:val="2"/>
        </w:num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To propose an information security governance framework for improving governance, risk management, and compliance.</w:t>
      </w:r>
    </w:p>
    <w:p w14:paraId="490A5324" w14:textId="77777777" w:rsidR="00731467" w:rsidRPr="00FF6BD2" w:rsidRDefault="00657F43" w:rsidP="00CC649A">
      <w:pPr>
        <w:pStyle w:val="Heading1"/>
        <w:spacing w:after="240"/>
        <w:rPr>
          <w:color w:val="000000" w:themeColor="text1"/>
          <w:lang w:val="en-GB"/>
        </w:rPr>
      </w:pPr>
      <w:bookmarkStart w:id="10" w:name="_Toc236741066"/>
      <w:r w:rsidRPr="00FF6BD2">
        <w:rPr>
          <w:color w:val="000000" w:themeColor="text1"/>
          <w:lang w:val="en-GB"/>
        </w:rPr>
        <w:t xml:space="preserve">2. </w:t>
      </w:r>
      <w:r w:rsidRPr="00FF6BD2">
        <w:rPr>
          <w:color w:val="000000" w:themeColor="text1"/>
        </w:rPr>
        <w:t>Assumptions</w:t>
      </w:r>
      <w:bookmarkEnd w:id="10"/>
    </w:p>
    <w:p w14:paraId="2C247667" w14:textId="594A3699"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 xml:space="preserve">First, </w:t>
      </w:r>
      <w:proofErr w:type="spellStart"/>
      <w:r w:rsidRPr="00FF6BD2">
        <w:rPr>
          <w:rFonts w:ascii="Times New Roman" w:hAnsi="Times New Roman" w:cs="Times New Roman"/>
          <w:color w:val="000000" w:themeColor="text1"/>
          <w:sz w:val="24"/>
          <w:szCs w:val="24"/>
          <w:lang w:val="en-GB"/>
        </w:rPr>
        <w:t>AeroLink</w:t>
      </w:r>
      <w:proofErr w:type="spellEnd"/>
      <w:r w:rsidRPr="00FF6BD2">
        <w:rPr>
          <w:rFonts w:ascii="Times New Roman" w:hAnsi="Times New Roman" w:cs="Times New Roman"/>
          <w:color w:val="000000" w:themeColor="text1"/>
          <w:sz w:val="24"/>
          <w:szCs w:val="24"/>
          <w:lang w:val="en-GB"/>
        </w:rPr>
        <w:t xml:space="preserve"> Logistics (ALL) is expected to be a multinational logistics company working in the UK, EU, and Asia, dealing with high amounts of sensitive data that should not be disclosed. Second, it is supposed to have a budget for cybersecurity that would allow it to introduce governance, security technol</w:t>
      </w:r>
      <w:r w:rsidR="004F4266" w:rsidRPr="00FF6BD2">
        <w:rPr>
          <w:rFonts w:ascii="Times New Roman" w:hAnsi="Times New Roman" w:cs="Times New Roman"/>
          <w:color w:val="000000" w:themeColor="text1"/>
          <w:sz w:val="24"/>
          <w:szCs w:val="24"/>
          <w:lang w:val="en-GB"/>
        </w:rPr>
        <w:t xml:space="preserve">ogies, and compliance gradually [5]. </w:t>
      </w:r>
      <w:r w:rsidRPr="00FF6BD2">
        <w:rPr>
          <w:rFonts w:ascii="Times New Roman" w:hAnsi="Times New Roman" w:cs="Times New Roman"/>
          <w:color w:val="000000" w:themeColor="text1"/>
          <w:sz w:val="24"/>
          <w:szCs w:val="24"/>
          <w:lang w:val="en-GB"/>
        </w:rPr>
        <w:t>The third assumption is tha</w:t>
      </w:r>
      <w:r w:rsidR="002B6CCA" w:rsidRPr="00FF6BD2">
        <w:rPr>
          <w:rFonts w:ascii="Times New Roman" w:hAnsi="Times New Roman" w:cs="Times New Roman"/>
          <w:color w:val="000000" w:themeColor="text1"/>
          <w:sz w:val="24"/>
          <w:szCs w:val="24"/>
          <w:lang w:val="en-GB"/>
        </w:rPr>
        <w:t>t ALL is perceived as an organis</w:t>
      </w:r>
      <w:r w:rsidRPr="00FF6BD2">
        <w:rPr>
          <w:rFonts w:ascii="Times New Roman" w:hAnsi="Times New Roman" w:cs="Times New Roman"/>
          <w:color w:val="000000" w:themeColor="text1"/>
          <w:sz w:val="24"/>
          <w:szCs w:val="24"/>
          <w:lang w:val="en-GB"/>
        </w:rPr>
        <w:t>ation that has a low maturity level of information security governance due to the absence of a security framework, the risk management process, and a compliance program. Moreover</w:t>
      </w:r>
      <w:r w:rsidR="002B6CCA" w:rsidRPr="00FF6BD2">
        <w:rPr>
          <w:rFonts w:ascii="Times New Roman" w:hAnsi="Times New Roman" w:cs="Times New Roman"/>
          <w:color w:val="000000" w:themeColor="text1"/>
          <w:sz w:val="24"/>
          <w:szCs w:val="24"/>
          <w:lang w:val="en-GB"/>
        </w:rPr>
        <w:t>, ALL is perceived as an organis</w:t>
      </w:r>
      <w:r w:rsidRPr="00FF6BD2">
        <w:rPr>
          <w:rFonts w:ascii="Times New Roman" w:hAnsi="Times New Roman" w:cs="Times New Roman"/>
          <w:color w:val="000000" w:themeColor="text1"/>
          <w:sz w:val="24"/>
          <w:szCs w:val="24"/>
          <w:lang w:val="en-GB"/>
        </w:rPr>
        <w:t>ation that uses a hybrid cloud computing model involving Microsoft Azure and AWS, while using a lot of external IaaS and SaaS providers</w:t>
      </w:r>
      <w:r w:rsidR="004F4266" w:rsidRPr="00FF6BD2">
        <w:rPr>
          <w:rFonts w:ascii="Times New Roman" w:hAnsi="Times New Roman" w:cs="Times New Roman"/>
          <w:color w:val="000000" w:themeColor="text1"/>
          <w:sz w:val="24"/>
          <w:szCs w:val="24"/>
          <w:lang w:val="en-GB"/>
        </w:rPr>
        <w:t xml:space="preserve"> [6]</w:t>
      </w:r>
      <w:r w:rsidRPr="00FF6BD2">
        <w:rPr>
          <w:rFonts w:ascii="Times New Roman" w:hAnsi="Times New Roman" w:cs="Times New Roman"/>
          <w:color w:val="000000" w:themeColor="text1"/>
          <w:sz w:val="24"/>
          <w:szCs w:val="24"/>
          <w:lang w:val="en-GB"/>
        </w:rPr>
        <w:t xml:space="preserve">. Lastly, it can be assumed that ALL is subject to the UK GDPR, the Data Protection Act 2018, and ISO/IEC 27001 requirements. </w:t>
      </w:r>
    </w:p>
    <w:tbl>
      <w:tblPr>
        <w:tblStyle w:val="TableGrid"/>
        <w:tblW w:w="5000" w:type="pct"/>
        <w:tblLook w:val="0600" w:firstRow="0" w:lastRow="0" w:firstColumn="0" w:lastColumn="0" w:noHBand="1" w:noVBand="1"/>
      </w:tblPr>
      <w:tblGrid>
        <w:gridCol w:w="2801"/>
        <w:gridCol w:w="6549"/>
      </w:tblGrid>
      <w:tr w:rsidR="00FF6BD2" w:rsidRPr="00FF6BD2" w14:paraId="7CC8BDCC" w14:textId="77777777" w:rsidTr="00995BF4">
        <w:trPr>
          <w:trHeight w:val="465"/>
        </w:trPr>
        <w:tc>
          <w:tcPr>
            <w:tcW w:w="1498" w:type="pct"/>
          </w:tcPr>
          <w:p w14:paraId="0DDF1D98" w14:textId="77777777" w:rsidR="00731467" w:rsidRPr="00FF6BD2" w:rsidRDefault="00657F43" w:rsidP="00CC649A">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lastRenderedPageBreak/>
              <w:t>Assumption Area</w:t>
            </w:r>
          </w:p>
        </w:tc>
        <w:tc>
          <w:tcPr>
            <w:tcW w:w="3502" w:type="pct"/>
          </w:tcPr>
          <w:p w14:paraId="437F1155" w14:textId="77777777" w:rsidR="00731467" w:rsidRPr="00FF6BD2" w:rsidRDefault="00657F43" w:rsidP="00CC649A">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Assumption</w:t>
            </w:r>
          </w:p>
        </w:tc>
      </w:tr>
      <w:tr w:rsidR="00FF6BD2" w:rsidRPr="00FF6BD2" w14:paraId="0B1EEE0D" w14:textId="77777777" w:rsidTr="00995BF4">
        <w:trPr>
          <w:trHeight w:val="465"/>
        </w:trPr>
        <w:tc>
          <w:tcPr>
            <w:tcW w:w="1498" w:type="pct"/>
          </w:tcPr>
          <w:p w14:paraId="3C2625BC"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Organisation Size</w:t>
            </w:r>
          </w:p>
        </w:tc>
        <w:tc>
          <w:tcPr>
            <w:tcW w:w="3502" w:type="pct"/>
          </w:tcPr>
          <w:p w14:paraId="1E82630F"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Large multinational logistics company</w:t>
            </w:r>
          </w:p>
        </w:tc>
      </w:tr>
      <w:tr w:rsidR="00FF6BD2" w:rsidRPr="00FF6BD2" w14:paraId="54453061" w14:textId="77777777" w:rsidTr="00995BF4">
        <w:trPr>
          <w:trHeight w:val="495"/>
        </w:trPr>
        <w:tc>
          <w:tcPr>
            <w:tcW w:w="1498" w:type="pct"/>
          </w:tcPr>
          <w:p w14:paraId="3C9F13A8"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Cybersecurity Budget</w:t>
            </w:r>
          </w:p>
        </w:tc>
        <w:tc>
          <w:tcPr>
            <w:tcW w:w="3502" w:type="pct"/>
          </w:tcPr>
          <w:p w14:paraId="3DC1F0F1"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Moderate budget for security improvements</w:t>
            </w:r>
          </w:p>
        </w:tc>
      </w:tr>
      <w:tr w:rsidR="00FF6BD2" w:rsidRPr="00FF6BD2" w14:paraId="357EB8F6" w14:textId="77777777" w:rsidTr="00995BF4">
        <w:trPr>
          <w:trHeight w:val="465"/>
        </w:trPr>
        <w:tc>
          <w:tcPr>
            <w:tcW w:w="1498" w:type="pct"/>
          </w:tcPr>
          <w:p w14:paraId="7D5DE97A"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Security Maturity</w:t>
            </w:r>
          </w:p>
        </w:tc>
        <w:tc>
          <w:tcPr>
            <w:tcW w:w="3502" w:type="pct"/>
          </w:tcPr>
          <w:p w14:paraId="16D2F146"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Low maturity in governance and security</w:t>
            </w:r>
          </w:p>
        </w:tc>
      </w:tr>
      <w:tr w:rsidR="00FF6BD2" w:rsidRPr="00FF6BD2" w14:paraId="728F83BF" w14:textId="77777777" w:rsidTr="00995BF4">
        <w:trPr>
          <w:trHeight w:val="465"/>
        </w:trPr>
        <w:tc>
          <w:tcPr>
            <w:tcW w:w="1498" w:type="pct"/>
          </w:tcPr>
          <w:p w14:paraId="598A877D"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Technology</w:t>
            </w:r>
          </w:p>
        </w:tc>
        <w:tc>
          <w:tcPr>
            <w:tcW w:w="3502" w:type="pct"/>
          </w:tcPr>
          <w:p w14:paraId="327CA33F"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Cloud Hybrid (Azure &amp; AWS), AI, IoT, IaaS/SaaS</w:t>
            </w:r>
          </w:p>
        </w:tc>
      </w:tr>
      <w:tr w:rsidR="00FF6BD2" w:rsidRPr="00FF6BD2" w14:paraId="2DB16994" w14:textId="77777777" w:rsidTr="00995BF4">
        <w:trPr>
          <w:trHeight w:val="465"/>
        </w:trPr>
        <w:tc>
          <w:tcPr>
            <w:tcW w:w="1498" w:type="pct"/>
          </w:tcPr>
          <w:p w14:paraId="06BE2AC1"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Regulatory Scope</w:t>
            </w:r>
          </w:p>
        </w:tc>
        <w:tc>
          <w:tcPr>
            <w:tcW w:w="3502" w:type="pct"/>
          </w:tcPr>
          <w:p w14:paraId="487AE509"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GDPR UK and EU, ISO/IEC 27001</w:t>
            </w:r>
          </w:p>
        </w:tc>
      </w:tr>
      <w:tr w:rsidR="00FF6BD2" w:rsidRPr="00FF6BD2" w14:paraId="14B0EEF4" w14:textId="77777777" w:rsidTr="00995BF4">
        <w:trPr>
          <w:trHeight w:val="465"/>
        </w:trPr>
        <w:tc>
          <w:tcPr>
            <w:tcW w:w="1498" w:type="pct"/>
          </w:tcPr>
          <w:p w14:paraId="0A2C2E68"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Risk Appetite</w:t>
            </w:r>
          </w:p>
        </w:tc>
        <w:tc>
          <w:tcPr>
            <w:tcW w:w="3502" w:type="pct"/>
          </w:tcPr>
          <w:p w14:paraId="5BFD04E0"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Low risk tolerance for cyber and compliance</w:t>
            </w:r>
          </w:p>
        </w:tc>
      </w:tr>
      <w:tr w:rsidR="00FF6BD2" w:rsidRPr="00FF6BD2" w14:paraId="2EF35A42" w14:textId="77777777" w:rsidTr="00995BF4">
        <w:trPr>
          <w:trHeight w:val="465"/>
        </w:trPr>
        <w:tc>
          <w:tcPr>
            <w:tcW w:w="1498" w:type="pct"/>
          </w:tcPr>
          <w:p w14:paraId="62CBB77E"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Business Operations</w:t>
            </w:r>
          </w:p>
        </w:tc>
        <w:tc>
          <w:tcPr>
            <w:tcW w:w="3502" w:type="pct"/>
          </w:tcPr>
          <w:p w14:paraId="3C4B4719"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Global logistics and shipment tracking in real time</w:t>
            </w:r>
          </w:p>
        </w:tc>
      </w:tr>
    </w:tbl>
    <w:p w14:paraId="48DA5717" w14:textId="77777777" w:rsidR="00731467" w:rsidRPr="00FF6BD2" w:rsidRDefault="00657F43" w:rsidP="00CC649A">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Table 1: Key Assumptions</w:t>
      </w:r>
    </w:p>
    <w:p w14:paraId="7B4BE146" w14:textId="5DA88721" w:rsidR="00731467" w:rsidRPr="00FF6BD2" w:rsidRDefault="00731467" w:rsidP="00CC649A">
      <w:pPr>
        <w:spacing w:before="240" w:after="240" w:line="360" w:lineRule="auto"/>
        <w:jc w:val="center"/>
        <w:rPr>
          <w:rFonts w:ascii="Times New Roman" w:hAnsi="Times New Roman" w:cs="Times New Roman"/>
          <w:color w:val="000000" w:themeColor="text1"/>
          <w:sz w:val="24"/>
          <w:szCs w:val="24"/>
          <w:lang w:val="en-GB"/>
        </w:rPr>
      </w:pPr>
    </w:p>
    <w:p w14:paraId="1C3F07A0" w14:textId="35C4FA6D" w:rsidR="00670FFC" w:rsidRPr="00FF6BD2" w:rsidRDefault="00670FFC" w:rsidP="00CC649A">
      <w:pPr>
        <w:spacing w:before="240" w:after="240" w:line="360" w:lineRule="auto"/>
        <w:jc w:val="center"/>
        <w:rPr>
          <w:rFonts w:ascii="Times New Roman" w:hAnsi="Times New Roman" w:cs="Times New Roman"/>
          <w:color w:val="000000" w:themeColor="text1"/>
          <w:sz w:val="24"/>
          <w:szCs w:val="24"/>
          <w:lang w:val="en-GB"/>
        </w:rPr>
      </w:pPr>
    </w:p>
    <w:p w14:paraId="60C7E9FC" w14:textId="74416F49" w:rsidR="00670FFC" w:rsidRPr="00FF6BD2" w:rsidRDefault="00670FFC" w:rsidP="00CC649A">
      <w:pPr>
        <w:spacing w:before="240" w:after="240" w:line="360" w:lineRule="auto"/>
        <w:jc w:val="center"/>
        <w:rPr>
          <w:rFonts w:ascii="Times New Roman" w:hAnsi="Times New Roman" w:cs="Times New Roman"/>
          <w:color w:val="000000" w:themeColor="text1"/>
          <w:sz w:val="24"/>
          <w:szCs w:val="24"/>
          <w:lang w:val="en-GB"/>
        </w:rPr>
      </w:pPr>
      <w:r w:rsidRPr="00FF6BD2">
        <w:rPr>
          <w:noProof/>
          <w:color w:val="000000" w:themeColor="text1"/>
          <w:lang w:val="en-US"/>
        </w:rPr>
        <w:lastRenderedPageBreak/>
        <w:drawing>
          <wp:inline distT="0" distB="0" distL="0" distR="0" wp14:anchorId="34F20E82" wp14:editId="0108B3BC">
            <wp:extent cx="5429250" cy="3057525"/>
            <wp:effectExtent l="0" t="0" r="0"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DD390E8" w14:textId="0B8CC888" w:rsidR="00670FFC" w:rsidRPr="00FF6BD2" w:rsidRDefault="00FA72D7" w:rsidP="00670FFC">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Figure 2</w:t>
      </w:r>
      <w:r w:rsidR="00670FFC" w:rsidRPr="00FF6BD2">
        <w:rPr>
          <w:rFonts w:ascii="Times New Roman" w:hAnsi="Times New Roman" w:cs="Times New Roman"/>
          <w:b/>
          <w:color w:val="000000" w:themeColor="text1"/>
          <w:sz w:val="24"/>
          <w:szCs w:val="24"/>
          <w:lang w:val="en-GB"/>
        </w:rPr>
        <w:t xml:space="preserve">: </w:t>
      </w:r>
      <w:r w:rsidRPr="00FF6BD2">
        <w:rPr>
          <w:rFonts w:ascii="Times New Roman" w:hAnsi="Times New Roman" w:cs="Times New Roman"/>
          <w:b/>
          <w:color w:val="000000" w:themeColor="text1"/>
          <w:sz w:val="24"/>
          <w:szCs w:val="24"/>
          <w:lang w:val="en-GB"/>
        </w:rPr>
        <w:t>Security Investment</w:t>
      </w:r>
    </w:p>
    <w:p w14:paraId="0D572800" w14:textId="2554D40F" w:rsidR="00670FFC" w:rsidRPr="00FF6BD2" w:rsidRDefault="00670FFC" w:rsidP="00FA72D7">
      <w:pPr>
        <w:spacing w:before="240" w:after="240" w:line="360" w:lineRule="auto"/>
        <w:jc w:val="center"/>
        <w:rPr>
          <w:rFonts w:ascii="Times New Roman" w:hAnsi="Times New Roman" w:cs="Times New Roman"/>
          <w:color w:val="000000" w:themeColor="text1"/>
          <w:sz w:val="24"/>
          <w:szCs w:val="24"/>
          <w:lang w:val="en-GB"/>
        </w:rPr>
      </w:pPr>
    </w:p>
    <w:p w14:paraId="290E250E" w14:textId="77777777" w:rsidR="00731467" w:rsidRPr="00FF6BD2" w:rsidRDefault="00657F43" w:rsidP="00CC649A">
      <w:pPr>
        <w:pStyle w:val="Heading1"/>
        <w:spacing w:after="240"/>
        <w:rPr>
          <w:color w:val="000000" w:themeColor="text1"/>
          <w:lang w:val="en-GB"/>
        </w:rPr>
      </w:pPr>
      <w:bookmarkStart w:id="11" w:name="_Toc236741067"/>
      <w:r w:rsidRPr="00FF6BD2">
        <w:rPr>
          <w:color w:val="000000" w:themeColor="text1"/>
          <w:lang w:val="en-GB"/>
        </w:rPr>
        <w:t xml:space="preserve">3. </w:t>
      </w:r>
      <w:r w:rsidRPr="00FF6BD2">
        <w:rPr>
          <w:color w:val="000000" w:themeColor="text1"/>
        </w:rPr>
        <w:t>Literature</w:t>
      </w:r>
      <w:r w:rsidRPr="00FF6BD2">
        <w:rPr>
          <w:color w:val="000000" w:themeColor="text1"/>
          <w:lang w:val="en-GB"/>
        </w:rPr>
        <w:t xml:space="preserve"> Review: Information Security Frameworks</w:t>
      </w:r>
      <w:bookmarkEnd w:id="11"/>
    </w:p>
    <w:p w14:paraId="1EB04FD9" w14:textId="77777777" w:rsidR="00731467" w:rsidRPr="00FF6BD2" w:rsidRDefault="00657F43" w:rsidP="00CC649A">
      <w:pPr>
        <w:pStyle w:val="Heading2"/>
        <w:spacing w:after="240"/>
        <w:rPr>
          <w:color w:val="000000" w:themeColor="text1"/>
          <w:lang w:val="en-GB"/>
        </w:rPr>
      </w:pPr>
      <w:bookmarkStart w:id="12" w:name="_Toc236741068"/>
      <w:r w:rsidRPr="00FF6BD2">
        <w:rPr>
          <w:color w:val="000000" w:themeColor="text1"/>
          <w:lang w:val="en-GB"/>
        </w:rPr>
        <w:t xml:space="preserve">3.1 Information </w:t>
      </w:r>
      <w:r w:rsidRPr="00FF6BD2">
        <w:rPr>
          <w:color w:val="000000" w:themeColor="text1"/>
        </w:rPr>
        <w:t>Security</w:t>
      </w:r>
      <w:r w:rsidRPr="00FF6BD2">
        <w:rPr>
          <w:color w:val="000000" w:themeColor="text1"/>
          <w:lang w:val="en-GB"/>
        </w:rPr>
        <w:t xml:space="preserve"> Governance</w:t>
      </w:r>
      <w:bookmarkEnd w:id="12"/>
    </w:p>
    <w:p w14:paraId="6CF3EF6D" w14:textId="2A235870"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Information security governance enables control and accountab</w:t>
      </w:r>
      <w:r w:rsidR="002B6CCA" w:rsidRPr="00FF6BD2">
        <w:rPr>
          <w:rFonts w:ascii="Times New Roman" w:hAnsi="Times New Roman" w:cs="Times New Roman"/>
          <w:color w:val="000000" w:themeColor="text1"/>
          <w:sz w:val="24"/>
          <w:szCs w:val="24"/>
          <w:lang w:val="en-GB"/>
        </w:rPr>
        <w:t>ility to ensure that the organis</w:t>
      </w:r>
      <w:r w:rsidRPr="00FF6BD2">
        <w:rPr>
          <w:rFonts w:ascii="Times New Roman" w:hAnsi="Times New Roman" w:cs="Times New Roman"/>
          <w:color w:val="000000" w:themeColor="text1"/>
          <w:sz w:val="24"/>
          <w:szCs w:val="24"/>
          <w:lang w:val="en-GB"/>
        </w:rPr>
        <w:t xml:space="preserve">ation’s objectives </w:t>
      </w:r>
      <w:r w:rsidR="004F4266" w:rsidRPr="00FF6BD2">
        <w:rPr>
          <w:rFonts w:ascii="Times New Roman" w:hAnsi="Times New Roman" w:cs="Times New Roman"/>
          <w:color w:val="000000" w:themeColor="text1"/>
          <w:sz w:val="24"/>
          <w:szCs w:val="24"/>
          <w:lang w:val="en-GB"/>
        </w:rPr>
        <w:t>are aligned with cybersecurity [7].</w:t>
      </w:r>
    </w:p>
    <w:p w14:paraId="7E0B7AF9" w14:textId="6C8FFCE4" w:rsidR="007374AE" w:rsidRPr="00FF6BD2" w:rsidRDefault="007374AE" w:rsidP="007374AE">
      <w:pPr>
        <w:spacing w:before="240" w:after="240" w:line="360" w:lineRule="auto"/>
        <w:jc w:val="center"/>
        <w:rPr>
          <w:rFonts w:ascii="Times New Roman" w:hAnsi="Times New Roman" w:cs="Times New Roman"/>
          <w:color w:val="000000" w:themeColor="text1"/>
          <w:sz w:val="24"/>
          <w:szCs w:val="24"/>
          <w:lang w:val="en-GB"/>
        </w:rPr>
      </w:pPr>
      <w:r w:rsidRPr="00FF6BD2">
        <w:rPr>
          <w:noProof/>
          <w:color w:val="000000" w:themeColor="text1"/>
          <w:lang w:val="en-US"/>
        </w:rPr>
        <w:lastRenderedPageBreak/>
        <w:drawing>
          <wp:inline distT="0" distB="0" distL="0" distR="0" wp14:anchorId="3F7F94CB" wp14:editId="56545E75">
            <wp:extent cx="5381625" cy="3367540"/>
            <wp:effectExtent l="76200" t="76200" r="123825" b="13779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88601" cy="33719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1F7BE1" w14:textId="5A9E6587" w:rsidR="007374AE" w:rsidRPr="00FF6BD2" w:rsidRDefault="007374AE" w:rsidP="007374AE">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Figure 3: Information Security Frameworks</w:t>
      </w:r>
    </w:p>
    <w:p w14:paraId="6AE59E3A" w14:textId="4257F979" w:rsidR="007374AE" w:rsidRPr="00FF6BD2" w:rsidRDefault="007374AE" w:rsidP="007374AE">
      <w:pPr>
        <w:spacing w:before="240" w:after="240" w:line="360" w:lineRule="auto"/>
        <w:jc w:val="center"/>
        <w:rPr>
          <w:rFonts w:ascii="Times New Roman" w:hAnsi="Times New Roman" w:cs="Times New Roman"/>
          <w:color w:val="000000" w:themeColor="text1"/>
          <w:sz w:val="24"/>
          <w:szCs w:val="24"/>
          <w:lang w:val="en-GB"/>
        </w:rPr>
      </w:pPr>
    </w:p>
    <w:p w14:paraId="65352042" w14:textId="11F1B4D4"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 xml:space="preserve">With the inclusion of ISO/IEC 27014, the information security governance consists of objective-setting, objective steering, responsibility assignment, performance evaluation, and continuous improvement </w:t>
      </w:r>
      <w:r w:rsidR="004F4266" w:rsidRPr="00FF6BD2">
        <w:rPr>
          <w:rFonts w:ascii="Times New Roman" w:hAnsi="Times New Roman" w:cs="Times New Roman"/>
          <w:color w:val="000000" w:themeColor="text1"/>
          <w:sz w:val="24"/>
          <w:szCs w:val="24"/>
          <w:lang w:val="en-GB"/>
        </w:rPr>
        <w:t xml:space="preserve">[8]. </w:t>
      </w:r>
      <w:r w:rsidRPr="00FF6BD2">
        <w:rPr>
          <w:rFonts w:ascii="Times New Roman" w:hAnsi="Times New Roman" w:cs="Times New Roman"/>
          <w:color w:val="000000" w:themeColor="text1"/>
          <w:sz w:val="24"/>
          <w:szCs w:val="24"/>
          <w:lang w:val="en-GB"/>
        </w:rPr>
        <w:t>Information security governance implies accountability and assurance that the cybersecurity strategie</w:t>
      </w:r>
      <w:r w:rsidR="002B6CCA" w:rsidRPr="00FF6BD2">
        <w:rPr>
          <w:rFonts w:ascii="Times New Roman" w:hAnsi="Times New Roman" w:cs="Times New Roman"/>
          <w:color w:val="000000" w:themeColor="text1"/>
          <w:sz w:val="24"/>
          <w:szCs w:val="24"/>
          <w:lang w:val="en-GB"/>
        </w:rPr>
        <w:t>s are aligned with other organis</w:t>
      </w:r>
      <w:r w:rsidRPr="00FF6BD2">
        <w:rPr>
          <w:rFonts w:ascii="Times New Roman" w:hAnsi="Times New Roman" w:cs="Times New Roman"/>
          <w:color w:val="000000" w:themeColor="text1"/>
          <w:sz w:val="24"/>
          <w:szCs w:val="24"/>
          <w:lang w:val="en-GB"/>
        </w:rPr>
        <w:t xml:space="preserve">ational goals. </w:t>
      </w:r>
    </w:p>
    <w:p w14:paraId="422360F6" w14:textId="01F3341D"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Similar to this, the CSF 2.0 framework incorporation emphasizes cybersecurity governance as a governance activity of an</w:t>
      </w:r>
      <w:r w:rsidR="002B6CCA" w:rsidRPr="00FF6BD2">
        <w:rPr>
          <w:rFonts w:ascii="Times New Roman" w:hAnsi="Times New Roman" w:cs="Times New Roman"/>
          <w:color w:val="000000" w:themeColor="text1"/>
          <w:sz w:val="24"/>
          <w:szCs w:val="24"/>
          <w:lang w:val="en-GB"/>
        </w:rPr>
        <w:t xml:space="preserve"> organis</w:t>
      </w:r>
      <w:r w:rsidRPr="00FF6BD2">
        <w:rPr>
          <w:rFonts w:ascii="Times New Roman" w:hAnsi="Times New Roman" w:cs="Times New Roman"/>
          <w:color w:val="000000" w:themeColor="text1"/>
          <w:sz w:val="24"/>
          <w:szCs w:val="24"/>
          <w:lang w:val="en-GB"/>
        </w:rPr>
        <w:t>at</w:t>
      </w:r>
      <w:r w:rsidR="004F4266" w:rsidRPr="00FF6BD2">
        <w:rPr>
          <w:rFonts w:ascii="Times New Roman" w:hAnsi="Times New Roman" w:cs="Times New Roman"/>
          <w:color w:val="000000" w:themeColor="text1"/>
          <w:sz w:val="24"/>
          <w:szCs w:val="24"/>
          <w:lang w:val="en-GB"/>
        </w:rPr>
        <w:t>ion rather than an IT activity [9]</w:t>
      </w:r>
      <w:r w:rsidRPr="00FF6BD2">
        <w:rPr>
          <w:rFonts w:ascii="Times New Roman" w:hAnsi="Times New Roman" w:cs="Times New Roman"/>
          <w:color w:val="000000" w:themeColor="text1"/>
          <w:sz w:val="24"/>
          <w:szCs w:val="24"/>
          <w:lang w:val="en-GB"/>
        </w:rPr>
        <w:t>. It should be noted that governance contributes to decision-making in terms of risks and security policy formulation.</w:t>
      </w:r>
    </w:p>
    <w:p w14:paraId="624BA72A" w14:textId="5F88062E"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COBIT 2019 provides for improved governance of the organi</w:t>
      </w:r>
      <w:r w:rsidR="002B6CCA" w:rsidRPr="00FF6BD2">
        <w:rPr>
          <w:rFonts w:ascii="Times New Roman" w:hAnsi="Times New Roman" w:cs="Times New Roman"/>
          <w:color w:val="000000" w:themeColor="text1"/>
          <w:sz w:val="24"/>
          <w:szCs w:val="24"/>
          <w:lang w:val="en-GB"/>
        </w:rPr>
        <w:t>s</w:t>
      </w:r>
      <w:r w:rsidRPr="00FF6BD2">
        <w:rPr>
          <w:rFonts w:ascii="Times New Roman" w:hAnsi="Times New Roman" w:cs="Times New Roman"/>
          <w:color w:val="000000" w:themeColor="text1"/>
          <w:sz w:val="24"/>
          <w:szCs w:val="24"/>
          <w:lang w:val="en-GB"/>
        </w:rPr>
        <w:t>ation through differentiatio</w:t>
      </w:r>
      <w:r w:rsidR="004F4266" w:rsidRPr="00FF6BD2">
        <w:rPr>
          <w:rFonts w:ascii="Times New Roman" w:hAnsi="Times New Roman" w:cs="Times New Roman"/>
          <w:color w:val="000000" w:themeColor="text1"/>
          <w:sz w:val="24"/>
          <w:szCs w:val="24"/>
          <w:lang w:val="en-GB"/>
        </w:rPr>
        <w:t>n of governance and management [10]</w:t>
      </w:r>
      <w:r w:rsidRPr="00FF6BD2">
        <w:rPr>
          <w:rFonts w:ascii="Times New Roman" w:hAnsi="Times New Roman" w:cs="Times New Roman"/>
          <w:color w:val="000000" w:themeColor="text1"/>
          <w:sz w:val="24"/>
          <w:szCs w:val="24"/>
          <w:lang w:val="en-GB"/>
        </w:rPr>
        <w:t>. In essence, governance involves identifying the needs of the stakeholders, providing direction, and monitoring the performance of the organi</w:t>
      </w:r>
      <w:r w:rsidR="002B6CCA" w:rsidRPr="00FF6BD2">
        <w:rPr>
          <w:rFonts w:ascii="Times New Roman" w:hAnsi="Times New Roman" w:cs="Times New Roman"/>
          <w:color w:val="000000" w:themeColor="text1"/>
          <w:sz w:val="24"/>
          <w:szCs w:val="24"/>
          <w:lang w:val="en-GB"/>
        </w:rPr>
        <w:t>s</w:t>
      </w:r>
      <w:r w:rsidRPr="00FF6BD2">
        <w:rPr>
          <w:rFonts w:ascii="Times New Roman" w:hAnsi="Times New Roman" w:cs="Times New Roman"/>
          <w:color w:val="000000" w:themeColor="text1"/>
          <w:sz w:val="24"/>
          <w:szCs w:val="24"/>
          <w:lang w:val="en-GB"/>
        </w:rPr>
        <w:t>ation, whereas management involves planning, implementing, an</w:t>
      </w:r>
      <w:r w:rsidR="004F4266" w:rsidRPr="00FF6BD2">
        <w:rPr>
          <w:rFonts w:ascii="Times New Roman" w:hAnsi="Times New Roman" w:cs="Times New Roman"/>
          <w:color w:val="000000" w:themeColor="text1"/>
          <w:sz w:val="24"/>
          <w:szCs w:val="24"/>
          <w:lang w:val="en-GB"/>
        </w:rPr>
        <w:t>d operating security processes [11].</w:t>
      </w:r>
    </w:p>
    <w:p w14:paraId="0B58E262"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proofErr w:type="spellStart"/>
      <w:r w:rsidRPr="00FF6BD2">
        <w:rPr>
          <w:rFonts w:ascii="Times New Roman" w:hAnsi="Times New Roman" w:cs="Times New Roman"/>
          <w:color w:val="000000" w:themeColor="text1"/>
          <w:sz w:val="24"/>
          <w:szCs w:val="24"/>
          <w:lang w:val="en-GB"/>
        </w:rPr>
        <w:lastRenderedPageBreak/>
        <w:t>AeroLink</w:t>
      </w:r>
      <w:proofErr w:type="spellEnd"/>
      <w:r w:rsidRPr="00FF6BD2">
        <w:rPr>
          <w:rFonts w:ascii="Times New Roman" w:hAnsi="Times New Roman" w:cs="Times New Roman"/>
          <w:color w:val="000000" w:themeColor="text1"/>
          <w:sz w:val="24"/>
          <w:szCs w:val="24"/>
          <w:lang w:val="en-GB"/>
        </w:rPr>
        <w:t xml:space="preserve"> Logistics (ALL) faces issues related to having no governance structure, risk management, and clearly defined security obligations. Hence, implementation of the governance concepts according to the standards of ISO 27014, NIST CSF 2.0, and COBIT 2019 will ensure better accountability of the executives, risk management skills, and a security-based culture.</w:t>
      </w:r>
    </w:p>
    <w:p w14:paraId="6BF18132" w14:textId="77777777" w:rsidR="00731467" w:rsidRPr="00FF6BD2" w:rsidRDefault="00657F43" w:rsidP="00CC649A">
      <w:pPr>
        <w:pStyle w:val="Heading2"/>
        <w:spacing w:after="240"/>
        <w:rPr>
          <w:color w:val="000000" w:themeColor="text1"/>
          <w:lang w:val="en-GB"/>
        </w:rPr>
      </w:pPr>
      <w:bookmarkStart w:id="13" w:name="_Toc236741069"/>
      <w:r w:rsidRPr="00FF6BD2">
        <w:rPr>
          <w:color w:val="000000" w:themeColor="text1"/>
          <w:lang w:val="en-GB"/>
        </w:rPr>
        <w:t>3.2 NIST Cybersecurity Framework (CSF) 2.0</w:t>
      </w:r>
      <w:bookmarkEnd w:id="13"/>
      <w:r w:rsidRPr="00FF6BD2">
        <w:rPr>
          <w:color w:val="000000" w:themeColor="text1"/>
          <w:lang w:val="en-GB"/>
        </w:rPr>
        <w:t xml:space="preserve"> </w:t>
      </w:r>
    </w:p>
    <w:p w14:paraId="2AF652D3" w14:textId="76C0189A"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The NIST Cybersecurity Framework (CSF) 2.0 is a voluntary and risk-base</w:t>
      </w:r>
      <w:r w:rsidR="002E20D9" w:rsidRPr="00FF6BD2">
        <w:rPr>
          <w:rFonts w:ascii="Times New Roman" w:hAnsi="Times New Roman" w:cs="Times New Roman"/>
          <w:color w:val="000000" w:themeColor="text1"/>
          <w:sz w:val="24"/>
          <w:szCs w:val="24"/>
          <w:lang w:val="en-GB"/>
        </w:rPr>
        <w:t>d framework that assists organis</w:t>
      </w:r>
      <w:r w:rsidRPr="00FF6BD2">
        <w:rPr>
          <w:rFonts w:ascii="Times New Roman" w:hAnsi="Times New Roman" w:cs="Times New Roman"/>
          <w:color w:val="000000" w:themeColor="text1"/>
          <w:sz w:val="24"/>
          <w:szCs w:val="24"/>
          <w:lang w:val="en-GB"/>
        </w:rPr>
        <w:t>ations of all sizes and sectors in managing their cybersecurity</w:t>
      </w:r>
      <w:r w:rsidR="00955A42" w:rsidRPr="00FF6BD2">
        <w:rPr>
          <w:rFonts w:ascii="Times New Roman" w:hAnsi="Times New Roman" w:cs="Times New Roman"/>
          <w:color w:val="000000" w:themeColor="text1"/>
          <w:sz w:val="24"/>
          <w:szCs w:val="24"/>
          <w:lang w:val="en-GB"/>
        </w:rPr>
        <w:t xml:space="preserve"> risks [9]</w:t>
      </w:r>
      <w:r w:rsidRPr="00FF6BD2">
        <w:rPr>
          <w:rFonts w:ascii="Times New Roman" w:hAnsi="Times New Roman" w:cs="Times New Roman"/>
          <w:color w:val="000000" w:themeColor="text1"/>
          <w:sz w:val="24"/>
          <w:szCs w:val="24"/>
          <w:lang w:val="en-GB"/>
        </w:rPr>
        <w:t>. As opposed to previous versions of the CSF, the CSF 2.0 covers not only the critical infrastructure but also ha</w:t>
      </w:r>
      <w:r w:rsidR="00955A42" w:rsidRPr="00FF6BD2">
        <w:rPr>
          <w:rFonts w:ascii="Times New Roman" w:hAnsi="Times New Roman" w:cs="Times New Roman"/>
          <w:color w:val="000000" w:themeColor="text1"/>
          <w:sz w:val="24"/>
          <w:szCs w:val="24"/>
          <w:lang w:val="en-GB"/>
        </w:rPr>
        <w:t>s a new component named Govern [12]</w:t>
      </w:r>
      <w:r w:rsidRPr="00FF6BD2">
        <w:rPr>
          <w:rFonts w:ascii="Times New Roman" w:hAnsi="Times New Roman" w:cs="Times New Roman"/>
          <w:color w:val="000000" w:themeColor="text1"/>
          <w:sz w:val="24"/>
          <w:szCs w:val="24"/>
          <w:lang w:val="en-GB"/>
        </w:rPr>
        <w:t>. The structure of the framework is based on six major functions such as Govern, Identify, Protect, Detect, Respond, and Recover. These six major functions make it possible to create a cycle of cyber risk management with</w:t>
      </w:r>
      <w:r w:rsidR="002E20D9" w:rsidRPr="00FF6BD2">
        <w:rPr>
          <w:rFonts w:ascii="Times New Roman" w:hAnsi="Times New Roman" w:cs="Times New Roman"/>
          <w:color w:val="000000" w:themeColor="text1"/>
          <w:sz w:val="24"/>
          <w:szCs w:val="24"/>
          <w:lang w:val="en-GB"/>
        </w:rPr>
        <w:t>in the organis</w:t>
      </w:r>
      <w:r w:rsidRPr="00FF6BD2">
        <w:rPr>
          <w:rFonts w:ascii="Times New Roman" w:hAnsi="Times New Roman" w:cs="Times New Roman"/>
          <w:color w:val="000000" w:themeColor="text1"/>
          <w:sz w:val="24"/>
          <w:szCs w:val="24"/>
          <w:lang w:val="en-GB"/>
        </w:rPr>
        <w:t xml:space="preserve">ation. The framework can be incorporated into other internationally accepted standards such as ISO/IEC 27001. However, there are numerous disadvantages related to the use of this framework </w:t>
      </w:r>
      <w:r w:rsidR="00955A42" w:rsidRPr="00FF6BD2">
        <w:rPr>
          <w:rFonts w:ascii="Times New Roman" w:hAnsi="Times New Roman" w:cs="Times New Roman"/>
          <w:color w:val="000000" w:themeColor="text1"/>
          <w:sz w:val="24"/>
          <w:szCs w:val="24"/>
          <w:lang w:val="en-GB"/>
        </w:rPr>
        <w:t>[13]</w:t>
      </w:r>
      <w:r w:rsidRPr="00FF6BD2">
        <w:rPr>
          <w:rFonts w:ascii="Times New Roman" w:hAnsi="Times New Roman" w:cs="Times New Roman"/>
          <w:color w:val="000000" w:themeColor="text1"/>
          <w:sz w:val="24"/>
          <w:szCs w:val="24"/>
          <w:lang w:val="en-GB"/>
        </w:rPr>
        <w:t>. First, it is a governance framework that does not include any specific technical measures and certifications.</w:t>
      </w:r>
    </w:p>
    <w:p w14:paraId="77464BC5" w14:textId="55C376C0" w:rsidR="009F0AA0" w:rsidRPr="00FF6BD2" w:rsidRDefault="009F0AA0" w:rsidP="009F0AA0">
      <w:pPr>
        <w:spacing w:before="240" w:after="240" w:line="360" w:lineRule="auto"/>
        <w:jc w:val="center"/>
        <w:rPr>
          <w:rFonts w:ascii="Times New Roman" w:hAnsi="Times New Roman" w:cs="Times New Roman"/>
          <w:color w:val="000000" w:themeColor="text1"/>
          <w:sz w:val="24"/>
          <w:szCs w:val="24"/>
          <w:lang w:val="en-GB"/>
        </w:rPr>
      </w:pPr>
      <w:r w:rsidRPr="00FF6BD2">
        <w:rPr>
          <w:noProof/>
          <w:color w:val="000000" w:themeColor="text1"/>
          <w:lang w:val="en-US"/>
        </w:rPr>
        <w:lastRenderedPageBreak/>
        <w:drawing>
          <wp:inline distT="0" distB="0" distL="0" distR="0" wp14:anchorId="2A8CA7B4" wp14:editId="6FF161ED">
            <wp:extent cx="4724400" cy="3646004"/>
            <wp:effectExtent l="76200" t="76200" r="133350" b="12636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29168" cy="364968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927CB6" w14:textId="3FB3A786" w:rsidR="009F0AA0" w:rsidRPr="00FF6BD2" w:rsidRDefault="009F0AA0" w:rsidP="009F0AA0">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Figure 4: NIST Framework</w:t>
      </w:r>
    </w:p>
    <w:p w14:paraId="46AF7AD1" w14:textId="440A6F5F" w:rsidR="009F0AA0" w:rsidRPr="00FF6BD2" w:rsidRDefault="009F0AA0" w:rsidP="009F0AA0">
      <w:pPr>
        <w:spacing w:before="240" w:after="240" w:line="360" w:lineRule="auto"/>
        <w:jc w:val="center"/>
        <w:rPr>
          <w:rFonts w:ascii="Times New Roman" w:hAnsi="Times New Roman" w:cs="Times New Roman"/>
          <w:color w:val="000000" w:themeColor="text1"/>
          <w:sz w:val="24"/>
          <w:szCs w:val="24"/>
          <w:lang w:val="en-GB"/>
        </w:rPr>
      </w:pPr>
    </w:p>
    <w:p w14:paraId="46D445A3"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 xml:space="preserve">In the case of </w:t>
      </w:r>
      <w:proofErr w:type="spellStart"/>
      <w:r w:rsidRPr="00FF6BD2">
        <w:rPr>
          <w:rFonts w:ascii="Times New Roman" w:hAnsi="Times New Roman" w:cs="Times New Roman"/>
          <w:color w:val="000000" w:themeColor="text1"/>
          <w:sz w:val="24"/>
          <w:szCs w:val="24"/>
          <w:lang w:val="en-GB"/>
        </w:rPr>
        <w:t>AeroLink</w:t>
      </w:r>
      <w:proofErr w:type="spellEnd"/>
      <w:r w:rsidRPr="00FF6BD2">
        <w:rPr>
          <w:rFonts w:ascii="Times New Roman" w:hAnsi="Times New Roman" w:cs="Times New Roman"/>
          <w:color w:val="000000" w:themeColor="text1"/>
          <w:sz w:val="24"/>
          <w:szCs w:val="24"/>
          <w:lang w:val="en-GB"/>
        </w:rPr>
        <w:t xml:space="preserve"> Logistics, CSF 2.0 presents a great framework that would assist in enhancing governance and cyber risk assessment for cloud computing, artificial intelligence, Internet of Things devices, and vendors. However, CSF 2.0 is not sufficient to cover all the aspects of compliance and information security management for ALL, and thus CSF 2.0 should be integrated with ISO/IEC 27001, COBIT 2019, and ITIL 4.</w:t>
      </w:r>
    </w:p>
    <w:p w14:paraId="58806803" w14:textId="77777777" w:rsidR="00731467" w:rsidRPr="00FF6BD2" w:rsidRDefault="00657F43" w:rsidP="00CC649A">
      <w:pPr>
        <w:pStyle w:val="Heading2"/>
        <w:spacing w:after="240"/>
        <w:rPr>
          <w:color w:val="000000" w:themeColor="text1"/>
          <w:lang w:val="en-GB"/>
        </w:rPr>
      </w:pPr>
      <w:bookmarkStart w:id="14" w:name="_Toc236741070"/>
      <w:r w:rsidRPr="00FF6BD2">
        <w:rPr>
          <w:color w:val="000000" w:themeColor="text1"/>
          <w:lang w:val="en-GB"/>
        </w:rPr>
        <w:t>3.3 ISO/IEC 27001:2022</w:t>
      </w:r>
      <w:bookmarkEnd w:id="14"/>
    </w:p>
    <w:p w14:paraId="51232736" w14:textId="124ECAB9"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ISO/IEC 27001:2022 is the internationally accepted standard that outlines the requirements for the establishment, implementation, maintenance, and continuous improvement of an ISMS. It uses a risk management approach whereby information security risks can be identified and controlled and where there is continuous improvement through the PDCA process</w:t>
      </w:r>
      <w:r w:rsidR="00955A42" w:rsidRPr="00FF6BD2">
        <w:rPr>
          <w:rFonts w:ascii="Times New Roman" w:hAnsi="Times New Roman" w:cs="Times New Roman"/>
          <w:color w:val="000000" w:themeColor="text1"/>
          <w:sz w:val="24"/>
          <w:szCs w:val="24"/>
          <w:lang w:val="en-GB"/>
        </w:rPr>
        <w:t xml:space="preserve"> [14]. </w:t>
      </w:r>
      <w:r w:rsidRPr="00FF6BD2">
        <w:rPr>
          <w:rFonts w:ascii="Times New Roman" w:hAnsi="Times New Roman" w:cs="Times New Roman"/>
          <w:color w:val="000000" w:themeColor="text1"/>
          <w:sz w:val="24"/>
          <w:szCs w:val="24"/>
          <w:lang w:val="en-GB"/>
        </w:rPr>
        <w:t xml:space="preserve">The standard is also </w:t>
      </w:r>
      <w:r w:rsidRPr="00FF6BD2">
        <w:rPr>
          <w:rFonts w:ascii="Times New Roman" w:hAnsi="Times New Roman" w:cs="Times New Roman"/>
          <w:color w:val="000000" w:themeColor="text1"/>
          <w:sz w:val="24"/>
          <w:szCs w:val="24"/>
          <w:lang w:val="en-GB"/>
        </w:rPr>
        <w:lastRenderedPageBreak/>
        <w:t>supported by Annex A, which includes organisational, physical, and technical controls for information management purposes.</w:t>
      </w:r>
    </w:p>
    <w:p w14:paraId="4CA42094" w14:textId="31A7E511" w:rsidR="00731467" w:rsidRPr="00FF6BD2" w:rsidRDefault="00C61DA0" w:rsidP="00C61DA0">
      <w:pPr>
        <w:spacing w:before="240" w:after="240" w:line="360" w:lineRule="auto"/>
        <w:jc w:val="center"/>
        <w:rPr>
          <w:rFonts w:ascii="Times New Roman" w:hAnsi="Times New Roman" w:cs="Times New Roman"/>
          <w:color w:val="000000" w:themeColor="text1"/>
          <w:sz w:val="24"/>
          <w:szCs w:val="24"/>
          <w:lang w:val="en-GB"/>
        </w:rPr>
      </w:pPr>
      <w:r w:rsidRPr="00FF6BD2">
        <w:rPr>
          <w:noProof/>
          <w:color w:val="000000" w:themeColor="text1"/>
          <w:lang w:val="en-US"/>
        </w:rPr>
        <w:drawing>
          <wp:inline distT="0" distB="0" distL="0" distR="0" wp14:anchorId="110B8A5B" wp14:editId="1BCFD9C1">
            <wp:extent cx="4000500" cy="3333750"/>
            <wp:effectExtent l="76200" t="76200" r="133350"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00500" cy="3333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829F10" w14:textId="0F3D6E89" w:rsidR="00731467" w:rsidRPr="00FF6BD2" w:rsidRDefault="00657F43" w:rsidP="00CC649A">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Figure</w:t>
      </w:r>
      <w:r w:rsidR="00C61DA0" w:rsidRPr="00FF6BD2">
        <w:rPr>
          <w:rFonts w:ascii="Times New Roman" w:hAnsi="Times New Roman" w:cs="Times New Roman"/>
          <w:b/>
          <w:color w:val="000000" w:themeColor="text1"/>
          <w:sz w:val="24"/>
          <w:szCs w:val="24"/>
          <w:lang w:val="en-GB"/>
        </w:rPr>
        <w:t xml:space="preserve"> 5</w:t>
      </w:r>
      <w:r w:rsidRPr="00FF6BD2">
        <w:rPr>
          <w:rFonts w:ascii="Times New Roman" w:hAnsi="Times New Roman" w:cs="Times New Roman"/>
          <w:b/>
          <w:color w:val="000000" w:themeColor="text1"/>
          <w:sz w:val="24"/>
          <w:szCs w:val="24"/>
          <w:lang w:val="en-GB"/>
        </w:rPr>
        <w:t xml:space="preserve">: PDCA Model </w:t>
      </w:r>
      <w:r w:rsidR="00C61DA0" w:rsidRPr="00FF6BD2">
        <w:rPr>
          <w:rFonts w:ascii="Times New Roman" w:hAnsi="Times New Roman" w:cs="Times New Roman"/>
          <w:b/>
          <w:color w:val="000000" w:themeColor="text1"/>
          <w:sz w:val="24"/>
          <w:szCs w:val="24"/>
          <w:lang w:val="en-GB"/>
        </w:rPr>
        <w:t xml:space="preserve">of </w:t>
      </w:r>
      <w:r w:rsidRPr="00FF6BD2">
        <w:rPr>
          <w:rFonts w:ascii="Times New Roman" w:hAnsi="Times New Roman" w:cs="Times New Roman"/>
          <w:b/>
          <w:color w:val="000000" w:themeColor="text1"/>
          <w:sz w:val="24"/>
          <w:szCs w:val="24"/>
          <w:lang w:val="en-GB"/>
        </w:rPr>
        <w:t>ISO/IEC 27001 Mapping</w:t>
      </w:r>
    </w:p>
    <w:p w14:paraId="42C64387" w14:textId="5F5F763D" w:rsidR="00C61DA0" w:rsidRPr="00FF6BD2" w:rsidRDefault="00C61DA0" w:rsidP="00C61DA0">
      <w:pPr>
        <w:spacing w:before="240" w:after="240" w:line="360" w:lineRule="auto"/>
        <w:jc w:val="center"/>
        <w:rPr>
          <w:rFonts w:ascii="Times New Roman" w:hAnsi="Times New Roman" w:cs="Times New Roman"/>
          <w:color w:val="000000" w:themeColor="text1"/>
          <w:sz w:val="24"/>
          <w:szCs w:val="24"/>
          <w:lang w:val="en-GB"/>
        </w:rPr>
      </w:pPr>
    </w:p>
    <w:p w14:paraId="31716D0A" w14:textId="0F824B11"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ISO/IEC 27001 one of its most important advantages is related to the process of certification, which ensures that the security will be certified independently by clients, governmen</w:t>
      </w:r>
      <w:r w:rsidR="00955A42" w:rsidRPr="00FF6BD2">
        <w:rPr>
          <w:rFonts w:ascii="Times New Roman" w:hAnsi="Times New Roman" w:cs="Times New Roman"/>
          <w:color w:val="000000" w:themeColor="text1"/>
          <w:sz w:val="24"/>
          <w:szCs w:val="24"/>
          <w:lang w:val="en-GB"/>
        </w:rPr>
        <w:t>ts, and any other stakeholders [15]</w:t>
      </w:r>
      <w:r w:rsidRPr="00FF6BD2">
        <w:rPr>
          <w:rFonts w:ascii="Times New Roman" w:hAnsi="Times New Roman" w:cs="Times New Roman"/>
          <w:color w:val="000000" w:themeColor="text1"/>
          <w:sz w:val="24"/>
          <w:szCs w:val="24"/>
          <w:lang w:val="en-GB"/>
        </w:rPr>
        <w:t>. However, ISO/IEC 27001 might be expensive because of the documentation a</w:t>
      </w:r>
      <w:r w:rsidR="00955A42" w:rsidRPr="00FF6BD2">
        <w:rPr>
          <w:rFonts w:ascii="Times New Roman" w:hAnsi="Times New Roman" w:cs="Times New Roman"/>
          <w:color w:val="000000" w:themeColor="text1"/>
          <w:sz w:val="24"/>
          <w:szCs w:val="24"/>
          <w:lang w:val="en-GB"/>
        </w:rPr>
        <w:t>nd audit that will be required [16]</w:t>
      </w:r>
      <w:r w:rsidRPr="00FF6BD2">
        <w:rPr>
          <w:rFonts w:ascii="Times New Roman" w:hAnsi="Times New Roman" w:cs="Times New Roman"/>
          <w:color w:val="000000" w:themeColor="text1"/>
          <w:sz w:val="24"/>
          <w:szCs w:val="24"/>
          <w:lang w:val="en-GB"/>
        </w:rPr>
        <w:t xml:space="preserve">. In the case of </w:t>
      </w:r>
      <w:proofErr w:type="spellStart"/>
      <w:r w:rsidRPr="00FF6BD2">
        <w:rPr>
          <w:rFonts w:ascii="Times New Roman" w:hAnsi="Times New Roman" w:cs="Times New Roman"/>
          <w:color w:val="000000" w:themeColor="text1"/>
          <w:sz w:val="24"/>
          <w:szCs w:val="24"/>
          <w:lang w:val="en-GB"/>
        </w:rPr>
        <w:t>AeroLink</w:t>
      </w:r>
      <w:proofErr w:type="spellEnd"/>
      <w:r w:rsidRPr="00FF6BD2">
        <w:rPr>
          <w:rFonts w:ascii="Times New Roman" w:hAnsi="Times New Roman" w:cs="Times New Roman"/>
          <w:color w:val="000000" w:themeColor="text1"/>
          <w:sz w:val="24"/>
          <w:szCs w:val="24"/>
          <w:lang w:val="en-GB"/>
        </w:rPr>
        <w:t xml:space="preserve"> Logistics Company, ISO/IEC 27001 will ensure ISMS implementation, GDPR compliance, and risk management.</w:t>
      </w:r>
    </w:p>
    <w:p w14:paraId="6770E283" w14:textId="77777777" w:rsidR="00731467" w:rsidRPr="00FF6BD2" w:rsidRDefault="00657F43" w:rsidP="00CC649A">
      <w:pPr>
        <w:pStyle w:val="Heading2"/>
        <w:spacing w:after="240"/>
        <w:rPr>
          <w:color w:val="000000" w:themeColor="text1"/>
          <w:lang w:val="en-GB"/>
        </w:rPr>
      </w:pPr>
      <w:bookmarkStart w:id="15" w:name="_Toc236741071"/>
      <w:r w:rsidRPr="00FF6BD2">
        <w:rPr>
          <w:color w:val="000000" w:themeColor="text1"/>
          <w:lang w:val="en-GB"/>
        </w:rPr>
        <w:t xml:space="preserve">3.4 </w:t>
      </w:r>
      <w:r w:rsidRPr="00FF6BD2">
        <w:rPr>
          <w:color w:val="000000" w:themeColor="text1"/>
        </w:rPr>
        <w:t>COBIT</w:t>
      </w:r>
      <w:r w:rsidRPr="00FF6BD2">
        <w:rPr>
          <w:color w:val="000000" w:themeColor="text1"/>
          <w:lang w:val="en-GB"/>
        </w:rPr>
        <w:t xml:space="preserve"> 2019</w:t>
      </w:r>
      <w:bookmarkEnd w:id="15"/>
      <w:r w:rsidRPr="00FF6BD2">
        <w:rPr>
          <w:color w:val="000000" w:themeColor="text1"/>
          <w:lang w:val="en-GB"/>
        </w:rPr>
        <w:t xml:space="preserve"> </w:t>
      </w:r>
    </w:p>
    <w:p w14:paraId="70AE992C" w14:textId="7BE01F8F"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 xml:space="preserve">The COBIT 2019 framework is designed to be used as a means of linking IT processes within an enterprise with the goals of the enterprise, and at the same time making sure that there </w:t>
      </w:r>
      <w:proofErr w:type="gramStart"/>
      <w:r w:rsidRPr="00FF6BD2">
        <w:rPr>
          <w:rFonts w:ascii="Times New Roman" w:hAnsi="Times New Roman" w:cs="Times New Roman"/>
          <w:color w:val="000000" w:themeColor="text1"/>
          <w:sz w:val="24"/>
          <w:szCs w:val="24"/>
          <w:lang w:val="en-GB"/>
        </w:rPr>
        <w:t>is</w:t>
      </w:r>
      <w:proofErr w:type="gramEnd"/>
      <w:r w:rsidRPr="00FF6BD2">
        <w:rPr>
          <w:rFonts w:ascii="Times New Roman" w:hAnsi="Times New Roman" w:cs="Times New Roman"/>
          <w:color w:val="000000" w:themeColor="text1"/>
          <w:sz w:val="24"/>
          <w:szCs w:val="24"/>
          <w:lang w:val="en-GB"/>
        </w:rPr>
        <w:t xml:space="preserve"> proper governance, risk man</w:t>
      </w:r>
      <w:r w:rsidR="004F4266" w:rsidRPr="00FF6BD2">
        <w:rPr>
          <w:rFonts w:ascii="Times New Roman" w:hAnsi="Times New Roman" w:cs="Times New Roman"/>
          <w:color w:val="000000" w:themeColor="text1"/>
          <w:sz w:val="24"/>
          <w:szCs w:val="24"/>
          <w:lang w:val="en-GB"/>
        </w:rPr>
        <w:t xml:space="preserve">agement, and creation of value [10]. </w:t>
      </w:r>
      <w:r w:rsidRPr="00FF6BD2">
        <w:rPr>
          <w:rFonts w:ascii="Times New Roman" w:hAnsi="Times New Roman" w:cs="Times New Roman"/>
          <w:color w:val="000000" w:themeColor="text1"/>
          <w:sz w:val="24"/>
          <w:szCs w:val="24"/>
          <w:lang w:val="en-GB"/>
        </w:rPr>
        <w:t xml:space="preserve">It emphasises governance principles, </w:t>
      </w:r>
      <w:r w:rsidRPr="00FF6BD2">
        <w:rPr>
          <w:rFonts w:ascii="Times New Roman" w:hAnsi="Times New Roman" w:cs="Times New Roman"/>
          <w:color w:val="000000" w:themeColor="text1"/>
          <w:sz w:val="24"/>
          <w:szCs w:val="24"/>
          <w:lang w:val="en-GB"/>
        </w:rPr>
        <w:lastRenderedPageBreak/>
        <w:t>enterprise objectives, performance measures, and decision-making responsibilities based on technical security standards.</w:t>
      </w:r>
    </w:p>
    <w:p w14:paraId="7537282A" w14:textId="1B334CB1" w:rsidR="00731467" w:rsidRPr="00FF6BD2" w:rsidRDefault="00C61DA0" w:rsidP="00CC649A">
      <w:pPr>
        <w:spacing w:before="240" w:after="240" w:line="360" w:lineRule="auto"/>
        <w:jc w:val="both"/>
        <w:rPr>
          <w:rFonts w:ascii="Times New Roman" w:hAnsi="Times New Roman" w:cs="Times New Roman"/>
          <w:color w:val="000000" w:themeColor="text1"/>
          <w:sz w:val="24"/>
          <w:szCs w:val="24"/>
          <w:lang w:val="en-GB"/>
        </w:rPr>
      </w:pPr>
      <w:r w:rsidRPr="00FF6BD2">
        <w:rPr>
          <w:noProof/>
          <w:color w:val="000000" w:themeColor="text1"/>
          <w:lang w:val="en-US"/>
        </w:rPr>
        <w:drawing>
          <wp:inline distT="0" distB="0" distL="0" distR="0" wp14:anchorId="1A11E06B" wp14:editId="2CDFAAEF">
            <wp:extent cx="5943600" cy="2747010"/>
            <wp:effectExtent l="76200" t="76200" r="133350" b="129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7470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0CC4C6" w14:textId="18BC1437" w:rsidR="00731467" w:rsidRPr="00FF6BD2" w:rsidRDefault="00C61DA0" w:rsidP="00CC649A">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Figure 6</w:t>
      </w:r>
      <w:r w:rsidR="00657F43" w:rsidRPr="00FF6BD2">
        <w:rPr>
          <w:rFonts w:ascii="Times New Roman" w:hAnsi="Times New Roman" w:cs="Times New Roman"/>
          <w:b/>
          <w:color w:val="000000" w:themeColor="text1"/>
          <w:sz w:val="24"/>
          <w:szCs w:val="24"/>
          <w:lang w:val="en-GB"/>
        </w:rPr>
        <w:t>: COBIT 2019 Governance Objectives</w:t>
      </w:r>
    </w:p>
    <w:p w14:paraId="64E5C0F6" w14:textId="6C47DD1F" w:rsidR="00731467" w:rsidRPr="00FF6BD2" w:rsidRDefault="00731467" w:rsidP="00CC649A">
      <w:pPr>
        <w:spacing w:before="240" w:after="240" w:line="360" w:lineRule="auto"/>
        <w:jc w:val="center"/>
        <w:rPr>
          <w:rFonts w:ascii="Times New Roman" w:hAnsi="Times New Roman" w:cs="Times New Roman"/>
          <w:color w:val="000000" w:themeColor="text1"/>
          <w:sz w:val="24"/>
          <w:szCs w:val="24"/>
          <w:lang w:val="en-GB"/>
        </w:rPr>
      </w:pPr>
    </w:p>
    <w:p w14:paraId="5D287FD2" w14:textId="73C6CA9F"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COBIT has the following strength in that cybersecurity becomes an issue of strategic importance due to its strong business orientation. Nonetheless, COBIT lacks guidance on technical implementations, which means that COBIT needs other frameworks l</w:t>
      </w:r>
      <w:r w:rsidR="00955A42" w:rsidRPr="00FF6BD2">
        <w:rPr>
          <w:rFonts w:ascii="Times New Roman" w:hAnsi="Times New Roman" w:cs="Times New Roman"/>
          <w:color w:val="000000" w:themeColor="text1"/>
          <w:sz w:val="24"/>
          <w:szCs w:val="24"/>
          <w:lang w:val="en-GB"/>
        </w:rPr>
        <w:t>ike ISO/IEC 27001 and NIST CSF [17]</w:t>
      </w:r>
      <w:r w:rsidRPr="00FF6BD2">
        <w:rPr>
          <w:rFonts w:ascii="Times New Roman" w:hAnsi="Times New Roman" w:cs="Times New Roman"/>
          <w:color w:val="000000" w:themeColor="text1"/>
          <w:sz w:val="24"/>
          <w:szCs w:val="24"/>
          <w:lang w:val="en-GB"/>
        </w:rPr>
        <w:t>. In relation to ALL, COBIT will add value in terms of executive oversight and strategic decision-making.</w:t>
      </w:r>
    </w:p>
    <w:p w14:paraId="75BC8F0D" w14:textId="77777777" w:rsidR="00731467" w:rsidRPr="00FF6BD2" w:rsidRDefault="00657F43" w:rsidP="00CC649A">
      <w:pPr>
        <w:pStyle w:val="Heading2"/>
        <w:spacing w:after="240"/>
        <w:rPr>
          <w:color w:val="000000" w:themeColor="text1"/>
          <w:lang w:val="en-GB"/>
        </w:rPr>
      </w:pPr>
      <w:bookmarkStart w:id="16" w:name="_Toc236741072"/>
      <w:r w:rsidRPr="00FF6BD2">
        <w:rPr>
          <w:color w:val="000000" w:themeColor="text1"/>
          <w:lang w:val="en-GB"/>
        </w:rPr>
        <w:t xml:space="preserve">3.5 </w:t>
      </w:r>
      <w:r w:rsidRPr="00FF6BD2">
        <w:rPr>
          <w:color w:val="000000" w:themeColor="text1"/>
        </w:rPr>
        <w:t>ITIL</w:t>
      </w:r>
      <w:r w:rsidRPr="00FF6BD2">
        <w:rPr>
          <w:color w:val="000000" w:themeColor="text1"/>
          <w:lang w:val="en-GB"/>
        </w:rPr>
        <w:t xml:space="preserve"> 4</w:t>
      </w:r>
      <w:bookmarkEnd w:id="16"/>
      <w:r w:rsidRPr="00FF6BD2">
        <w:rPr>
          <w:color w:val="000000" w:themeColor="text1"/>
          <w:lang w:val="en-GB"/>
        </w:rPr>
        <w:t xml:space="preserve"> </w:t>
      </w:r>
    </w:p>
    <w:p w14:paraId="5DC8D7E9" w14:textId="2286E8E8"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The best practices offered by ITIL 4 framework in IT service management come as a result of the implementation of the process of services delivery and organisation value creation by making u</w:t>
      </w:r>
      <w:r w:rsidR="00955A42" w:rsidRPr="00FF6BD2">
        <w:rPr>
          <w:rFonts w:ascii="Times New Roman" w:hAnsi="Times New Roman" w:cs="Times New Roman"/>
          <w:color w:val="000000" w:themeColor="text1"/>
          <w:sz w:val="24"/>
          <w:szCs w:val="24"/>
          <w:lang w:val="en-GB"/>
        </w:rPr>
        <w:t>se of the Service Value System [18]</w:t>
      </w:r>
      <w:r w:rsidRPr="00FF6BD2">
        <w:rPr>
          <w:rFonts w:ascii="Times New Roman" w:hAnsi="Times New Roman" w:cs="Times New Roman"/>
          <w:color w:val="000000" w:themeColor="text1"/>
          <w:sz w:val="24"/>
          <w:szCs w:val="24"/>
          <w:lang w:val="en-GB"/>
        </w:rPr>
        <w:t>. Information security is obtained by management of incidents, change enablement, problem management and ITIL continuous improvement. It also builds resilience by managing security incidents effectively.</w:t>
      </w:r>
    </w:p>
    <w:p w14:paraId="7D0FFEF3" w14:textId="7F800818" w:rsidR="00731467" w:rsidRPr="00FF6BD2" w:rsidRDefault="00941CB7" w:rsidP="00941CB7">
      <w:pPr>
        <w:spacing w:before="240" w:after="240" w:line="360" w:lineRule="auto"/>
        <w:jc w:val="center"/>
        <w:rPr>
          <w:rFonts w:ascii="Times New Roman" w:hAnsi="Times New Roman" w:cs="Times New Roman"/>
          <w:color w:val="000000" w:themeColor="text1"/>
          <w:sz w:val="24"/>
          <w:szCs w:val="24"/>
          <w:lang w:val="en-GB"/>
        </w:rPr>
      </w:pPr>
      <w:r w:rsidRPr="00FF6BD2">
        <w:rPr>
          <w:noProof/>
          <w:color w:val="000000" w:themeColor="text1"/>
          <w:lang w:val="en-US"/>
        </w:rPr>
        <w:lastRenderedPageBreak/>
        <w:drawing>
          <wp:inline distT="0" distB="0" distL="0" distR="0" wp14:anchorId="6DC377A1" wp14:editId="6AE9777F">
            <wp:extent cx="5224127" cy="3762375"/>
            <wp:effectExtent l="76200" t="76200" r="129540" b="1238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34207" cy="37696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9B4B366" w14:textId="2E7C0C1C" w:rsidR="00731467" w:rsidRPr="00FF6BD2" w:rsidRDefault="00657F43" w:rsidP="00CC649A">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 xml:space="preserve">Figure </w:t>
      </w:r>
      <w:r w:rsidR="00C61DA0" w:rsidRPr="00FF6BD2">
        <w:rPr>
          <w:rFonts w:ascii="Times New Roman" w:hAnsi="Times New Roman" w:cs="Times New Roman"/>
          <w:b/>
          <w:color w:val="000000" w:themeColor="text1"/>
          <w:sz w:val="24"/>
          <w:szCs w:val="24"/>
          <w:lang w:val="en-GB"/>
        </w:rPr>
        <w:t>7</w:t>
      </w:r>
      <w:r w:rsidRPr="00FF6BD2">
        <w:rPr>
          <w:rFonts w:ascii="Times New Roman" w:hAnsi="Times New Roman" w:cs="Times New Roman"/>
          <w:b/>
          <w:color w:val="000000" w:themeColor="text1"/>
          <w:sz w:val="24"/>
          <w:szCs w:val="24"/>
          <w:lang w:val="en-GB"/>
        </w:rPr>
        <w:t>: The ITIL Value System</w:t>
      </w:r>
    </w:p>
    <w:p w14:paraId="54534B76" w14:textId="1BFADBBC" w:rsidR="00731467" w:rsidRPr="00FF6BD2" w:rsidRDefault="00731467" w:rsidP="00CC649A">
      <w:pPr>
        <w:spacing w:before="240" w:after="240" w:line="360" w:lineRule="auto"/>
        <w:jc w:val="center"/>
        <w:rPr>
          <w:rFonts w:ascii="Times New Roman" w:hAnsi="Times New Roman" w:cs="Times New Roman"/>
          <w:color w:val="000000" w:themeColor="text1"/>
          <w:sz w:val="24"/>
          <w:szCs w:val="24"/>
          <w:lang w:val="en-GB"/>
        </w:rPr>
      </w:pPr>
    </w:p>
    <w:p w14:paraId="1A82CDEE" w14:textId="11B51021"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 xml:space="preserve">As per </w:t>
      </w:r>
      <w:r w:rsidR="00955A42" w:rsidRPr="00FF6BD2">
        <w:rPr>
          <w:rFonts w:ascii="Times New Roman" w:hAnsi="Times New Roman" w:cs="Times New Roman"/>
          <w:color w:val="000000" w:themeColor="text1"/>
          <w:sz w:val="24"/>
          <w:szCs w:val="24"/>
          <w:lang w:val="en-GB"/>
        </w:rPr>
        <w:t xml:space="preserve">[19], </w:t>
      </w:r>
      <w:r w:rsidRPr="00FF6BD2">
        <w:rPr>
          <w:rFonts w:ascii="Times New Roman" w:hAnsi="Times New Roman" w:cs="Times New Roman"/>
          <w:color w:val="000000" w:themeColor="text1"/>
          <w:sz w:val="24"/>
          <w:szCs w:val="24"/>
          <w:lang w:val="en-GB"/>
        </w:rPr>
        <w:t xml:space="preserve">though ITIL provides for increased efficiency and high-quality services, it does not form an integrated framework for cybersecurity governance and needs to be complemented with cybersecurity standards such as ISO/IEC 27001 and NIST CSF. In the case of </w:t>
      </w:r>
      <w:proofErr w:type="spellStart"/>
      <w:r w:rsidRPr="00FF6BD2">
        <w:rPr>
          <w:rFonts w:ascii="Times New Roman" w:hAnsi="Times New Roman" w:cs="Times New Roman"/>
          <w:color w:val="000000" w:themeColor="text1"/>
          <w:sz w:val="24"/>
          <w:szCs w:val="24"/>
          <w:lang w:val="en-GB"/>
        </w:rPr>
        <w:t>AeroLink</w:t>
      </w:r>
      <w:proofErr w:type="spellEnd"/>
      <w:r w:rsidRPr="00FF6BD2">
        <w:rPr>
          <w:rFonts w:ascii="Times New Roman" w:hAnsi="Times New Roman" w:cs="Times New Roman"/>
          <w:color w:val="000000" w:themeColor="text1"/>
          <w:sz w:val="24"/>
          <w:szCs w:val="24"/>
          <w:lang w:val="en-GB"/>
        </w:rPr>
        <w:t xml:space="preserve"> Logistics, ITIL will improve incident management, change management, and service continuity along with secure IT operations.</w:t>
      </w:r>
    </w:p>
    <w:p w14:paraId="2722D1B2" w14:textId="77777777" w:rsidR="00731467" w:rsidRPr="00FF6BD2" w:rsidRDefault="00657F43" w:rsidP="00CC649A">
      <w:pPr>
        <w:pStyle w:val="Heading2"/>
        <w:spacing w:after="240"/>
        <w:rPr>
          <w:color w:val="000000" w:themeColor="text1"/>
          <w:lang w:val="en-GB"/>
        </w:rPr>
      </w:pPr>
      <w:bookmarkStart w:id="17" w:name="_Toc236741073"/>
      <w:r w:rsidRPr="00FF6BD2">
        <w:rPr>
          <w:color w:val="000000" w:themeColor="text1"/>
          <w:lang w:val="en-GB"/>
        </w:rPr>
        <w:t xml:space="preserve">3.6 </w:t>
      </w:r>
      <w:r w:rsidRPr="00FF6BD2">
        <w:rPr>
          <w:color w:val="000000" w:themeColor="text1"/>
        </w:rPr>
        <w:t>Comparative</w:t>
      </w:r>
      <w:r w:rsidRPr="00FF6BD2">
        <w:rPr>
          <w:color w:val="000000" w:themeColor="text1"/>
          <w:lang w:val="en-GB"/>
        </w:rPr>
        <w:t xml:space="preserve"> Analysis</w:t>
      </w:r>
      <w:bookmarkEnd w:id="17"/>
    </w:p>
    <w:tbl>
      <w:tblPr>
        <w:tblStyle w:val="TableGrid"/>
        <w:tblW w:w="5000" w:type="pct"/>
        <w:tblLook w:val="0600" w:firstRow="0" w:lastRow="0" w:firstColumn="0" w:lastColumn="0" w:noHBand="1" w:noVBand="1"/>
      </w:tblPr>
      <w:tblGrid>
        <w:gridCol w:w="1832"/>
        <w:gridCol w:w="2010"/>
        <w:gridCol w:w="1621"/>
        <w:gridCol w:w="1636"/>
        <w:gridCol w:w="2251"/>
      </w:tblGrid>
      <w:tr w:rsidR="00FF6BD2" w:rsidRPr="00FF6BD2" w14:paraId="132CCB14" w14:textId="77777777" w:rsidTr="00995BF4">
        <w:trPr>
          <w:trHeight w:val="585"/>
        </w:trPr>
        <w:tc>
          <w:tcPr>
            <w:tcW w:w="979" w:type="pct"/>
          </w:tcPr>
          <w:p w14:paraId="7DD34FE9" w14:textId="77777777" w:rsidR="00731467" w:rsidRPr="00FF6BD2" w:rsidRDefault="00657F43" w:rsidP="00CC649A">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Criteria</w:t>
            </w:r>
          </w:p>
        </w:tc>
        <w:tc>
          <w:tcPr>
            <w:tcW w:w="1075" w:type="pct"/>
          </w:tcPr>
          <w:p w14:paraId="2EAD8AF7" w14:textId="77777777" w:rsidR="00731467" w:rsidRPr="00FF6BD2" w:rsidRDefault="00657F43" w:rsidP="00CC649A">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NIST CSF 2.0</w:t>
            </w:r>
          </w:p>
        </w:tc>
        <w:tc>
          <w:tcPr>
            <w:tcW w:w="867" w:type="pct"/>
          </w:tcPr>
          <w:p w14:paraId="52B9002B" w14:textId="77777777" w:rsidR="00731467" w:rsidRPr="00FF6BD2" w:rsidRDefault="00657F43" w:rsidP="00CC649A">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ISO/IEC 27001:2022</w:t>
            </w:r>
          </w:p>
        </w:tc>
        <w:tc>
          <w:tcPr>
            <w:tcW w:w="875" w:type="pct"/>
          </w:tcPr>
          <w:p w14:paraId="1E4854AE" w14:textId="77777777" w:rsidR="00731467" w:rsidRPr="00FF6BD2" w:rsidRDefault="00657F43" w:rsidP="00CC649A">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COBIT 2019</w:t>
            </w:r>
          </w:p>
        </w:tc>
        <w:tc>
          <w:tcPr>
            <w:tcW w:w="1204" w:type="pct"/>
          </w:tcPr>
          <w:p w14:paraId="57E54FA1" w14:textId="77777777" w:rsidR="00731467" w:rsidRPr="00FF6BD2" w:rsidRDefault="00657F43" w:rsidP="00CC649A">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ITIL 4</w:t>
            </w:r>
          </w:p>
        </w:tc>
      </w:tr>
      <w:tr w:rsidR="00FF6BD2" w:rsidRPr="00FF6BD2" w14:paraId="33D632C5" w14:textId="77777777" w:rsidTr="00995BF4">
        <w:trPr>
          <w:trHeight w:val="300"/>
        </w:trPr>
        <w:tc>
          <w:tcPr>
            <w:tcW w:w="979" w:type="pct"/>
          </w:tcPr>
          <w:p w14:paraId="38776DD9"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lastRenderedPageBreak/>
              <w:t>Governance</w:t>
            </w:r>
          </w:p>
        </w:tc>
        <w:tc>
          <w:tcPr>
            <w:tcW w:w="1075" w:type="pct"/>
          </w:tcPr>
          <w:p w14:paraId="58BDDE6B"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High</w:t>
            </w:r>
          </w:p>
        </w:tc>
        <w:tc>
          <w:tcPr>
            <w:tcW w:w="867" w:type="pct"/>
          </w:tcPr>
          <w:p w14:paraId="070A9EBE"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High</w:t>
            </w:r>
          </w:p>
        </w:tc>
        <w:tc>
          <w:tcPr>
            <w:tcW w:w="875" w:type="pct"/>
          </w:tcPr>
          <w:p w14:paraId="3D7899C5"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Very High</w:t>
            </w:r>
          </w:p>
        </w:tc>
        <w:tc>
          <w:tcPr>
            <w:tcW w:w="1204" w:type="pct"/>
          </w:tcPr>
          <w:p w14:paraId="56AFDDA0"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Moderate</w:t>
            </w:r>
          </w:p>
        </w:tc>
      </w:tr>
      <w:tr w:rsidR="00FF6BD2" w:rsidRPr="00FF6BD2" w14:paraId="7C2DF94F" w14:textId="77777777" w:rsidTr="00995BF4">
        <w:trPr>
          <w:trHeight w:val="585"/>
        </w:trPr>
        <w:tc>
          <w:tcPr>
            <w:tcW w:w="979" w:type="pct"/>
          </w:tcPr>
          <w:p w14:paraId="3B667BC5"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Risk Management</w:t>
            </w:r>
          </w:p>
        </w:tc>
        <w:tc>
          <w:tcPr>
            <w:tcW w:w="1075" w:type="pct"/>
          </w:tcPr>
          <w:p w14:paraId="65A703FD"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Excellent</w:t>
            </w:r>
          </w:p>
        </w:tc>
        <w:tc>
          <w:tcPr>
            <w:tcW w:w="867" w:type="pct"/>
          </w:tcPr>
          <w:p w14:paraId="5350EF6E"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Excellent</w:t>
            </w:r>
          </w:p>
        </w:tc>
        <w:tc>
          <w:tcPr>
            <w:tcW w:w="875" w:type="pct"/>
          </w:tcPr>
          <w:p w14:paraId="62FE25BA"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High</w:t>
            </w:r>
          </w:p>
        </w:tc>
        <w:tc>
          <w:tcPr>
            <w:tcW w:w="1204" w:type="pct"/>
          </w:tcPr>
          <w:p w14:paraId="4AFA3772"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Moderate</w:t>
            </w:r>
          </w:p>
        </w:tc>
      </w:tr>
      <w:tr w:rsidR="00FF6BD2" w:rsidRPr="00FF6BD2" w14:paraId="44546F02" w14:textId="77777777" w:rsidTr="00995BF4">
        <w:trPr>
          <w:trHeight w:val="585"/>
        </w:trPr>
        <w:tc>
          <w:tcPr>
            <w:tcW w:w="979" w:type="pct"/>
          </w:tcPr>
          <w:p w14:paraId="0AC2574B"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Regulatory Compliance</w:t>
            </w:r>
          </w:p>
        </w:tc>
        <w:tc>
          <w:tcPr>
            <w:tcW w:w="1075" w:type="pct"/>
          </w:tcPr>
          <w:p w14:paraId="5C9B9B01"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Moderate</w:t>
            </w:r>
          </w:p>
        </w:tc>
        <w:tc>
          <w:tcPr>
            <w:tcW w:w="867" w:type="pct"/>
          </w:tcPr>
          <w:p w14:paraId="58966F7F"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Excellent</w:t>
            </w:r>
          </w:p>
        </w:tc>
        <w:tc>
          <w:tcPr>
            <w:tcW w:w="875" w:type="pct"/>
          </w:tcPr>
          <w:p w14:paraId="1E4037D3"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High</w:t>
            </w:r>
          </w:p>
        </w:tc>
        <w:tc>
          <w:tcPr>
            <w:tcW w:w="1204" w:type="pct"/>
          </w:tcPr>
          <w:p w14:paraId="20AA6794"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Low</w:t>
            </w:r>
          </w:p>
        </w:tc>
      </w:tr>
      <w:tr w:rsidR="00FF6BD2" w:rsidRPr="00FF6BD2" w14:paraId="731F722B" w14:textId="77777777" w:rsidTr="00995BF4">
        <w:trPr>
          <w:trHeight w:val="300"/>
        </w:trPr>
        <w:tc>
          <w:tcPr>
            <w:tcW w:w="979" w:type="pct"/>
          </w:tcPr>
          <w:p w14:paraId="76337C2F"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Certification</w:t>
            </w:r>
          </w:p>
        </w:tc>
        <w:tc>
          <w:tcPr>
            <w:tcW w:w="1075" w:type="pct"/>
          </w:tcPr>
          <w:p w14:paraId="30301CD3"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No</w:t>
            </w:r>
          </w:p>
        </w:tc>
        <w:tc>
          <w:tcPr>
            <w:tcW w:w="867" w:type="pct"/>
          </w:tcPr>
          <w:p w14:paraId="40CE86F8"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Yes</w:t>
            </w:r>
          </w:p>
        </w:tc>
        <w:tc>
          <w:tcPr>
            <w:tcW w:w="875" w:type="pct"/>
          </w:tcPr>
          <w:p w14:paraId="4E1CBA66"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No</w:t>
            </w:r>
          </w:p>
        </w:tc>
        <w:tc>
          <w:tcPr>
            <w:tcW w:w="1204" w:type="pct"/>
          </w:tcPr>
          <w:p w14:paraId="3F27C0E2"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No</w:t>
            </w:r>
          </w:p>
        </w:tc>
      </w:tr>
      <w:tr w:rsidR="00FF6BD2" w:rsidRPr="00FF6BD2" w14:paraId="58F19A41" w14:textId="77777777" w:rsidTr="00995BF4">
        <w:trPr>
          <w:trHeight w:val="585"/>
        </w:trPr>
        <w:tc>
          <w:tcPr>
            <w:tcW w:w="979" w:type="pct"/>
          </w:tcPr>
          <w:p w14:paraId="186BD42F"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Incident Response</w:t>
            </w:r>
          </w:p>
        </w:tc>
        <w:tc>
          <w:tcPr>
            <w:tcW w:w="1075" w:type="pct"/>
          </w:tcPr>
          <w:p w14:paraId="7BB7CC96"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Excellent</w:t>
            </w:r>
          </w:p>
        </w:tc>
        <w:tc>
          <w:tcPr>
            <w:tcW w:w="867" w:type="pct"/>
          </w:tcPr>
          <w:p w14:paraId="55309B90"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Moderate</w:t>
            </w:r>
          </w:p>
        </w:tc>
        <w:tc>
          <w:tcPr>
            <w:tcW w:w="875" w:type="pct"/>
          </w:tcPr>
          <w:p w14:paraId="44CCD3EE"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Moderate</w:t>
            </w:r>
          </w:p>
        </w:tc>
        <w:tc>
          <w:tcPr>
            <w:tcW w:w="1204" w:type="pct"/>
          </w:tcPr>
          <w:p w14:paraId="00EB2B87"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High</w:t>
            </w:r>
          </w:p>
        </w:tc>
      </w:tr>
      <w:tr w:rsidR="00FF6BD2" w:rsidRPr="00FF6BD2" w14:paraId="40ADA5D7" w14:textId="77777777" w:rsidTr="00995BF4">
        <w:trPr>
          <w:trHeight w:val="300"/>
        </w:trPr>
        <w:tc>
          <w:tcPr>
            <w:tcW w:w="979" w:type="pct"/>
          </w:tcPr>
          <w:p w14:paraId="47B7A301"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Cloud Security</w:t>
            </w:r>
          </w:p>
        </w:tc>
        <w:tc>
          <w:tcPr>
            <w:tcW w:w="1075" w:type="pct"/>
          </w:tcPr>
          <w:p w14:paraId="6AF5382D"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High</w:t>
            </w:r>
          </w:p>
        </w:tc>
        <w:tc>
          <w:tcPr>
            <w:tcW w:w="867" w:type="pct"/>
          </w:tcPr>
          <w:p w14:paraId="5C78F5E1"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High</w:t>
            </w:r>
          </w:p>
        </w:tc>
        <w:tc>
          <w:tcPr>
            <w:tcW w:w="875" w:type="pct"/>
          </w:tcPr>
          <w:p w14:paraId="277DA95B"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Moderate</w:t>
            </w:r>
          </w:p>
        </w:tc>
        <w:tc>
          <w:tcPr>
            <w:tcW w:w="1204" w:type="pct"/>
          </w:tcPr>
          <w:p w14:paraId="1AD6E220"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Moderate</w:t>
            </w:r>
          </w:p>
        </w:tc>
      </w:tr>
      <w:tr w:rsidR="00FF6BD2" w:rsidRPr="00FF6BD2" w14:paraId="0775B60C" w14:textId="77777777" w:rsidTr="00995BF4">
        <w:trPr>
          <w:trHeight w:val="585"/>
        </w:trPr>
        <w:tc>
          <w:tcPr>
            <w:tcW w:w="979" w:type="pct"/>
          </w:tcPr>
          <w:p w14:paraId="60BFF621"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Business Alignment</w:t>
            </w:r>
          </w:p>
        </w:tc>
        <w:tc>
          <w:tcPr>
            <w:tcW w:w="1075" w:type="pct"/>
          </w:tcPr>
          <w:p w14:paraId="3F5245B3"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High</w:t>
            </w:r>
          </w:p>
        </w:tc>
        <w:tc>
          <w:tcPr>
            <w:tcW w:w="867" w:type="pct"/>
          </w:tcPr>
          <w:p w14:paraId="5248CB94"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High</w:t>
            </w:r>
          </w:p>
        </w:tc>
        <w:tc>
          <w:tcPr>
            <w:tcW w:w="875" w:type="pct"/>
          </w:tcPr>
          <w:p w14:paraId="4DB6C7A7"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Excellent</w:t>
            </w:r>
          </w:p>
        </w:tc>
        <w:tc>
          <w:tcPr>
            <w:tcW w:w="1204" w:type="pct"/>
          </w:tcPr>
          <w:p w14:paraId="7816382B"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High</w:t>
            </w:r>
          </w:p>
        </w:tc>
      </w:tr>
      <w:tr w:rsidR="00FF6BD2" w:rsidRPr="00FF6BD2" w14:paraId="73EE47FA" w14:textId="77777777" w:rsidTr="00995BF4">
        <w:trPr>
          <w:trHeight w:val="585"/>
        </w:trPr>
        <w:tc>
          <w:tcPr>
            <w:tcW w:w="979" w:type="pct"/>
          </w:tcPr>
          <w:p w14:paraId="49D5978A"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Best Use</w:t>
            </w:r>
          </w:p>
        </w:tc>
        <w:tc>
          <w:tcPr>
            <w:tcW w:w="1075" w:type="pct"/>
          </w:tcPr>
          <w:p w14:paraId="22237748"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Cybersecurity Risk Management</w:t>
            </w:r>
          </w:p>
        </w:tc>
        <w:tc>
          <w:tcPr>
            <w:tcW w:w="867" w:type="pct"/>
          </w:tcPr>
          <w:p w14:paraId="45A3B915"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ISMS &amp; Compliance</w:t>
            </w:r>
          </w:p>
        </w:tc>
        <w:tc>
          <w:tcPr>
            <w:tcW w:w="875" w:type="pct"/>
          </w:tcPr>
          <w:p w14:paraId="35002FC0"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Enterprise Governance</w:t>
            </w:r>
          </w:p>
        </w:tc>
        <w:tc>
          <w:tcPr>
            <w:tcW w:w="1204" w:type="pct"/>
          </w:tcPr>
          <w:p w14:paraId="63349969"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IT Service Management</w:t>
            </w:r>
          </w:p>
        </w:tc>
      </w:tr>
    </w:tbl>
    <w:p w14:paraId="174C452C" w14:textId="77777777" w:rsidR="00731467" w:rsidRPr="00FF6BD2" w:rsidRDefault="00657F43" w:rsidP="00CC649A">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Table 2: Comparison of Information Security Frameworks</w:t>
      </w:r>
    </w:p>
    <w:p w14:paraId="64066C7E" w14:textId="01CC7D50" w:rsidR="00731467" w:rsidRPr="00FF6BD2" w:rsidRDefault="00731467" w:rsidP="00CC649A">
      <w:pPr>
        <w:spacing w:before="240" w:after="240" w:line="360" w:lineRule="auto"/>
        <w:jc w:val="center"/>
        <w:rPr>
          <w:rFonts w:ascii="Times New Roman" w:hAnsi="Times New Roman" w:cs="Times New Roman"/>
          <w:color w:val="000000" w:themeColor="text1"/>
          <w:sz w:val="24"/>
          <w:szCs w:val="24"/>
          <w:lang w:val="en-GB"/>
        </w:rPr>
      </w:pPr>
    </w:p>
    <w:p w14:paraId="657D10DD"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 xml:space="preserve">From the comparative study of the frameworks, it highlights that no single framework covers all aspects such as governance, risk management, compliance, technical security, and IT service management together. The NIST CSF 2.0 has been found to have a good lifecycle for risk management in cybersecurity, while ISO/IEC 27001 has a standard for ISMS and security controls. Also, COBIT 2019 has strengths in terms of enterprise governance and strategic alignment, </w:t>
      </w:r>
      <w:r w:rsidRPr="00FF6BD2">
        <w:rPr>
          <w:rFonts w:ascii="Times New Roman" w:hAnsi="Times New Roman" w:cs="Times New Roman"/>
          <w:color w:val="000000" w:themeColor="text1"/>
          <w:sz w:val="24"/>
          <w:szCs w:val="24"/>
          <w:lang w:val="en-GB"/>
        </w:rPr>
        <w:lastRenderedPageBreak/>
        <w:t xml:space="preserve">whereas ITIL 4 has strengths in terms of operational service management. Therefore, the most suitable framework for </w:t>
      </w:r>
      <w:proofErr w:type="spellStart"/>
      <w:r w:rsidRPr="00FF6BD2">
        <w:rPr>
          <w:rFonts w:ascii="Times New Roman" w:hAnsi="Times New Roman" w:cs="Times New Roman"/>
          <w:color w:val="000000" w:themeColor="text1"/>
          <w:sz w:val="24"/>
          <w:szCs w:val="24"/>
          <w:lang w:val="en-GB"/>
        </w:rPr>
        <w:t>AeroLink</w:t>
      </w:r>
      <w:proofErr w:type="spellEnd"/>
      <w:r w:rsidRPr="00FF6BD2">
        <w:rPr>
          <w:rFonts w:ascii="Times New Roman" w:hAnsi="Times New Roman" w:cs="Times New Roman"/>
          <w:color w:val="000000" w:themeColor="text1"/>
          <w:sz w:val="24"/>
          <w:szCs w:val="24"/>
          <w:lang w:val="en-GB"/>
        </w:rPr>
        <w:t xml:space="preserve"> Logistics will be one where all these frameworks work together.</w:t>
      </w:r>
    </w:p>
    <w:p w14:paraId="09FCC821" w14:textId="77777777" w:rsidR="00731467" w:rsidRPr="00FF6BD2" w:rsidRDefault="00657F43" w:rsidP="00CC649A">
      <w:pPr>
        <w:pStyle w:val="Heading1"/>
        <w:spacing w:after="240"/>
        <w:rPr>
          <w:color w:val="000000" w:themeColor="text1"/>
          <w:lang w:val="en-GB"/>
        </w:rPr>
      </w:pPr>
      <w:bookmarkStart w:id="18" w:name="_Toc236741074"/>
      <w:r w:rsidRPr="00FF6BD2">
        <w:rPr>
          <w:color w:val="000000" w:themeColor="text1"/>
          <w:lang w:val="en-GB"/>
        </w:rPr>
        <w:t>4. Security Gap Analysis</w:t>
      </w:r>
      <w:bookmarkEnd w:id="18"/>
      <w:r w:rsidRPr="00FF6BD2">
        <w:rPr>
          <w:color w:val="000000" w:themeColor="text1"/>
          <w:lang w:val="en-GB"/>
        </w:rPr>
        <w:t xml:space="preserve"> </w:t>
      </w:r>
    </w:p>
    <w:p w14:paraId="4196454C" w14:textId="37210491"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proofErr w:type="spellStart"/>
      <w:r w:rsidRPr="00FF6BD2">
        <w:rPr>
          <w:rFonts w:ascii="Times New Roman" w:hAnsi="Times New Roman" w:cs="Times New Roman"/>
          <w:color w:val="000000" w:themeColor="text1"/>
          <w:sz w:val="24"/>
          <w:szCs w:val="24"/>
          <w:lang w:val="en-GB"/>
        </w:rPr>
        <w:t>AeroLink</w:t>
      </w:r>
      <w:proofErr w:type="spellEnd"/>
      <w:r w:rsidRPr="00FF6BD2">
        <w:rPr>
          <w:rFonts w:ascii="Times New Roman" w:hAnsi="Times New Roman" w:cs="Times New Roman"/>
          <w:color w:val="000000" w:themeColor="text1"/>
          <w:sz w:val="24"/>
          <w:szCs w:val="24"/>
          <w:lang w:val="en-GB"/>
        </w:rPr>
        <w:t xml:space="preserve"> Logistics (ALL) has high exposure to cyber threats as a result of bad information security and governance. This </w:t>
      </w:r>
      <w:r w:rsidR="002B6CCA" w:rsidRPr="00FF6BD2">
        <w:rPr>
          <w:rFonts w:ascii="Times New Roman" w:hAnsi="Times New Roman" w:cs="Times New Roman"/>
          <w:color w:val="000000" w:themeColor="text1"/>
          <w:sz w:val="24"/>
          <w:szCs w:val="24"/>
          <w:lang w:val="en-GB"/>
        </w:rPr>
        <w:t>organis</w:t>
      </w:r>
      <w:r w:rsidRPr="00FF6BD2">
        <w:rPr>
          <w:rFonts w:ascii="Times New Roman" w:hAnsi="Times New Roman" w:cs="Times New Roman"/>
          <w:color w:val="000000" w:themeColor="text1"/>
          <w:sz w:val="24"/>
          <w:szCs w:val="24"/>
          <w:lang w:val="en-GB"/>
        </w:rPr>
        <w:t>ation has a lack of risk management and incident response, and also has no comprehensive security governance, which implies lower maturity levels.</w:t>
      </w:r>
    </w:p>
    <w:p w14:paraId="3CED4E00" w14:textId="77777777"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noProof/>
          <w:color w:val="000000" w:themeColor="text1"/>
          <w:sz w:val="24"/>
          <w:szCs w:val="24"/>
          <w:lang w:val="en-US"/>
        </w:rPr>
        <w:drawing>
          <wp:inline distT="114300" distB="114300" distL="114300" distR="114300" wp14:anchorId="677C95B5" wp14:editId="1D1A1C89">
            <wp:extent cx="5943600" cy="3105150"/>
            <wp:effectExtent l="76200" t="76200" r="133350" b="13335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5943600" cy="3105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D62439" w14:textId="4F64775E" w:rsidR="00731467" w:rsidRPr="00FF6BD2" w:rsidRDefault="00657F43" w:rsidP="00CC649A">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 xml:space="preserve">Figure </w:t>
      </w:r>
      <w:r w:rsidR="00C61DA0" w:rsidRPr="00FF6BD2">
        <w:rPr>
          <w:rFonts w:ascii="Times New Roman" w:hAnsi="Times New Roman" w:cs="Times New Roman"/>
          <w:b/>
          <w:color w:val="000000" w:themeColor="text1"/>
          <w:sz w:val="24"/>
          <w:szCs w:val="24"/>
          <w:lang w:val="en-GB"/>
        </w:rPr>
        <w:t>8</w:t>
      </w:r>
      <w:r w:rsidRPr="00FF6BD2">
        <w:rPr>
          <w:rFonts w:ascii="Times New Roman" w:hAnsi="Times New Roman" w:cs="Times New Roman"/>
          <w:b/>
          <w:color w:val="000000" w:themeColor="text1"/>
          <w:sz w:val="24"/>
          <w:szCs w:val="24"/>
          <w:lang w:val="en-GB"/>
        </w:rPr>
        <w:t>: Root Causes of Security Failures (Fishbone Diagram)</w:t>
      </w:r>
    </w:p>
    <w:p w14:paraId="103890D3" w14:textId="1CF01A84" w:rsidR="00731467" w:rsidRPr="00FF6BD2" w:rsidRDefault="00731467" w:rsidP="00CC649A">
      <w:pPr>
        <w:spacing w:before="240" w:after="240" w:line="360" w:lineRule="auto"/>
        <w:jc w:val="center"/>
        <w:rPr>
          <w:rFonts w:ascii="Times New Roman" w:hAnsi="Times New Roman" w:cs="Times New Roman"/>
          <w:color w:val="000000" w:themeColor="text1"/>
          <w:sz w:val="24"/>
          <w:szCs w:val="24"/>
          <w:lang w:val="en-GB"/>
        </w:rPr>
      </w:pPr>
    </w:p>
    <w:p w14:paraId="6518BAB4" w14:textId="0BAE28A3"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In terms of governance, the lack of security roles and governance means that it would be impossible to guarantee accountability a</w:t>
      </w:r>
      <w:r w:rsidR="002E20D9" w:rsidRPr="00FF6BD2">
        <w:rPr>
          <w:rFonts w:ascii="Times New Roman" w:hAnsi="Times New Roman" w:cs="Times New Roman"/>
          <w:color w:val="000000" w:themeColor="text1"/>
          <w:sz w:val="24"/>
          <w:szCs w:val="24"/>
          <w:lang w:val="en-GB"/>
        </w:rPr>
        <w:t>nd link cybersecurity to organis</w:t>
      </w:r>
      <w:r w:rsidRPr="00FF6BD2">
        <w:rPr>
          <w:rFonts w:ascii="Times New Roman" w:hAnsi="Times New Roman" w:cs="Times New Roman"/>
          <w:color w:val="000000" w:themeColor="text1"/>
          <w:sz w:val="24"/>
          <w:szCs w:val="24"/>
          <w:lang w:val="en-GB"/>
        </w:rPr>
        <w:t>ational goals. This problem is solved by the COBIT 2019 framework of governance, which defines roles of the stakeholders, thus making sure that the decision-making process becomes strategic</w:t>
      </w:r>
      <w:r w:rsidR="00955A42" w:rsidRPr="00FF6BD2">
        <w:rPr>
          <w:rFonts w:ascii="Times New Roman" w:hAnsi="Times New Roman" w:cs="Times New Roman"/>
          <w:color w:val="000000" w:themeColor="text1"/>
          <w:sz w:val="24"/>
          <w:szCs w:val="24"/>
          <w:lang w:val="en-GB"/>
        </w:rPr>
        <w:t xml:space="preserve"> [20]</w:t>
      </w:r>
      <w:r w:rsidRPr="00FF6BD2">
        <w:rPr>
          <w:rFonts w:ascii="Times New Roman" w:hAnsi="Times New Roman" w:cs="Times New Roman"/>
          <w:color w:val="000000" w:themeColor="text1"/>
          <w:sz w:val="24"/>
          <w:szCs w:val="24"/>
          <w:lang w:val="en-GB"/>
        </w:rPr>
        <w:t>. The lack of a risk management framework makes it difficult to identify and address cybersecurity-related risks. ISO/IEC 27005 offers a framework for security</w:t>
      </w:r>
      <w:r w:rsidR="0047591C" w:rsidRPr="00FF6BD2">
        <w:rPr>
          <w:rFonts w:ascii="Times New Roman" w:hAnsi="Times New Roman" w:cs="Times New Roman"/>
          <w:color w:val="000000" w:themeColor="text1"/>
          <w:sz w:val="24"/>
          <w:szCs w:val="24"/>
          <w:lang w:val="en-GB"/>
        </w:rPr>
        <w:t xml:space="preserve"> risk assessment and treatment</w:t>
      </w:r>
      <w:r w:rsidRPr="00FF6BD2">
        <w:rPr>
          <w:rFonts w:ascii="Times New Roman" w:hAnsi="Times New Roman" w:cs="Times New Roman"/>
          <w:color w:val="000000" w:themeColor="text1"/>
          <w:sz w:val="24"/>
          <w:szCs w:val="24"/>
          <w:lang w:val="en-GB"/>
        </w:rPr>
        <w:t>. However, NIST Cybersecurit</w:t>
      </w:r>
      <w:r w:rsidR="002E20D9" w:rsidRPr="00FF6BD2">
        <w:rPr>
          <w:rFonts w:ascii="Times New Roman" w:hAnsi="Times New Roman" w:cs="Times New Roman"/>
          <w:color w:val="000000" w:themeColor="text1"/>
          <w:sz w:val="24"/>
          <w:szCs w:val="24"/>
          <w:lang w:val="en-GB"/>
        </w:rPr>
        <w:t>y Framework 2.0 enhances organis</w:t>
      </w:r>
      <w:r w:rsidRPr="00FF6BD2">
        <w:rPr>
          <w:rFonts w:ascii="Times New Roman" w:hAnsi="Times New Roman" w:cs="Times New Roman"/>
          <w:color w:val="000000" w:themeColor="text1"/>
          <w:sz w:val="24"/>
          <w:szCs w:val="24"/>
          <w:lang w:val="en-GB"/>
        </w:rPr>
        <w:t xml:space="preserve">ational resilience through the Detect, </w:t>
      </w:r>
      <w:r w:rsidRPr="00FF6BD2">
        <w:rPr>
          <w:rFonts w:ascii="Times New Roman" w:hAnsi="Times New Roman" w:cs="Times New Roman"/>
          <w:color w:val="000000" w:themeColor="text1"/>
          <w:sz w:val="24"/>
          <w:szCs w:val="24"/>
          <w:lang w:val="en-GB"/>
        </w:rPr>
        <w:lastRenderedPageBreak/>
        <w:t>Res</w:t>
      </w:r>
      <w:r w:rsidR="00955A42" w:rsidRPr="00FF6BD2">
        <w:rPr>
          <w:rFonts w:ascii="Times New Roman" w:hAnsi="Times New Roman" w:cs="Times New Roman"/>
          <w:color w:val="000000" w:themeColor="text1"/>
          <w:sz w:val="24"/>
          <w:szCs w:val="24"/>
          <w:lang w:val="en-GB"/>
        </w:rPr>
        <w:t>pond, and Recover capabilities [9]</w:t>
      </w:r>
      <w:r w:rsidRPr="00FF6BD2">
        <w:rPr>
          <w:rFonts w:ascii="Times New Roman" w:hAnsi="Times New Roman" w:cs="Times New Roman"/>
          <w:color w:val="000000" w:themeColor="text1"/>
          <w:sz w:val="24"/>
          <w:szCs w:val="24"/>
          <w:lang w:val="en-GB"/>
        </w:rPr>
        <w:t>. Weak vendor management and a lack of compliance audits are some other factors that cre</w:t>
      </w:r>
      <w:r w:rsidR="002B6CCA" w:rsidRPr="00FF6BD2">
        <w:rPr>
          <w:rFonts w:ascii="Times New Roman" w:hAnsi="Times New Roman" w:cs="Times New Roman"/>
          <w:color w:val="000000" w:themeColor="text1"/>
          <w:sz w:val="24"/>
          <w:szCs w:val="24"/>
          <w:lang w:val="en-GB"/>
        </w:rPr>
        <w:t>ate vulnerability in the organis</w:t>
      </w:r>
      <w:r w:rsidRPr="00FF6BD2">
        <w:rPr>
          <w:rFonts w:ascii="Times New Roman" w:hAnsi="Times New Roman" w:cs="Times New Roman"/>
          <w:color w:val="000000" w:themeColor="text1"/>
          <w:sz w:val="24"/>
          <w:szCs w:val="24"/>
          <w:lang w:val="en-GB"/>
        </w:rPr>
        <w:t xml:space="preserve">ation, leading </w:t>
      </w:r>
      <w:r w:rsidR="0047591C" w:rsidRPr="00FF6BD2">
        <w:rPr>
          <w:rFonts w:ascii="Times New Roman" w:hAnsi="Times New Roman" w:cs="Times New Roman"/>
          <w:color w:val="000000" w:themeColor="text1"/>
          <w:sz w:val="24"/>
          <w:szCs w:val="24"/>
          <w:lang w:val="en-GB"/>
        </w:rPr>
        <w:t>to possible violations of GDPR [21]</w:t>
      </w:r>
      <w:r w:rsidRPr="00FF6BD2">
        <w:rPr>
          <w:rFonts w:ascii="Times New Roman" w:hAnsi="Times New Roman" w:cs="Times New Roman"/>
          <w:color w:val="000000" w:themeColor="text1"/>
          <w:sz w:val="24"/>
          <w:szCs w:val="24"/>
          <w:lang w:val="en-GB"/>
        </w:rPr>
        <w:t xml:space="preserve">. </w:t>
      </w:r>
    </w:p>
    <w:p w14:paraId="00BF733F" w14:textId="53E14428" w:rsidR="00731467" w:rsidRPr="00FF6BD2" w:rsidRDefault="00657F4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Thus, developing an integrated framework that will incorporate COBIT 2019, NIST CSF 2.0, ISO/IEC 27001, ISO/IEC 27005, ISO/IEC 27036, and IT</w:t>
      </w:r>
      <w:r w:rsidR="002B6CCA" w:rsidRPr="00FF6BD2">
        <w:rPr>
          <w:rFonts w:ascii="Times New Roman" w:hAnsi="Times New Roman" w:cs="Times New Roman"/>
          <w:color w:val="000000" w:themeColor="text1"/>
          <w:sz w:val="24"/>
          <w:szCs w:val="24"/>
          <w:lang w:val="en-GB"/>
        </w:rPr>
        <w:t>IL 4 will help solve the organis</w:t>
      </w:r>
      <w:r w:rsidRPr="00FF6BD2">
        <w:rPr>
          <w:rFonts w:ascii="Times New Roman" w:hAnsi="Times New Roman" w:cs="Times New Roman"/>
          <w:color w:val="000000" w:themeColor="text1"/>
          <w:sz w:val="24"/>
          <w:szCs w:val="24"/>
          <w:lang w:val="en-GB"/>
        </w:rPr>
        <w:t>ational problems related to governance, risk management, compliance, and security.</w:t>
      </w:r>
    </w:p>
    <w:tbl>
      <w:tblPr>
        <w:tblStyle w:val="TableGrid"/>
        <w:tblW w:w="5000" w:type="pct"/>
        <w:tblLook w:val="0600" w:firstRow="0" w:lastRow="0" w:firstColumn="0" w:lastColumn="0" w:noHBand="1" w:noVBand="1"/>
      </w:tblPr>
      <w:tblGrid>
        <w:gridCol w:w="2661"/>
        <w:gridCol w:w="2973"/>
        <w:gridCol w:w="3716"/>
      </w:tblGrid>
      <w:tr w:rsidR="00FF6BD2" w:rsidRPr="00FF6BD2" w14:paraId="6465CF14" w14:textId="77777777" w:rsidTr="00995BF4">
        <w:trPr>
          <w:trHeight w:val="585"/>
        </w:trPr>
        <w:tc>
          <w:tcPr>
            <w:tcW w:w="1423" w:type="pct"/>
          </w:tcPr>
          <w:p w14:paraId="4BB4E1EC" w14:textId="77777777" w:rsidR="00731467" w:rsidRPr="00FF6BD2" w:rsidRDefault="00657F43" w:rsidP="00CC649A">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Current Problem</w:t>
            </w:r>
          </w:p>
        </w:tc>
        <w:tc>
          <w:tcPr>
            <w:tcW w:w="1590" w:type="pct"/>
          </w:tcPr>
          <w:p w14:paraId="754BF0C0" w14:textId="77777777" w:rsidR="00731467" w:rsidRPr="00FF6BD2" w:rsidRDefault="00657F43" w:rsidP="00CC649A">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Business Impact</w:t>
            </w:r>
          </w:p>
        </w:tc>
        <w:tc>
          <w:tcPr>
            <w:tcW w:w="1987" w:type="pct"/>
          </w:tcPr>
          <w:p w14:paraId="7D5FEF21" w14:textId="77777777" w:rsidR="00731467" w:rsidRPr="00FF6BD2" w:rsidRDefault="00657F43" w:rsidP="00CC649A">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Recommended Framework/Standard</w:t>
            </w:r>
          </w:p>
        </w:tc>
      </w:tr>
      <w:tr w:rsidR="00FF6BD2" w:rsidRPr="00FF6BD2" w14:paraId="4E9C5F9D" w14:textId="77777777" w:rsidTr="00995BF4">
        <w:trPr>
          <w:trHeight w:val="585"/>
        </w:trPr>
        <w:tc>
          <w:tcPr>
            <w:tcW w:w="1423" w:type="pct"/>
          </w:tcPr>
          <w:p w14:paraId="30C6297A"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No unified security governance</w:t>
            </w:r>
          </w:p>
        </w:tc>
        <w:tc>
          <w:tcPr>
            <w:tcW w:w="1590" w:type="pct"/>
          </w:tcPr>
          <w:p w14:paraId="3D3206C9"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Poor accountability and weak strategic oversight</w:t>
            </w:r>
          </w:p>
        </w:tc>
        <w:tc>
          <w:tcPr>
            <w:tcW w:w="1987" w:type="pct"/>
          </w:tcPr>
          <w:p w14:paraId="433B2237"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COBIT 2019</w:t>
            </w:r>
          </w:p>
        </w:tc>
      </w:tr>
      <w:tr w:rsidR="00FF6BD2" w:rsidRPr="00FF6BD2" w14:paraId="486C4A7A" w14:textId="77777777" w:rsidTr="00995BF4">
        <w:trPr>
          <w:trHeight w:val="585"/>
        </w:trPr>
        <w:tc>
          <w:tcPr>
            <w:tcW w:w="1423" w:type="pct"/>
          </w:tcPr>
          <w:p w14:paraId="600CD663"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Poor risk management</w:t>
            </w:r>
          </w:p>
        </w:tc>
        <w:tc>
          <w:tcPr>
            <w:tcW w:w="1590" w:type="pct"/>
          </w:tcPr>
          <w:p w14:paraId="67897153"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Increased likelihood of data breaches</w:t>
            </w:r>
          </w:p>
        </w:tc>
        <w:tc>
          <w:tcPr>
            <w:tcW w:w="1987" w:type="pct"/>
          </w:tcPr>
          <w:p w14:paraId="1ECD636F"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ISO/IEC 27005</w:t>
            </w:r>
          </w:p>
        </w:tc>
      </w:tr>
      <w:tr w:rsidR="00FF6BD2" w:rsidRPr="00FF6BD2" w14:paraId="3E51285D" w14:textId="77777777" w:rsidTr="00995BF4">
        <w:trPr>
          <w:trHeight w:val="585"/>
        </w:trPr>
        <w:tc>
          <w:tcPr>
            <w:tcW w:w="1423" w:type="pct"/>
          </w:tcPr>
          <w:p w14:paraId="7D720A26"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No formal incident response</w:t>
            </w:r>
          </w:p>
        </w:tc>
        <w:tc>
          <w:tcPr>
            <w:tcW w:w="1590" w:type="pct"/>
          </w:tcPr>
          <w:p w14:paraId="1AFC6039"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Operational disruption and delayed recovery</w:t>
            </w:r>
          </w:p>
        </w:tc>
        <w:tc>
          <w:tcPr>
            <w:tcW w:w="1987" w:type="pct"/>
          </w:tcPr>
          <w:p w14:paraId="5F042D77"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NIST CSF 2.0</w:t>
            </w:r>
          </w:p>
        </w:tc>
      </w:tr>
      <w:tr w:rsidR="00FF6BD2" w:rsidRPr="00FF6BD2" w14:paraId="7EC5BB6D" w14:textId="77777777" w:rsidTr="00995BF4">
        <w:trPr>
          <w:trHeight w:val="870"/>
        </w:trPr>
        <w:tc>
          <w:tcPr>
            <w:tcW w:w="1423" w:type="pct"/>
          </w:tcPr>
          <w:p w14:paraId="4A865479"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Poor third-party/vendor management</w:t>
            </w:r>
          </w:p>
        </w:tc>
        <w:tc>
          <w:tcPr>
            <w:tcW w:w="1590" w:type="pct"/>
          </w:tcPr>
          <w:p w14:paraId="1E6373E3"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Supply chain vulnerabilities</w:t>
            </w:r>
          </w:p>
        </w:tc>
        <w:tc>
          <w:tcPr>
            <w:tcW w:w="1987" w:type="pct"/>
          </w:tcPr>
          <w:p w14:paraId="68617B58"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ISO/IEC 27036</w:t>
            </w:r>
          </w:p>
        </w:tc>
      </w:tr>
      <w:tr w:rsidR="00FF6BD2" w:rsidRPr="00FF6BD2" w14:paraId="6CBF6B80" w14:textId="77777777" w:rsidTr="00995BF4">
        <w:trPr>
          <w:trHeight w:val="585"/>
        </w:trPr>
        <w:tc>
          <w:tcPr>
            <w:tcW w:w="1423" w:type="pct"/>
          </w:tcPr>
          <w:p w14:paraId="02B44A59"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Lack of GDPR and ISO compliance</w:t>
            </w:r>
          </w:p>
        </w:tc>
        <w:tc>
          <w:tcPr>
            <w:tcW w:w="1590" w:type="pct"/>
          </w:tcPr>
          <w:p w14:paraId="5994F4A6"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Regulatory penalties and reputational damage</w:t>
            </w:r>
          </w:p>
        </w:tc>
        <w:tc>
          <w:tcPr>
            <w:tcW w:w="1987" w:type="pct"/>
          </w:tcPr>
          <w:p w14:paraId="427A669D"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ISO/IEC 27001:2022</w:t>
            </w:r>
          </w:p>
        </w:tc>
      </w:tr>
      <w:tr w:rsidR="00FF6BD2" w:rsidRPr="00FF6BD2" w14:paraId="7E3A81DB" w14:textId="77777777" w:rsidTr="00995BF4">
        <w:trPr>
          <w:trHeight w:val="585"/>
        </w:trPr>
        <w:tc>
          <w:tcPr>
            <w:tcW w:w="1423" w:type="pct"/>
          </w:tcPr>
          <w:p w14:paraId="068BFEDF"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No business continuity planning</w:t>
            </w:r>
          </w:p>
        </w:tc>
        <w:tc>
          <w:tcPr>
            <w:tcW w:w="1590" w:type="pct"/>
          </w:tcPr>
          <w:p w14:paraId="43BD5DBE"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Extended service interruption</w:t>
            </w:r>
          </w:p>
        </w:tc>
        <w:tc>
          <w:tcPr>
            <w:tcW w:w="1987" w:type="pct"/>
          </w:tcPr>
          <w:p w14:paraId="52C22CB8" w14:textId="77777777" w:rsidR="00731467" w:rsidRPr="00FF6BD2" w:rsidRDefault="00657F43" w:rsidP="00CC649A">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ITIL 4 and ISO 22301</w:t>
            </w:r>
          </w:p>
        </w:tc>
      </w:tr>
    </w:tbl>
    <w:p w14:paraId="2594A7CB" w14:textId="77777777" w:rsidR="00731467" w:rsidRPr="00FF6BD2" w:rsidRDefault="00395487" w:rsidP="00CC649A">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 xml:space="preserve">Table 3: </w:t>
      </w:r>
      <w:r w:rsidR="00657F43" w:rsidRPr="00FF6BD2">
        <w:rPr>
          <w:rFonts w:ascii="Times New Roman" w:hAnsi="Times New Roman" w:cs="Times New Roman"/>
          <w:b/>
          <w:color w:val="000000" w:themeColor="text1"/>
          <w:sz w:val="24"/>
          <w:szCs w:val="24"/>
          <w:lang w:val="en-GB"/>
        </w:rPr>
        <w:t>Security Gap Analysis</w:t>
      </w:r>
    </w:p>
    <w:p w14:paraId="52F5ECB0" w14:textId="4235F320" w:rsidR="00731467" w:rsidRPr="00FF6BD2" w:rsidRDefault="00731467" w:rsidP="00CC649A">
      <w:pPr>
        <w:spacing w:before="240" w:after="240" w:line="360" w:lineRule="auto"/>
        <w:jc w:val="center"/>
        <w:rPr>
          <w:rFonts w:ascii="Times New Roman" w:hAnsi="Times New Roman" w:cs="Times New Roman"/>
          <w:color w:val="000000" w:themeColor="text1"/>
          <w:sz w:val="24"/>
          <w:szCs w:val="24"/>
          <w:lang w:val="en-GB"/>
        </w:rPr>
      </w:pPr>
    </w:p>
    <w:p w14:paraId="3F8602E4" w14:textId="77777777" w:rsidR="009C5E03" w:rsidRPr="00FF6BD2" w:rsidRDefault="009C5E03" w:rsidP="00CC649A">
      <w:pPr>
        <w:pStyle w:val="Heading1"/>
        <w:spacing w:after="240"/>
        <w:rPr>
          <w:color w:val="000000" w:themeColor="text1"/>
          <w:lang w:val="en-GB"/>
        </w:rPr>
      </w:pPr>
      <w:bookmarkStart w:id="19" w:name="_Toc236741075"/>
      <w:r w:rsidRPr="00FF6BD2">
        <w:rPr>
          <w:color w:val="000000" w:themeColor="text1"/>
          <w:lang w:val="en-GB"/>
        </w:rPr>
        <w:t>5. Proposed Integrated Security Governance Framework</w:t>
      </w:r>
      <w:bookmarkEnd w:id="19"/>
    </w:p>
    <w:p w14:paraId="11E585A1" w14:textId="77777777" w:rsidR="003B27C9" w:rsidRPr="00FF6BD2" w:rsidRDefault="003B27C9" w:rsidP="003B27C9">
      <w:pPr>
        <w:pStyle w:val="Heading1"/>
        <w:spacing w:after="240"/>
        <w:rPr>
          <w:color w:val="000000" w:themeColor="text1"/>
          <w:lang w:val="en-GB"/>
        </w:rPr>
      </w:pPr>
      <w:bookmarkStart w:id="20" w:name="_Toc236741076"/>
      <w:r w:rsidRPr="00FF6BD2">
        <w:rPr>
          <w:color w:val="000000" w:themeColor="text1"/>
          <w:lang w:val="en-GB"/>
        </w:rPr>
        <w:t>5. Proposed Integrated Security Governance Framework</w:t>
      </w:r>
      <w:bookmarkEnd w:id="20"/>
    </w:p>
    <w:p w14:paraId="2D443BD2" w14:textId="77777777" w:rsidR="003B27C9" w:rsidRPr="00FF6BD2" w:rsidRDefault="003B27C9" w:rsidP="003B27C9">
      <w:pPr>
        <w:pStyle w:val="Heading2"/>
        <w:spacing w:after="240"/>
        <w:rPr>
          <w:color w:val="000000" w:themeColor="text1"/>
          <w:lang w:val="en-GB"/>
        </w:rPr>
      </w:pPr>
      <w:bookmarkStart w:id="21" w:name="_Toc236741077"/>
      <w:r w:rsidRPr="00FF6BD2">
        <w:rPr>
          <w:color w:val="000000" w:themeColor="text1"/>
          <w:lang w:val="en-GB"/>
        </w:rPr>
        <w:t>5.1 Framework Overview</w:t>
      </w:r>
      <w:bookmarkEnd w:id="21"/>
    </w:p>
    <w:p w14:paraId="2DB7A1F6" w14:textId="77777777"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r w:rsidRPr="00FF6BD2">
        <w:rPr>
          <w:rFonts w:ascii="Times New Roman" w:eastAsia="Times New Roman" w:hAnsi="Times New Roman" w:cs="Times New Roman"/>
          <w:noProof/>
          <w:color w:val="000000" w:themeColor="text1"/>
          <w:sz w:val="24"/>
          <w:szCs w:val="24"/>
          <w:lang w:val="en-US"/>
        </w:rPr>
        <w:drawing>
          <wp:inline distT="114300" distB="114300" distL="114300" distR="114300" wp14:anchorId="5F5FB3BB" wp14:editId="15A07AE8">
            <wp:extent cx="4545117" cy="3155677"/>
            <wp:effectExtent l="76200" t="76200" r="141605" b="140335"/>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4545117" cy="31556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CD1675" w14:textId="77777777" w:rsidR="003B27C9" w:rsidRPr="00FF6BD2" w:rsidRDefault="003B27C9" w:rsidP="003B27C9">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Figure 9: Governance Framework</w:t>
      </w:r>
    </w:p>
    <w:p w14:paraId="6EE37A44" w14:textId="2ABCF3CF"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p>
    <w:p w14:paraId="27D674F8" w14:textId="1ADB13E9" w:rsidR="003B27C9" w:rsidRPr="00FF6BD2" w:rsidRDefault="003B27C9" w:rsidP="003B27C9">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The integrated governance framework in figure 3 shows that the Board of Directors is the oversight for the Security Governance Committee, which is directing CISO under it. The CISO manages security, risk, compliance, IT, third party, and</w:t>
      </w:r>
      <w:r w:rsidR="0047591C" w:rsidRPr="00FF6BD2">
        <w:rPr>
          <w:rFonts w:ascii="Times New Roman" w:hAnsi="Times New Roman" w:cs="Times New Roman"/>
          <w:color w:val="000000" w:themeColor="text1"/>
          <w:sz w:val="24"/>
          <w:szCs w:val="24"/>
          <w:lang w:val="en-GB"/>
        </w:rPr>
        <w:t xml:space="preserve"> continuous security functions [22]. </w:t>
      </w:r>
      <w:r w:rsidRPr="00FF6BD2">
        <w:rPr>
          <w:rFonts w:ascii="Times New Roman" w:hAnsi="Times New Roman" w:cs="Times New Roman"/>
          <w:color w:val="000000" w:themeColor="text1"/>
          <w:sz w:val="24"/>
          <w:szCs w:val="24"/>
          <w:lang w:val="en-GB"/>
        </w:rPr>
        <w:t>The layered structure merges COBIT 2019 for governance, ISO/IEC 27001:2022 for Information Security Management Systems (ISMS), the NIST Cybersecurity Framework (CSF) 2.0 for operational cybersecurity, and ITIL 4</w:t>
      </w:r>
      <w:r w:rsidR="0047591C" w:rsidRPr="00FF6BD2">
        <w:rPr>
          <w:rFonts w:ascii="Times New Roman" w:hAnsi="Times New Roman" w:cs="Times New Roman"/>
          <w:color w:val="000000" w:themeColor="text1"/>
          <w:sz w:val="24"/>
          <w:szCs w:val="24"/>
          <w:lang w:val="en-GB"/>
        </w:rPr>
        <w:t xml:space="preserve"> for secure service management [23]</w:t>
      </w:r>
      <w:r w:rsidRPr="00FF6BD2">
        <w:rPr>
          <w:rFonts w:ascii="Times New Roman" w:hAnsi="Times New Roman" w:cs="Times New Roman"/>
          <w:color w:val="000000" w:themeColor="text1"/>
          <w:sz w:val="24"/>
          <w:szCs w:val="24"/>
          <w:lang w:val="en-GB"/>
        </w:rPr>
        <w:t>. Corporate strategies of Microsoft and HSBC towards integrated governance to align cybersecurity with business goals is an effective adoption of pandemic response as well as crisis and resilience management.</w:t>
      </w:r>
    </w:p>
    <w:p w14:paraId="0FD88D3E" w14:textId="0C05BDF6" w:rsidR="003B27C9" w:rsidRPr="00FF6BD2" w:rsidRDefault="003B27C9" w:rsidP="00995BF4">
      <w:pPr>
        <w:pStyle w:val="Heading2"/>
        <w:spacing w:after="240"/>
        <w:rPr>
          <w:color w:val="000000" w:themeColor="text1"/>
          <w:lang w:val="en-GB"/>
        </w:rPr>
      </w:pPr>
      <w:bookmarkStart w:id="22" w:name="_Toc236741078"/>
      <w:r w:rsidRPr="00FF6BD2">
        <w:rPr>
          <w:color w:val="000000" w:themeColor="text1"/>
          <w:lang w:val="en-GB"/>
        </w:rPr>
        <w:lastRenderedPageBreak/>
        <w:t>5.2 Governance Structure</w:t>
      </w:r>
      <w:bookmarkEnd w:id="22"/>
    </w:p>
    <w:p w14:paraId="01AF2E50" w14:textId="77777777"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r w:rsidRPr="00FF6BD2">
        <w:rPr>
          <w:noProof/>
          <w:color w:val="000000" w:themeColor="text1"/>
          <w:lang w:val="en-US"/>
        </w:rPr>
        <w:drawing>
          <wp:inline distT="0" distB="0" distL="0" distR="0" wp14:anchorId="256A11ED" wp14:editId="5FFF68E1">
            <wp:extent cx="5943600" cy="4131310"/>
            <wp:effectExtent l="76200" t="76200" r="133350" b="135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41313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905BAD" w14:textId="77777777" w:rsidR="003B27C9" w:rsidRPr="00FF6BD2" w:rsidRDefault="003B27C9" w:rsidP="003B27C9">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 xml:space="preserve">Figure 10: Cybersecurity Governance Structure for </w:t>
      </w:r>
      <w:proofErr w:type="spellStart"/>
      <w:r w:rsidRPr="00FF6BD2">
        <w:rPr>
          <w:rFonts w:ascii="Times New Roman" w:hAnsi="Times New Roman" w:cs="Times New Roman"/>
          <w:b/>
          <w:color w:val="000000" w:themeColor="text1"/>
          <w:sz w:val="24"/>
          <w:szCs w:val="24"/>
          <w:lang w:val="en-GB"/>
        </w:rPr>
        <w:t>AeroLink</w:t>
      </w:r>
      <w:proofErr w:type="spellEnd"/>
      <w:r w:rsidRPr="00FF6BD2">
        <w:rPr>
          <w:rFonts w:ascii="Times New Roman" w:hAnsi="Times New Roman" w:cs="Times New Roman"/>
          <w:b/>
          <w:color w:val="000000" w:themeColor="text1"/>
          <w:sz w:val="24"/>
          <w:szCs w:val="24"/>
          <w:lang w:val="en-GB"/>
        </w:rPr>
        <w:t xml:space="preserve"> Logistics (ALL)</w:t>
      </w:r>
    </w:p>
    <w:p w14:paraId="1519C090" w14:textId="2DE2163B"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p>
    <w:p w14:paraId="17FD0E16" w14:textId="5DCBC5B7" w:rsidR="003B27C9" w:rsidRPr="00FF6BD2" w:rsidRDefault="003B27C9" w:rsidP="003B27C9">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 xml:space="preserve">A RACI matrix that defines cybersecurity responsibilities among organisational stakeholders </w:t>
      </w:r>
      <w:r w:rsidR="00995BF4" w:rsidRPr="00FF6BD2">
        <w:rPr>
          <w:rFonts w:ascii="Times New Roman" w:hAnsi="Times New Roman" w:cs="Times New Roman"/>
          <w:b/>
          <w:i/>
          <w:color w:val="000000" w:themeColor="text1"/>
          <w:sz w:val="24"/>
          <w:szCs w:val="24"/>
          <w:lang w:val="en-GB"/>
        </w:rPr>
        <w:t>[R</w:t>
      </w:r>
      <w:r w:rsidRPr="00FF6BD2">
        <w:rPr>
          <w:rFonts w:ascii="Times New Roman" w:hAnsi="Times New Roman" w:cs="Times New Roman"/>
          <w:b/>
          <w:i/>
          <w:color w:val="000000" w:themeColor="text1"/>
          <w:sz w:val="24"/>
          <w:szCs w:val="24"/>
          <w:lang w:val="en-GB"/>
        </w:rPr>
        <w:t>efer to Appendix A].</w:t>
      </w:r>
      <w:r w:rsidRPr="00FF6BD2">
        <w:rPr>
          <w:rFonts w:ascii="Times New Roman" w:hAnsi="Times New Roman" w:cs="Times New Roman"/>
          <w:color w:val="000000" w:themeColor="text1"/>
          <w:sz w:val="24"/>
          <w:szCs w:val="24"/>
          <w:lang w:val="en-GB"/>
        </w:rPr>
        <w:t xml:space="preserve"> For the execution of cybersecurity policies, the CISO is responsible and for the oversight of cybersecurity strategies, the Boa</w:t>
      </w:r>
      <w:r w:rsidR="0047591C" w:rsidRPr="00FF6BD2">
        <w:rPr>
          <w:rFonts w:ascii="Times New Roman" w:hAnsi="Times New Roman" w:cs="Times New Roman"/>
          <w:color w:val="000000" w:themeColor="text1"/>
          <w:sz w:val="24"/>
          <w:szCs w:val="24"/>
          <w:lang w:val="en-GB"/>
        </w:rPr>
        <w:t>rd of Directors is responsible [24]</w:t>
      </w:r>
      <w:r w:rsidRPr="00FF6BD2">
        <w:rPr>
          <w:rFonts w:ascii="Times New Roman" w:hAnsi="Times New Roman" w:cs="Times New Roman"/>
          <w:color w:val="000000" w:themeColor="text1"/>
          <w:sz w:val="24"/>
          <w:szCs w:val="24"/>
          <w:lang w:val="en-GB"/>
        </w:rPr>
        <w:t>. The Risk Committee evaluates enterprise risks. The IT teams deploy technical control such as firewalls, access rights. Security awareness and insider risks ar</w:t>
      </w:r>
      <w:r w:rsidR="0047591C" w:rsidRPr="00FF6BD2">
        <w:rPr>
          <w:rFonts w:ascii="Times New Roman" w:hAnsi="Times New Roman" w:cs="Times New Roman"/>
          <w:color w:val="000000" w:themeColor="text1"/>
          <w:sz w:val="24"/>
          <w:szCs w:val="24"/>
          <w:lang w:val="en-GB"/>
        </w:rPr>
        <w:t>e managed by the HR department [25]</w:t>
      </w:r>
      <w:r w:rsidRPr="00FF6BD2">
        <w:rPr>
          <w:rFonts w:ascii="Times New Roman" w:hAnsi="Times New Roman" w:cs="Times New Roman"/>
          <w:color w:val="000000" w:themeColor="text1"/>
          <w:sz w:val="24"/>
          <w:szCs w:val="24"/>
          <w:lang w:val="en-GB"/>
        </w:rPr>
        <w:t>. The suppliers must satisfy their contractual security obligations.  The governance model incorporates the governance principles of COBIT 2019, which is an accountabi</w:t>
      </w:r>
      <w:r w:rsidR="0047591C" w:rsidRPr="00FF6BD2">
        <w:rPr>
          <w:rFonts w:ascii="Times New Roman" w:hAnsi="Times New Roman" w:cs="Times New Roman"/>
          <w:color w:val="000000" w:themeColor="text1"/>
          <w:sz w:val="24"/>
          <w:szCs w:val="24"/>
          <w:lang w:val="en-GB"/>
        </w:rPr>
        <w:t>lity across business functions [26]</w:t>
      </w:r>
      <w:r w:rsidRPr="00FF6BD2">
        <w:rPr>
          <w:rFonts w:ascii="Times New Roman" w:hAnsi="Times New Roman" w:cs="Times New Roman"/>
          <w:color w:val="000000" w:themeColor="text1"/>
          <w:sz w:val="24"/>
          <w:szCs w:val="24"/>
          <w:lang w:val="en-GB"/>
        </w:rPr>
        <w:t xml:space="preserve">. Similar governance structures are used by large organisations in the UK such as the NHS and </w:t>
      </w:r>
      <w:r w:rsidRPr="00FF6BD2">
        <w:rPr>
          <w:rFonts w:ascii="Times New Roman" w:hAnsi="Times New Roman" w:cs="Times New Roman"/>
          <w:color w:val="000000" w:themeColor="text1"/>
          <w:sz w:val="24"/>
          <w:szCs w:val="24"/>
          <w:lang w:val="en-GB"/>
        </w:rPr>
        <w:lastRenderedPageBreak/>
        <w:t>large banking institutions to achieve better decision-making, strengthen ownership and reduce other security gaps within the organisation.</w:t>
      </w:r>
    </w:p>
    <w:p w14:paraId="62121731" w14:textId="77777777" w:rsidR="003B27C9" w:rsidRPr="00FF6BD2" w:rsidRDefault="003B27C9" w:rsidP="003B27C9">
      <w:pPr>
        <w:pStyle w:val="Heading2"/>
        <w:spacing w:after="240"/>
        <w:rPr>
          <w:color w:val="000000" w:themeColor="text1"/>
          <w:lang w:val="en-GB"/>
        </w:rPr>
      </w:pPr>
      <w:bookmarkStart w:id="23" w:name="_Toc236741079"/>
      <w:r w:rsidRPr="00FF6BD2">
        <w:rPr>
          <w:color w:val="000000" w:themeColor="text1"/>
          <w:lang w:val="en-GB"/>
        </w:rPr>
        <w:t>5.3 Risk Management</w:t>
      </w:r>
      <w:bookmarkEnd w:id="23"/>
    </w:p>
    <w:p w14:paraId="6B108B4A" w14:textId="77777777"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r w:rsidRPr="00FF6BD2">
        <w:rPr>
          <w:noProof/>
          <w:color w:val="000000" w:themeColor="text1"/>
          <w:lang w:val="en-US"/>
        </w:rPr>
        <w:drawing>
          <wp:inline distT="0" distB="0" distL="0" distR="0" wp14:anchorId="021827E8" wp14:editId="6EACE522">
            <wp:extent cx="3952875" cy="2762250"/>
            <wp:effectExtent l="76200" t="76200" r="142875" b="133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952875" cy="2762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4BC8393" w14:textId="77777777" w:rsidR="003B27C9" w:rsidRPr="00FF6BD2" w:rsidRDefault="003B27C9" w:rsidP="003B27C9">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 xml:space="preserve">Figure 11: Enterprise Risk Management Cycle for </w:t>
      </w:r>
      <w:proofErr w:type="spellStart"/>
      <w:r w:rsidRPr="00FF6BD2">
        <w:rPr>
          <w:rFonts w:ascii="Times New Roman" w:hAnsi="Times New Roman" w:cs="Times New Roman"/>
          <w:b/>
          <w:color w:val="000000" w:themeColor="text1"/>
          <w:sz w:val="24"/>
          <w:szCs w:val="24"/>
          <w:lang w:val="en-GB"/>
        </w:rPr>
        <w:t>AeroLink</w:t>
      </w:r>
      <w:proofErr w:type="spellEnd"/>
      <w:r w:rsidRPr="00FF6BD2">
        <w:rPr>
          <w:rFonts w:ascii="Times New Roman" w:hAnsi="Times New Roman" w:cs="Times New Roman"/>
          <w:b/>
          <w:color w:val="000000" w:themeColor="text1"/>
          <w:sz w:val="24"/>
          <w:szCs w:val="24"/>
          <w:lang w:val="en-GB"/>
        </w:rPr>
        <w:t xml:space="preserve"> Logistics (ALL)</w:t>
      </w:r>
    </w:p>
    <w:p w14:paraId="7F109B9B" w14:textId="557B9A97"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p>
    <w:p w14:paraId="3B2E773B" w14:textId="2128827E" w:rsidR="003B27C9" w:rsidRPr="00FF6BD2" w:rsidRDefault="003B27C9" w:rsidP="003B27C9">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As shown in Figure 4, a continuous risk management cycle has risk identification, risk analysis, risk treatment, risk monitoring and review, and risk management and support. ISO/IEC 27005 risk management guidelines with NIST Risk Management Framework (RMF) help to broaden the enterprise-wide security pr</w:t>
      </w:r>
      <w:r w:rsidR="0047591C" w:rsidRPr="00FF6BD2">
        <w:rPr>
          <w:rFonts w:ascii="Times New Roman" w:hAnsi="Times New Roman" w:cs="Times New Roman"/>
          <w:color w:val="000000" w:themeColor="text1"/>
          <w:sz w:val="24"/>
          <w:szCs w:val="24"/>
          <w:lang w:val="en-GB"/>
        </w:rPr>
        <w:t>ocess [27]</w:t>
      </w:r>
      <w:r w:rsidRPr="00FF6BD2">
        <w:rPr>
          <w:rFonts w:ascii="Times New Roman" w:hAnsi="Times New Roman" w:cs="Times New Roman"/>
          <w:color w:val="000000" w:themeColor="text1"/>
          <w:sz w:val="24"/>
          <w:szCs w:val="24"/>
          <w:lang w:val="en-GB"/>
        </w:rPr>
        <w:t>.  The risks of cloud outsourcing, IoT devices, remote working and third-party vendors should be prioritis</w:t>
      </w:r>
      <w:r w:rsidR="000A0424" w:rsidRPr="00FF6BD2">
        <w:rPr>
          <w:rFonts w:ascii="Times New Roman" w:hAnsi="Times New Roman" w:cs="Times New Roman"/>
          <w:color w:val="000000" w:themeColor="text1"/>
          <w:sz w:val="24"/>
          <w:szCs w:val="24"/>
          <w:lang w:val="en-GB"/>
        </w:rPr>
        <w:t>ed for the business assessments.</w:t>
      </w:r>
    </w:p>
    <w:p w14:paraId="00A0D7E5" w14:textId="77777777" w:rsidR="003B27C9" w:rsidRPr="00FF6BD2" w:rsidRDefault="003B27C9" w:rsidP="003B27C9">
      <w:pPr>
        <w:pStyle w:val="Heading2"/>
        <w:spacing w:after="240"/>
        <w:rPr>
          <w:color w:val="000000" w:themeColor="text1"/>
          <w:lang w:val="en-GB"/>
        </w:rPr>
      </w:pPr>
      <w:bookmarkStart w:id="24" w:name="_Toc236741080"/>
      <w:r w:rsidRPr="00FF6BD2">
        <w:rPr>
          <w:color w:val="000000" w:themeColor="text1"/>
          <w:lang w:val="en-GB"/>
        </w:rPr>
        <w:lastRenderedPageBreak/>
        <w:t>5.4 Security Policies</w:t>
      </w:r>
      <w:bookmarkEnd w:id="24"/>
    </w:p>
    <w:p w14:paraId="35872E47" w14:textId="77777777"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r w:rsidRPr="00FF6BD2">
        <w:rPr>
          <w:noProof/>
          <w:color w:val="000000" w:themeColor="text1"/>
          <w:lang w:val="en-US"/>
        </w:rPr>
        <w:drawing>
          <wp:inline distT="0" distB="0" distL="0" distR="0" wp14:anchorId="18135254" wp14:editId="3143643E">
            <wp:extent cx="5943600" cy="3479165"/>
            <wp:effectExtent l="76200" t="76200" r="133350" b="1403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479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E073B94" w14:textId="77777777" w:rsidR="003B27C9" w:rsidRPr="00FF6BD2" w:rsidRDefault="003B27C9" w:rsidP="003B27C9">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Figure 12: Security Policy Framework</w:t>
      </w:r>
    </w:p>
    <w:p w14:paraId="16855D48" w14:textId="01E685CD"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p>
    <w:p w14:paraId="155855B2" w14:textId="52014B4B" w:rsidR="003B27C9" w:rsidRPr="00FF6BD2" w:rsidRDefault="003B27C9" w:rsidP="003B27C9">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 xml:space="preserve">The core security policies needed to ensure effective governance at ALL are listed </w:t>
      </w:r>
      <w:r w:rsidRPr="00FF6BD2">
        <w:rPr>
          <w:rFonts w:ascii="Times New Roman" w:hAnsi="Times New Roman" w:cs="Times New Roman"/>
          <w:b/>
          <w:i/>
          <w:color w:val="000000" w:themeColor="text1"/>
          <w:sz w:val="24"/>
          <w:szCs w:val="24"/>
          <w:lang w:val="en-GB"/>
        </w:rPr>
        <w:t>[</w:t>
      </w:r>
      <w:r w:rsidR="00995BF4" w:rsidRPr="00FF6BD2">
        <w:rPr>
          <w:rFonts w:ascii="Times New Roman" w:hAnsi="Times New Roman" w:cs="Times New Roman"/>
          <w:b/>
          <w:i/>
          <w:color w:val="000000" w:themeColor="text1"/>
          <w:sz w:val="24"/>
          <w:szCs w:val="24"/>
          <w:lang w:val="en-GB"/>
        </w:rPr>
        <w:t>R</w:t>
      </w:r>
      <w:r w:rsidRPr="00FF6BD2">
        <w:rPr>
          <w:rFonts w:ascii="Times New Roman" w:hAnsi="Times New Roman" w:cs="Times New Roman"/>
          <w:b/>
          <w:i/>
          <w:color w:val="000000" w:themeColor="text1"/>
          <w:sz w:val="24"/>
          <w:szCs w:val="24"/>
          <w:lang w:val="en-GB"/>
        </w:rPr>
        <w:t xml:space="preserve">efer to </w:t>
      </w:r>
      <w:r w:rsidR="00995BF4" w:rsidRPr="00FF6BD2">
        <w:rPr>
          <w:rFonts w:ascii="Times New Roman" w:hAnsi="Times New Roman" w:cs="Times New Roman"/>
          <w:b/>
          <w:i/>
          <w:color w:val="000000" w:themeColor="text1"/>
          <w:sz w:val="24"/>
          <w:szCs w:val="24"/>
          <w:lang w:val="en-GB"/>
        </w:rPr>
        <w:t xml:space="preserve">Appendix </w:t>
      </w:r>
      <w:r w:rsidRPr="00FF6BD2">
        <w:rPr>
          <w:rFonts w:ascii="Times New Roman" w:hAnsi="Times New Roman" w:cs="Times New Roman"/>
          <w:b/>
          <w:i/>
          <w:color w:val="000000" w:themeColor="text1"/>
          <w:sz w:val="24"/>
          <w:szCs w:val="24"/>
          <w:lang w:val="en-GB"/>
        </w:rPr>
        <w:t>B].</w:t>
      </w:r>
      <w:r w:rsidRPr="00FF6BD2">
        <w:rPr>
          <w:rFonts w:ascii="Times New Roman" w:hAnsi="Times New Roman" w:cs="Times New Roman"/>
          <w:color w:val="000000" w:themeColor="text1"/>
          <w:sz w:val="24"/>
          <w:szCs w:val="24"/>
          <w:lang w:val="en-GB"/>
        </w:rPr>
        <w:t xml:space="preserve"> The essential policies include acceptable use policy, password management, remote working, data classification, access control, bring your own device (BYOD), responsible AI, cloud security, IoT security, encryption sta</w:t>
      </w:r>
      <w:r w:rsidR="0047591C" w:rsidRPr="00FF6BD2">
        <w:rPr>
          <w:rFonts w:ascii="Times New Roman" w:hAnsi="Times New Roman" w:cs="Times New Roman"/>
          <w:color w:val="000000" w:themeColor="text1"/>
          <w:sz w:val="24"/>
          <w:szCs w:val="24"/>
          <w:lang w:val="en-GB"/>
        </w:rPr>
        <w:t>ndards, and incident reporting [28]</w:t>
      </w:r>
      <w:r w:rsidRPr="00FF6BD2">
        <w:rPr>
          <w:rFonts w:ascii="Times New Roman" w:hAnsi="Times New Roman" w:cs="Times New Roman"/>
          <w:color w:val="000000" w:themeColor="text1"/>
          <w:sz w:val="24"/>
          <w:szCs w:val="24"/>
          <w:lang w:val="en-GB"/>
        </w:rPr>
        <w:t>. The above policies, as required by law, shall include controls fr</w:t>
      </w:r>
      <w:r w:rsidR="0047591C" w:rsidRPr="00FF6BD2">
        <w:rPr>
          <w:rFonts w:ascii="Times New Roman" w:hAnsi="Times New Roman" w:cs="Times New Roman"/>
          <w:color w:val="000000" w:themeColor="text1"/>
          <w:sz w:val="24"/>
          <w:szCs w:val="24"/>
          <w:lang w:val="en-GB"/>
        </w:rPr>
        <w:t>om ISO/ IEC 27001:2022 Annex A [29]</w:t>
      </w:r>
      <w:r w:rsidRPr="00FF6BD2">
        <w:rPr>
          <w:rFonts w:ascii="Times New Roman" w:hAnsi="Times New Roman" w:cs="Times New Roman"/>
          <w:color w:val="000000" w:themeColor="text1"/>
          <w:sz w:val="24"/>
          <w:szCs w:val="24"/>
          <w:lang w:val="en-GB"/>
        </w:rPr>
        <w:t>. Moreover, they shall be reviewed on an annual basis in order to cover any emerging risk. Firms like BP and Shell have policies in place that streamline employee behaviour, enhance regulatory conformity, and lower operational risk in widely located settings.</w:t>
      </w:r>
    </w:p>
    <w:p w14:paraId="78DC4C87" w14:textId="77777777" w:rsidR="003B27C9" w:rsidRPr="00FF6BD2" w:rsidRDefault="003B27C9" w:rsidP="003B27C9">
      <w:pPr>
        <w:pStyle w:val="Heading2"/>
        <w:spacing w:after="240"/>
        <w:rPr>
          <w:color w:val="000000" w:themeColor="text1"/>
          <w:lang w:val="en-GB"/>
        </w:rPr>
      </w:pPr>
      <w:bookmarkStart w:id="25" w:name="_Toc236741081"/>
      <w:r w:rsidRPr="00FF6BD2">
        <w:rPr>
          <w:color w:val="000000" w:themeColor="text1"/>
          <w:lang w:val="en-GB"/>
        </w:rPr>
        <w:lastRenderedPageBreak/>
        <w:t>5.5 Identity and Access Management</w:t>
      </w:r>
      <w:bookmarkEnd w:id="25"/>
    </w:p>
    <w:p w14:paraId="3670C018" w14:textId="77777777" w:rsidR="003B27C9" w:rsidRPr="00FF6BD2" w:rsidRDefault="003B27C9" w:rsidP="003B27C9">
      <w:pPr>
        <w:spacing w:before="240" w:after="240" w:line="360" w:lineRule="auto"/>
        <w:jc w:val="center"/>
        <w:rPr>
          <w:rFonts w:ascii="Times New Roman" w:hAnsi="Times New Roman" w:cs="Times New Roman"/>
          <w:b/>
          <w:color w:val="000000" w:themeColor="text1"/>
          <w:sz w:val="24"/>
          <w:szCs w:val="24"/>
          <w:lang w:val="en-GB"/>
        </w:rPr>
      </w:pPr>
      <w:r w:rsidRPr="00FF6BD2">
        <w:rPr>
          <w:noProof/>
          <w:color w:val="000000" w:themeColor="text1"/>
          <w:lang w:val="en-US"/>
        </w:rPr>
        <w:drawing>
          <wp:inline distT="0" distB="0" distL="0" distR="0" wp14:anchorId="0EED71EE" wp14:editId="1190423E">
            <wp:extent cx="3000375" cy="4305300"/>
            <wp:effectExtent l="76200" t="76200" r="142875" b="133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000375" cy="4305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E8625AC" w14:textId="77777777" w:rsidR="003B27C9" w:rsidRPr="00FF6BD2" w:rsidRDefault="003B27C9" w:rsidP="003B27C9">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 xml:space="preserve">Figure 13: Zero Trust Identity and Access Management (IAM) Architecture for </w:t>
      </w:r>
      <w:proofErr w:type="spellStart"/>
      <w:r w:rsidRPr="00FF6BD2">
        <w:rPr>
          <w:rFonts w:ascii="Times New Roman" w:hAnsi="Times New Roman" w:cs="Times New Roman"/>
          <w:b/>
          <w:color w:val="000000" w:themeColor="text1"/>
          <w:sz w:val="24"/>
          <w:szCs w:val="24"/>
          <w:lang w:val="en-GB"/>
        </w:rPr>
        <w:t>AeroLink</w:t>
      </w:r>
      <w:proofErr w:type="spellEnd"/>
      <w:r w:rsidRPr="00FF6BD2">
        <w:rPr>
          <w:rFonts w:ascii="Times New Roman" w:hAnsi="Times New Roman" w:cs="Times New Roman"/>
          <w:b/>
          <w:color w:val="000000" w:themeColor="text1"/>
          <w:sz w:val="24"/>
          <w:szCs w:val="24"/>
          <w:lang w:val="en-GB"/>
        </w:rPr>
        <w:t xml:space="preserve"> Logistics (ALL)</w:t>
      </w:r>
    </w:p>
    <w:p w14:paraId="1B5FFFDE" w14:textId="03A7AF04"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p>
    <w:p w14:paraId="4CE7ACF5" w14:textId="387555B5" w:rsidR="003B27C9" w:rsidRPr="00FF6BD2" w:rsidRDefault="003B27C9" w:rsidP="003B27C9">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Essentially, a Zero Trust Architecture is a system whereby a user, device, or application must constantly be verified before</w:t>
      </w:r>
      <w:r w:rsidR="002B6CCA" w:rsidRPr="00FF6BD2">
        <w:rPr>
          <w:rFonts w:ascii="Times New Roman" w:hAnsi="Times New Roman" w:cs="Times New Roman"/>
          <w:color w:val="000000" w:themeColor="text1"/>
          <w:sz w:val="24"/>
          <w:szCs w:val="24"/>
          <w:lang w:val="en-GB"/>
        </w:rPr>
        <w:t xml:space="preserve"> access is granted to an organis</w:t>
      </w:r>
      <w:r w:rsidRPr="00FF6BD2">
        <w:rPr>
          <w:rFonts w:ascii="Times New Roman" w:hAnsi="Times New Roman" w:cs="Times New Roman"/>
          <w:color w:val="000000" w:themeColor="text1"/>
          <w:sz w:val="24"/>
          <w:szCs w:val="24"/>
          <w:lang w:val="en-GB"/>
        </w:rPr>
        <w:t xml:space="preserve">ation’s resources. Figure 5 is an illustration of this architecture. </w:t>
      </w:r>
      <w:proofErr w:type="spellStart"/>
      <w:r w:rsidRPr="00FF6BD2">
        <w:rPr>
          <w:rFonts w:ascii="Times New Roman" w:hAnsi="Times New Roman" w:cs="Times New Roman"/>
          <w:color w:val="000000" w:themeColor="text1"/>
          <w:sz w:val="24"/>
          <w:szCs w:val="24"/>
          <w:lang w:val="en-GB"/>
        </w:rPr>
        <w:t>AeroLink</w:t>
      </w:r>
      <w:proofErr w:type="spellEnd"/>
      <w:r w:rsidRPr="00FF6BD2">
        <w:rPr>
          <w:rFonts w:ascii="Times New Roman" w:hAnsi="Times New Roman" w:cs="Times New Roman"/>
          <w:color w:val="000000" w:themeColor="text1"/>
          <w:sz w:val="24"/>
          <w:szCs w:val="24"/>
          <w:lang w:val="en-GB"/>
        </w:rPr>
        <w:t xml:space="preserve"> Logistics (ALL) should implement Multi-Factor Authentication (MFA), Role-Based Access Control (RBAC), Privileged Access Management (PAM) along with conditional access policies and the principle of least privilege for securing remote op</w:t>
      </w:r>
      <w:r w:rsidR="0047591C" w:rsidRPr="00FF6BD2">
        <w:rPr>
          <w:rFonts w:ascii="Times New Roman" w:hAnsi="Times New Roman" w:cs="Times New Roman"/>
          <w:color w:val="000000" w:themeColor="text1"/>
          <w:sz w:val="24"/>
          <w:szCs w:val="24"/>
          <w:lang w:val="en-GB"/>
        </w:rPr>
        <w:t xml:space="preserve">erations and unmanaged devices [30]. </w:t>
      </w:r>
      <w:r w:rsidRPr="00FF6BD2">
        <w:rPr>
          <w:rFonts w:ascii="Times New Roman" w:hAnsi="Times New Roman" w:cs="Times New Roman"/>
          <w:color w:val="000000" w:themeColor="text1"/>
          <w:sz w:val="24"/>
          <w:szCs w:val="24"/>
          <w:lang w:val="en-GB"/>
        </w:rPr>
        <w:t xml:space="preserve">This approach reduces risks of unauthorized access related to stolen logins. To help in remote working and cloud digital transformation, </w:t>
      </w:r>
      <w:r w:rsidRPr="00FF6BD2">
        <w:rPr>
          <w:rFonts w:ascii="Times New Roman" w:hAnsi="Times New Roman" w:cs="Times New Roman"/>
          <w:color w:val="000000" w:themeColor="text1"/>
          <w:sz w:val="24"/>
          <w:szCs w:val="24"/>
          <w:lang w:val="en-GB"/>
        </w:rPr>
        <w:lastRenderedPageBreak/>
        <w:t xml:space="preserve">companies such as through the </w:t>
      </w:r>
      <w:proofErr w:type="spellStart"/>
      <w:r w:rsidRPr="00FF6BD2">
        <w:rPr>
          <w:rFonts w:ascii="Times New Roman" w:hAnsi="Times New Roman" w:cs="Times New Roman"/>
          <w:color w:val="000000" w:themeColor="text1"/>
          <w:sz w:val="24"/>
          <w:szCs w:val="24"/>
          <w:lang w:val="en-GB"/>
        </w:rPr>
        <w:t>BeyondCorp</w:t>
      </w:r>
      <w:proofErr w:type="spellEnd"/>
      <w:r w:rsidRPr="00FF6BD2">
        <w:rPr>
          <w:rFonts w:ascii="Times New Roman" w:hAnsi="Times New Roman" w:cs="Times New Roman"/>
          <w:color w:val="000000" w:themeColor="text1"/>
          <w:sz w:val="24"/>
          <w:szCs w:val="24"/>
          <w:lang w:val="en-GB"/>
        </w:rPr>
        <w:t xml:space="preserve"> model of Google highlights the improvements in security </w:t>
      </w:r>
      <w:r w:rsidR="00995BF4" w:rsidRPr="00FF6BD2">
        <w:rPr>
          <w:rFonts w:ascii="Times New Roman" w:hAnsi="Times New Roman" w:cs="Times New Roman"/>
          <w:color w:val="000000" w:themeColor="text1"/>
          <w:sz w:val="24"/>
          <w:szCs w:val="24"/>
          <w:lang w:val="en-GB"/>
        </w:rPr>
        <w:t>of Zero</w:t>
      </w:r>
      <w:r w:rsidR="0047591C" w:rsidRPr="00FF6BD2">
        <w:rPr>
          <w:rFonts w:ascii="Times New Roman" w:hAnsi="Times New Roman" w:cs="Times New Roman"/>
          <w:color w:val="000000" w:themeColor="text1"/>
          <w:sz w:val="24"/>
          <w:szCs w:val="24"/>
          <w:lang w:val="en-GB"/>
        </w:rPr>
        <w:t xml:space="preserve"> Trust architecture [31]</w:t>
      </w:r>
      <w:r w:rsidRPr="00FF6BD2">
        <w:rPr>
          <w:rFonts w:ascii="Times New Roman" w:hAnsi="Times New Roman" w:cs="Times New Roman"/>
          <w:color w:val="000000" w:themeColor="text1"/>
          <w:sz w:val="24"/>
          <w:szCs w:val="24"/>
          <w:lang w:val="en-GB"/>
        </w:rPr>
        <w:t>.</w:t>
      </w:r>
    </w:p>
    <w:p w14:paraId="6EE30D84" w14:textId="77777777" w:rsidR="003B27C9" w:rsidRPr="00FF6BD2" w:rsidRDefault="003B27C9" w:rsidP="003B27C9">
      <w:pPr>
        <w:pStyle w:val="Heading2"/>
        <w:spacing w:after="240"/>
        <w:rPr>
          <w:color w:val="000000" w:themeColor="text1"/>
          <w:lang w:val="en-GB"/>
        </w:rPr>
      </w:pPr>
      <w:bookmarkStart w:id="26" w:name="_Toc236741082"/>
      <w:r w:rsidRPr="00FF6BD2">
        <w:rPr>
          <w:color w:val="000000" w:themeColor="text1"/>
          <w:lang w:val="en-GB"/>
        </w:rPr>
        <w:t>5.6 Protection Mechanisms</w:t>
      </w:r>
      <w:bookmarkEnd w:id="26"/>
    </w:p>
    <w:p w14:paraId="178A6AFB" w14:textId="77777777"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r w:rsidRPr="00FF6BD2">
        <w:rPr>
          <w:noProof/>
          <w:color w:val="000000" w:themeColor="text1"/>
          <w:lang w:val="en-US"/>
        </w:rPr>
        <w:drawing>
          <wp:inline distT="0" distB="0" distL="0" distR="0" wp14:anchorId="7CA7D3A6" wp14:editId="34953A23">
            <wp:extent cx="2943225" cy="4438650"/>
            <wp:effectExtent l="76200" t="76200" r="142875" b="133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943225" cy="4438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436D38F" w14:textId="77777777" w:rsidR="003B27C9" w:rsidRPr="00FF6BD2" w:rsidRDefault="003B27C9" w:rsidP="003B27C9">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 xml:space="preserve">Figure 14: Defence-in-Depth Protection Mechanisms for </w:t>
      </w:r>
      <w:proofErr w:type="spellStart"/>
      <w:r w:rsidRPr="00FF6BD2">
        <w:rPr>
          <w:rFonts w:ascii="Times New Roman" w:hAnsi="Times New Roman" w:cs="Times New Roman"/>
          <w:b/>
          <w:color w:val="000000" w:themeColor="text1"/>
          <w:sz w:val="24"/>
          <w:szCs w:val="24"/>
          <w:lang w:val="en-GB"/>
        </w:rPr>
        <w:t>AeroLink</w:t>
      </w:r>
      <w:proofErr w:type="spellEnd"/>
      <w:r w:rsidRPr="00FF6BD2">
        <w:rPr>
          <w:rFonts w:ascii="Times New Roman" w:hAnsi="Times New Roman" w:cs="Times New Roman"/>
          <w:b/>
          <w:color w:val="000000" w:themeColor="text1"/>
          <w:sz w:val="24"/>
          <w:szCs w:val="24"/>
          <w:lang w:val="en-GB"/>
        </w:rPr>
        <w:t xml:space="preserve"> Logistics (ALL)</w:t>
      </w:r>
    </w:p>
    <w:p w14:paraId="365EED84" w14:textId="52F1E001"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p>
    <w:p w14:paraId="72CAAF40" w14:textId="73A35804" w:rsidR="003B27C9" w:rsidRPr="00FF6BD2" w:rsidRDefault="003B27C9" w:rsidP="003B27C9">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To secure assets, Defence-in-Depth invo</w:t>
      </w:r>
      <w:r w:rsidR="002B6CCA" w:rsidRPr="00FF6BD2">
        <w:rPr>
          <w:rFonts w:ascii="Times New Roman" w:hAnsi="Times New Roman" w:cs="Times New Roman"/>
          <w:color w:val="000000" w:themeColor="text1"/>
          <w:sz w:val="24"/>
          <w:szCs w:val="24"/>
          <w:lang w:val="en-GB"/>
        </w:rPr>
        <w:t>lves multiple layers for organis</w:t>
      </w:r>
      <w:r w:rsidRPr="00FF6BD2">
        <w:rPr>
          <w:rFonts w:ascii="Times New Roman" w:hAnsi="Times New Roman" w:cs="Times New Roman"/>
          <w:color w:val="000000" w:themeColor="text1"/>
          <w:sz w:val="24"/>
          <w:szCs w:val="24"/>
          <w:lang w:val="en-GB"/>
        </w:rPr>
        <w:t>ational defence.  There is a need for AES 256 encryption of stored data, TLS 1.3 for data-in-transit, next-gen firewall through constant security monitoring to secure email gateway, cloud securit</w:t>
      </w:r>
      <w:r w:rsidR="0047591C" w:rsidRPr="00FF6BD2">
        <w:rPr>
          <w:rFonts w:ascii="Times New Roman" w:hAnsi="Times New Roman" w:cs="Times New Roman"/>
          <w:color w:val="000000" w:themeColor="text1"/>
          <w:sz w:val="24"/>
          <w:szCs w:val="24"/>
          <w:lang w:val="en-GB"/>
        </w:rPr>
        <w:t>y monitoring, automated backup [32]</w:t>
      </w:r>
      <w:r w:rsidRPr="00FF6BD2">
        <w:rPr>
          <w:rFonts w:ascii="Times New Roman" w:hAnsi="Times New Roman" w:cs="Times New Roman"/>
          <w:color w:val="000000" w:themeColor="text1"/>
          <w:sz w:val="24"/>
          <w:szCs w:val="24"/>
          <w:lang w:val="en-GB"/>
        </w:rPr>
        <w:t>. Microsoft Azure and Amazon Web Services promote similar defence-in-depth strategies to secure enterprise cloud environments against evolving cy</w:t>
      </w:r>
      <w:r w:rsidR="0047591C" w:rsidRPr="00FF6BD2">
        <w:rPr>
          <w:rFonts w:ascii="Times New Roman" w:hAnsi="Times New Roman" w:cs="Times New Roman"/>
          <w:color w:val="000000" w:themeColor="text1"/>
          <w:sz w:val="24"/>
          <w:szCs w:val="24"/>
          <w:lang w:val="en-GB"/>
        </w:rPr>
        <w:t>ber threats [33]</w:t>
      </w:r>
      <w:r w:rsidRPr="00FF6BD2">
        <w:rPr>
          <w:rFonts w:ascii="Times New Roman" w:hAnsi="Times New Roman" w:cs="Times New Roman"/>
          <w:color w:val="000000" w:themeColor="text1"/>
          <w:sz w:val="24"/>
          <w:szCs w:val="24"/>
          <w:lang w:val="en-GB"/>
        </w:rPr>
        <w:t>.</w:t>
      </w:r>
    </w:p>
    <w:p w14:paraId="64B22355" w14:textId="77777777" w:rsidR="003B27C9" w:rsidRPr="00FF6BD2" w:rsidRDefault="003B27C9" w:rsidP="003B27C9">
      <w:pPr>
        <w:pStyle w:val="Heading2"/>
        <w:spacing w:after="240"/>
        <w:rPr>
          <w:color w:val="000000" w:themeColor="text1"/>
          <w:lang w:val="en-GB"/>
        </w:rPr>
      </w:pPr>
      <w:bookmarkStart w:id="27" w:name="_Toc236741083"/>
      <w:r w:rsidRPr="00FF6BD2">
        <w:rPr>
          <w:color w:val="000000" w:themeColor="text1"/>
          <w:lang w:val="en-GB"/>
        </w:rPr>
        <w:lastRenderedPageBreak/>
        <w:t>5.7 Vendor and SLA Management</w:t>
      </w:r>
      <w:bookmarkEnd w:id="27"/>
    </w:p>
    <w:p w14:paraId="2102621A" w14:textId="77777777"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r w:rsidRPr="00FF6BD2">
        <w:rPr>
          <w:noProof/>
          <w:color w:val="000000" w:themeColor="text1"/>
          <w:lang w:val="en-US"/>
        </w:rPr>
        <w:drawing>
          <wp:inline distT="0" distB="0" distL="0" distR="0" wp14:anchorId="4C5D8493" wp14:editId="232E4E92">
            <wp:extent cx="4467225" cy="3133725"/>
            <wp:effectExtent l="76200" t="76200" r="142875" b="1428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467225" cy="3133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37A3A56" w14:textId="77777777" w:rsidR="003B27C9" w:rsidRPr="00FF6BD2" w:rsidRDefault="003B27C9" w:rsidP="003B27C9">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Figure 15. Vendor Governance and SLA Management Framework</w:t>
      </w:r>
    </w:p>
    <w:p w14:paraId="331CEC9B" w14:textId="242B7600"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p>
    <w:p w14:paraId="77ADB76B" w14:textId="6039FEFC" w:rsidR="003B27C9" w:rsidRPr="00FF6BD2" w:rsidRDefault="003B27C9" w:rsidP="003B27C9">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 xml:space="preserve">The Vendor Risk Matrix is shown which helps score the vendors on the basis of security maturity, compliance status </w:t>
      </w:r>
      <w:r w:rsidRPr="00FF6BD2">
        <w:rPr>
          <w:rFonts w:ascii="Times New Roman" w:hAnsi="Times New Roman" w:cs="Times New Roman"/>
          <w:b/>
          <w:i/>
          <w:color w:val="000000" w:themeColor="text1"/>
          <w:sz w:val="24"/>
          <w:szCs w:val="24"/>
          <w:lang w:val="en-GB"/>
        </w:rPr>
        <w:t>[refer to Appendix-C].</w:t>
      </w:r>
      <w:r w:rsidRPr="00FF6BD2">
        <w:rPr>
          <w:rFonts w:ascii="Times New Roman" w:hAnsi="Times New Roman" w:cs="Times New Roman"/>
          <w:color w:val="000000" w:themeColor="text1"/>
          <w:sz w:val="24"/>
          <w:szCs w:val="24"/>
          <w:lang w:val="en-GB"/>
        </w:rPr>
        <w:t xml:space="preserve"> Vendor governance is critical since nearly 88% of </w:t>
      </w:r>
      <w:proofErr w:type="spellStart"/>
      <w:r w:rsidRPr="00FF6BD2">
        <w:rPr>
          <w:rFonts w:ascii="Times New Roman" w:hAnsi="Times New Roman" w:cs="Times New Roman"/>
          <w:color w:val="000000" w:themeColor="text1"/>
          <w:sz w:val="24"/>
          <w:szCs w:val="24"/>
          <w:lang w:val="en-GB"/>
        </w:rPr>
        <w:t>AeroLink</w:t>
      </w:r>
      <w:proofErr w:type="spellEnd"/>
      <w:r w:rsidRPr="00FF6BD2">
        <w:rPr>
          <w:rFonts w:ascii="Times New Roman" w:hAnsi="Times New Roman" w:cs="Times New Roman"/>
          <w:color w:val="000000" w:themeColor="text1"/>
          <w:sz w:val="24"/>
          <w:szCs w:val="24"/>
          <w:lang w:val="en-GB"/>
        </w:rPr>
        <w:t xml:space="preserve"> Logistics</w:t>
      </w:r>
      <w:r w:rsidR="0047591C" w:rsidRPr="00FF6BD2">
        <w:rPr>
          <w:rFonts w:ascii="Times New Roman" w:hAnsi="Times New Roman" w:cs="Times New Roman"/>
          <w:color w:val="000000" w:themeColor="text1"/>
          <w:sz w:val="24"/>
          <w:szCs w:val="24"/>
          <w:lang w:val="en-GB"/>
        </w:rPr>
        <w:t>' infrastructure is outsourced [34]</w:t>
      </w:r>
      <w:r w:rsidRPr="00FF6BD2">
        <w:rPr>
          <w:rFonts w:ascii="Times New Roman" w:hAnsi="Times New Roman" w:cs="Times New Roman"/>
          <w:color w:val="000000" w:themeColor="text1"/>
          <w:sz w:val="24"/>
          <w:szCs w:val="24"/>
          <w:lang w:val="en-GB"/>
        </w:rPr>
        <w:t>. ISO/IEC27001 certification and independent security audit, Service Level Agreements (SLAs), incident reporting obligations, Key Performance Indicators (KPIs) and continuous security monitoring should be incl</w:t>
      </w:r>
      <w:r w:rsidR="0047591C" w:rsidRPr="00FF6BD2">
        <w:rPr>
          <w:rFonts w:ascii="Times New Roman" w:hAnsi="Times New Roman" w:cs="Times New Roman"/>
          <w:color w:val="000000" w:themeColor="text1"/>
          <w:sz w:val="24"/>
          <w:szCs w:val="24"/>
          <w:lang w:val="en-GB"/>
        </w:rPr>
        <w:t>uded in the security contracts [35]</w:t>
      </w:r>
      <w:r w:rsidRPr="00FF6BD2">
        <w:rPr>
          <w:rFonts w:ascii="Times New Roman" w:hAnsi="Times New Roman" w:cs="Times New Roman"/>
          <w:color w:val="000000" w:themeColor="text1"/>
          <w:sz w:val="24"/>
          <w:szCs w:val="24"/>
          <w:lang w:val="en-GB"/>
        </w:rPr>
        <w:t>. IBM and Unilever are among the organizations that have adopted similar programs of supplier assurance, where third-</w:t>
      </w:r>
      <w:r w:rsidR="00995BF4" w:rsidRPr="00FF6BD2">
        <w:rPr>
          <w:rFonts w:ascii="Times New Roman" w:hAnsi="Times New Roman" w:cs="Times New Roman"/>
          <w:color w:val="000000" w:themeColor="text1"/>
          <w:sz w:val="24"/>
          <w:szCs w:val="24"/>
          <w:lang w:val="en-GB"/>
        </w:rPr>
        <w:t>parties’</w:t>
      </w:r>
      <w:r w:rsidRPr="00FF6BD2">
        <w:rPr>
          <w:rFonts w:ascii="Times New Roman" w:hAnsi="Times New Roman" w:cs="Times New Roman"/>
          <w:color w:val="000000" w:themeColor="text1"/>
          <w:sz w:val="24"/>
          <w:szCs w:val="24"/>
          <w:lang w:val="en-GB"/>
        </w:rPr>
        <w:t xml:space="preserve"> risks are continually assessed to limit vulnerabilities in the supply chain and enhance regulatory complian</w:t>
      </w:r>
      <w:r w:rsidR="0047591C" w:rsidRPr="00FF6BD2">
        <w:rPr>
          <w:rFonts w:ascii="Times New Roman" w:hAnsi="Times New Roman" w:cs="Times New Roman"/>
          <w:color w:val="000000" w:themeColor="text1"/>
          <w:sz w:val="24"/>
          <w:szCs w:val="24"/>
          <w:lang w:val="en-GB"/>
        </w:rPr>
        <w:t>ce across the vendor ecosystem [36]</w:t>
      </w:r>
      <w:r w:rsidRPr="00FF6BD2">
        <w:rPr>
          <w:rFonts w:ascii="Times New Roman" w:hAnsi="Times New Roman" w:cs="Times New Roman"/>
          <w:color w:val="000000" w:themeColor="text1"/>
          <w:sz w:val="24"/>
          <w:szCs w:val="24"/>
          <w:lang w:val="en-GB"/>
        </w:rPr>
        <w:t>.</w:t>
      </w:r>
    </w:p>
    <w:p w14:paraId="5E627E27" w14:textId="77777777" w:rsidR="003B27C9" w:rsidRPr="00FF6BD2" w:rsidRDefault="003B27C9" w:rsidP="003B27C9">
      <w:pPr>
        <w:pStyle w:val="Heading2"/>
        <w:spacing w:after="240"/>
        <w:rPr>
          <w:color w:val="000000" w:themeColor="text1"/>
          <w:lang w:val="en-GB"/>
        </w:rPr>
      </w:pPr>
      <w:bookmarkStart w:id="28" w:name="_Toc236741084"/>
      <w:r w:rsidRPr="00FF6BD2">
        <w:rPr>
          <w:color w:val="000000" w:themeColor="text1"/>
          <w:lang w:val="en-GB"/>
        </w:rPr>
        <w:lastRenderedPageBreak/>
        <w:t>5.8 Incident Response</w:t>
      </w:r>
      <w:bookmarkEnd w:id="28"/>
    </w:p>
    <w:p w14:paraId="038E88CC" w14:textId="77777777"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r w:rsidRPr="00FF6BD2">
        <w:rPr>
          <w:noProof/>
          <w:color w:val="000000" w:themeColor="text1"/>
          <w:lang w:val="en-US"/>
        </w:rPr>
        <w:drawing>
          <wp:inline distT="0" distB="0" distL="0" distR="0" wp14:anchorId="205BD972" wp14:editId="3CC5D8AE">
            <wp:extent cx="4657725" cy="4448175"/>
            <wp:effectExtent l="76200" t="76200" r="142875" b="1428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57725" cy="4448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E22996F" w14:textId="77777777" w:rsidR="003B27C9" w:rsidRPr="00FF6BD2" w:rsidRDefault="003B27C9" w:rsidP="003B27C9">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 xml:space="preserve">Figure 16: NIST Incident Response Lifecycle for </w:t>
      </w:r>
      <w:proofErr w:type="spellStart"/>
      <w:r w:rsidRPr="00FF6BD2">
        <w:rPr>
          <w:rFonts w:ascii="Times New Roman" w:hAnsi="Times New Roman" w:cs="Times New Roman"/>
          <w:b/>
          <w:color w:val="000000" w:themeColor="text1"/>
          <w:sz w:val="24"/>
          <w:szCs w:val="24"/>
          <w:lang w:val="en-GB"/>
        </w:rPr>
        <w:t>AeroLink</w:t>
      </w:r>
      <w:proofErr w:type="spellEnd"/>
      <w:r w:rsidRPr="00FF6BD2">
        <w:rPr>
          <w:rFonts w:ascii="Times New Roman" w:hAnsi="Times New Roman" w:cs="Times New Roman"/>
          <w:b/>
          <w:color w:val="000000" w:themeColor="text1"/>
          <w:sz w:val="24"/>
          <w:szCs w:val="24"/>
          <w:lang w:val="en-GB"/>
        </w:rPr>
        <w:t xml:space="preserve"> Logistics (ALL)</w:t>
      </w:r>
    </w:p>
    <w:p w14:paraId="6064E7F3" w14:textId="325A9AEB"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p>
    <w:p w14:paraId="1A235110" w14:textId="588E399D" w:rsidR="003B27C9" w:rsidRPr="00FF6BD2" w:rsidRDefault="003B27C9" w:rsidP="003B27C9">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 xml:space="preserve">The NIST Incident Response Lifecycle is depicted in figure 7 starting with preparation and continuing with detection, containment, eradication, recovery and lessons learned. A CSIRT must be formally established for </w:t>
      </w:r>
      <w:proofErr w:type="spellStart"/>
      <w:r w:rsidRPr="00FF6BD2">
        <w:rPr>
          <w:rFonts w:ascii="Times New Roman" w:hAnsi="Times New Roman" w:cs="Times New Roman"/>
          <w:color w:val="000000" w:themeColor="text1"/>
          <w:sz w:val="24"/>
          <w:szCs w:val="24"/>
          <w:lang w:val="en-GB"/>
        </w:rPr>
        <w:t>AeroLink</w:t>
      </w:r>
      <w:proofErr w:type="spellEnd"/>
      <w:r w:rsidRPr="00FF6BD2">
        <w:rPr>
          <w:rFonts w:ascii="Times New Roman" w:hAnsi="Times New Roman" w:cs="Times New Roman"/>
          <w:color w:val="000000" w:themeColor="text1"/>
          <w:sz w:val="24"/>
          <w:szCs w:val="24"/>
          <w:lang w:val="en-GB"/>
        </w:rPr>
        <w:t xml:space="preserve"> Logistics (ALL) alongside documentation. Security monitoring, forensic investigations and simulation ex</w:t>
      </w:r>
      <w:r w:rsidR="0047591C" w:rsidRPr="00FF6BD2">
        <w:rPr>
          <w:rFonts w:ascii="Times New Roman" w:hAnsi="Times New Roman" w:cs="Times New Roman"/>
          <w:color w:val="000000" w:themeColor="text1"/>
          <w:sz w:val="24"/>
          <w:szCs w:val="24"/>
          <w:lang w:val="en-GB"/>
        </w:rPr>
        <w:t>ercises will support the CSIRT [37]</w:t>
      </w:r>
      <w:r w:rsidRPr="00FF6BD2">
        <w:rPr>
          <w:rFonts w:ascii="Times New Roman" w:hAnsi="Times New Roman" w:cs="Times New Roman"/>
          <w:color w:val="000000" w:themeColor="text1"/>
          <w:sz w:val="24"/>
          <w:szCs w:val="24"/>
          <w:lang w:val="en-GB"/>
        </w:rPr>
        <w:t>. By employing coordinated communication and rapid containment, it can reduce operational disruption and regulatory fallout after cyber incidents.  The main incident response activity that Maersk and other organisations strengthened post-</w:t>
      </w:r>
      <w:proofErr w:type="spellStart"/>
      <w:r w:rsidRPr="00FF6BD2">
        <w:rPr>
          <w:rFonts w:ascii="Times New Roman" w:hAnsi="Times New Roman" w:cs="Times New Roman"/>
          <w:color w:val="000000" w:themeColor="text1"/>
          <w:sz w:val="24"/>
          <w:szCs w:val="24"/>
          <w:lang w:val="en-GB"/>
        </w:rPr>
        <w:t>NotPetya</w:t>
      </w:r>
      <w:proofErr w:type="spellEnd"/>
      <w:r w:rsidRPr="00FF6BD2">
        <w:rPr>
          <w:rFonts w:ascii="Times New Roman" w:hAnsi="Times New Roman" w:cs="Times New Roman"/>
          <w:color w:val="000000" w:themeColor="text1"/>
          <w:sz w:val="24"/>
          <w:szCs w:val="24"/>
          <w:lang w:val="en-GB"/>
        </w:rPr>
        <w:t xml:space="preserve"> ransomware attack was incident response planning </w:t>
      </w:r>
      <w:r w:rsidRPr="00FF6BD2">
        <w:rPr>
          <w:rFonts w:ascii="Times New Roman" w:hAnsi="Times New Roman" w:cs="Times New Roman"/>
          <w:color w:val="000000" w:themeColor="text1"/>
          <w:sz w:val="24"/>
          <w:szCs w:val="24"/>
          <w:lang w:val="en-GB"/>
        </w:rPr>
        <w:lastRenderedPageBreak/>
        <w:t>for recovery purposes through repeatable activity and improv</w:t>
      </w:r>
      <w:r w:rsidR="000A0424" w:rsidRPr="00FF6BD2">
        <w:rPr>
          <w:rFonts w:ascii="Times New Roman" w:hAnsi="Times New Roman" w:cs="Times New Roman"/>
          <w:color w:val="000000" w:themeColor="text1"/>
          <w:sz w:val="24"/>
          <w:szCs w:val="24"/>
          <w:lang w:val="en-GB"/>
        </w:rPr>
        <w:t xml:space="preserve">ing upon it [38]. </w:t>
      </w:r>
      <w:r w:rsidRPr="00FF6BD2">
        <w:rPr>
          <w:rFonts w:ascii="Times New Roman" w:hAnsi="Times New Roman" w:cs="Times New Roman"/>
          <w:color w:val="000000" w:themeColor="text1"/>
          <w:sz w:val="24"/>
          <w:szCs w:val="24"/>
          <w:lang w:val="en-GB"/>
        </w:rPr>
        <w:t>So, it’s important to have a structure.</w:t>
      </w:r>
    </w:p>
    <w:p w14:paraId="57E988FC" w14:textId="77777777" w:rsidR="003B27C9" w:rsidRPr="00FF6BD2" w:rsidRDefault="003B27C9" w:rsidP="003B27C9">
      <w:pPr>
        <w:pStyle w:val="Heading2"/>
        <w:spacing w:after="240"/>
        <w:rPr>
          <w:color w:val="000000" w:themeColor="text1"/>
          <w:lang w:val="en-GB"/>
        </w:rPr>
      </w:pPr>
      <w:bookmarkStart w:id="29" w:name="_Toc236741085"/>
      <w:r w:rsidRPr="00FF6BD2">
        <w:rPr>
          <w:color w:val="000000" w:themeColor="text1"/>
          <w:lang w:val="en-GB"/>
        </w:rPr>
        <w:t>5.9 Business Continuity</w:t>
      </w:r>
      <w:bookmarkEnd w:id="29"/>
    </w:p>
    <w:p w14:paraId="353911E6" w14:textId="77777777"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r w:rsidRPr="00FF6BD2">
        <w:rPr>
          <w:b/>
          <w:noProof/>
          <w:color w:val="000000" w:themeColor="text1"/>
          <w:lang w:val="en-US"/>
        </w:rPr>
        <w:drawing>
          <wp:inline distT="0" distB="0" distL="0" distR="0" wp14:anchorId="0407EBB2" wp14:editId="71B65E61">
            <wp:extent cx="5486400" cy="3200400"/>
            <wp:effectExtent l="0" t="38100" r="0" b="190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69708309" w14:textId="77777777" w:rsidR="003B27C9" w:rsidRPr="00FF6BD2" w:rsidRDefault="003B27C9" w:rsidP="003B27C9">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 xml:space="preserve">Figure 17: Business Continuity Framework for </w:t>
      </w:r>
      <w:proofErr w:type="spellStart"/>
      <w:r w:rsidRPr="00FF6BD2">
        <w:rPr>
          <w:rFonts w:ascii="Times New Roman" w:hAnsi="Times New Roman" w:cs="Times New Roman"/>
          <w:b/>
          <w:color w:val="000000" w:themeColor="text1"/>
          <w:sz w:val="24"/>
          <w:szCs w:val="24"/>
          <w:lang w:val="en-GB"/>
        </w:rPr>
        <w:t>AeroLink</w:t>
      </w:r>
      <w:proofErr w:type="spellEnd"/>
      <w:r w:rsidRPr="00FF6BD2">
        <w:rPr>
          <w:rFonts w:ascii="Times New Roman" w:hAnsi="Times New Roman" w:cs="Times New Roman"/>
          <w:b/>
          <w:color w:val="000000" w:themeColor="text1"/>
          <w:sz w:val="24"/>
          <w:szCs w:val="24"/>
          <w:lang w:val="en-GB"/>
        </w:rPr>
        <w:t xml:space="preserve"> Logistics (ALL)</w:t>
      </w:r>
    </w:p>
    <w:p w14:paraId="1C5FF259" w14:textId="58F5F6B2"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p>
    <w:p w14:paraId="27E10066" w14:textId="34ED9C20" w:rsidR="003B27C9" w:rsidRPr="00FF6BD2" w:rsidRDefault="003B27C9" w:rsidP="003B27C9">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The diagram in figure 8 shows that a business impact analysis (BIA) is the first phase of the business continuity framework. It is followed by disaster recovery planning, cloud backup, set recovery time objective (RTO) and recovery point object</w:t>
      </w:r>
      <w:r w:rsidR="0047591C" w:rsidRPr="00FF6BD2">
        <w:rPr>
          <w:rFonts w:ascii="Times New Roman" w:hAnsi="Times New Roman" w:cs="Times New Roman"/>
          <w:color w:val="000000" w:themeColor="text1"/>
          <w:sz w:val="24"/>
          <w:szCs w:val="24"/>
          <w:lang w:val="en-GB"/>
        </w:rPr>
        <w:t>iv</w:t>
      </w:r>
      <w:r w:rsidR="000A0424" w:rsidRPr="00FF6BD2">
        <w:rPr>
          <w:rFonts w:ascii="Times New Roman" w:hAnsi="Times New Roman" w:cs="Times New Roman"/>
          <w:color w:val="000000" w:themeColor="text1"/>
          <w:sz w:val="24"/>
          <w:szCs w:val="24"/>
          <w:lang w:val="en-GB"/>
        </w:rPr>
        <w:t>e (RPO), and tests regularly [39</w:t>
      </w:r>
      <w:r w:rsidR="0047591C" w:rsidRPr="00FF6BD2">
        <w:rPr>
          <w:rFonts w:ascii="Times New Roman" w:hAnsi="Times New Roman" w:cs="Times New Roman"/>
          <w:color w:val="000000" w:themeColor="text1"/>
          <w:sz w:val="24"/>
          <w:szCs w:val="24"/>
          <w:lang w:val="en-GB"/>
        </w:rPr>
        <w:t>].</w:t>
      </w:r>
      <w:r w:rsidRPr="00FF6BD2">
        <w:rPr>
          <w:rFonts w:ascii="Times New Roman" w:hAnsi="Times New Roman" w:cs="Times New Roman"/>
          <w:color w:val="000000" w:themeColor="text1"/>
          <w:sz w:val="24"/>
          <w:szCs w:val="24"/>
          <w:lang w:val="en-GB"/>
        </w:rPr>
        <w:t xml:space="preserve"> </w:t>
      </w:r>
      <w:proofErr w:type="spellStart"/>
      <w:r w:rsidRPr="00FF6BD2">
        <w:rPr>
          <w:rFonts w:ascii="Times New Roman" w:hAnsi="Times New Roman" w:cs="Times New Roman"/>
          <w:color w:val="000000" w:themeColor="text1"/>
          <w:sz w:val="24"/>
          <w:szCs w:val="24"/>
          <w:lang w:val="en-GB"/>
        </w:rPr>
        <w:t>AeroLink</w:t>
      </w:r>
      <w:proofErr w:type="spellEnd"/>
      <w:r w:rsidRPr="00FF6BD2">
        <w:rPr>
          <w:rFonts w:ascii="Times New Roman" w:hAnsi="Times New Roman" w:cs="Times New Roman"/>
          <w:color w:val="000000" w:themeColor="text1"/>
          <w:sz w:val="24"/>
          <w:szCs w:val="24"/>
          <w:lang w:val="en-GB"/>
        </w:rPr>
        <w:t xml:space="preserve"> Logistics (ALL) needs to maintain essential operation of logistics systems during cyber incidents or infrastructural failure. Through business continuity planning, FedEx and DHL want to ensure that there </w:t>
      </w:r>
      <w:r w:rsidR="000A0424" w:rsidRPr="00FF6BD2">
        <w:rPr>
          <w:rFonts w:ascii="Times New Roman" w:hAnsi="Times New Roman" w:cs="Times New Roman"/>
          <w:color w:val="000000" w:themeColor="text1"/>
          <w:sz w:val="24"/>
          <w:szCs w:val="24"/>
          <w:lang w:val="en-GB"/>
        </w:rPr>
        <w:t>is no interruption in services [40]</w:t>
      </w:r>
      <w:r w:rsidRPr="00FF6BD2">
        <w:rPr>
          <w:rFonts w:ascii="Times New Roman" w:hAnsi="Times New Roman" w:cs="Times New Roman"/>
          <w:color w:val="000000" w:themeColor="text1"/>
          <w:sz w:val="24"/>
          <w:szCs w:val="24"/>
          <w:lang w:val="en-GB"/>
        </w:rPr>
        <w:t>. Whether there is a cyberattack or natural disaster, the logistics operations would be unaffected. Moreover, it applies to their global operations and not only the local ones.</w:t>
      </w:r>
    </w:p>
    <w:p w14:paraId="7DD90824" w14:textId="77777777" w:rsidR="003B27C9" w:rsidRPr="00FF6BD2" w:rsidRDefault="003B27C9" w:rsidP="003B27C9">
      <w:pPr>
        <w:pStyle w:val="Heading2"/>
        <w:spacing w:after="240"/>
        <w:rPr>
          <w:color w:val="000000" w:themeColor="text1"/>
          <w:lang w:val="en-GB"/>
        </w:rPr>
      </w:pPr>
      <w:bookmarkStart w:id="30" w:name="_Toc236741086"/>
      <w:r w:rsidRPr="00FF6BD2">
        <w:rPr>
          <w:color w:val="000000" w:themeColor="text1"/>
          <w:lang w:val="en-GB"/>
        </w:rPr>
        <w:lastRenderedPageBreak/>
        <w:t>5.10 Compliance Strategy</w:t>
      </w:r>
      <w:bookmarkEnd w:id="30"/>
    </w:p>
    <w:p w14:paraId="0A1A4B09" w14:textId="77777777"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r w:rsidRPr="00FF6BD2">
        <w:rPr>
          <w:noProof/>
          <w:color w:val="000000" w:themeColor="text1"/>
          <w:lang w:val="en-US"/>
        </w:rPr>
        <w:drawing>
          <wp:inline distT="0" distB="0" distL="0" distR="0" wp14:anchorId="282E5B90" wp14:editId="3B16F6C5">
            <wp:extent cx="4533900" cy="3829050"/>
            <wp:effectExtent l="76200" t="76200" r="133350" b="133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533900" cy="3829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DBD58C9" w14:textId="77777777" w:rsidR="003B27C9" w:rsidRPr="00FF6BD2" w:rsidRDefault="003B27C9" w:rsidP="003B27C9">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Figure 18: Compliance Strategy Lifecycle</w:t>
      </w:r>
    </w:p>
    <w:p w14:paraId="5403D98E" w14:textId="6F05F5E2"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p>
    <w:p w14:paraId="32BE01D1" w14:textId="2CE7D2D8" w:rsidR="003B27C9" w:rsidRPr="00FF6BD2" w:rsidRDefault="003B27C9" w:rsidP="003B27C9">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 xml:space="preserve">The compliance lifecycle involves governance, implementation, audit, monitor and improvement as illustrated in figure 9. </w:t>
      </w:r>
      <w:proofErr w:type="spellStart"/>
      <w:r w:rsidRPr="00FF6BD2">
        <w:rPr>
          <w:rFonts w:ascii="Times New Roman" w:hAnsi="Times New Roman" w:cs="Times New Roman"/>
          <w:color w:val="000000" w:themeColor="text1"/>
          <w:sz w:val="24"/>
          <w:szCs w:val="24"/>
          <w:lang w:val="en-GB"/>
        </w:rPr>
        <w:t>AeroLink</w:t>
      </w:r>
      <w:proofErr w:type="spellEnd"/>
      <w:r w:rsidRPr="00FF6BD2">
        <w:rPr>
          <w:rFonts w:ascii="Times New Roman" w:hAnsi="Times New Roman" w:cs="Times New Roman"/>
          <w:color w:val="000000" w:themeColor="text1"/>
          <w:sz w:val="24"/>
          <w:szCs w:val="24"/>
          <w:lang w:val="en-GB"/>
        </w:rPr>
        <w:t xml:space="preserve"> Logistics (ALL) should align its security programme with the UK GDPR, Data Protection Act 2018, ISO/IEC 27001:2022, Network and Information Systems (NIS) Regulations 2018, Cyber</w:t>
      </w:r>
      <w:r w:rsidR="000A0424" w:rsidRPr="00FF6BD2">
        <w:rPr>
          <w:rFonts w:ascii="Times New Roman" w:hAnsi="Times New Roman" w:cs="Times New Roman"/>
          <w:color w:val="000000" w:themeColor="text1"/>
          <w:sz w:val="24"/>
          <w:szCs w:val="24"/>
          <w:lang w:val="en-GB"/>
        </w:rPr>
        <w:t xml:space="preserve"> Essentials Plus certification [41]</w:t>
      </w:r>
      <w:r w:rsidRPr="00FF6BD2">
        <w:rPr>
          <w:rFonts w:ascii="Times New Roman" w:hAnsi="Times New Roman" w:cs="Times New Roman"/>
          <w:color w:val="000000" w:themeColor="text1"/>
          <w:sz w:val="24"/>
          <w:szCs w:val="24"/>
          <w:lang w:val="en-GB"/>
        </w:rPr>
        <w:t xml:space="preserve">. The audits help to keep the compliance ongoing. The verification is done by internal audit on a regular basis. </w:t>
      </w:r>
    </w:p>
    <w:p w14:paraId="3E58719D" w14:textId="77777777" w:rsidR="003B27C9" w:rsidRPr="00FF6BD2" w:rsidRDefault="003B27C9" w:rsidP="003B27C9">
      <w:pPr>
        <w:pStyle w:val="Heading1"/>
        <w:spacing w:after="240"/>
        <w:rPr>
          <w:color w:val="000000" w:themeColor="text1"/>
          <w:lang w:val="en-GB"/>
        </w:rPr>
      </w:pPr>
      <w:bookmarkStart w:id="31" w:name="_Toc236741087"/>
      <w:r w:rsidRPr="00FF6BD2">
        <w:rPr>
          <w:color w:val="000000" w:themeColor="text1"/>
          <w:lang w:val="en-GB"/>
        </w:rPr>
        <w:t>6. Critical Discussion: Importance of Continuous Updates to Regulations and Standards</w:t>
      </w:r>
      <w:bookmarkEnd w:id="31"/>
    </w:p>
    <w:p w14:paraId="6AC93DA5" w14:textId="60A21FFC" w:rsidR="003F0934" w:rsidRPr="00FF6BD2" w:rsidRDefault="003F0934" w:rsidP="003F0934">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 xml:space="preserve">Marinating good practice may lead to highlight the evolving cyber threat landscape which ensure emerging threats such as ransomware, AI-powered attacks, phishing. Also, different rules and </w:t>
      </w:r>
      <w:r w:rsidRPr="00FF6BD2">
        <w:rPr>
          <w:rFonts w:ascii="Times New Roman" w:hAnsi="Times New Roman" w:cs="Times New Roman"/>
          <w:color w:val="000000" w:themeColor="text1"/>
          <w:sz w:val="24"/>
          <w:szCs w:val="24"/>
          <w:lang w:val="en-GB"/>
        </w:rPr>
        <w:lastRenderedPageBreak/>
        <w:t xml:space="preserve">regulations including UK GDPR, NIS Regulations, ISO/IEC 27001:2022, and NIST CSF 2.0 helps to strength the organisation to maintain their regular review as improving their security system. </w:t>
      </w:r>
    </w:p>
    <w:p w14:paraId="620B60D6" w14:textId="3A0EF491"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r w:rsidRPr="00FF6BD2">
        <w:rPr>
          <w:noProof/>
          <w:color w:val="000000" w:themeColor="text1"/>
          <w:lang w:val="en-US"/>
        </w:rPr>
        <w:drawing>
          <wp:inline distT="0" distB="0" distL="0" distR="0" wp14:anchorId="3A91B477" wp14:editId="5F1EC7F5">
            <wp:extent cx="5943600" cy="2926080"/>
            <wp:effectExtent l="76200" t="76200" r="133350" b="1409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29260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98ED28C" w14:textId="77777777" w:rsidR="003B27C9" w:rsidRPr="00FF6BD2" w:rsidRDefault="003B27C9" w:rsidP="003B27C9">
      <w:pPr>
        <w:spacing w:before="240" w:after="240" w:line="360" w:lineRule="auto"/>
        <w:jc w:val="center"/>
        <w:rPr>
          <w:rFonts w:ascii="Times New Roman" w:hAnsi="Times New Roman" w:cs="Times New Roman"/>
          <w:b/>
          <w:color w:val="000000" w:themeColor="text1"/>
          <w:sz w:val="24"/>
          <w:szCs w:val="24"/>
          <w:lang w:val="en-GB"/>
        </w:rPr>
      </w:pPr>
      <w:r w:rsidRPr="00FF6BD2">
        <w:rPr>
          <w:rFonts w:ascii="Times New Roman" w:hAnsi="Times New Roman" w:cs="Times New Roman"/>
          <w:b/>
          <w:color w:val="000000" w:themeColor="text1"/>
          <w:sz w:val="24"/>
          <w:szCs w:val="24"/>
          <w:lang w:val="en-GB"/>
        </w:rPr>
        <w:t>Figure 19: Continuous Improvement Cycle for Cybersecurity Governance</w:t>
      </w:r>
    </w:p>
    <w:p w14:paraId="273038C6" w14:textId="52B6DC88" w:rsidR="003B27C9" w:rsidRPr="00FF6BD2" w:rsidRDefault="003B27C9" w:rsidP="003B27C9">
      <w:pPr>
        <w:spacing w:before="240" w:after="240" w:line="360" w:lineRule="auto"/>
        <w:jc w:val="center"/>
        <w:rPr>
          <w:rFonts w:ascii="Times New Roman" w:hAnsi="Times New Roman" w:cs="Times New Roman"/>
          <w:color w:val="000000" w:themeColor="text1"/>
          <w:sz w:val="24"/>
          <w:szCs w:val="24"/>
          <w:lang w:val="en-GB"/>
        </w:rPr>
      </w:pPr>
    </w:p>
    <w:p w14:paraId="7FFEDDB1" w14:textId="77777777" w:rsidR="003B27C9" w:rsidRPr="00FF6BD2" w:rsidRDefault="003B27C9" w:rsidP="003B27C9">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The Continuous Improvement Cycle illustrated in Figure 10 monitors threats and reviews security performance, promotes updates of policies, controls and audits and implements improvements which is followed by repetition. Cybersecurity governance will not be static but rather dynamic, evolving through a cycle of governance.</w:t>
      </w:r>
    </w:p>
    <w:p w14:paraId="60CA0356" w14:textId="3E35FECD" w:rsidR="009C5E03" w:rsidRPr="00FF6BD2" w:rsidRDefault="003B27C9" w:rsidP="003B27C9">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The automated cyberattacks help in data poisoning through the new artificial i</w:t>
      </w:r>
      <w:r w:rsidR="000A0424" w:rsidRPr="00FF6BD2">
        <w:rPr>
          <w:rFonts w:ascii="Times New Roman" w:hAnsi="Times New Roman" w:cs="Times New Roman"/>
          <w:color w:val="000000" w:themeColor="text1"/>
          <w:sz w:val="24"/>
          <w:szCs w:val="24"/>
          <w:lang w:val="en-GB"/>
        </w:rPr>
        <w:t>ntelligence (AI) systems model [42]</w:t>
      </w:r>
      <w:r w:rsidRPr="00FF6BD2">
        <w:rPr>
          <w:rFonts w:ascii="Times New Roman" w:hAnsi="Times New Roman" w:cs="Times New Roman"/>
          <w:color w:val="000000" w:themeColor="text1"/>
          <w:sz w:val="24"/>
          <w:szCs w:val="24"/>
          <w:lang w:val="en-GB"/>
        </w:rPr>
        <w:t>. To adopt more IoT devices, Cloud Services increased the number of interconnected supply chains, and the organisational at</w:t>
      </w:r>
      <w:r w:rsidR="000A0424" w:rsidRPr="00FF6BD2">
        <w:rPr>
          <w:rFonts w:ascii="Times New Roman" w:hAnsi="Times New Roman" w:cs="Times New Roman"/>
          <w:color w:val="000000" w:themeColor="text1"/>
          <w:sz w:val="24"/>
          <w:szCs w:val="24"/>
          <w:lang w:val="en-GB"/>
        </w:rPr>
        <w:t xml:space="preserve">tack surfaces became stretched [43]. </w:t>
      </w:r>
      <w:r w:rsidRPr="00FF6BD2">
        <w:rPr>
          <w:rFonts w:ascii="Times New Roman" w:hAnsi="Times New Roman" w:cs="Times New Roman"/>
          <w:color w:val="000000" w:themeColor="text1"/>
          <w:sz w:val="24"/>
          <w:szCs w:val="24"/>
          <w:lang w:val="en-GB"/>
        </w:rPr>
        <w:t xml:space="preserve">Managing risk by strengthening governance led to highlighting the Framework of CSF 2.0 of NIST Cybersecurity which can increase the ability </w:t>
      </w:r>
      <w:r w:rsidR="00010634" w:rsidRPr="00FF6BD2">
        <w:rPr>
          <w:rFonts w:ascii="Times New Roman" w:hAnsi="Times New Roman" w:cs="Times New Roman"/>
          <w:color w:val="000000" w:themeColor="text1"/>
          <w:sz w:val="24"/>
          <w:szCs w:val="24"/>
          <w:lang w:val="en-GB"/>
        </w:rPr>
        <w:t>of supply</w:t>
      </w:r>
      <w:r w:rsidRPr="00FF6BD2">
        <w:rPr>
          <w:rFonts w:ascii="Times New Roman" w:hAnsi="Times New Roman" w:cs="Times New Roman"/>
          <w:color w:val="000000" w:themeColor="text1"/>
          <w:sz w:val="24"/>
          <w:szCs w:val="24"/>
          <w:lang w:val="en-GB"/>
        </w:rPr>
        <w:t>-chain security which</w:t>
      </w:r>
      <w:r w:rsidR="00955A42" w:rsidRPr="00FF6BD2">
        <w:rPr>
          <w:rFonts w:ascii="Times New Roman" w:hAnsi="Times New Roman" w:cs="Times New Roman"/>
          <w:color w:val="000000" w:themeColor="text1"/>
          <w:sz w:val="24"/>
          <w:szCs w:val="24"/>
          <w:lang w:val="en-GB"/>
        </w:rPr>
        <w:t xml:space="preserve"> h</w:t>
      </w:r>
      <w:r w:rsidR="000A0424" w:rsidRPr="00FF6BD2">
        <w:rPr>
          <w:rFonts w:ascii="Times New Roman" w:hAnsi="Times New Roman" w:cs="Times New Roman"/>
          <w:color w:val="000000" w:themeColor="text1"/>
          <w:sz w:val="24"/>
          <w:szCs w:val="24"/>
          <w:lang w:val="en-GB"/>
        </w:rPr>
        <w:t>as helped ISO/IEC 27001:2022</w:t>
      </w:r>
      <w:r w:rsidRPr="00FF6BD2">
        <w:rPr>
          <w:rFonts w:ascii="Times New Roman" w:hAnsi="Times New Roman" w:cs="Times New Roman"/>
          <w:color w:val="000000" w:themeColor="text1"/>
          <w:sz w:val="24"/>
          <w:szCs w:val="24"/>
          <w:lang w:val="en-GB"/>
        </w:rPr>
        <w:t>. The National Cyber Security Centre (NCSC) in the UK highlighted the threat advisories which needed continuous updates to hig</w:t>
      </w:r>
      <w:r w:rsidR="000A0424" w:rsidRPr="00FF6BD2">
        <w:rPr>
          <w:rFonts w:ascii="Times New Roman" w:hAnsi="Times New Roman" w:cs="Times New Roman"/>
          <w:color w:val="000000" w:themeColor="text1"/>
          <w:sz w:val="24"/>
          <w:szCs w:val="24"/>
          <w:lang w:val="en-GB"/>
        </w:rPr>
        <w:t>hlight the confirmation system [44]</w:t>
      </w:r>
      <w:r w:rsidR="009C5E03" w:rsidRPr="00FF6BD2">
        <w:rPr>
          <w:rFonts w:ascii="Times New Roman" w:hAnsi="Times New Roman" w:cs="Times New Roman"/>
          <w:color w:val="000000" w:themeColor="text1"/>
          <w:sz w:val="24"/>
          <w:szCs w:val="24"/>
          <w:lang w:val="en-GB"/>
        </w:rPr>
        <w:t xml:space="preserve">. </w:t>
      </w:r>
    </w:p>
    <w:p w14:paraId="40EEF5F3" w14:textId="77777777" w:rsidR="009C5E03" w:rsidRPr="00FF6BD2" w:rsidRDefault="009C5E03" w:rsidP="00CC649A">
      <w:pPr>
        <w:pStyle w:val="Heading1"/>
        <w:spacing w:after="240"/>
        <w:rPr>
          <w:color w:val="000000" w:themeColor="text1"/>
          <w:lang w:val="en-GB"/>
        </w:rPr>
      </w:pPr>
      <w:bookmarkStart w:id="32" w:name="_Toc236741088"/>
      <w:r w:rsidRPr="00FF6BD2">
        <w:rPr>
          <w:color w:val="000000" w:themeColor="text1"/>
          <w:lang w:val="en-GB"/>
        </w:rPr>
        <w:lastRenderedPageBreak/>
        <w:t>7. Conclusion and Recommendations</w:t>
      </w:r>
      <w:bookmarkEnd w:id="32"/>
    </w:p>
    <w:p w14:paraId="2A5E40D9" w14:textId="77777777" w:rsidR="009C5E03" w:rsidRPr="00FF6BD2" w:rsidRDefault="009C5E0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 xml:space="preserve">The report </w:t>
      </w:r>
      <w:proofErr w:type="spellStart"/>
      <w:r w:rsidRPr="00FF6BD2">
        <w:rPr>
          <w:rFonts w:ascii="Times New Roman" w:hAnsi="Times New Roman" w:cs="Times New Roman"/>
          <w:color w:val="000000" w:themeColor="text1"/>
          <w:sz w:val="24"/>
          <w:szCs w:val="24"/>
          <w:lang w:val="en-GB"/>
        </w:rPr>
        <w:t>analyzed</w:t>
      </w:r>
      <w:proofErr w:type="spellEnd"/>
      <w:r w:rsidRPr="00FF6BD2">
        <w:rPr>
          <w:rFonts w:ascii="Times New Roman" w:hAnsi="Times New Roman" w:cs="Times New Roman"/>
          <w:color w:val="000000" w:themeColor="text1"/>
          <w:sz w:val="24"/>
          <w:szCs w:val="24"/>
          <w:lang w:val="en-GB"/>
        </w:rPr>
        <w:t xml:space="preserve"> the information security challenges being faced by </w:t>
      </w:r>
      <w:proofErr w:type="spellStart"/>
      <w:r w:rsidRPr="00FF6BD2">
        <w:rPr>
          <w:rFonts w:ascii="Times New Roman" w:hAnsi="Times New Roman" w:cs="Times New Roman"/>
          <w:color w:val="000000" w:themeColor="text1"/>
          <w:sz w:val="24"/>
          <w:szCs w:val="24"/>
          <w:lang w:val="en-GB"/>
        </w:rPr>
        <w:t>AeroLink</w:t>
      </w:r>
      <w:proofErr w:type="spellEnd"/>
      <w:r w:rsidRPr="00FF6BD2">
        <w:rPr>
          <w:rFonts w:ascii="Times New Roman" w:hAnsi="Times New Roman" w:cs="Times New Roman"/>
          <w:color w:val="000000" w:themeColor="text1"/>
          <w:sz w:val="24"/>
          <w:szCs w:val="24"/>
          <w:lang w:val="en-GB"/>
        </w:rPr>
        <w:t xml:space="preserve"> Logistics (ALL). It further assessed various leading security frameworks such as COBIT 2019, ISO/IEC 27001:2022, NIST Cybersecurity Framework (CSF) 2.0, and ITIL 4. It was found that ALL’s incident of no harmonized governance structure, the absence of formal risk management, regulatory compliance, and vendor oversight has raised its vulnerability towards cyber threats, data breaches, and operational disruptions. To bridge these issues, it designed an integrated security governance framework on strategic governance, risk-based security management, operational controls and continual service improvement.</w:t>
      </w:r>
    </w:p>
    <w:p w14:paraId="7CEA88F0" w14:textId="77777777" w:rsidR="009C5E03" w:rsidRPr="00FF6BD2" w:rsidRDefault="009C5E0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The framework helps businesses achieve significant benefits through increased governance accountability and regulatory compliance, enhanced access controls, strengthened security capabilities for cloud and IoT, and improved incident response and business continuity.</w:t>
      </w:r>
    </w:p>
    <w:p w14:paraId="4C9463A9" w14:textId="77777777" w:rsidR="009C5E03" w:rsidRPr="00FF6BD2" w:rsidRDefault="009C5E03" w:rsidP="00CC649A">
      <w:pPr>
        <w:spacing w:before="240" w:after="240" w:line="360" w:lineRule="auto"/>
        <w:jc w:val="both"/>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t xml:space="preserve">In order to sustain these enhancements, ALL must make efforts towards obtaining ISO/IEC 27001 certification, set up a Security Governance Committee headed by a Chief Information Security Officer (CISO), implement continuous risk assessments and security audits, strengthen third-party vendor governance through robust Service Level Agreements (SLAs), and invest in employee cybersecurity awareness programmes. </w:t>
      </w:r>
    </w:p>
    <w:p w14:paraId="73C029A0" w14:textId="77777777" w:rsidR="009C5E03" w:rsidRPr="00FF6BD2" w:rsidRDefault="009C5E03" w:rsidP="00CC649A">
      <w:pPr>
        <w:spacing w:before="240" w:after="240" w:line="360" w:lineRule="auto"/>
        <w:rPr>
          <w:rFonts w:ascii="Times New Roman" w:hAnsi="Times New Roman" w:cs="Times New Roman"/>
          <w:color w:val="000000" w:themeColor="text1"/>
          <w:sz w:val="24"/>
          <w:szCs w:val="24"/>
          <w:lang w:val="en-GB"/>
        </w:rPr>
      </w:pPr>
    </w:p>
    <w:p w14:paraId="2E09DA29" w14:textId="77777777" w:rsidR="00395487" w:rsidRPr="00FF6BD2" w:rsidRDefault="00395487" w:rsidP="00CC649A">
      <w:pPr>
        <w:spacing w:after="240" w:line="360" w:lineRule="auto"/>
        <w:rPr>
          <w:rFonts w:ascii="Times New Roman" w:hAnsi="Times New Roman" w:cs="Times New Roman"/>
          <w:color w:val="000000" w:themeColor="text1"/>
          <w:sz w:val="24"/>
          <w:szCs w:val="24"/>
          <w:lang w:val="en-GB"/>
        </w:rPr>
      </w:pPr>
      <w:r w:rsidRPr="00FF6BD2">
        <w:rPr>
          <w:rFonts w:ascii="Times New Roman" w:hAnsi="Times New Roman" w:cs="Times New Roman"/>
          <w:color w:val="000000" w:themeColor="text1"/>
          <w:sz w:val="24"/>
          <w:szCs w:val="24"/>
          <w:lang w:val="en-GB"/>
        </w:rPr>
        <w:br w:type="page"/>
      </w:r>
    </w:p>
    <w:p w14:paraId="4B031443" w14:textId="77777777" w:rsidR="00395487" w:rsidRPr="00FF6BD2" w:rsidRDefault="00395487" w:rsidP="00CC649A">
      <w:pPr>
        <w:pStyle w:val="Heading1"/>
        <w:spacing w:after="240"/>
        <w:rPr>
          <w:color w:val="000000" w:themeColor="text1"/>
          <w:lang w:val="en-GB"/>
        </w:rPr>
      </w:pPr>
      <w:bookmarkStart w:id="33" w:name="_Toc236741089"/>
      <w:r w:rsidRPr="00FF6BD2">
        <w:rPr>
          <w:color w:val="000000" w:themeColor="text1"/>
        </w:rPr>
        <w:lastRenderedPageBreak/>
        <w:t>Reference</w:t>
      </w:r>
      <w:bookmarkEnd w:id="33"/>
    </w:p>
    <w:p w14:paraId="04D5D7E9" w14:textId="77777777" w:rsidR="004F4266" w:rsidRPr="00FF6BD2" w:rsidRDefault="004F4266" w:rsidP="004F4266">
      <w:pPr>
        <w:pStyle w:val="NormalWeb"/>
        <w:spacing w:before="240" w:beforeAutospacing="0" w:after="240" w:afterAutospacing="0" w:line="360" w:lineRule="auto"/>
        <w:jc w:val="both"/>
        <w:rPr>
          <w:color w:val="000000" w:themeColor="text1"/>
        </w:rPr>
      </w:pPr>
      <w:r w:rsidRPr="00FF6BD2">
        <w:rPr>
          <w:color w:val="000000" w:themeColor="text1"/>
        </w:rPr>
        <w:t>1. IBM, (2025),</w:t>
      </w:r>
      <w:r w:rsidRPr="00FF6BD2">
        <w:rPr>
          <w:i/>
          <w:iCs/>
          <w:color w:val="000000" w:themeColor="text1"/>
        </w:rPr>
        <w:t xml:space="preserve"> Cost of a Data Breach Report 2026. </w:t>
      </w:r>
      <w:r w:rsidRPr="00FF6BD2">
        <w:rPr>
          <w:color w:val="000000" w:themeColor="text1"/>
        </w:rPr>
        <w:t xml:space="preserve">Available from </w:t>
      </w:r>
      <w:hyperlink r:id="rId35" w:history="1">
        <w:r w:rsidRPr="00FF6BD2">
          <w:rPr>
            <w:rStyle w:val="Hyperlink"/>
            <w:color w:val="000000" w:themeColor="text1"/>
          </w:rPr>
          <w:t>https://www.ibm.com/reports/data-breach?cq_net=g&amp;cq_src=google_ads&amp;gad_campaignid=22644626335</w:t>
        </w:r>
      </w:hyperlink>
      <w:r w:rsidRPr="00FF6BD2">
        <w:rPr>
          <w:color w:val="000000" w:themeColor="text1"/>
        </w:rPr>
        <w:t>. Accessed on 03.08.2026. </w:t>
      </w:r>
    </w:p>
    <w:p w14:paraId="1AC8C782" w14:textId="77777777" w:rsidR="004F4266" w:rsidRPr="00FF6BD2" w:rsidRDefault="004F4266" w:rsidP="004F4266">
      <w:pPr>
        <w:pStyle w:val="NormalWeb"/>
        <w:spacing w:before="240" w:beforeAutospacing="0" w:after="240" w:afterAutospacing="0" w:line="360" w:lineRule="auto"/>
        <w:jc w:val="both"/>
        <w:rPr>
          <w:color w:val="000000" w:themeColor="text1"/>
        </w:rPr>
      </w:pPr>
      <w:r w:rsidRPr="00FF6BD2">
        <w:rPr>
          <w:color w:val="000000" w:themeColor="text1"/>
        </w:rPr>
        <w:t>2. IBM, (2025),</w:t>
      </w:r>
      <w:r w:rsidRPr="00FF6BD2">
        <w:rPr>
          <w:i/>
          <w:iCs/>
          <w:color w:val="000000" w:themeColor="text1"/>
        </w:rPr>
        <w:t xml:space="preserve"> Cybersecurity dominates concerns among the C-suite, small businesses, and the nation. </w:t>
      </w:r>
      <w:r w:rsidRPr="00FF6BD2">
        <w:rPr>
          <w:color w:val="000000" w:themeColor="text1"/>
        </w:rPr>
        <w:t xml:space="preserve">Available from </w:t>
      </w:r>
      <w:hyperlink r:id="rId36" w:history="1">
        <w:r w:rsidRPr="00FF6BD2">
          <w:rPr>
            <w:rStyle w:val="Hyperlink"/>
            <w:color w:val="000000" w:themeColor="text1"/>
          </w:rPr>
          <w:t>https://www.ibm.com/think/insights/cybersecurity-dominates-concerns-c-suite-small-businesses-nation</w:t>
        </w:r>
      </w:hyperlink>
      <w:r w:rsidRPr="00FF6BD2">
        <w:rPr>
          <w:color w:val="000000" w:themeColor="text1"/>
        </w:rPr>
        <w:t>. Accessed on 03.08.2026. </w:t>
      </w:r>
    </w:p>
    <w:p w14:paraId="654340BF" w14:textId="6773DB2F" w:rsidR="004F4266" w:rsidRPr="00FF6BD2" w:rsidRDefault="004F4266" w:rsidP="00CC649A">
      <w:pPr>
        <w:pStyle w:val="NormalWeb"/>
        <w:spacing w:before="240" w:beforeAutospacing="0" w:after="240" w:afterAutospacing="0" w:line="360" w:lineRule="auto"/>
        <w:jc w:val="both"/>
        <w:rPr>
          <w:color w:val="000000" w:themeColor="text1"/>
        </w:rPr>
      </w:pPr>
      <w:r w:rsidRPr="00FF6BD2">
        <w:rPr>
          <w:color w:val="000000" w:themeColor="text1"/>
        </w:rPr>
        <w:t xml:space="preserve">3. Mahmood, H.S., Abdulqader, D.M., Abdullah, R.M., Rasheed, H., Ismael, Z.N.R. and Sami, T.M.G., 2024. Conducting in-depth analysis of AI, IoT, web technology, cloud computing, and enterprise systems integration for enhancing data security and governance to promote sustainable business practices. </w:t>
      </w:r>
      <w:r w:rsidRPr="00FF6BD2">
        <w:rPr>
          <w:i/>
          <w:iCs/>
          <w:color w:val="000000" w:themeColor="text1"/>
        </w:rPr>
        <w:t>Journal of Information Technology and Informatics</w:t>
      </w:r>
      <w:r w:rsidRPr="00FF6BD2">
        <w:rPr>
          <w:color w:val="000000" w:themeColor="text1"/>
        </w:rPr>
        <w:t xml:space="preserve">, </w:t>
      </w:r>
      <w:r w:rsidRPr="00FF6BD2">
        <w:rPr>
          <w:i/>
          <w:iCs/>
          <w:color w:val="000000" w:themeColor="text1"/>
        </w:rPr>
        <w:t>3</w:t>
      </w:r>
      <w:r w:rsidRPr="00FF6BD2">
        <w:rPr>
          <w:color w:val="000000" w:themeColor="text1"/>
        </w:rPr>
        <w:t xml:space="preserve">(2), pp.297-332.  </w:t>
      </w:r>
      <w:hyperlink r:id="rId37" w:history="1">
        <w:r w:rsidRPr="00FF6BD2">
          <w:rPr>
            <w:rStyle w:val="Hyperlink"/>
            <w:color w:val="000000" w:themeColor="text1"/>
          </w:rPr>
          <w:t>https://www.researchgate.net/profile/Dildar-Abdulqadir/publication/383087255_Conducting_In-Depth_Analysis_of_AI_IoT_Web_Technology_Cloud_Computing_and_Enterprise_Systems_Integration_for_Enhancing_Data_Security_and_Governance_to_Promote_Sustainable_Business_Practices/links/66bdb090311cbb094939611f/Conducting-In-Depth-Analysis-of-AI-IoT-Web-Technology-Cloud-Computing-and-Enterprise-Systems-Integration-for-Enhancing-Data-Security-and-Governance-to-Promote-Sustainable-Business-Practices.pdf</w:t>
        </w:r>
      </w:hyperlink>
      <w:r w:rsidRPr="00FF6BD2">
        <w:rPr>
          <w:color w:val="000000" w:themeColor="text1"/>
        </w:rPr>
        <w:t> </w:t>
      </w:r>
    </w:p>
    <w:p w14:paraId="7999569B" w14:textId="77E2F26A" w:rsidR="00995BF4" w:rsidRPr="00FF6BD2" w:rsidRDefault="004F4266" w:rsidP="00CC649A">
      <w:pPr>
        <w:pStyle w:val="NormalWeb"/>
        <w:spacing w:before="240" w:beforeAutospacing="0" w:after="240" w:afterAutospacing="0" w:line="360" w:lineRule="auto"/>
        <w:jc w:val="both"/>
        <w:rPr>
          <w:color w:val="000000" w:themeColor="text1"/>
        </w:rPr>
      </w:pPr>
      <w:r w:rsidRPr="00FF6BD2">
        <w:rPr>
          <w:color w:val="000000" w:themeColor="text1"/>
        </w:rPr>
        <w:t xml:space="preserve">4. </w:t>
      </w:r>
      <w:proofErr w:type="spellStart"/>
      <w:r w:rsidR="00995BF4" w:rsidRPr="00FF6BD2">
        <w:rPr>
          <w:color w:val="000000" w:themeColor="text1"/>
        </w:rPr>
        <w:t>Aerolink</w:t>
      </w:r>
      <w:proofErr w:type="spellEnd"/>
      <w:r w:rsidR="00995BF4" w:rsidRPr="00FF6BD2">
        <w:rPr>
          <w:color w:val="000000" w:themeColor="text1"/>
        </w:rPr>
        <w:t xml:space="preserve"> Logistics, (2025),</w:t>
      </w:r>
      <w:r w:rsidR="00995BF4" w:rsidRPr="00FF6BD2">
        <w:rPr>
          <w:i/>
          <w:iCs/>
          <w:color w:val="000000" w:themeColor="text1"/>
        </w:rPr>
        <w:t xml:space="preserve"> About Company, Digital &amp; Trusted Transport Logistic Company. </w:t>
      </w:r>
      <w:r w:rsidR="00995BF4" w:rsidRPr="00FF6BD2">
        <w:rPr>
          <w:color w:val="000000" w:themeColor="text1"/>
        </w:rPr>
        <w:t xml:space="preserve">Available from </w:t>
      </w:r>
      <w:hyperlink r:id="rId38" w:history="1">
        <w:r w:rsidR="00995BF4" w:rsidRPr="00FF6BD2">
          <w:rPr>
            <w:rStyle w:val="Hyperlink"/>
            <w:color w:val="000000" w:themeColor="text1"/>
          </w:rPr>
          <w:t>https://aerolink-logistics.com/about/</w:t>
        </w:r>
      </w:hyperlink>
      <w:r w:rsidR="00995BF4" w:rsidRPr="00FF6BD2">
        <w:rPr>
          <w:color w:val="000000" w:themeColor="text1"/>
        </w:rPr>
        <w:t xml:space="preserve"> Accessed on 03.08.2026. </w:t>
      </w:r>
    </w:p>
    <w:p w14:paraId="0A399CC3" w14:textId="77777777" w:rsidR="004F4266" w:rsidRPr="00FF6BD2" w:rsidRDefault="004F4266" w:rsidP="004F4266">
      <w:pPr>
        <w:pStyle w:val="NormalWeb"/>
        <w:spacing w:before="240" w:beforeAutospacing="0" w:after="240" w:afterAutospacing="0" w:line="360" w:lineRule="auto"/>
        <w:jc w:val="both"/>
        <w:rPr>
          <w:color w:val="000000" w:themeColor="text1"/>
        </w:rPr>
      </w:pPr>
      <w:r w:rsidRPr="00FF6BD2">
        <w:rPr>
          <w:color w:val="000000" w:themeColor="text1"/>
        </w:rPr>
        <w:t xml:space="preserve">5. Melaku, H.M., 2023. A dynamic and adaptive cybersecurity governance framework. </w:t>
      </w:r>
      <w:r w:rsidRPr="00FF6BD2">
        <w:rPr>
          <w:i/>
          <w:iCs/>
          <w:color w:val="000000" w:themeColor="text1"/>
        </w:rPr>
        <w:t>Journal of Cybersecurity and Privacy</w:t>
      </w:r>
      <w:r w:rsidRPr="00FF6BD2">
        <w:rPr>
          <w:color w:val="000000" w:themeColor="text1"/>
        </w:rPr>
        <w:t xml:space="preserve">, </w:t>
      </w:r>
      <w:r w:rsidRPr="00FF6BD2">
        <w:rPr>
          <w:i/>
          <w:iCs/>
          <w:color w:val="000000" w:themeColor="text1"/>
        </w:rPr>
        <w:t>3</w:t>
      </w:r>
      <w:r w:rsidRPr="00FF6BD2">
        <w:rPr>
          <w:color w:val="000000" w:themeColor="text1"/>
        </w:rPr>
        <w:t xml:space="preserve">(3), pp.327-350.  </w:t>
      </w:r>
      <w:hyperlink r:id="rId39" w:history="1">
        <w:r w:rsidRPr="00FF6BD2">
          <w:rPr>
            <w:rStyle w:val="Hyperlink"/>
            <w:color w:val="000000" w:themeColor="text1"/>
          </w:rPr>
          <w:t>https://www.mdpi.com/2624-800X/3/3/17</w:t>
        </w:r>
      </w:hyperlink>
      <w:r w:rsidRPr="00FF6BD2">
        <w:rPr>
          <w:color w:val="000000" w:themeColor="text1"/>
        </w:rPr>
        <w:t> </w:t>
      </w:r>
    </w:p>
    <w:p w14:paraId="5F3F904C" w14:textId="77777777" w:rsidR="004F4266" w:rsidRPr="00FF6BD2" w:rsidRDefault="004F4266" w:rsidP="004F4266">
      <w:pPr>
        <w:pStyle w:val="NormalWeb"/>
        <w:spacing w:before="240" w:beforeAutospacing="0" w:after="240" w:afterAutospacing="0" w:line="360" w:lineRule="auto"/>
        <w:jc w:val="both"/>
        <w:rPr>
          <w:color w:val="000000" w:themeColor="text1"/>
        </w:rPr>
      </w:pPr>
      <w:r w:rsidRPr="00FF6BD2">
        <w:rPr>
          <w:color w:val="000000" w:themeColor="text1"/>
        </w:rPr>
        <w:t xml:space="preserve">6. RIZVI, D.Q.M., Ansari, T. and Siddiqui, O., 2024. Comparative Analysis of SaaS, IaaS, and PaaS: Exploring the Cloud Computing Paradigm. </w:t>
      </w:r>
      <w:r w:rsidRPr="00FF6BD2">
        <w:rPr>
          <w:i/>
          <w:iCs/>
          <w:color w:val="000000" w:themeColor="text1"/>
        </w:rPr>
        <w:t>International Journal of Innovative Research in Computer Science and Technology (IJIRCST)</w:t>
      </w:r>
      <w:r w:rsidRPr="00FF6BD2">
        <w:rPr>
          <w:color w:val="000000" w:themeColor="text1"/>
        </w:rPr>
        <w:t xml:space="preserve">, pp.89-93. </w:t>
      </w:r>
      <w:hyperlink r:id="rId40" w:history="1">
        <w:r w:rsidRPr="00FF6BD2">
          <w:rPr>
            <w:rStyle w:val="Hyperlink"/>
            <w:color w:val="000000" w:themeColor="text1"/>
          </w:rPr>
          <w:t>https://www.academia.edu/download/124278096/csistw.2024.12.1.pdf</w:t>
        </w:r>
      </w:hyperlink>
      <w:r w:rsidRPr="00FF6BD2">
        <w:rPr>
          <w:color w:val="000000" w:themeColor="text1"/>
        </w:rPr>
        <w:t> </w:t>
      </w:r>
    </w:p>
    <w:p w14:paraId="23991245" w14:textId="77777777" w:rsidR="004F4266" w:rsidRPr="00FF6BD2" w:rsidRDefault="004F4266" w:rsidP="004F4266">
      <w:pPr>
        <w:pStyle w:val="NormalWeb"/>
        <w:spacing w:before="240" w:beforeAutospacing="0" w:after="240" w:afterAutospacing="0" w:line="360" w:lineRule="auto"/>
        <w:jc w:val="both"/>
        <w:rPr>
          <w:color w:val="000000" w:themeColor="text1"/>
        </w:rPr>
      </w:pPr>
      <w:r w:rsidRPr="00FF6BD2">
        <w:rPr>
          <w:color w:val="000000" w:themeColor="text1"/>
        </w:rPr>
        <w:lastRenderedPageBreak/>
        <w:t xml:space="preserve">7. Herath, T.C., Herath, H.S. and Cullum, D., 2023. An information security performance measurement tool for senior managers: Balanced scorecard integration for security governance and control frameworks. </w:t>
      </w:r>
      <w:r w:rsidRPr="00FF6BD2">
        <w:rPr>
          <w:i/>
          <w:iCs/>
          <w:color w:val="000000" w:themeColor="text1"/>
        </w:rPr>
        <w:t>Information Systems Frontiers</w:t>
      </w:r>
      <w:r w:rsidRPr="00FF6BD2">
        <w:rPr>
          <w:color w:val="000000" w:themeColor="text1"/>
        </w:rPr>
        <w:t xml:space="preserve">, </w:t>
      </w:r>
      <w:r w:rsidRPr="00FF6BD2">
        <w:rPr>
          <w:i/>
          <w:iCs/>
          <w:color w:val="000000" w:themeColor="text1"/>
        </w:rPr>
        <w:t>25</w:t>
      </w:r>
      <w:r w:rsidRPr="00FF6BD2">
        <w:rPr>
          <w:color w:val="000000" w:themeColor="text1"/>
        </w:rPr>
        <w:t xml:space="preserve">(2), pp.681-721.  </w:t>
      </w:r>
      <w:hyperlink r:id="rId41" w:history="1">
        <w:r w:rsidRPr="00FF6BD2">
          <w:rPr>
            <w:rStyle w:val="Hyperlink"/>
            <w:color w:val="000000" w:themeColor="text1"/>
          </w:rPr>
          <w:t>https://www.researchgate.net/profile/Hemantha-Herath/publication/358909388_An_Information_Security_Performance_Measurement_Tool_for_Senior_Managers_Balanced_Scorecard_Integration_for_Security_Governance_and_Control_Frameworks/links/6390a7aa484e65005bee951c/An-Information-Security-Performance-Measurement-Tool-for-Senior-Managers-Balanced-Scorecard-Integration-for-Security-Governance-and-Control-Frameworks.pdf</w:t>
        </w:r>
      </w:hyperlink>
      <w:r w:rsidRPr="00FF6BD2">
        <w:rPr>
          <w:color w:val="000000" w:themeColor="text1"/>
        </w:rPr>
        <w:t> </w:t>
      </w:r>
    </w:p>
    <w:p w14:paraId="425EAFE4" w14:textId="77777777" w:rsidR="004F4266" w:rsidRPr="00FF6BD2" w:rsidRDefault="004F4266" w:rsidP="004F4266">
      <w:pPr>
        <w:pStyle w:val="NormalWeb"/>
        <w:spacing w:before="240" w:beforeAutospacing="0" w:after="240" w:afterAutospacing="0" w:line="360" w:lineRule="auto"/>
        <w:jc w:val="both"/>
        <w:rPr>
          <w:color w:val="000000" w:themeColor="text1"/>
        </w:rPr>
      </w:pPr>
      <w:r w:rsidRPr="00FF6BD2">
        <w:rPr>
          <w:color w:val="000000" w:themeColor="text1"/>
        </w:rPr>
        <w:t xml:space="preserve">8. Magnusson, L., Iqbal, S., Elm, P. and Dalipi, F., 2025. Information security governance in the public sector: investigations, approaches, measures, and trends. </w:t>
      </w:r>
      <w:r w:rsidRPr="00FF6BD2">
        <w:rPr>
          <w:i/>
          <w:iCs/>
          <w:color w:val="000000" w:themeColor="text1"/>
        </w:rPr>
        <w:t>International Journal of Information Security</w:t>
      </w:r>
      <w:r w:rsidRPr="00FF6BD2">
        <w:rPr>
          <w:color w:val="000000" w:themeColor="text1"/>
        </w:rPr>
        <w:t xml:space="preserve">, </w:t>
      </w:r>
      <w:r w:rsidRPr="00FF6BD2">
        <w:rPr>
          <w:i/>
          <w:iCs/>
          <w:color w:val="000000" w:themeColor="text1"/>
        </w:rPr>
        <w:t>24</w:t>
      </w:r>
      <w:r w:rsidRPr="00FF6BD2">
        <w:rPr>
          <w:color w:val="000000" w:themeColor="text1"/>
        </w:rPr>
        <w:t xml:space="preserve">(4), p.177.  </w:t>
      </w:r>
      <w:hyperlink r:id="rId42" w:history="1">
        <w:r w:rsidRPr="00FF6BD2">
          <w:rPr>
            <w:rStyle w:val="Hyperlink"/>
            <w:color w:val="000000" w:themeColor="text1"/>
          </w:rPr>
          <w:t>https://link.springer.com/content/pdf/10.1007/s10207-025-01097-x.pdf</w:t>
        </w:r>
      </w:hyperlink>
      <w:r w:rsidRPr="00FF6BD2">
        <w:rPr>
          <w:color w:val="000000" w:themeColor="text1"/>
        </w:rPr>
        <w:t> </w:t>
      </w:r>
    </w:p>
    <w:p w14:paraId="458E9AF7" w14:textId="77777777" w:rsidR="004F4266" w:rsidRPr="00FF6BD2" w:rsidRDefault="004F4266" w:rsidP="004F4266">
      <w:pPr>
        <w:pStyle w:val="NormalWeb"/>
        <w:spacing w:before="240" w:beforeAutospacing="0" w:after="240" w:afterAutospacing="0" w:line="360" w:lineRule="auto"/>
        <w:jc w:val="both"/>
        <w:rPr>
          <w:color w:val="000000" w:themeColor="text1"/>
        </w:rPr>
      </w:pPr>
      <w:r w:rsidRPr="00FF6BD2">
        <w:rPr>
          <w:color w:val="000000" w:themeColor="text1"/>
        </w:rPr>
        <w:t>9. NIST, (2024),</w:t>
      </w:r>
      <w:r w:rsidRPr="00FF6BD2">
        <w:rPr>
          <w:i/>
          <w:iCs/>
          <w:color w:val="000000" w:themeColor="text1"/>
        </w:rPr>
        <w:t xml:space="preserve"> </w:t>
      </w:r>
      <w:proofErr w:type="spellStart"/>
      <w:r w:rsidRPr="00FF6BD2">
        <w:rPr>
          <w:i/>
          <w:iCs/>
          <w:color w:val="000000" w:themeColor="text1"/>
        </w:rPr>
        <w:t>CThe</w:t>
      </w:r>
      <w:proofErr w:type="spellEnd"/>
      <w:r w:rsidRPr="00FF6BD2">
        <w:rPr>
          <w:i/>
          <w:iCs/>
          <w:color w:val="000000" w:themeColor="text1"/>
        </w:rPr>
        <w:t xml:space="preserve"> NIST Cybersecurity Framework (CSF) 2.0. </w:t>
      </w:r>
      <w:r w:rsidRPr="00FF6BD2">
        <w:rPr>
          <w:color w:val="000000" w:themeColor="text1"/>
        </w:rPr>
        <w:t xml:space="preserve">Available from </w:t>
      </w:r>
      <w:hyperlink r:id="rId43" w:history="1">
        <w:r w:rsidRPr="00FF6BD2">
          <w:rPr>
            <w:rStyle w:val="Hyperlink"/>
            <w:color w:val="000000" w:themeColor="text1"/>
          </w:rPr>
          <w:t>https://tsapps.nist.gov/publication/get_pdf.cfm?pub_id=957258</w:t>
        </w:r>
      </w:hyperlink>
      <w:r w:rsidRPr="00FF6BD2">
        <w:rPr>
          <w:color w:val="000000" w:themeColor="text1"/>
        </w:rPr>
        <w:t xml:space="preserve"> Accessed on 03.08.2026. </w:t>
      </w:r>
    </w:p>
    <w:p w14:paraId="36D0491F" w14:textId="77777777" w:rsidR="004F4266" w:rsidRPr="00FF6BD2" w:rsidRDefault="004F4266" w:rsidP="004F4266">
      <w:pPr>
        <w:pStyle w:val="NormalWeb"/>
        <w:spacing w:before="240" w:beforeAutospacing="0" w:after="240" w:afterAutospacing="0" w:line="360" w:lineRule="auto"/>
        <w:jc w:val="both"/>
        <w:rPr>
          <w:color w:val="000000" w:themeColor="text1"/>
        </w:rPr>
      </w:pPr>
      <w:r w:rsidRPr="00FF6BD2">
        <w:rPr>
          <w:color w:val="000000" w:themeColor="text1"/>
        </w:rPr>
        <w:t>10. ISACA, (2023),</w:t>
      </w:r>
      <w:r w:rsidRPr="00FF6BD2">
        <w:rPr>
          <w:i/>
          <w:iCs/>
          <w:color w:val="000000" w:themeColor="text1"/>
        </w:rPr>
        <w:t xml:space="preserve"> Seven Key Features Lessons and Tips from a COBIT Journey of 27 Years. </w:t>
      </w:r>
      <w:r w:rsidRPr="00FF6BD2">
        <w:rPr>
          <w:color w:val="000000" w:themeColor="text1"/>
        </w:rPr>
        <w:t xml:space="preserve">Available from </w:t>
      </w:r>
      <w:hyperlink r:id="rId44" w:history="1">
        <w:r w:rsidRPr="00FF6BD2">
          <w:rPr>
            <w:rStyle w:val="Hyperlink"/>
            <w:color w:val="000000" w:themeColor="text1"/>
          </w:rPr>
          <w:t>https://www.isaca.org/resources/news-and-trends/newsletters/atisaca/2023/volume-46/seven-key-features-lessons-and-tips-from-a-cobit-journey-of-27-years</w:t>
        </w:r>
      </w:hyperlink>
      <w:r w:rsidRPr="00FF6BD2">
        <w:rPr>
          <w:color w:val="000000" w:themeColor="text1"/>
        </w:rPr>
        <w:t xml:space="preserve"> Accessed on 03.08.2026.  </w:t>
      </w:r>
    </w:p>
    <w:p w14:paraId="775EAC0C" w14:textId="77777777" w:rsidR="00955A42" w:rsidRPr="00FF6BD2" w:rsidRDefault="00955A42" w:rsidP="00955A42">
      <w:pPr>
        <w:pStyle w:val="NormalWeb"/>
        <w:spacing w:before="240" w:after="240" w:afterAutospacing="0" w:line="360" w:lineRule="auto"/>
        <w:jc w:val="both"/>
        <w:rPr>
          <w:color w:val="000000" w:themeColor="text1"/>
          <w:lang w:val="en"/>
        </w:rPr>
      </w:pPr>
      <w:hyperlink r:id="rId45">
        <w:r w:rsidRPr="00FF6BD2">
          <w:rPr>
            <w:rStyle w:val="Hyperlink"/>
            <w:color w:val="000000" w:themeColor="text1"/>
            <w:lang w:val="en"/>
          </w:rPr>
          <w:t>https://www.researchgate.net/profile/Kumrashan-Indranil-Iyer/publication/390597579_Poisoning_AI_Models_New_Frontiers_in_Data_Manipulation_Attacks/links/67f59a9d9b1c6c487784c1a6/Poisoning-AI-Models-New-Frontiers-in-Data-Manipulation-Attacks.pdf</w:t>
        </w:r>
      </w:hyperlink>
      <w:r w:rsidRPr="00FF6BD2">
        <w:rPr>
          <w:color w:val="000000" w:themeColor="text1"/>
          <w:lang w:val="en"/>
        </w:rPr>
        <w:t xml:space="preserve"> </w:t>
      </w:r>
    </w:p>
    <w:p w14:paraId="150D0333" w14:textId="22828AC2" w:rsidR="00955A42" w:rsidRPr="00FF6BD2" w:rsidRDefault="00955A42" w:rsidP="00955A42">
      <w:pPr>
        <w:pStyle w:val="NormalWeb"/>
        <w:spacing w:before="240" w:beforeAutospacing="0" w:after="240" w:afterAutospacing="0" w:line="360" w:lineRule="auto"/>
        <w:jc w:val="both"/>
        <w:rPr>
          <w:color w:val="000000" w:themeColor="text1"/>
        </w:rPr>
      </w:pPr>
      <w:r w:rsidRPr="00FF6BD2">
        <w:rPr>
          <w:color w:val="000000" w:themeColor="text1"/>
        </w:rPr>
        <w:t xml:space="preserve">11. </w:t>
      </w:r>
      <w:proofErr w:type="spellStart"/>
      <w:r w:rsidRPr="00FF6BD2">
        <w:rPr>
          <w:color w:val="000000" w:themeColor="text1"/>
        </w:rPr>
        <w:t>Wattimury</w:t>
      </w:r>
      <w:proofErr w:type="spellEnd"/>
      <w:r w:rsidRPr="00FF6BD2">
        <w:rPr>
          <w:color w:val="000000" w:themeColor="text1"/>
        </w:rPr>
        <w:t xml:space="preserve">, G. and Faza, A., 2023. COBIT 2019 implementation for enhancing IT governance in educational institutions. </w:t>
      </w:r>
      <w:r w:rsidRPr="00FF6BD2">
        <w:rPr>
          <w:i/>
          <w:iCs/>
          <w:color w:val="000000" w:themeColor="text1"/>
        </w:rPr>
        <w:t>JISKA (</w:t>
      </w:r>
      <w:proofErr w:type="spellStart"/>
      <w:r w:rsidRPr="00FF6BD2">
        <w:rPr>
          <w:i/>
          <w:iCs/>
          <w:color w:val="000000" w:themeColor="text1"/>
        </w:rPr>
        <w:t>Jurnal</w:t>
      </w:r>
      <w:proofErr w:type="spellEnd"/>
      <w:r w:rsidRPr="00FF6BD2">
        <w:rPr>
          <w:i/>
          <w:iCs/>
          <w:color w:val="000000" w:themeColor="text1"/>
        </w:rPr>
        <w:t xml:space="preserve"> </w:t>
      </w:r>
      <w:proofErr w:type="spellStart"/>
      <w:r w:rsidRPr="00FF6BD2">
        <w:rPr>
          <w:i/>
          <w:iCs/>
          <w:color w:val="000000" w:themeColor="text1"/>
        </w:rPr>
        <w:t>Informatika</w:t>
      </w:r>
      <w:proofErr w:type="spellEnd"/>
      <w:r w:rsidRPr="00FF6BD2">
        <w:rPr>
          <w:i/>
          <w:iCs/>
          <w:color w:val="000000" w:themeColor="text1"/>
        </w:rPr>
        <w:t xml:space="preserve"> Sunan </w:t>
      </w:r>
      <w:proofErr w:type="spellStart"/>
      <w:r w:rsidRPr="00FF6BD2">
        <w:rPr>
          <w:i/>
          <w:iCs/>
          <w:color w:val="000000" w:themeColor="text1"/>
        </w:rPr>
        <w:t>Kalijaga</w:t>
      </w:r>
      <w:proofErr w:type="spellEnd"/>
      <w:r w:rsidRPr="00FF6BD2">
        <w:rPr>
          <w:i/>
          <w:iCs/>
          <w:color w:val="000000" w:themeColor="text1"/>
        </w:rPr>
        <w:t>)</w:t>
      </w:r>
      <w:r w:rsidRPr="00FF6BD2">
        <w:rPr>
          <w:color w:val="000000" w:themeColor="text1"/>
        </w:rPr>
        <w:t xml:space="preserve">, </w:t>
      </w:r>
      <w:r w:rsidRPr="00FF6BD2">
        <w:rPr>
          <w:i/>
          <w:iCs/>
          <w:color w:val="000000" w:themeColor="text1"/>
        </w:rPr>
        <w:t>8</w:t>
      </w:r>
      <w:r w:rsidRPr="00FF6BD2">
        <w:rPr>
          <w:color w:val="000000" w:themeColor="text1"/>
        </w:rPr>
        <w:t xml:space="preserve">(3), pp.210-221.  </w:t>
      </w:r>
      <w:hyperlink r:id="rId46" w:history="1">
        <w:r w:rsidRPr="00FF6BD2">
          <w:rPr>
            <w:rStyle w:val="Hyperlink"/>
            <w:color w:val="000000" w:themeColor="text1"/>
          </w:rPr>
          <w:t>https://ejournal.uin-suka.ac.id/saintek/JISKA/article/download/4186/2709</w:t>
        </w:r>
      </w:hyperlink>
      <w:r w:rsidRPr="00FF6BD2">
        <w:rPr>
          <w:color w:val="000000" w:themeColor="text1"/>
        </w:rPr>
        <w:t> </w:t>
      </w:r>
    </w:p>
    <w:p w14:paraId="4D0ED23D" w14:textId="77777777" w:rsidR="00955A42" w:rsidRPr="00FF6BD2" w:rsidRDefault="00955A42" w:rsidP="00955A42">
      <w:pPr>
        <w:pStyle w:val="NormalWeb"/>
        <w:spacing w:before="240" w:beforeAutospacing="0" w:after="240" w:afterAutospacing="0" w:line="360" w:lineRule="auto"/>
        <w:jc w:val="both"/>
        <w:rPr>
          <w:color w:val="000000" w:themeColor="text1"/>
        </w:rPr>
      </w:pPr>
      <w:r w:rsidRPr="00FF6BD2">
        <w:rPr>
          <w:color w:val="000000" w:themeColor="text1"/>
        </w:rPr>
        <w:t xml:space="preserve">12. Kate, A., 2026. Operationalizing the NIST CSF 2.0 “Govern” Function for AI-Augmented Critical Infrastructure Protection: Policy, Accountability, and Risk Ownership </w:t>
      </w:r>
      <w:r w:rsidRPr="00FF6BD2">
        <w:rPr>
          <w:color w:val="000000" w:themeColor="text1"/>
        </w:rPr>
        <w:lastRenderedPageBreak/>
        <w:t xml:space="preserve">Models.  </w:t>
      </w:r>
      <w:hyperlink r:id="rId47" w:history="1">
        <w:r w:rsidRPr="00FF6BD2">
          <w:rPr>
            <w:rStyle w:val="Hyperlink"/>
            <w:color w:val="000000" w:themeColor="text1"/>
          </w:rPr>
          <w:t>https://www.researchgate.net/profile/Austin-Kate-2/publication/403508974_Operationalizing_the_NIST_CSF_20_Govern_Function_for_AI-_Augmented_Critical_Infrastructure_Protection_Policy_Accountability_and_Risk_Ownership_Models/links/69d10fb49f53d47411c46806/Operationalizing-the-NIST-CSF-20-Govern-Function-for-AI-Augmented-Critical-Infrastructure-Protection-Policy-Accountability-and-Risk-Ownership-Models.pdf</w:t>
        </w:r>
      </w:hyperlink>
      <w:r w:rsidRPr="00FF6BD2">
        <w:rPr>
          <w:color w:val="000000" w:themeColor="text1"/>
        </w:rPr>
        <w:t> </w:t>
      </w:r>
    </w:p>
    <w:p w14:paraId="7FE5B702" w14:textId="5D47EED7" w:rsidR="00955A42" w:rsidRPr="00FF6BD2" w:rsidRDefault="00955A42" w:rsidP="00955A42">
      <w:pPr>
        <w:pStyle w:val="NormalWeb"/>
        <w:spacing w:line="360" w:lineRule="auto"/>
        <w:jc w:val="both"/>
        <w:rPr>
          <w:color w:val="000000" w:themeColor="text1"/>
        </w:rPr>
      </w:pPr>
      <w:r w:rsidRPr="00FF6BD2">
        <w:rPr>
          <w:color w:val="000000" w:themeColor="text1"/>
        </w:rPr>
        <w:t xml:space="preserve">13. Kitsios, F., Chatzidimitriou, E. and </w:t>
      </w:r>
      <w:proofErr w:type="spellStart"/>
      <w:r w:rsidRPr="00FF6BD2">
        <w:rPr>
          <w:color w:val="000000" w:themeColor="text1"/>
        </w:rPr>
        <w:t>Kamariotou</w:t>
      </w:r>
      <w:proofErr w:type="spellEnd"/>
      <w:r w:rsidRPr="00FF6BD2">
        <w:rPr>
          <w:color w:val="000000" w:themeColor="text1"/>
        </w:rPr>
        <w:t xml:space="preserve">, M., 2023. The ISO/IEC 27001 information security management standard: how to extract value from data in the IT sector. </w:t>
      </w:r>
      <w:r w:rsidRPr="00FF6BD2">
        <w:rPr>
          <w:i/>
          <w:iCs/>
          <w:color w:val="000000" w:themeColor="text1"/>
        </w:rPr>
        <w:t>Sustainability</w:t>
      </w:r>
      <w:r w:rsidRPr="00FF6BD2">
        <w:rPr>
          <w:color w:val="000000" w:themeColor="text1"/>
        </w:rPr>
        <w:t xml:space="preserve">, </w:t>
      </w:r>
      <w:r w:rsidRPr="00FF6BD2">
        <w:rPr>
          <w:i/>
          <w:iCs/>
          <w:color w:val="000000" w:themeColor="text1"/>
        </w:rPr>
        <w:t>15</w:t>
      </w:r>
      <w:r w:rsidRPr="00FF6BD2">
        <w:rPr>
          <w:color w:val="000000" w:themeColor="text1"/>
        </w:rPr>
        <w:t xml:space="preserve">(7), p.5828.  </w:t>
      </w:r>
      <w:hyperlink r:id="rId48" w:history="1">
        <w:r w:rsidRPr="00FF6BD2">
          <w:rPr>
            <w:rStyle w:val="Hyperlink"/>
            <w:color w:val="000000" w:themeColor="text1"/>
          </w:rPr>
          <w:t>https://www.mdpi.com/2071-1050/15/7/5828</w:t>
        </w:r>
      </w:hyperlink>
      <w:r w:rsidRPr="00FF6BD2">
        <w:rPr>
          <w:color w:val="000000" w:themeColor="text1"/>
        </w:rPr>
        <w:t> </w:t>
      </w:r>
    </w:p>
    <w:p w14:paraId="67443F0F" w14:textId="77777777" w:rsidR="00955A42" w:rsidRPr="00FF6BD2" w:rsidRDefault="00955A42" w:rsidP="00955A42">
      <w:pPr>
        <w:pStyle w:val="NormalWeb"/>
        <w:spacing w:before="240" w:beforeAutospacing="0" w:after="240" w:afterAutospacing="0" w:line="360" w:lineRule="auto"/>
        <w:jc w:val="both"/>
        <w:rPr>
          <w:color w:val="000000" w:themeColor="text1"/>
        </w:rPr>
      </w:pPr>
      <w:r w:rsidRPr="00FF6BD2">
        <w:rPr>
          <w:color w:val="000000" w:themeColor="text1"/>
        </w:rPr>
        <w:t>14. ISO, (2022),</w:t>
      </w:r>
      <w:r w:rsidRPr="00FF6BD2">
        <w:rPr>
          <w:i/>
          <w:iCs/>
          <w:color w:val="000000" w:themeColor="text1"/>
        </w:rPr>
        <w:t xml:space="preserve"> ISO/IEC 27001:2022. </w:t>
      </w:r>
      <w:r w:rsidRPr="00FF6BD2">
        <w:rPr>
          <w:color w:val="000000" w:themeColor="text1"/>
        </w:rPr>
        <w:t xml:space="preserve">Available from </w:t>
      </w:r>
      <w:hyperlink r:id="rId49" w:history="1">
        <w:r w:rsidRPr="00FF6BD2">
          <w:rPr>
            <w:rStyle w:val="Hyperlink"/>
            <w:color w:val="000000" w:themeColor="text1"/>
          </w:rPr>
          <w:t>https://www.iso.org/standard/27001</w:t>
        </w:r>
      </w:hyperlink>
      <w:r w:rsidRPr="00FF6BD2">
        <w:rPr>
          <w:color w:val="000000" w:themeColor="text1"/>
        </w:rPr>
        <w:t xml:space="preserve"> Accessed on 03.08.2026. </w:t>
      </w:r>
    </w:p>
    <w:p w14:paraId="6010D491" w14:textId="77777777" w:rsidR="00955A42" w:rsidRPr="00FF6BD2" w:rsidRDefault="00955A42" w:rsidP="00955A42">
      <w:pPr>
        <w:pStyle w:val="NormalWeb"/>
        <w:spacing w:before="240" w:beforeAutospacing="0" w:after="240" w:afterAutospacing="0" w:line="360" w:lineRule="auto"/>
        <w:jc w:val="both"/>
        <w:rPr>
          <w:color w:val="000000" w:themeColor="text1"/>
        </w:rPr>
      </w:pPr>
      <w:r w:rsidRPr="00FF6BD2">
        <w:rPr>
          <w:color w:val="000000" w:themeColor="text1"/>
        </w:rPr>
        <w:t xml:space="preserve">15. Calder, A., 2023. Cyber Essentials: A guide to the Cyber Essentials and Cyber Essentials Plus certifications.  </w:t>
      </w:r>
      <w:hyperlink r:id="rId50" w:history="1">
        <w:r w:rsidRPr="00FF6BD2">
          <w:rPr>
            <w:rStyle w:val="Hyperlink"/>
            <w:color w:val="000000" w:themeColor="text1"/>
          </w:rPr>
          <w:t>https://www.torrossa.com/en/resources/an/5751016</w:t>
        </w:r>
      </w:hyperlink>
      <w:r w:rsidRPr="00FF6BD2">
        <w:rPr>
          <w:color w:val="000000" w:themeColor="text1"/>
        </w:rPr>
        <w:t> </w:t>
      </w:r>
    </w:p>
    <w:p w14:paraId="5E9FFA69" w14:textId="77777777" w:rsidR="00955A42" w:rsidRPr="00FF6BD2" w:rsidRDefault="00955A42" w:rsidP="00955A42">
      <w:pPr>
        <w:pStyle w:val="NormalWeb"/>
        <w:spacing w:before="240" w:beforeAutospacing="0" w:after="240" w:afterAutospacing="0" w:line="360" w:lineRule="auto"/>
        <w:jc w:val="both"/>
        <w:rPr>
          <w:color w:val="000000" w:themeColor="text1"/>
        </w:rPr>
      </w:pPr>
      <w:r w:rsidRPr="00FF6BD2">
        <w:rPr>
          <w:color w:val="000000" w:themeColor="text1"/>
        </w:rPr>
        <w:t xml:space="preserve">16. Agustina, M., Syahputri, A., Natasya, R. and </w:t>
      </w:r>
      <w:proofErr w:type="spellStart"/>
      <w:r w:rsidRPr="00FF6BD2">
        <w:rPr>
          <w:color w:val="000000" w:themeColor="text1"/>
        </w:rPr>
        <w:t>Wardhani</w:t>
      </w:r>
      <w:proofErr w:type="spellEnd"/>
      <w:r w:rsidRPr="00FF6BD2">
        <w:rPr>
          <w:color w:val="000000" w:themeColor="text1"/>
        </w:rPr>
        <w:t xml:space="preserve">, N.S., 2025, December. Information System Audit Based on ISO/IEC 27001: A Case Study of a Culinary Small and Medium Enterprise. In </w:t>
      </w:r>
      <w:r w:rsidRPr="00FF6BD2">
        <w:rPr>
          <w:i/>
          <w:iCs/>
          <w:color w:val="000000" w:themeColor="text1"/>
        </w:rPr>
        <w:t>Proceedings of The International Conference on Computer Science, Engineering, Social Science, and Multi-Disciplinary Studies</w:t>
      </w:r>
      <w:r w:rsidRPr="00FF6BD2">
        <w:rPr>
          <w:color w:val="000000" w:themeColor="text1"/>
        </w:rPr>
        <w:t xml:space="preserve"> (Vol. 1, pp. 458-461).  </w:t>
      </w:r>
      <w:hyperlink r:id="rId51" w:history="1">
        <w:r w:rsidRPr="00FF6BD2">
          <w:rPr>
            <w:rStyle w:val="Hyperlink"/>
            <w:color w:val="000000" w:themeColor="text1"/>
          </w:rPr>
          <w:t>https://proceeding.raskhamedia.or.id/index.php/cessmuds/article/download/93/105</w:t>
        </w:r>
      </w:hyperlink>
      <w:r w:rsidRPr="00FF6BD2">
        <w:rPr>
          <w:color w:val="000000" w:themeColor="text1"/>
        </w:rPr>
        <w:t> </w:t>
      </w:r>
    </w:p>
    <w:p w14:paraId="0EFC376C" w14:textId="0A20888A" w:rsidR="00955A42" w:rsidRPr="00FF6BD2" w:rsidRDefault="00955A42" w:rsidP="00955A42">
      <w:pPr>
        <w:pStyle w:val="NormalWeb"/>
        <w:spacing w:before="240" w:beforeAutospacing="0" w:after="240" w:afterAutospacing="0" w:line="360" w:lineRule="auto"/>
        <w:jc w:val="both"/>
        <w:rPr>
          <w:color w:val="000000" w:themeColor="text1"/>
        </w:rPr>
      </w:pPr>
      <w:r w:rsidRPr="00FF6BD2">
        <w:rPr>
          <w:color w:val="000000" w:themeColor="text1"/>
        </w:rPr>
        <w:t xml:space="preserve">17. Rambau, T.M., </w:t>
      </w:r>
      <w:proofErr w:type="spellStart"/>
      <w:r w:rsidRPr="00FF6BD2">
        <w:rPr>
          <w:color w:val="000000" w:themeColor="text1"/>
        </w:rPr>
        <w:t>Munyoka</w:t>
      </w:r>
      <w:proofErr w:type="spellEnd"/>
      <w:r w:rsidRPr="00FF6BD2">
        <w:rPr>
          <w:color w:val="000000" w:themeColor="text1"/>
        </w:rPr>
        <w:t xml:space="preserve">, W., </w:t>
      </w:r>
      <w:proofErr w:type="spellStart"/>
      <w:r w:rsidRPr="00FF6BD2">
        <w:rPr>
          <w:color w:val="000000" w:themeColor="text1"/>
        </w:rPr>
        <w:t>Phahlamohlaka</w:t>
      </w:r>
      <w:proofErr w:type="spellEnd"/>
      <w:r w:rsidRPr="00FF6BD2">
        <w:rPr>
          <w:color w:val="000000" w:themeColor="text1"/>
        </w:rPr>
        <w:t xml:space="preserve">, L.J. and </w:t>
      </w:r>
      <w:proofErr w:type="spellStart"/>
      <w:r w:rsidRPr="00FF6BD2">
        <w:rPr>
          <w:color w:val="000000" w:themeColor="text1"/>
        </w:rPr>
        <w:t>Kadyamatimba</w:t>
      </w:r>
      <w:proofErr w:type="spellEnd"/>
      <w:r w:rsidRPr="00FF6BD2">
        <w:rPr>
          <w:color w:val="000000" w:themeColor="text1"/>
        </w:rPr>
        <w:t xml:space="preserve">, A., 2026. Evaluating cyber resilience frameworks for e-government: applicability of NIST CSF, ISO/IEC 27001 and COBIT 2019 in developing country contexts. </w:t>
      </w:r>
      <w:r w:rsidRPr="00FF6BD2">
        <w:rPr>
          <w:i/>
          <w:iCs/>
          <w:color w:val="000000" w:themeColor="text1"/>
        </w:rPr>
        <w:t>Information &amp; Computer Security</w:t>
      </w:r>
      <w:r w:rsidRPr="00FF6BD2">
        <w:rPr>
          <w:color w:val="000000" w:themeColor="text1"/>
        </w:rPr>
        <w:t xml:space="preserve">, pp.1-22.  </w:t>
      </w:r>
      <w:hyperlink r:id="rId52" w:history="1">
        <w:r w:rsidRPr="00FF6BD2">
          <w:rPr>
            <w:rStyle w:val="Hyperlink"/>
            <w:color w:val="000000" w:themeColor="text1"/>
          </w:rPr>
          <w:t>https://www.emerald.com/ics/article-pdf/doi/10.1108/ICS-09-2025-0376/11493712/ics-09-2025-0376en.pdf</w:t>
        </w:r>
      </w:hyperlink>
      <w:r w:rsidRPr="00FF6BD2">
        <w:rPr>
          <w:color w:val="000000" w:themeColor="text1"/>
        </w:rPr>
        <w:t> </w:t>
      </w:r>
    </w:p>
    <w:p w14:paraId="7AFFE0A8" w14:textId="77777777" w:rsidR="00955A42" w:rsidRPr="00FF6BD2" w:rsidRDefault="00955A42" w:rsidP="00955A42">
      <w:pPr>
        <w:pStyle w:val="NormalWeb"/>
        <w:spacing w:before="240" w:beforeAutospacing="0" w:after="240" w:afterAutospacing="0" w:line="360" w:lineRule="auto"/>
        <w:jc w:val="both"/>
        <w:rPr>
          <w:color w:val="000000" w:themeColor="text1"/>
        </w:rPr>
      </w:pPr>
      <w:r w:rsidRPr="00FF6BD2">
        <w:rPr>
          <w:color w:val="000000" w:themeColor="text1"/>
        </w:rPr>
        <w:t>18. ISTM, (2025),</w:t>
      </w:r>
      <w:r w:rsidRPr="00FF6BD2">
        <w:rPr>
          <w:i/>
          <w:iCs/>
          <w:color w:val="000000" w:themeColor="text1"/>
        </w:rPr>
        <w:t xml:space="preserve"> ITIL 4 Explained: Framework, Practices, and Key Changes. </w:t>
      </w:r>
      <w:r w:rsidRPr="00FF6BD2">
        <w:rPr>
          <w:color w:val="000000" w:themeColor="text1"/>
        </w:rPr>
        <w:t xml:space="preserve">Available from </w:t>
      </w:r>
      <w:hyperlink r:id="rId53" w:history="1">
        <w:r w:rsidRPr="00FF6BD2">
          <w:rPr>
            <w:rStyle w:val="Hyperlink"/>
            <w:color w:val="000000" w:themeColor="text1"/>
          </w:rPr>
          <w:t>https://itsm.tools/itil-4-explained/</w:t>
        </w:r>
      </w:hyperlink>
      <w:r w:rsidRPr="00FF6BD2">
        <w:rPr>
          <w:color w:val="000000" w:themeColor="text1"/>
        </w:rPr>
        <w:t xml:space="preserve"> Accessed on 03.08.2026.  </w:t>
      </w:r>
    </w:p>
    <w:p w14:paraId="7D7F166A" w14:textId="77777777" w:rsidR="0047591C" w:rsidRPr="00FF6BD2" w:rsidRDefault="0047591C" w:rsidP="0047591C">
      <w:pPr>
        <w:pStyle w:val="NormalWeb"/>
        <w:spacing w:before="240" w:beforeAutospacing="0" w:after="240" w:afterAutospacing="0" w:line="360" w:lineRule="auto"/>
        <w:jc w:val="both"/>
        <w:rPr>
          <w:color w:val="000000" w:themeColor="text1"/>
        </w:rPr>
      </w:pPr>
      <w:r w:rsidRPr="00FF6BD2">
        <w:rPr>
          <w:color w:val="000000" w:themeColor="text1"/>
        </w:rPr>
        <w:t xml:space="preserve">19. Noor, M. and </w:t>
      </w:r>
      <w:proofErr w:type="spellStart"/>
      <w:r w:rsidRPr="00FF6BD2">
        <w:rPr>
          <w:color w:val="000000" w:themeColor="text1"/>
        </w:rPr>
        <w:t>Novelan</w:t>
      </w:r>
      <w:proofErr w:type="spellEnd"/>
      <w:r w:rsidRPr="00FF6BD2">
        <w:rPr>
          <w:color w:val="000000" w:themeColor="text1"/>
        </w:rPr>
        <w:t xml:space="preserve">, M.S., 2026, March. Evaluation of Information Technology Service Governance in Higher Education Using the ITIL 4 Framework. In </w:t>
      </w:r>
      <w:r w:rsidRPr="00FF6BD2">
        <w:rPr>
          <w:i/>
          <w:iCs/>
          <w:color w:val="000000" w:themeColor="text1"/>
        </w:rPr>
        <w:t xml:space="preserve">International Conference </w:t>
      </w:r>
      <w:r w:rsidRPr="00FF6BD2">
        <w:rPr>
          <w:i/>
          <w:iCs/>
          <w:color w:val="000000" w:themeColor="text1"/>
        </w:rPr>
        <w:lastRenderedPageBreak/>
        <w:t>Epicentrum of Economic Global Framework</w:t>
      </w:r>
      <w:r w:rsidRPr="00FF6BD2">
        <w:rPr>
          <w:color w:val="000000" w:themeColor="text1"/>
        </w:rPr>
        <w:t xml:space="preserve"> (pp. 681-689). </w:t>
      </w:r>
      <w:hyperlink r:id="rId54" w:history="1">
        <w:r w:rsidRPr="00FF6BD2">
          <w:rPr>
            <w:rStyle w:val="Hyperlink"/>
            <w:color w:val="000000" w:themeColor="text1"/>
          </w:rPr>
          <w:t>https://proceeding.pancabudi.ac.id/index.php/ICEEGLOF/article/download/1646/1606</w:t>
        </w:r>
      </w:hyperlink>
      <w:r w:rsidRPr="00FF6BD2">
        <w:rPr>
          <w:color w:val="000000" w:themeColor="text1"/>
        </w:rPr>
        <w:t> </w:t>
      </w:r>
    </w:p>
    <w:p w14:paraId="1D22C4D1" w14:textId="1B600383" w:rsidR="00955A42" w:rsidRPr="00FF6BD2" w:rsidRDefault="0047591C" w:rsidP="00955A42">
      <w:pPr>
        <w:pStyle w:val="NormalWeb"/>
        <w:spacing w:before="240" w:beforeAutospacing="0" w:after="240" w:afterAutospacing="0" w:line="360" w:lineRule="auto"/>
        <w:jc w:val="both"/>
        <w:rPr>
          <w:color w:val="000000" w:themeColor="text1"/>
        </w:rPr>
      </w:pPr>
      <w:r w:rsidRPr="00FF6BD2">
        <w:rPr>
          <w:color w:val="000000" w:themeColor="text1"/>
        </w:rPr>
        <w:t xml:space="preserve">20. Mambu, J.Y., </w:t>
      </w:r>
      <w:proofErr w:type="spellStart"/>
      <w:r w:rsidRPr="00FF6BD2">
        <w:rPr>
          <w:color w:val="000000" w:themeColor="text1"/>
        </w:rPr>
        <w:t>Lumingkewas</w:t>
      </w:r>
      <w:proofErr w:type="spellEnd"/>
      <w:r w:rsidRPr="00FF6BD2">
        <w:rPr>
          <w:color w:val="000000" w:themeColor="text1"/>
        </w:rPr>
        <w:t xml:space="preserve">, C. and Tangka, G.M.W., 2025. IT Governance Maturity Assessment Using COBIT 2019 for System Enhancement and Strategic Decision Support. </w:t>
      </w:r>
      <w:proofErr w:type="spellStart"/>
      <w:r w:rsidRPr="00FF6BD2">
        <w:rPr>
          <w:i/>
          <w:iCs/>
          <w:color w:val="000000" w:themeColor="text1"/>
        </w:rPr>
        <w:t>CogITo</w:t>
      </w:r>
      <w:proofErr w:type="spellEnd"/>
      <w:r w:rsidRPr="00FF6BD2">
        <w:rPr>
          <w:i/>
          <w:iCs/>
          <w:color w:val="000000" w:themeColor="text1"/>
        </w:rPr>
        <w:t xml:space="preserve"> Smart Journal</w:t>
      </w:r>
      <w:r w:rsidRPr="00FF6BD2">
        <w:rPr>
          <w:color w:val="000000" w:themeColor="text1"/>
        </w:rPr>
        <w:t xml:space="preserve">, </w:t>
      </w:r>
      <w:r w:rsidRPr="00FF6BD2">
        <w:rPr>
          <w:i/>
          <w:iCs/>
          <w:color w:val="000000" w:themeColor="text1"/>
        </w:rPr>
        <w:t>11</w:t>
      </w:r>
      <w:r w:rsidRPr="00FF6BD2">
        <w:rPr>
          <w:color w:val="000000" w:themeColor="text1"/>
        </w:rPr>
        <w:t xml:space="preserve">(1), pp.193-206.  </w:t>
      </w:r>
      <w:hyperlink r:id="rId55" w:history="1">
        <w:r w:rsidRPr="00FF6BD2">
          <w:rPr>
            <w:rStyle w:val="Hyperlink"/>
            <w:color w:val="000000" w:themeColor="text1"/>
          </w:rPr>
          <w:t>https://cogito.unklab.ac.id/index.php/cogito/article/download/998/397</w:t>
        </w:r>
      </w:hyperlink>
      <w:r w:rsidRPr="00FF6BD2">
        <w:rPr>
          <w:color w:val="000000" w:themeColor="text1"/>
        </w:rPr>
        <w:t> </w:t>
      </w:r>
    </w:p>
    <w:p w14:paraId="095AF524" w14:textId="77777777" w:rsidR="0047591C" w:rsidRPr="00FF6BD2" w:rsidRDefault="0047591C" w:rsidP="0047591C">
      <w:pPr>
        <w:pStyle w:val="NormalWeb"/>
        <w:spacing w:before="240" w:beforeAutospacing="0" w:after="240" w:afterAutospacing="0" w:line="360" w:lineRule="auto"/>
        <w:jc w:val="both"/>
        <w:rPr>
          <w:color w:val="000000" w:themeColor="text1"/>
        </w:rPr>
      </w:pPr>
      <w:r w:rsidRPr="00FF6BD2">
        <w:rPr>
          <w:color w:val="000000" w:themeColor="text1"/>
        </w:rPr>
        <w:t xml:space="preserve">21. </w:t>
      </w:r>
      <w:proofErr w:type="spellStart"/>
      <w:r w:rsidRPr="00FF6BD2">
        <w:rPr>
          <w:color w:val="000000" w:themeColor="text1"/>
        </w:rPr>
        <w:t>Afrifah</w:t>
      </w:r>
      <w:proofErr w:type="spellEnd"/>
      <w:r w:rsidRPr="00FF6BD2">
        <w:rPr>
          <w:color w:val="000000" w:themeColor="text1"/>
        </w:rPr>
        <w:t xml:space="preserve">, W., </w:t>
      </w:r>
      <w:proofErr w:type="spellStart"/>
      <w:r w:rsidRPr="00FF6BD2">
        <w:rPr>
          <w:color w:val="000000" w:themeColor="text1"/>
        </w:rPr>
        <w:t>Epiphaniou</w:t>
      </w:r>
      <w:proofErr w:type="spellEnd"/>
      <w:r w:rsidRPr="00FF6BD2">
        <w:rPr>
          <w:color w:val="000000" w:themeColor="text1"/>
        </w:rPr>
        <w:t xml:space="preserve">, D.G., </w:t>
      </w:r>
      <w:proofErr w:type="spellStart"/>
      <w:r w:rsidRPr="00FF6BD2">
        <w:rPr>
          <w:color w:val="000000" w:themeColor="text1"/>
        </w:rPr>
        <w:t>Ersotelos</w:t>
      </w:r>
      <w:proofErr w:type="spellEnd"/>
      <w:r w:rsidRPr="00FF6BD2">
        <w:rPr>
          <w:color w:val="000000" w:themeColor="text1"/>
        </w:rPr>
        <w:t xml:space="preserve">, N. and Maple, C., 2022. Barriers and opportunities in cyber risk and compliance management for data-driven supply chains.  </w:t>
      </w:r>
      <w:hyperlink r:id="rId56" w:history="1">
        <w:r w:rsidRPr="00FF6BD2">
          <w:rPr>
            <w:rStyle w:val="Hyperlink"/>
            <w:color w:val="000000" w:themeColor="text1"/>
          </w:rPr>
          <w:t>https://scholarspace.manoa.hawaii.edu/bitstreams/187dd8f3-05f3-402e-a304-7cef9d7f8e69/download</w:t>
        </w:r>
      </w:hyperlink>
      <w:r w:rsidRPr="00FF6BD2">
        <w:rPr>
          <w:color w:val="000000" w:themeColor="text1"/>
        </w:rPr>
        <w:t> </w:t>
      </w:r>
    </w:p>
    <w:p w14:paraId="017B2253" w14:textId="77777777" w:rsidR="0047591C" w:rsidRPr="00FF6BD2" w:rsidRDefault="0047591C" w:rsidP="0047591C">
      <w:pPr>
        <w:pStyle w:val="NormalWeb"/>
        <w:spacing w:before="240" w:after="240" w:afterAutospacing="0" w:line="360" w:lineRule="auto"/>
        <w:jc w:val="both"/>
        <w:rPr>
          <w:color w:val="000000" w:themeColor="text1"/>
          <w:lang w:val="en"/>
        </w:rPr>
      </w:pPr>
      <w:r w:rsidRPr="00FF6BD2">
        <w:rPr>
          <w:color w:val="000000" w:themeColor="text1"/>
          <w:lang w:val="en"/>
        </w:rPr>
        <w:t xml:space="preserve">22. Baker, D., 2024. </w:t>
      </w:r>
      <w:r w:rsidRPr="00FF6BD2">
        <w:rPr>
          <w:i/>
          <w:iCs/>
          <w:color w:val="000000" w:themeColor="text1"/>
          <w:lang w:val="en"/>
        </w:rPr>
        <w:t>A CISO Guide to Cyber Resilience: A how-to guide for every CISO to build a resilient security program</w:t>
      </w:r>
      <w:r w:rsidRPr="00FF6BD2">
        <w:rPr>
          <w:color w:val="000000" w:themeColor="text1"/>
          <w:lang w:val="en"/>
        </w:rPr>
        <w:t xml:space="preserve">. </w:t>
      </w:r>
      <w:proofErr w:type="spellStart"/>
      <w:r w:rsidRPr="00FF6BD2">
        <w:rPr>
          <w:color w:val="000000" w:themeColor="text1"/>
          <w:lang w:val="en"/>
        </w:rPr>
        <w:t>Packt</w:t>
      </w:r>
      <w:proofErr w:type="spellEnd"/>
      <w:r w:rsidRPr="00FF6BD2">
        <w:rPr>
          <w:color w:val="000000" w:themeColor="text1"/>
          <w:lang w:val="en"/>
        </w:rPr>
        <w:t xml:space="preserve"> Publishing Ltd. </w:t>
      </w:r>
      <w:hyperlink r:id="rId57">
        <w:r w:rsidRPr="00FF6BD2">
          <w:rPr>
            <w:rStyle w:val="Hyperlink"/>
            <w:color w:val="000000" w:themeColor="text1"/>
            <w:lang w:val="en"/>
          </w:rPr>
          <w:t>https://books.google.com/books?hl=en&amp;lr=&amp;id=CTQAEQAAQBAJ&amp;oi=fnd&amp;pg=PP1&amp;dq=The+CISO+manages+security,+risk,+compliance,+IT,+third+party,+and+continuous+security+functions&amp;ots=wJOYgjzv1s&amp;sig=Vgg0xGWaFZ8C58CZ2rUGm7YbQ9g</w:t>
        </w:r>
      </w:hyperlink>
      <w:r w:rsidRPr="00FF6BD2">
        <w:rPr>
          <w:color w:val="000000" w:themeColor="text1"/>
          <w:lang w:val="en"/>
        </w:rPr>
        <w:t xml:space="preserve"> </w:t>
      </w:r>
    </w:p>
    <w:p w14:paraId="1E79D894" w14:textId="664A2B45" w:rsidR="0047591C" w:rsidRPr="00FF6BD2" w:rsidRDefault="0047591C" w:rsidP="0047591C">
      <w:pPr>
        <w:pStyle w:val="NormalWeb"/>
        <w:spacing w:before="240" w:after="240" w:afterAutospacing="0" w:line="360" w:lineRule="auto"/>
        <w:jc w:val="both"/>
        <w:rPr>
          <w:color w:val="000000" w:themeColor="text1"/>
          <w:lang w:val="en"/>
        </w:rPr>
      </w:pPr>
      <w:r w:rsidRPr="00FF6BD2">
        <w:rPr>
          <w:color w:val="000000" w:themeColor="text1"/>
          <w:lang w:val="en"/>
        </w:rPr>
        <w:t>23. Reuben-</w:t>
      </w:r>
      <w:proofErr w:type="spellStart"/>
      <w:r w:rsidRPr="00FF6BD2">
        <w:rPr>
          <w:color w:val="000000" w:themeColor="text1"/>
          <w:lang w:val="en"/>
        </w:rPr>
        <w:t>Owoh</w:t>
      </w:r>
      <w:proofErr w:type="spellEnd"/>
      <w:r w:rsidRPr="00FF6BD2">
        <w:rPr>
          <w:color w:val="000000" w:themeColor="text1"/>
          <w:lang w:val="en"/>
        </w:rPr>
        <w:t xml:space="preserve">, B. and Haig, E., 2025. A systematic review of voluntary cybersecurity standards and frameworks: B. </w:t>
      </w:r>
      <w:proofErr w:type="spellStart"/>
      <w:r w:rsidRPr="00FF6BD2">
        <w:rPr>
          <w:color w:val="000000" w:themeColor="text1"/>
          <w:lang w:val="en"/>
        </w:rPr>
        <w:t>reuben-owoh</w:t>
      </w:r>
      <w:proofErr w:type="spellEnd"/>
      <w:r w:rsidRPr="00FF6BD2">
        <w:rPr>
          <w:color w:val="000000" w:themeColor="text1"/>
          <w:lang w:val="en"/>
        </w:rPr>
        <w:t xml:space="preserve">, e. </w:t>
      </w:r>
      <w:proofErr w:type="spellStart"/>
      <w:r w:rsidRPr="00FF6BD2">
        <w:rPr>
          <w:color w:val="000000" w:themeColor="text1"/>
          <w:lang w:val="en"/>
        </w:rPr>
        <w:t>haig</w:t>
      </w:r>
      <w:proofErr w:type="spellEnd"/>
      <w:r w:rsidRPr="00FF6BD2">
        <w:rPr>
          <w:color w:val="000000" w:themeColor="text1"/>
          <w:lang w:val="en"/>
        </w:rPr>
        <w:t xml:space="preserve">. </w:t>
      </w:r>
      <w:r w:rsidRPr="00FF6BD2">
        <w:rPr>
          <w:i/>
          <w:iCs/>
          <w:color w:val="000000" w:themeColor="text1"/>
          <w:lang w:val="en"/>
        </w:rPr>
        <w:t>International Journal of Information Security</w:t>
      </w:r>
      <w:r w:rsidRPr="00FF6BD2">
        <w:rPr>
          <w:color w:val="000000" w:themeColor="text1"/>
          <w:lang w:val="en"/>
        </w:rPr>
        <w:t xml:space="preserve">, </w:t>
      </w:r>
      <w:r w:rsidRPr="00FF6BD2">
        <w:rPr>
          <w:i/>
          <w:iCs/>
          <w:color w:val="000000" w:themeColor="text1"/>
          <w:lang w:val="en"/>
        </w:rPr>
        <w:t>24</w:t>
      </w:r>
      <w:r w:rsidRPr="00FF6BD2">
        <w:rPr>
          <w:color w:val="000000" w:themeColor="text1"/>
          <w:lang w:val="en"/>
        </w:rPr>
        <w:t xml:space="preserve">(5), p.206. </w:t>
      </w:r>
      <w:hyperlink r:id="rId58">
        <w:r w:rsidRPr="00FF6BD2">
          <w:rPr>
            <w:rStyle w:val="Hyperlink"/>
            <w:color w:val="000000" w:themeColor="text1"/>
            <w:lang w:val="en"/>
          </w:rPr>
          <w:t>https://link.springer.com/content/pdf/10.1007/s10207-025-01121-0.pdf</w:t>
        </w:r>
      </w:hyperlink>
      <w:r w:rsidRPr="00FF6BD2">
        <w:rPr>
          <w:color w:val="000000" w:themeColor="text1"/>
          <w:lang w:val="en"/>
        </w:rPr>
        <w:t xml:space="preserve"> </w:t>
      </w:r>
    </w:p>
    <w:p w14:paraId="0E5B0EF2" w14:textId="77777777" w:rsidR="0047591C" w:rsidRPr="00FF6BD2" w:rsidRDefault="0047591C" w:rsidP="0047591C">
      <w:pPr>
        <w:pStyle w:val="NormalWeb"/>
        <w:spacing w:before="240" w:after="240" w:afterAutospacing="0" w:line="360" w:lineRule="auto"/>
        <w:jc w:val="both"/>
        <w:rPr>
          <w:color w:val="000000" w:themeColor="text1"/>
          <w:lang w:val="en"/>
        </w:rPr>
      </w:pPr>
      <w:r w:rsidRPr="00FF6BD2">
        <w:rPr>
          <w:color w:val="000000" w:themeColor="text1"/>
          <w:lang w:val="en"/>
        </w:rPr>
        <w:t xml:space="preserve">24. Mehmood, K.T., Ashraf, Z., Iqbal, R., Rafique, A.A., Gul, H. and Ali, M., 2025. Cyber security Governance as a Pillar of Enterprise Risk Management: Designing a Compliance-Driven Framework for Operational Resilience, Policy Enforcement, and Regulatory Alignment. </w:t>
      </w:r>
      <w:r w:rsidRPr="00FF6BD2">
        <w:rPr>
          <w:i/>
          <w:iCs/>
          <w:color w:val="000000" w:themeColor="text1"/>
          <w:lang w:val="en"/>
        </w:rPr>
        <w:t>Annual Methodological Archive Research Review</w:t>
      </w:r>
      <w:r w:rsidRPr="00FF6BD2">
        <w:rPr>
          <w:color w:val="000000" w:themeColor="text1"/>
          <w:lang w:val="en"/>
        </w:rPr>
        <w:t xml:space="preserve">, </w:t>
      </w:r>
      <w:r w:rsidRPr="00FF6BD2">
        <w:rPr>
          <w:i/>
          <w:iCs/>
          <w:color w:val="000000" w:themeColor="text1"/>
          <w:lang w:val="en"/>
        </w:rPr>
        <w:t>3</w:t>
      </w:r>
      <w:r w:rsidRPr="00FF6BD2">
        <w:rPr>
          <w:color w:val="000000" w:themeColor="text1"/>
          <w:lang w:val="en"/>
        </w:rPr>
        <w:t xml:space="preserve">(5), pp.59-77. </w:t>
      </w:r>
      <w:hyperlink r:id="rId59">
        <w:r w:rsidRPr="00FF6BD2">
          <w:rPr>
            <w:rStyle w:val="Hyperlink"/>
            <w:color w:val="000000" w:themeColor="text1"/>
            <w:lang w:val="en"/>
          </w:rPr>
          <w:t>https://www.researchgate.net/profile/Raza-Iqbal-3/publication/391448694_Cyber_security_Governance_as_a_Pillar_of_Enterprise_Risk_Management_Designing_a_Compliance-Driven_Framework_for_Operational_Resilience_Policy_Enforcement_and_Regulatory_Alignment/links/6818595bbfbe974b23c2f725/Cyber-security-Governance-as-a-Pillar-of-Enterprise-</w:t>
        </w:r>
        <w:r w:rsidRPr="00FF6BD2">
          <w:rPr>
            <w:rStyle w:val="Hyperlink"/>
            <w:color w:val="000000" w:themeColor="text1"/>
            <w:lang w:val="en"/>
          </w:rPr>
          <w:lastRenderedPageBreak/>
          <w:t>Risk-Management-Designing-a-Compliance-Driven-Framework-for-Operational-Resilience-Policy-Enforcement-and-Regulatory-Alignment.pdf</w:t>
        </w:r>
      </w:hyperlink>
      <w:r w:rsidRPr="00FF6BD2">
        <w:rPr>
          <w:color w:val="000000" w:themeColor="text1"/>
          <w:lang w:val="en"/>
        </w:rPr>
        <w:t xml:space="preserve"> </w:t>
      </w:r>
    </w:p>
    <w:p w14:paraId="56590632" w14:textId="77777777" w:rsidR="0047591C" w:rsidRPr="00FF6BD2" w:rsidRDefault="0047591C" w:rsidP="0047591C">
      <w:pPr>
        <w:pStyle w:val="NormalWeb"/>
        <w:spacing w:before="240" w:after="240" w:afterAutospacing="0" w:line="360" w:lineRule="auto"/>
        <w:jc w:val="both"/>
        <w:rPr>
          <w:color w:val="000000" w:themeColor="text1"/>
          <w:lang w:val="en"/>
        </w:rPr>
      </w:pPr>
      <w:r w:rsidRPr="00FF6BD2">
        <w:rPr>
          <w:color w:val="000000" w:themeColor="text1"/>
          <w:lang w:val="en"/>
        </w:rPr>
        <w:t xml:space="preserve">25. Narayan, S.B., 2025. What is one effective way organizations can reduce the risk of insider threats without disrupting productivity. </w:t>
      </w:r>
      <w:r w:rsidRPr="00FF6BD2">
        <w:rPr>
          <w:i/>
          <w:iCs/>
          <w:color w:val="000000" w:themeColor="text1"/>
          <w:lang w:val="en"/>
        </w:rPr>
        <w:t>Journal of Engineering and Artificial Intelligence</w:t>
      </w:r>
      <w:r w:rsidRPr="00FF6BD2">
        <w:rPr>
          <w:color w:val="000000" w:themeColor="text1"/>
          <w:lang w:val="en"/>
        </w:rPr>
        <w:t xml:space="preserve">, </w:t>
      </w:r>
      <w:r w:rsidRPr="00FF6BD2">
        <w:rPr>
          <w:i/>
          <w:iCs/>
          <w:color w:val="000000" w:themeColor="text1"/>
          <w:lang w:val="en"/>
        </w:rPr>
        <w:t>1</w:t>
      </w:r>
      <w:r w:rsidRPr="00FF6BD2">
        <w:rPr>
          <w:color w:val="000000" w:themeColor="text1"/>
          <w:lang w:val="en"/>
        </w:rPr>
        <w:t xml:space="preserve">(2), pp.1-3. </w:t>
      </w:r>
      <w:hyperlink r:id="rId60">
        <w:r w:rsidRPr="00FF6BD2">
          <w:rPr>
            <w:rStyle w:val="Hyperlink"/>
            <w:color w:val="000000" w:themeColor="text1"/>
            <w:lang w:val="en"/>
          </w:rPr>
          <w:t>https://engineering-ai.academicsquare-pub.com/index.php/1/article/download/25/9</w:t>
        </w:r>
      </w:hyperlink>
      <w:r w:rsidRPr="00FF6BD2">
        <w:rPr>
          <w:color w:val="000000" w:themeColor="text1"/>
          <w:lang w:val="en"/>
        </w:rPr>
        <w:t xml:space="preserve"> </w:t>
      </w:r>
    </w:p>
    <w:p w14:paraId="304F936B" w14:textId="77777777" w:rsidR="0047591C" w:rsidRPr="00FF6BD2" w:rsidRDefault="0047591C" w:rsidP="0047591C">
      <w:pPr>
        <w:pStyle w:val="NormalWeb"/>
        <w:spacing w:before="240" w:after="240" w:afterAutospacing="0" w:line="360" w:lineRule="auto"/>
        <w:jc w:val="both"/>
        <w:rPr>
          <w:color w:val="000000" w:themeColor="text1"/>
          <w:lang w:val="en"/>
        </w:rPr>
      </w:pPr>
      <w:r w:rsidRPr="00FF6BD2">
        <w:rPr>
          <w:color w:val="000000" w:themeColor="text1"/>
          <w:lang w:val="en"/>
        </w:rPr>
        <w:t xml:space="preserve">26. Stefani, E., 2025. Assessment of the relationship between information technology governance and artificial intelligence governance in organizations: expansion of the COBIT 2019 framework. </w:t>
      </w:r>
      <w:hyperlink r:id="rId61">
        <w:r w:rsidRPr="00FF6BD2">
          <w:rPr>
            <w:rStyle w:val="Hyperlink"/>
            <w:color w:val="000000" w:themeColor="text1"/>
            <w:lang w:val="en"/>
          </w:rPr>
          <w:t>https://bibliotecatede.uninove.br/bitstream/tede/3833/2/Eduardo%20Corr%C3%AAa%20Stefani.pdf</w:t>
        </w:r>
      </w:hyperlink>
      <w:r w:rsidRPr="00FF6BD2">
        <w:rPr>
          <w:color w:val="000000" w:themeColor="text1"/>
          <w:lang w:val="en"/>
        </w:rPr>
        <w:t xml:space="preserve"> </w:t>
      </w:r>
    </w:p>
    <w:p w14:paraId="466AD8DC" w14:textId="7503E5E1" w:rsidR="0047591C" w:rsidRPr="00FF6BD2" w:rsidRDefault="0047591C" w:rsidP="0047591C">
      <w:pPr>
        <w:pStyle w:val="NormalWeb"/>
        <w:spacing w:before="240" w:after="240" w:afterAutospacing="0" w:line="360" w:lineRule="auto"/>
        <w:jc w:val="both"/>
        <w:rPr>
          <w:color w:val="000000" w:themeColor="text1"/>
          <w:lang w:val="en"/>
        </w:rPr>
      </w:pPr>
      <w:r w:rsidRPr="00FF6BD2">
        <w:rPr>
          <w:color w:val="000000" w:themeColor="text1"/>
          <w:lang w:val="en"/>
        </w:rPr>
        <w:t xml:space="preserve">27. Efe, A., 2023. A comparison of key risk management frameworks: </w:t>
      </w:r>
      <w:proofErr w:type="spellStart"/>
      <w:r w:rsidRPr="00FF6BD2">
        <w:rPr>
          <w:color w:val="000000" w:themeColor="text1"/>
          <w:lang w:val="en"/>
        </w:rPr>
        <w:t>coso</w:t>
      </w:r>
      <w:proofErr w:type="spellEnd"/>
      <w:r w:rsidRPr="00FF6BD2">
        <w:rPr>
          <w:color w:val="000000" w:themeColor="text1"/>
          <w:lang w:val="en"/>
        </w:rPr>
        <w:t xml:space="preserve">-erm, </w:t>
      </w:r>
      <w:proofErr w:type="spellStart"/>
      <w:r w:rsidRPr="00FF6BD2">
        <w:rPr>
          <w:color w:val="000000" w:themeColor="text1"/>
          <w:lang w:val="en"/>
        </w:rPr>
        <w:t>nist</w:t>
      </w:r>
      <w:proofErr w:type="spellEnd"/>
      <w:r w:rsidRPr="00FF6BD2">
        <w:rPr>
          <w:color w:val="000000" w:themeColor="text1"/>
          <w:lang w:val="en"/>
        </w:rPr>
        <w:t xml:space="preserve"> </w:t>
      </w:r>
      <w:proofErr w:type="spellStart"/>
      <w:r w:rsidRPr="00FF6BD2">
        <w:rPr>
          <w:color w:val="000000" w:themeColor="text1"/>
          <w:lang w:val="en"/>
        </w:rPr>
        <w:t>rmf</w:t>
      </w:r>
      <w:proofErr w:type="spellEnd"/>
      <w:r w:rsidRPr="00FF6BD2">
        <w:rPr>
          <w:color w:val="000000" w:themeColor="text1"/>
          <w:lang w:val="en"/>
        </w:rPr>
        <w:t xml:space="preserve">, iso 31.000, </w:t>
      </w:r>
      <w:proofErr w:type="spellStart"/>
      <w:r w:rsidRPr="00FF6BD2">
        <w:rPr>
          <w:color w:val="000000" w:themeColor="text1"/>
          <w:lang w:val="en"/>
        </w:rPr>
        <w:t>cobit</w:t>
      </w:r>
      <w:proofErr w:type="spellEnd"/>
      <w:r w:rsidRPr="00FF6BD2">
        <w:rPr>
          <w:color w:val="000000" w:themeColor="text1"/>
          <w:lang w:val="en"/>
        </w:rPr>
        <w:t xml:space="preserve">. </w:t>
      </w:r>
      <w:proofErr w:type="spellStart"/>
      <w:r w:rsidRPr="00FF6BD2">
        <w:rPr>
          <w:i/>
          <w:iCs/>
          <w:color w:val="000000" w:themeColor="text1"/>
          <w:lang w:val="en"/>
        </w:rPr>
        <w:t>Denetim</w:t>
      </w:r>
      <w:proofErr w:type="spellEnd"/>
      <w:r w:rsidRPr="00FF6BD2">
        <w:rPr>
          <w:i/>
          <w:iCs/>
          <w:color w:val="000000" w:themeColor="text1"/>
          <w:lang w:val="en"/>
        </w:rPr>
        <w:t xml:space="preserve"> </w:t>
      </w:r>
      <w:proofErr w:type="spellStart"/>
      <w:r w:rsidRPr="00FF6BD2">
        <w:rPr>
          <w:i/>
          <w:iCs/>
          <w:color w:val="000000" w:themeColor="text1"/>
          <w:lang w:val="en"/>
        </w:rPr>
        <w:t>ve</w:t>
      </w:r>
      <w:proofErr w:type="spellEnd"/>
      <w:r w:rsidRPr="00FF6BD2">
        <w:rPr>
          <w:i/>
          <w:iCs/>
          <w:color w:val="000000" w:themeColor="text1"/>
          <w:lang w:val="en"/>
        </w:rPr>
        <w:t xml:space="preserve"> </w:t>
      </w:r>
      <w:proofErr w:type="spellStart"/>
      <w:r w:rsidRPr="00FF6BD2">
        <w:rPr>
          <w:i/>
          <w:iCs/>
          <w:color w:val="000000" w:themeColor="text1"/>
          <w:lang w:val="en"/>
        </w:rPr>
        <w:t>Güvence</w:t>
      </w:r>
      <w:proofErr w:type="spellEnd"/>
      <w:r w:rsidRPr="00FF6BD2">
        <w:rPr>
          <w:i/>
          <w:iCs/>
          <w:color w:val="000000" w:themeColor="text1"/>
          <w:lang w:val="en"/>
        </w:rPr>
        <w:t xml:space="preserve"> Hizmetleri Dergisi</w:t>
      </w:r>
      <w:r w:rsidRPr="00FF6BD2">
        <w:rPr>
          <w:color w:val="000000" w:themeColor="text1"/>
          <w:lang w:val="en"/>
        </w:rPr>
        <w:t xml:space="preserve">, </w:t>
      </w:r>
      <w:r w:rsidRPr="00FF6BD2">
        <w:rPr>
          <w:i/>
          <w:iCs/>
          <w:color w:val="000000" w:themeColor="text1"/>
          <w:lang w:val="en"/>
        </w:rPr>
        <w:t>3</w:t>
      </w:r>
      <w:r w:rsidRPr="00FF6BD2">
        <w:rPr>
          <w:color w:val="000000" w:themeColor="text1"/>
          <w:lang w:val="en"/>
        </w:rPr>
        <w:t xml:space="preserve">(2), pp.185-205. </w:t>
      </w:r>
      <w:hyperlink r:id="rId62">
        <w:r w:rsidRPr="00FF6BD2">
          <w:rPr>
            <w:rStyle w:val="Hyperlink"/>
            <w:color w:val="000000" w:themeColor="text1"/>
            <w:lang w:val="en"/>
          </w:rPr>
          <w:t>https://dergipark.org.tr/en/download/article-file/3120080</w:t>
        </w:r>
      </w:hyperlink>
      <w:r w:rsidRPr="00FF6BD2">
        <w:rPr>
          <w:color w:val="000000" w:themeColor="text1"/>
          <w:lang w:val="en"/>
        </w:rPr>
        <w:t xml:space="preserve"> </w:t>
      </w:r>
    </w:p>
    <w:p w14:paraId="7981B501" w14:textId="35EE572A" w:rsidR="0047591C" w:rsidRPr="00FF6BD2" w:rsidRDefault="0047591C" w:rsidP="0047591C">
      <w:pPr>
        <w:pStyle w:val="NormalWeb"/>
        <w:spacing w:before="240" w:after="240" w:afterAutospacing="0" w:line="360" w:lineRule="auto"/>
        <w:jc w:val="both"/>
        <w:rPr>
          <w:color w:val="000000" w:themeColor="text1"/>
          <w:lang w:val="en"/>
        </w:rPr>
      </w:pPr>
      <w:r w:rsidRPr="00FF6BD2">
        <w:rPr>
          <w:color w:val="000000" w:themeColor="text1"/>
          <w:lang w:val="en"/>
        </w:rPr>
        <w:t xml:space="preserve">28. </w:t>
      </w:r>
      <w:proofErr w:type="spellStart"/>
      <w:r w:rsidRPr="00FF6BD2">
        <w:rPr>
          <w:color w:val="000000" w:themeColor="text1"/>
          <w:lang w:val="en"/>
        </w:rPr>
        <w:t>AlShalaan</w:t>
      </w:r>
      <w:proofErr w:type="spellEnd"/>
      <w:r w:rsidRPr="00FF6BD2">
        <w:rPr>
          <w:color w:val="000000" w:themeColor="text1"/>
          <w:lang w:val="en"/>
        </w:rPr>
        <w:t xml:space="preserve">, M.R. and Fati, S.M., 2023. Enhancing organizational data security on employee-connected devices using BYOD policy. </w:t>
      </w:r>
      <w:r w:rsidRPr="00FF6BD2">
        <w:rPr>
          <w:i/>
          <w:iCs/>
          <w:color w:val="000000" w:themeColor="text1"/>
          <w:lang w:val="en"/>
        </w:rPr>
        <w:t>Information</w:t>
      </w:r>
      <w:r w:rsidRPr="00FF6BD2">
        <w:rPr>
          <w:color w:val="000000" w:themeColor="text1"/>
          <w:lang w:val="en"/>
        </w:rPr>
        <w:t xml:space="preserve">, </w:t>
      </w:r>
      <w:r w:rsidRPr="00FF6BD2">
        <w:rPr>
          <w:i/>
          <w:iCs/>
          <w:color w:val="000000" w:themeColor="text1"/>
          <w:lang w:val="en"/>
        </w:rPr>
        <w:t>14</w:t>
      </w:r>
      <w:r w:rsidRPr="00FF6BD2">
        <w:rPr>
          <w:color w:val="000000" w:themeColor="text1"/>
          <w:lang w:val="en"/>
        </w:rPr>
        <w:t xml:space="preserve">(5), p.275. </w:t>
      </w:r>
      <w:hyperlink r:id="rId63">
        <w:r w:rsidRPr="00FF6BD2">
          <w:rPr>
            <w:rStyle w:val="Hyperlink"/>
            <w:color w:val="000000" w:themeColor="text1"/>
            <w:lang w:val="en"/>
          </w:rPr>
          <w:t>https://www.mdpi.com/2078-2489/14/5/275</w:t>
        </w:r>
      </w:hyperlink>
      <w:r w:rsidRPr="00FF6BD2">
        <w:rPr>
          <w:color w:val="000000" w:themeColor="text1"/>
          <w:lang w:val="en"/>
        </w:rPr>
        <w:t xml:space="preserve"> </w:t>
      </w:r>
    </w:p>
    <w:p w14:paraId="1392C27F" w14:textId="7C53C870" w:rsidR="0047591C" w:rsidRPr="00FF6BD2" w:rsidRDefault="0047591C" w:rsidP="0047591C">
      <w:pPr>
        <w:pStyle w:val="NormalWeb"/>
        <w:spacing w:before="240" w:after="240" w:afterAutospacing="0" w:line="360" w:lineRule="auto"/>
        <w:jc w:val="both"/>
        <w:rPr>
          <w:color w:val="000000" w:themeColor="text1"/>
          <w:lang w:val="en"/>
        </w:rPr>
      </w:pPr>
      <w:r w:rsidRPr="00FF6BD2">
        <w:rPr>
          <w:color w:val="000000" w:themeColor="text1"/>
          <w:lang w:val="en"/>
        </w:rPr>
        <w:t xml:space="preserve">29. Malatji, M., 2023, January. Management of enterprise cyber security: A review of ISO/IEC 27001: 2022. In </w:t>
      </w:r>
      <w:r w:rsidRPr="00FF6BD2">
        <w:rPr>
          <w:i/>
          <w:iCs/>
          <w:color w:val="000000" w:themeColor="text1"/>
          <w:lang w:val="en"/>
        </w:rPr>
        <w:t>2023 International conference on cyber management and engineering (</w:t>
      </w:r>
      <w:proofErr w:type="spellStart"/>
      <w:r w:rsidRPr="00FF6BD2">
        <w:rPr>
          <w:i/>
          <w:iCs/>
          <w:color w:val="000000" w:themeColor="text1"/>
          <w:lang w:val="en"/>
        </w:rPr>
        <w:t>CyMaEn</w:t>
      </w:r>
      <w:proofErr w:type="spellEnd"/>
      <w:r w:rsidRPr="00FF6BD2">
        <w:rPr>
          <w:i/>
          <w:iCs/>
          <w:color w:val="000000" w:themeColor="text1"/>
          <w:lang w:val="en"/>
        </w:rPr>
        <w:t>)</w:t>
      </w:r>
      <w:r w:rsidRPr="00FF6BD2">
        <w:rPr>
          <w:color w:val="000000" w:themeColor="text1"/>
          <w:lang w:val="en"/>
        </w:rPr>
        <w:t xml:space="preserve"> (pp. 117-122). IEEE. </w:t>
      </w:r>
      <w:hyperlink r:id="rId64">
        <w:r w:rsidRPr="00FF6BD2">
          <w:rPr>
            <w:rStyle w:val="Hyperlink"/>
            <w:color w:val="000000" w:themeColor="text1"/>
            <w:lang w:val="en"/>
          </w:rPr>
          <w:t>https://www.johanolausson.com/management.pdf</w:t>
        </w:r>
      </w:hyperlink>
      <w:r w:rsidRPr="00FF6BD2">
        <w:rPr>
          <w:color w:val="000000" w:themeColor="text1"/>
          <w:lang w:val="en"/>
        </w:rPr>
        <w:t xml:space="preserve"> </w:t>
      </w:r>
    </w:p>
    <w:p w14:paraId="0009E612" w14:textId="77777777" w:rsidR="0047591C" w:rsidRPr="00FF6BD2" w:rsidRDefault="0047591C" w:rsidP="0047591C">
      <w:pPr>
        <w:pStyle w:val="NormalWeb"/>
        <w:spacing w:before="240" w:after="240" w:afterAutospacing="0" w:line="360" w:lineRule="auto"/>
        <w:jc w:val="both"/>
        <w:rPr>
          <w:color w:val="000000" w:themeColor="text1"/>
          <w:lang w:val="en"/>
        </w:rPr>
      </w:pPr>
      <w:r w:rsidRPr="00FF6BD2">
        <w:rPr>
          <w:color w:val="000000" w:themeColor="text1"/>
          <w:lang w:val="en"/>
        </w:rPr>
        <w:t xml:space="preserve">30. Arumugam, K.J., 2024. Behind the cloud: Uncovering critical security threats. </w:t>
      </w:r>
      <w:r w:rsidRPr="00FF6BD2">
        <w:rPr>
          <w:i/>
          <w:iCs/>
          <w:color w:val="000000" w:themeColor="text1"/>
          <w:lang w:val="en"/>
        </w:rPr>
        <w:t>Available at SSRN 5160686</w:t>
      </w:r>
      <w:r w:rsidRPr="00FF6BD2">
        <w:rPr>
          <w:color w:val="000000" w:themeColor="text1"/>
          <w:lang w:val="en"/>
        </w:rPr>
        <w:t xml:space="preserve">. </w:t>
      </w:r>
      <w:hyperlink r:id="rId65">
        <w:r w:rsidRPr="00FF6BD2">
          <w:rPr>
            <w:rStyle w:val="Hyperlink"/>
            <w:color w:val="000000" w:themeColor="text1"/>
            <w:lang w:val="en"/>
          </w:rPr>
          <w:t>https://papers.ssrn.com/sol3/Delivery.cfm?abstractid=5160686</w:t>
        </w:r>
      </w:hyperlink>
      <w:r w:rsidRPr="00FF6BD2">
        <w:rPr>
          <w:color w:val="000000" w:themeColor="text1"/>
          <w:lang w:val="en"/>
        </w:rPr>
        <w:t xml:space="preserve"> </w:t>
      </w:r>
    </w:p>
    <w:p w14:paraId="1B8F33B5" w14:textId="77777777" w:rsidR="0047591C" w:rsidRPr="00FF6BD2" w:rsidRDefault="0047591C" w:rsidP="0047591C">
      <w:pPr>
        <w:pStyle w:val="NormalWeb"/>
        <w:spacing w:before="240" w:after="240" w:afterAutospacing="0" w:line="360" w:lineRule="auto"/>
        <w:jc w:val="both"/>
        <w:rPr>
          <w:color w:val="000000" w:themeColor="text1"/>
          <w:lang w:val="en"/>
        </w:rPr>
      </w:pPr>
      <w:r w:rsidRPr="00FF6BD2">
        <w:rPr>
          <w:color w:val="000000" w:themeColor="text1"/>
          <w:lang w:val="en"/>
        </w:rPr>
        <w:t xml:space="preserve">31. Sunkara, G., 2025. Implementing zero trust architecture in modern enterprise networks. </w:t>
      </w:r>
      <w:r w:rsidRPr="00FF6BD2">
        <w:rPr>
          <w:i/>
          <w:iCs/>
          <w:color w:val="000000" w:themeColor="text1"/>
          <w:lang w:val="en"/>
        </w:rPr>
        <w:t>SAMRIDDHI: A Journal of Physical Sciences, Engineering and Technology</w:t>
      </w:r>
      <w:r w:rsidRPr="00FF6BD2">
        <w:rPr>
          <w:color w:val="000000" w:themeColor="text1"/>
          <w:lang w:val="en"/>
        </w:rPr>
        <w:t xml:space="preserve">, </w:t>
      </w:r>
      <w:r w:rsidRPr="00FF6BD2">
        <w:rPr>
          <w:i/>
          <w:iCs/>
          <w:color w:val="000000" w:themeColor="text1"/>
          <w:lang w:val="en"/>
        </w:rPr>
        <w:t>17</w:t>
      </w:r>
      <w:r w:rsidRPr="00FF6BD2">
        <w:rPr>
          <w:color w:val="000000" w:themeColor="text1"/>
          <w:lang w:val="en"/>
        </w:rPr>
        <w:t xml:space="preserve">(03), pp.1-11. </w:t>
      </w:r>
      <w:hyperlink r:id="rId66">
        <w:r w:rsidRPr="00FF6BD2">
          <w:rPr>
            <w:rStyle w:val="Hyperlink"/>
            <w:color w:val="000000" w:themeColor="text1"/>
            <w:lang w:val="en"/>
          </w:rPr>
          <w:t>https://smsjournals.com/index.php/SAMRIDDHI/article/download/3350/1701</w:t>
        </w:r>
      </w:hyperlink>
      <w:r w:rsidRPr="00FF6BD2">
        <w:rPr>
          <w:color w:val="000000" w:themeColor="text1"/>
          <w:lang w:val="en"/>
        </w:rPr>
        <w:t xml:space="preserve"> </w:t>
      </w:r>
    </w:p>
    <w:p w14:paraId="5A3316AC" w14:textId="77777777" w:rsidR="000A0424" w:rsidRPr="00FF6BD2" w:rsidRDefault="000A0424" w:rsidP="000A0424">
      <w:pPr>
        <w:pStyle w:val="NormalWeb"/>
        <w:spacing w:before="240" w:after="240" w:afterAutospacing="0" w:line="360" w:lineRule="auto"/>
        <w:jc w:val="both"/>
        <w:rPr>
          <w:color w:val="000000" w:themeColor="text1"/>
          <w:lang w:val="en"/>
        </w:rPr>
      </w:pPr>
      <w:r w:rsidRPr="00FF6BD2">
        <w:rPr>
          <w:color w:val="000000" w:themeColor="text1"/>
          <w:lang w:val="en"/>
        </w:rPr>
        <w:t xml:space="preserve">32. Sekhar, K., (2026). </w:t>
      </w:r>
      <w:r w:rsidRPr="00FF6BD2">
        <w:rPr>
          <w:i/>
          <w:iCs/>
          <w:color w:val="000000" w:themeColor="text1"/>
          <w:lang w:val="en"/>
        </w:rPr>
        <w:t xml:space="preserve">What Is IT Security? A Practical Guide for IT and Security Teams. </w:t>
      </w:r>
      <w:r w:rsidRPr="00FF6BD2">
        <w:rPr>
          <w:color w:val="000000" w:themeColor="text1"/>
          <w:lang w:val="en"/>
        </w:rPr>
        <w:t xml:space="preserve">Available from </w:t>
      </w:r>
      <w:hyperlink r:id="rId67">
        <w:r w:rsidRPr="00FF6BD2">
          <w:rPr>
            <w:rStyle w:val="Hyperlink"/>
            <w:color w:val="000000" w:themeColor="text1"/>
            <w:lang w:val="en"/>
          </w:rPr>
          <w:t>https://www.manageengine.com/products/desktop-central/articles/what-is-itsecurity.html</w:t>
        </w:r>
      </w:hyperlink>
      <w:r w:rsidRPr="00FF6BD2">
        <w:rPr>
          <w:color w:val="000000" w:themeColor="text1"/>
          <w:lang w:val="en"/>
        </w:rPr>
        <w:t xml:space="preserve"> Accessed on 3.8.2026</w:t>
      </w:r>
    </w:p>
    <w:p w14:paraId="65670E04" w14:textId="77777777" w:rsidR="000A0424" w:rsidRPr="00FF6BD2" w:rsidRDefault="000A0424" w:rsidP="000A0424">
      <w:pPr>
        <w:pStyle w:val="NormalWeb"/>
        <w:spacing w:before="240" w:after="240" w:afterAutospacing="0" w:line="360" w:lineRule="auto"/>
        <w:jc w:val="both"/>
        <w:rPr>
          <w:color w:val="000000" w:themeColor="text1"/>
          <w:lang w:val="en"/>
        </w:rPr>
      </w:pPr>
      <w:r w:rsidRPr="00FF6BD2">
        <w:rPr>
          <w:color w:val="000000" w:themeColor="text1"/>
          <w:lang w:val="en"/>
        </w:rPr>
        <w:lastRenderedPageBreak/>
        <w:t xml:space="preserve">33. Alam, M.M., Khan, M.I. and Sayem, S.M., 2026. Hybrid Cybersecurity: AI Models for Predicting Threats Across Multi-Cloud for US Business Environment. </w:t>
      </w:r>
      <w:r w:rsidRPr="00FF6BD2">
        <w:rPr>
          <w:i/>
          <w:iCs/>
          <w:color w:val="000000" w:themeColor="text1"/>
          <w:lang w:val="en"/>
        </w:rPr>
        <w:t>Frontiers in Computer Science and Artificial Intelligence</w:t>
      </w:r>
      <w:r w:rsidRPr="00FF6BD2">
        <w:rPr>
          <w:color w:val="000000" w:themeColor="text1"/>
          <w:lang w:val="en"/>
        </w:rPr>
        <w:t xml:space="preserve">, </w:t>
      </w:r>
      <w:r w:rsidRPr="00FF6BD2">
        <w:rPr>
          <w:i/>
          <w:iCs/>
          <w:color w:val="000000" w:themeColor="text1"/>
          <w:lang w:val="en"/>
        </w:rPr>
        <w:t>5</w:t>
      </w:r>
      <w:r w:rsidRPr="00FF6BD2">
        <w:rPr>
          <w:color w:val="000000" w:themeColor="text1"/>
          <w:lang w:val="en"/>
        </w:rPr>
        <w:t xml:space="preserve">(9), pp.59-66. </w:t>
      </w:r>
      <w:hyperlink r:id="rId68">
        <w:r w:rsidRPr="00FF6BD2">
          <w:rPr>
            <w:rStyle w:val="Hyperlink"/>
            <w:color w:val="000000" w:themeColor="text1"/>
            <w:lang w:val="en"/>
          </w:rPr>
          <w:t>https://alkindipublisher.com/index.php/fcsai/article/download/12959/11628</w:t>
        </w:r>
      </w:hyperlink>
      <w:r w:rsidRPr="00FF6BD2">
        <w:rPr>
          <w:color w:val="000000" w:themeColor="text1"/>
          <w:lang w:val="en"/>
        </w:rPr>
        <w:t xml:space="preserve"> </w:t>
      </w:r>
    </w:p>
    <w:p w14:paraId="327A586A" w14:textId="77777777" w:rsidR="000A0424" w:rsidRPr="00FF6BD2" w:rsidRDefault="000A0424" w:rsidP="000A0424">
      <w:pPr>
        <w:pStyle w:val="NormalWeb"/>
        <w:spacing w:before="240" w:after="240" w:afterAutospacing="0" w:line="360" w:lineRule="auto"/>
        <w:jc w:val="both"/>
        <w:rPr>
          <w:color w:val="000000" w:themeColor="text1"/>
          <w:lang w:val="en"/>
        </w:rPr>
      </w:pPr>
      <w:r w:rsidRPr="00FF6BD2">
        <w:rPr>
          <w:color w:val="000000" w:themeColor="text1"/>
          <w:lang w:val="en"/>
        </w:rPr>
        <w:t xml:space="preserve">34. </w:t>
      </w:r>
      <w:proofErr w:type="spellStart"/>
      <w:r w:rsidRPr="00FF6BD2">
        <w:rPr>
          <w:color w:val="000000" w:themeColor="text1"/>
          <w:lang w:val="en"/>
        </w:rPr>
        <w:t>Wto</w:t>
      </w:r>
      <w:proofErr w:type="spellEnd"/>
      <w:r w:rsidRPr="00FF6BD2">
        <w:rPr>
          <w:color w:val="000000" w:themeColor="text1"/>
          <w:lang w:val="en"/>
        </w:rPr>
        <w:t xml:space="preserve"> (2026). </w:t>
      </w:r>
      <w:r w:rsidRPr="00FF6BD2">
        <w:rPr>
          <w:i/>
          <w:iCs/>
          <w:color w:val="000000" w:themeColor="text1"/>
          <w:lang w:val="en"/>
        </w:rPr>
        <w:t xml:space="preserve">AIR TRANSPORT AND THE GATS. </w:t>
      </w:r>
      <w:r w:rsidRPr="00FF6BD2">
        <w:rPr>
          <w:color w:val="000000" w:themeColor="text1"/>
          <w:lang w:val="en"/>
        </w:rPr>
        <w:t xml:space="preserve">Available from </w:t>
      </w:r>
      <w:hyperlink r:id="rId69">
        <w:r w:rsidRPr="00FF6BD2">
          <w:rPr>
            <w:rStyle w:val="Hyperlink"/>
            <w:color w:val="000000" w:themeColor="text1"/>
            <w:lang w:val="en"/>
          </w:rPr>
          <w:t>https://www.wto.org/english/res_e/booksp_e/airtransport_2000_e.pdf</w:t>
        </w:r>
      </w:hyperlink>
      <w:r w:rsidRPr="00FF6BD2">
        <w:rPr>
          <w:color w:val="000000" w:themeColor="text1"/>
          <w:lang w:val="en"/>
        </w:rPr>
        <w:t xml:space="preserve"> Accessed on 3.8.2026</w:t>
      </w:r>
    </w:p>
    <w:p w14:paraId="1A9E9960" w14:textId="77777777" w:rsidR="000A0424" w:rsidRPr="00FF6BD2" w:rsidRDefault="000A0424" w:rsidP="000A0424">
      <w:pPr>
        <w:pStyle w:val="NormalWeb"/>
        <w:spacing w:before="240" w:after="240" w:afterAutospacing="0" w:line="360" w:lineRule="auto"/>
        <w:jc w:val="both"/>
        <w:rPr>
          <w:color w:val="000000" w:themeColor="text1"/>
          <w:lang w:val="en"/>
        </w:rPr>
      </w:pPr>
      <w:r w:rsidRPr="00FF6BD2">
        <w:rPr>
          <w:color w:val="000000" w:themeColor="text1"/>
          <w:lang w:val="en"/>
        </w:rPr>
        <w:t xml:space="preserve">35. </w:t>
      </w:r>
      <w:proofErr w:type="spellStart"/>
      <w:r w:rsidRPr="00FF6BD2">
        <w:rPr>
          <w:color w:val="000000" w:themeColor="text1"/>
          <w:lang w:val="en"/>
        </w:rPr>
        <w:t>Yli</w:t>
      </w:r>
      <w:proofErr w:type="spellEnd"/>
      <w:r w:rsidRPr="00FF6BD2">
        <w:rPr>
          <w:color w:val="000000" w:themeColor="text1"/>
          <w:lang w:val="en"/>
        </w:rPr>
        <w:t xml:space="preserve">-Karro, V., 2025. ENSURING NIS 2 COMPLIANCE IN AN ISO/IEC 27001 CERTIFIED ORGANIZATION. </w:t>
      </w:r>
      <w:r w:rsidRPr="00FF6BD2">
        <w:rPr>
          <w:i/>
          <w:iCs/>
          <w:color w:val="000000" w:themeColor="text1"/>
          <w:lang w:val="en"/>
        </w:rPr>
        <w:t xml:space="preserve">Tampere, </w:t>
      </w:r>
      <w:proofErr w:type="spellStart"/>
      <w:r w:rsidRPr="00FF6BD2">
        <w:rPr>
          <w:i/>
          <w:iCs/>
          <w:color w:val="000000" w:themeColor="text1"/>
          <w:lang w:val="en"/>
        </w:rPr>
        <w:t>Pirkanmaa</w:t>
      </w:r>
      <w:proofErr w:type="spellEnd"/>
      <w:r w:rsidRPr="00FF6BD2">
        <w:rPr>
          <w:i/>
          <w:iCs/>
          <w:color w:val="000000" w:themeColor="text1"/>
          <w:lang w:val="en"/>
        </w:rPr>
        <w:t xml:space="preserve">, </w:t>
      </w:r>
      <w:proofErr w:type="spellStart"/>
      <w:r w:rsidRPr="00FF6BD2">
        <w:rPr>
          <w:i/>
          <w:iCs/>
          <w:color w:val="000000" w:themeColor="text1"/>
          <w:lang w:val="en"/>
        </w:rPr>
        <w:t>Finska</w:t>
      </w:r>
      <w:proofErr w:type="spellEnd"/>
      <w:r w:rsidRPr="00FF6BD2">
        <w:rPr>
          <w:i/>
          <w:iCs/>
          <w:color w:val="000000" w:themeColor="text1"/>
          <w:lang w:val="en"/>
        </w:rPr>
        <w:t xml:space="preserve">. KAZALO SLIK </w:t>
      </w:r>
      <w:proofErr w:type="spellStart"/>
      <w:r w:rsidRPr="00FF6BD2">
        <w:rPr>
          <w:i/>
          <w:iCs/>
          <w:color w:val="000000" w:themeColor="text1"/>
          <w:lang w:val="en"/>
        </w:rPr>
        <w:t>Slika</w:t>
      </w:r>
      <w:proofErr w:type="spellEnd"/>
      <w:r w:rsidRPr="00FF6BD2">
        <w:rPr>
          <w:color w:val="000000" w:themeColor="text1"/>
          <w:lang w:val="en"/>
        </w:rPr>
        <w:t xml:space="preserve">, </w:t>
      </w:r>
      <w:r w:rsidRPr="00FF6BD2">
        <w:rPr>
          <w:i/>
          <w:iCs/>
          <w:color w:val="000000" w:themeColor="text1"/>
          <w:lang w:val="en"/>
        </w:rPr>
        <w:t>3</w:t>
      </w:r>
      <w:r w:rsidRPr="00FF6BD2">
        <w:rPr>
          <w:color w:val="000000" w:themeColor="text1"/>
          <w:lang w:val="en"/>
        </w:rPr>
        <w:t xml:space="preserve">. </w:t>
      </w:r>
      <w:hyperlink r:id="rId70">
        <w:r w:rsidRPr="00FF6BD2">
          <w:rPr>
            <w:rStyle w:val="Hyperlink"/>
            <w:color w:val="000000" w:themeColor="text1"/>
            <w:lang w:val="en"/>
          </w:rPr>
          <w:t>https://trepo.tuni.fi/bitstream/handle/10024/205043/Yli-KarroValtteri.pdf</w:t>
        </w:r>
      </w:hyperlink>
      <w:r w:rsidRPr="00FF6BD2">
        <w:rPr>
          <w:color w:val="000000" w:themeColor="text1"/>
          <w:lang w:val="en"/>
        </w:rPr>
        <w:t xml:space="preserve"> </w:t>
      </w:r>
    </w:p>
    <w:p w14:paraId="427D78AD" w14:textId="77777777" w:rsidR="000A0424" w:rsidRPr="00FF6BD2" w:rsidRDefault="000A0424" w:rsidP="000A0424">
      <w:pPr>
        <w:pStyle w:val="NormalWeb"/>
        <w:spacing w:before="240" w:after="240" w:afterAutospacing="0" w:line="360" w:lineRule="auto"/>
        <w:jc w:val="both"/>
        <w:rPr>
          <w:color w:val="000000" w:themeColor="text1"/>
          <w:lang w:val="en"/>
        </w:rPr>
      </w:pPr>
      <w:r w:rsidRPr="00FF6BD2">
        <w:rPr>
          <w:color w:val="000000" w:themeColor="text1"/>
          <w:lang w:val="en"/>
        </w:rPr>
        <w:t xml:space="preserve">36. Mandal, S., 2025. Strategic Business Responses to Shifts in Promoting Sustainable Supply Chain Management (SSCM) in Business Practices. </w:t>
      </w:r>
      <w:hyperlink r:id="rId71">
        <w:r w:rsidRPr="00FF6BD2">
          <w:rPr>
            <w:rStyle w:val="Hyperlink"/>
            <w:color w:val="000000" w:themeColor="text1"/>
            <w:lang w:val="en"/>
          </w:rPr>
          <w:t>https://osuva.uwasa.fi/bitstreams/308d2886-a5bf-4071-b4cc-e616d9750b17/download</w:t>
        </w:r>
      </w:hyperlink>
      <w:r w:rsidRPr="00FF6BD2">
        <w:rPr>
          <w:color w:val="000000" w:themeColor="text1"/>
          <w:lang w:val="en"/>
        </w:rPr>
        <w:t xml:space="preserve"> </w:t>
      </w:r>
    </w:p>
    <w:p w14:paraId="628B5851" w14:textId="07EF03FE" w:rsidR="000A0424" w:rsidRPr="00FF6BD2" w:rsidRDefault="000A0424" w:rsidP="000A0424">
      <w:pPr>
        <w:pStyle w:val="NormalWeb"/>
        <w:spacing w:before="240" w:after="240" w:afterAutospacing="0" w:line="360" w:lineRule="auto"/>
        <w:jc w:val="both"/>
        <w:rPr>
          <w:color w:val="000000" w:themeColor="text1"/>
          <w:lang w:val="en"/>
        </w:rPr>
      </w:pPr>
      <w:r w:rsidRPr="00FF6BD2">
        <w:rPr>
          <w:color w:val="000000" w:themeColor="text1"/>
          <w:lang w:val="en"/>
        </w:rPr>
        <w:t xml:space="preserve">37. Potapovs, M., Teters, K., </w:t>
      </w:r>
      <w:proofErr w:type="spellStart"/>
      <w:r w:rsidRPr="00FF6BD2">
        <w:rPr>
          <w:color w:val="000000" w:themeColor="text1"/>
          <w:lang w:val="en"/>
        </w:rPr>
        <w:t>Frīdmanis</w:t>
      </w:r>
      <w:proofErr w:type="spellEnd"/>
      <w:r w:rsidRPr="00FF6BD2">
        <w:rPr>
          <w:color w:val="000000" w:themeColor="text1"/>
          <w:lang w:val="en"/>
        </w:rPr>
        <w:t xml:space="preserve">, J. and </w:t>
      </w:r>
      <w:proofErr w:type="spellStart"/>
      <w:r w:rsidRPr="00FF6BD2">
        <w:rPr>
          <w:color w:val="000000" w:themeColor="text1"/>
          <w:lang w:val="en"/>
        </w:rPr>
        <w:t>Blumbergs</w:t>
      </w:r>
      <w:proofErr w:type="spellEnd"/>
      <w:r w:rsidRPr="00FF6BD2">
        <w:rPr>
          <w:color w:val="000000" w:themeColor="text1"/>
          <w:lang w:val="en"/>
        </w:rPr>
        <w:t xml:space="preserve">, B., 2025. Evaluating National CSIRT Maturity: The Case of CERT. LV. In </w:t>
      </w:r>
      <w:r w:rsidRPr="00FF6BD2">
        <w:rPr>
          <w:i/>
          <w:iCs/>
          <w:color w:val="000000" w:themeColor="text1"/>
          <w:lang w:val="en"/>
        </w:rPr>
        <w:t>Cybersecurity in Latvia</w:t>
      </w:r>
      <w:r w:rsidRPr="00FF6BD2">
        <w:rPr>
          <w:color w:val="000000" w:themeColor="text1"/>
          <w:lang w:val="en"/>
        </w:rPr>
        <w:t xml:space="preserve"> (pp. 52-73). Routledge. </w:t>
      </w:r>
      <w:hyperlink r:id="rId72" w:anchor="page=73">
        <w:r w:rsidRPr="00FF6BD2">
          <w:rPr>
            <w:rStyle w:val="Hyperlink"/>
            <w:color w:val="000000" w:themeColor="text1"/>
            <w:lang w:val="en"/>
          </w:rPr>
          <w:t>https://library.oapen.org/bitstream/handle/20.500.12657/104373/1/9781040422359.pdf#page=73</w:t>
        </w:r>
      </w:hyperlink>
      <w:r w:rsidRPr="00FF6BD2">
        <w:rPr>
          <w:color w:val="000000" w:themeColor="text1"/>
          <w:lang w:val="en"/>
        </w:rPr>
        <w:t xml:space="preserve"> </w:t>
      </w:r>
    </w:p>
    <w:p w14:paraId="7778DA99" w14:textId="1BD9A79B" w:rsidR="000A0424" w:rsidRPr="00FF6BD2" w:rsidRDefault="000A0424" w:rsidP="000A0424">
      <w:pPr>
        <w:pStyle w:val="NormalWeb"/>
        <w:spacing w:before="240" w:after="240" w:afterAutospacing="0" w:line="360" w:lineRule="auto"/>
        <w:jc w:val="both"/>
        <w:rPr>
          <w:color w:val="000000" w:themeColor="text1"/>
          <w:lang w:val="en"/>
        </w:rPr>
      </w:pPr>
      <w:r w:rsidRPr="00FF6BD2">
        <w:rPr>
          <w:color w:val="000000" w:themeColor="text1"/>
          <w:lang w:val="en"/>
        </w:rPr>
        <w:t xml:space="preserve">38. Lewis, L., (2018). </w:t>
      </w:r>
      <w:r w:rsidRPr="00FF6BD2">
        <w:rPr>
          <w:i/>
          <w:iCs/>
          <w:color w:val="000000" w:themeColor="text1"/>
          <w:lang w:val="en"/>
        </w:rPr>
        <w:t xml:space="preserve">Ransomware recovery: How can enterprises operate post-attack? </w:t>
      </w:r>
      <w:r w:rsidRPr="00FF6BD2">
        <w:rPr>
          <w:color w:val="000000" w:themeColor="text1"/>
          <w:lang w:val="en"/>
        </w:rPr>
        <w:t xml:space="preserve">Available from </w:t>
      </w:r>
      <w:hyperlink r:id="rId73">
        <w:r w:rsidRPr="00FF6BD2">
          <w:rPr>
            <w:rStyle w:val="Hyperlink"/>
            <w:color w:val="000000" w:themeColor="text1"/>
            <w:lang w:val="en"/>
          </w:rPr>
          <w:t>https://www.techtarget.com/searchsecurity/answer/Ransomware-recovery-How-can-enterprises-operate-post-attack</w:t>
        </w:r>
      </w:hyperlink>
      <w:r w:rsidRPr="00FF6BD2">
        <w:rPr>
          <w:color w:val="000000" w:themeColor="text1"/>
          <w:lang w:val="en"/>
        </w:rPr>
        <w:t xml:space="preserve"> Accessed on 3.8.2026</w:t>
      </w:r>
    </w:p>
    <w:p w14:paraId="7BFAB123" w14:textId="70BB07D0" w:rsidR="000A0424" w:rsidRPr="00FF6BD2" w:rsidRDefault="000A0424" w:rsidP="000A0424">
      <w:pPr>
        <w:pStyle w:val="NormalWeb"/>
        <w:spacing w:before="240" w:after="240" w:afterAutospacing="0" w:line="360" w:lineRule="auto"/>
        <w:jc w:val="both"/>
        <w:rPr>
          <w:color w:val="000000" w:themeColor="text1"/>
          <w:lang w:val="en"/>
        </w:rPr>
      </w:pPr>
      <w:r w:rsidRPr="00FF6BD2">
        <w:rPr>
          <w:color w:val="000000" w:themeColor="text1"/>
          <w:lang w:val="en"/>
        </w:rPr>
        <w:t xml:space="preserve">39. Tatineni, S., 2023. Cloud-based business continuity and disaster recovery strategies. </w:t>
      </w:r>
      <w:r w:rsidRPr="00FF6BD2">
        <w:rPr>
          <w:i/>
          <w:iCs/>
          <w:color w:val="000000" w:themeColor="text1"/>
          <w:lang w:val="en"/>
        </w:rPr>
        <w:t>International Research Journal of Modernization in Engineering, Technology, and Science</w:t>
      </w:r>
      <w:r w:rsidRPr="00FF6BD2">
        <w:rPr>
          <w:color w:val="000000" w:themeColor="text1"/>
          <w:lang w:val="en"/>
        </w:rPr>
        <w:t xml:space="preserve">, </w:t>
      </w:r>
      <w:r w:rsidRPr="00FF6BD2">
        <w:rPr>
          <w:i/>
          <w:iCs/>
          <w:color w:val="000000" w:themeColor="text1"/>
          <w:lang w:val="en"/>
        </w:rPr>
        <w:t>5</w:t>
      </w:r>
      <w:r w:rsidRPr="00FF6BD2">
        <w:rPr>
          <w:color w:val="000000" w:themeColor="text1"/>
          <w:lang w:val="en"/>
        </w:rPr>
        <w:t xml:space="preserve">(11), pp.1389-1397. </w:t>
      </w:r>
      <w:hyperlink r:id="rId74">
        <w:r w:rsidRPr="00FF6BD2">
          <w:rPr>
            <w:rStyle w:val="Hyperlink"/>
            <w:color w:val="000000" w:themeColor="text1"/>
            <w:lang w:val="en"/>
          </w:rPr>
          <w:t>https://www.academia.edu/download/109038414/fin_irjmets1700193452.pdf</w:t>
        </w:r>
      </w:hyperlink>
      <w:r w:rsidRPr="00FF6BD2">
        <w:rPr>
          <w:color w:val="000000" w:themeColor="text1"/>
          <w:lang w:val="en"/>
        </w:rPr>
        <w:t xml:space="preserve"> </w:t>
      </w:r>
    </w:p>
    <w:p w14:paraId="22362C31" w14:textId="39CFE5F4" w:rsidR="000A0424" w:rsidRPr="00FF6BD2" w:rsidRDefault="000A0424" w:rsidP="000A0424">
      <w:pPr>
        <w:pStyle w:val="NormalWeb"/>
        <w:spacing w:before="240" w:after="240" w:afterAutospacing="0" w:line="360" w:lineRule="auto"/>
        <w:jc w:val="both"/>
        <w:rPr>
          <w:color w:val="000000" w:themeColor="text1"/>
          <w:lang w:val="en"/>
        </w:rPr>
      </w:pPr>
      <w:r w:rsidRPr="00FF6BD2">
        <w:rPr>
          <w:color w:val="000000" w:themeColor="text1"/>
          <w:lang w:val="en"/>
        </w:rPr>
        <w:t xml:space="preserve">40. Al-Abri, A.I.S., 2023. </w:t>
      </w:r>
      <w:r w:rsidRPr="00FF6BD2">
        <w:rPr>
          <w:i/>
          <w:iCs/>
          <w:color w:val="000000" w:themeColor="text1"/>
          <w:lang w:val="en"/>
        </w:rPr>
        <w:t xml:space="preserve">The Impact of Risk Management Strategies Used by Parcel Delivery Companies to Cope </w:t>
      </w:r>
      <w:proofErr w:type="gramStart"/>
      <w:r w:rsidRPr="00FF6BD2">
        <w:rPr>
          <w:i/>
          <w:iCs/>
          <w:color w:val="000000" w:themeColor="text1"/>
          <w:lang w:val="en"/>
        </w:rPr>
        <w:t>With</w:t>
      </w:r>
      <w:proofErr w:type="gramEnd"/>
      <w:r w:rsidRPr="00FF6BD2">
        <w:rPr>
          <w:i/>
          <w:iCs/>
          <w:color w:val="000000" w:themeColor="text1"/>
          <w:lang w:val="en"/>
        </w:rPr>
        <w:t xml:space="preserve"> Customs Uncertainties on Clearance Time in Cross-Border Supply Chain</w:t>
      </w:r>
      <w:r w:rsidRPr="00FF6BD2">
        <w:rPr>
          <w:color w:val="000000" w:themeColor="text1"/>
          <w:lang w:val="en"/>
        </w:rPr>
        <w:t xml:space="preserve">. Sultan Qaboos University (Oman). </w:t>
      </w:r>
      <w:hyperlink r:id="rId75">
        <w:r w:rsidRPr="00FF6BD2">
          <w:rPr>
            <w:rStyle w:val="Hyperlink"/>
            <w:color w:val="000000" w:themeColor="text1"/>
            <w:lang w:val="en"/>
          </w:rPr>
          <w:t>https://search.proquest.com/openview/11b5bbf99421d95d36b679c97b187781/1?pq-origsite=gscholar&amp;cbl=2026366&amp;diss=y</w:t>
        </w:r>
      </w:hyperlink>
      <w:r w:rsidRPr="00FF6BD2">
        <w:rPr>
          <w:color w:val="000000" w:themeColor="text1"/>
          <w:lang w:val="en"/>
        </w:rPr>
        <w:t xml:space="preserve"> </w:t>
      </w:r>
    </w:p>
    <w:p w14:paraId="689965EF" w14:textId="2074F71F" w:rsidR="000A0424" w:rsidRPr="00FF6BD2" w:rsidRDefault="000A0424" w:rsidP="000A0424">
      <w:pPr>
        <w:pStyle w:val="NormalWeb"/>
        <w:spacing w:before="240" w:after="240" w:afterAutospacing="0" w:line="360" w:lineRule="auto"/>
        <w:jc w:val="both"/>
        <w:rPr>
          <w:color w:val="000000" w:themeColor="text1"/>
          <w:lang w:val="en"/>
        </w:rPr>
      </w:pPr>
      <w:r w:rsidRPr="00FF6BD2">
        <w:rPr>
          <w:color w:val="000000" w:themeColor="text1"/>
          <w:lang w:val="en"/>
        </w:rPr>
        <w:lastRenderedPageBreak/>
        <w:t xml:space="preserve">41. </w:t>
      </w:r>
      <w:proofErr w:type="spellStart"/>
      <w:r w:rsidRPr="00FF6BD2">
        <w:rPr>
          <w:color w:val="000000" w:themeColor="text1"/>
          <w:lang w:val="en"/>
        </w:rPr>
        <w:t>Qusef</w:t>
      </w:r>
      <w:proofErr w:type="spellEnd"/>
      <w:r w:rsidRPr="00FF6BD2">
        <w:rPr>
          <w:color w:val="000000" w:themeColor="text1"/>
          <w:lang w:val="en"/>
        </w:rPr>
        <w:t xml:space="preserve">, A. and Alkilani, H., 2022. The effect of ISO/IEC 27001 standard over open-source intelligence. </w:t>
      </w:r>
      <w:proofErr w:type="spellStart"/>
      <w:r w:rsidRPr="00FF6BD2">
        <w:rPr>
          <w:i/>
          <w:iCs/>
          <w:color w:val="000000" w:themeColor="text1"/>
          <w:lang w:val="en"/>
        </w:rPr>
        <w:t>PeerJ</w:t>
      </w:r>
      <w:proofErr w:type="spellEnd"/>
      <w:r w:rsidRPr="00FF6BD2">
        <w:rPr>
          <w:i/>
          <w:iCs/>
          <w:color w:val="000000" w:themeColor="text1"/>
          <w:lang w:val="en"/>
        </w:rPr>
        <w:t xml:space="preserve"> Computer Science</w:t>
      </w:r>
      <w:r w:rsidRPr="00FF6BD2">
        <w:rPr>
          <w:color w:val="000000" w:themeColor="text1"/>
          <w:lang w:val="en"/>
        </w:rPr>
        <w:t xml:space="preserve">, </w:t>
      </w:r>
      <w:r w:rsidRPr="00FF6BD2">
        <w:rPr>
          <w:i/>
          <w:iCs/>
          <w:color w:val="000000" w:themeColor="text1"/>
          <w:lang w:val="en"/>
        </w:rPr>
        <w:t>8</w:t>
      </w:r>
      <w:r w:rsidRPr="00FF6BD2">
        <w:rPr>
          <w:color w:val="000000" w:themeColor="text1"/>
          <w:lang w:val="en"/>
        </w:rPr>
        <w:t xml:space="preserve">, p.e810. </w:t>
      </w:r>
      <w:hyperlink r:id="rId76">
        <w:r w:rsidRPr="00FF6BD2">
          <w:rPr>
            <w:rStyle w:val="Hyperlink"/>
            <w:color w:val="000000" w:themeColor="text1"/>
            <w:lang w:val="en"/>
          </w:rPr>
          <w:t>https://peerj.com/articles/cs-810.pdf</w:t>
        </w:r>
      </w:hyperlink>
      <w:r w:rsidRPr="00FF6BD2">
        <w:rPr>
          <w:color w:val="000000" w:themeColor="text1"/>
          <w:lang w:val="en"/>
        </w:rPr>
        <w:t xml:space="preserve"> </w:t>
      </w:r>
    </w:p>
    <w:p w14:paraId="0D54CE84" w14:textId="0FF74D71" w:rsidR="000A0424" w:rsidRPr="00FF6BD2" w:rsidRDefault="000A0424" w:rsidP="000A0424">
      <w:pPr>
        <w:pStyle w:val="NormalWeb"/>
        <w:jc w:val="both"/>
        <w:rPr>
          <w:color w:val="000000" w:themeColor="text1"/>
          <w:lang w:val="en"/>
        </w:rPr>
      </w:pPr>
      <w:r w:rsidRPr="00FF6BD2">
        <w:rPr>
          <w:color w:val="000000" w:themeColor="text1"/>
          <w:lang w:val="en"/>
        </w:rPr>
        <w:t xml:space="preserve">42. Iyer, K.I., 2023. Poisoning AI models: New frontiers in data manipulation attacks. </w:t>
      </w:r>
      <w:r w:rsidRPr="00FF6BD2">
        <w:rPr>
          <w:i/>
          <w:iCs/>
          <w:color w:val="000000" w:themeColor="text1"/>
          <w:lang w:val="en"/>
        </w:rPr>
        <w:t>International Journal of Innovative Research in Computer and Communication Engineering</w:t>
      </w:r>
      <w:r w:rsidRPr="00FF6BD2">
        <w:rPr>
          <w:color w:val="000000" w:themeColor="text1"/>
          <w:lang w:val="en"/>
        </w:rPr>
        <w:t xml:space="preserve">, </w:t>
      </w:r>
      <w:r w:rsidRPr="00FF6BD2">
        <w:rPr>
          <w:i/>
          <w:iCs/>
          <w:color w:val="000000" w:themeColor="text1"/>
          <w:lang w:val="en"/>
        </w:rPr>
        <w:t>11</w:t>
      </w:r>
      <w:r w:rsidRPr="00FF6BD2">
        <w:rPr>
          <w:color w:val="000000" w:themeColor="text1"/>
          <w:lang w:val="en"/>
        </w:rPr>
        <w:t xml:space="preserve">(11). </w:t>
      </w:r>
    </w:p>
    <w:p w14:paraId="7A5FC57F" w14:textId="65CF5017" w:rsidR="000A0424" w:rsidRPr="00FF6BD2" w:rsidRDefault="000A0424" w:rsidP="000A0424">
      <w:pPr>
        <w:pStyle w:val="NormalWeb"/>
        <w:spacing w:before="240" w:after="240" w:afterAutospacing="0" w:line="360" w:lineRule="auto"/>
        <w:jc w:val="both"/>
        <w:rPr>
          <w:color w:val="000000" w:themeColor="text1"/>
          <w:lang w:val="en"/>
        </w:rPr>
      </w:pPr>
      <w:r w:rsidRPr="00FF6BD2">
        <w:rPr>
          <w:color w:val="000000" w:themeColor="text1"/>
          <w:lang w:val="en"/>
        </w:rPr>
        <w:t xml:space="preserve">43. Syed, A., 2024. </w:t>
      </w:r>
      <w:r w:rsidRPr="00FF6BD2">
        <w:rPr>
          <w:i/>
          <w:iCs/>
          <w:color w:val="000000" w:themeColor="text1"/>
          <w:lang w:val="en"/>
        </w:rPr>
        <w:t>Supply chain software security: AI, IoT, and application security</w:t>
      </w:r>
      <w:r w:rsidRPr="00FF6BD2">
        <w:rPr>
          <w:color w:val="000000" w:themeColor="text1"/>
          <w:lang w:val="en"/>
        </w:rPr>
        <w:t xml:space="preserve">. Springer Nature. </w:t>
      </w:r>
      <w:hyperlink r:id="rId77">
        <w:r w:rsidRPr="00FF6BD2">
          <w:rPr>
            <w:rStyle w:val="Hyperlink"/>
            <w:color w:val="000000" w:themeColor="text1"/>
            <w:lang w:val="en"/>
          </w:rPr>
          <w:t>https://books.google.com/books?hl=en&amp;lr=&amp;id=b-wwEQAAQBAJ&amp;oi=fnd&amp;pg=PR5&amp;dq=+As+companies+began+to+adopt+more+IoT+devices,+Cloud+Services+and+an+increasing+number+of+interconnected+supply+chains,+the+organisational+attack+surfaces+became+further+stretched&amp;ots=kPJT4HxXpG&amp;sig=97GmDJ1_lRD5NTrNQ_aDH2Md2YQ</w:t>
        </w:r>
      </w:hyperlink>
      <w:r w:rsidRPr="00FF6BD2">
        <w:rPr>
          <w:color w:val="000000" w:themeColor="text1"/>
          <w:lang w:val="en"/>
        </w:rPr>
        <w:t xml:space="preserve"> </w:t>
      </w:r>
    </w:p>
    <w:p w14:paraId="43C4A7A6" w14:textId="2B89B8D4" w:rsidR="000A0424" w:rsidRPr="00FF6BD2" w:rsidRDefault="000A0424" w:rsidP="000A0424">
      <w:pPr>
        <w:pStyle w:val="NormalWeb"/>
        <w:spacing w:before="240" w:after="240" w:afterAutospacing="0" w:line="360" w:lineRule="auto"/>
        <w:jc w:val="both"/>
        <w:rPr>
          <w:color w:val="000000" w:themeColor="text1"/>
          <w:lang w:val="en"/>
        </w:rPr>
      </w:pPr>
      <w:r w:rsidRPr="00FF6BD2">
        <w:rPr>
          <w:color w:val="000000" w:themeColor="text1"/>
          <w:lang w:val="en"/>
        </w:rPr>
        <w:t xml:space="preserve">44. Shelby, J., 2026. The UK Cyber Security and Resilience Bill: A Practitioner's Guide to Legislative Reform, Compliance, and </w:t>
      </w:r>
      <w:proofErr w:type="spellStart"/>
      <w:r w:rsidRPr="00FF6BD2">
        <w:rPr>
          <w:color w:val="000000" w:themeColor="text1"/>
          <w:lang w:val="en"/>
        </w:rPr>
        <w:t>Organisational</w:t>
      </w:r>
      <w:proofErr w:type="spellEnd"/>
      <w:r w:rsidRPr="00FF6BD2">
        <w:rPr>
          <w:color w:val="000000" w:themeColor="text1"/>
          <w:lang w:val="en"/>
        </w:rPr>
        <w:t xml:space="preserve"> Readiness. </w:t>
      </w:r>
      <w:proofErr w:type="spellStart"/>
      <w:r w:rsidRPr="00FF6BD2">
        <w:rPr>
          <w:i/>
          <w:iCs/>
          <w:color w:val="000000" w:themeColor="text1"/>
          <w:lang w:val="en"/>
        </w:rPr>
        <w:t>arXiv</w:t>
      </w:r>
      <w:proofErr w:type="spellEnd"/>
      <w:r w:rsidRPr="00FF6BD2">
        <w:rPr>
          <w:i/>
          <w:iCs/>
          <w:color w:val="000000" w:themeColor="text1"/>
          <w:lang w:val="en"/>
        </w:rPr>
        <w:t xml:space="preserve"> preprint arXiv:2603.07861</w:t>
      </w:r>
      <w:r w:rsidRPr="00FF6BD2">
        <w:rPr>
          <w:color w:val="000000" w:themeColor="text1"/>
          <w:lang w:val="en"/>
        </w:rPr>
        <w:t xml:space="preserve">. </w:t>
      </w:r>
      <w:hyperlink r:id="rId78">
        <w:r w:rsidRPr="00FF6BD2">
          <w:rPr>
            <w:rStyle w:val="Hyperlink"/>
            <w:color w:val="000000" w:themeColor="text1"/>
            <w:lang w:val="en"/>
          </w:rPr>
          <w:t>https://arxiv.org/pdf/2603.07861</w:t>
        </w:r>
      </w:hyperlink>
      <w:r w:rsidRPr="00FF6BD2">
        <w:rPr>
          <w:color w:val="000000" w:themeColor="text1"/>
          <w:lang w:val="en"/>
        </w:rPr>
        <w:t xml:space="preserve"> </w:t>
      </w:r>
    </w:p>
    <w:p w14:paraId="587AD3AE" w14:textId="2D927F35" w:rsidR="004F4266" w:rsidRPr="00FF6BD2" w:rsidRDefault="004F4266" w:rsidP="00FF6BD2">
      <w:pPr>
        <w:spacing w:after="240" w:line="360" w:lineRule="auto"/>
        <w:rPr>
          <w:color w:val="000000" w:themeColor="text1"/>
        </w:rPr>
      </w:pPr>
    </w:p>
    <w:sectPr w:rsidR="004F4266" w:rsidRPr="00FF6BD2" w:rsidSect="00395487">
      <w:footerReference w:type="default" r:id="rId7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E4FA1" w14:textId="77777777" w:rsidR="00A75EB6" w:rsidRDefault="00A75EB6" w:rsidP="00395487">
      <w:pPr>
        <w:spacing w:line="240" w:lineRule="auto"/>
      </w:pPr>
      <w:r>
        <w:separator/>
      </w:r>
    </w:p>
  </w:endnote>
  <w:endnote w:type="continuationSeparator" w:id="0">
    <w:p w14:paraId="7A006BCB" w14:textId="77777777" w:rsidR="00A75EB6" w:rsidRDefault="00A75EB6" w:rsidP="003954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E0BDED5-1C1E-4B30-AC36-23B2D2D665EF}"/>
  </w:font>
  <w:font w:name="Cambria">
    <w:panose1 w:val="02040503050406030204"/>
    <w:charset w:val="00"/>
    <w:family w:val="roman"/>
    <w:pitch w:val="variable"/>
    <w:sig w:usb0="E00006FF" w:usb1="420024FF" w:usb2="02000000" w:usb3="00000000" w:csb0="0000019F" w:csb1="00000000"/>
    <w:embedRegular r:id="rId2" w:fontKey="{51E6A3FB-C771-4FC0-BB54-7B65FA41BC5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9773760"/>
      <w:docPartObj>
        <w:docPartGallery w:val="Page Numbers (Bottom of Page)"/>
        <w:docPartUnique/>
      </w:docPartObj>
    </w:sdtPr>
    <w:sdtEndPr>
      <w:rPr>
        <w:rFonts w:ascii="Times New Roman" w:hAnsi="Times New Roman" w:cs="Times New Roman"/>
        <w:noProof/>
        <w:sz w:val="20"/>
      </w:rPr>
    </w:sdtEndPr>
    <w:sdtContent>
      <w:p w14:paraId="04D5C18A" w14:textId="16E2A6D6" w:rsidR="004F4266" w:rsidRPr="00395487" w:rsidRDefault="004F4266">
        <w:pPr>
          <w:pStyle w:val="Footer"/>
          <w:jc w:val="right"/>
          <w:rPr>
            <w:rFonts w:ascii="Times New Roman" w:hAnsi="Times New Roman" w:cs="Times New Roman"/>
            <w:sz w:val="20"/>
          </w:rPr>
        </w:pPr>
        <w:r w:rsidRPr="00395487">
          <w:rPr>
            <w:rFonts w:ascii="Times New Roman" w:hAnsi="Times New Roman" w:cs="Times New Roman"/>
            <w:sz w:val="20"/>
          </w:rPr>
          <w:fldChar w:fldCharType="begin"/>
        </w:r>
        <w:r w:rsidRPr="00395487">
          <w:rPr>
            <w:rFonts w:ascii="Times New Roman" w:hAnsi="Times New Roman" w:cs="Times New Roman"/>
            <w:sz w:val="20"/>
          </w:rPr>
          <w:instrText xml:space="preserve"> PAGE   \* MERGEFORMAT </w:instrText>
        </w:r>
        <w:r w:rsidRPr="00395487">
          <w:rPr>
            <w:rFonts w:ascii="Times New Roman" w:hAnsi="Times New Roman" w:cs="Times New Roman"/>
            <w:sz w:val="20"/>
          </w:rPr>
          <w:fldChar w:fldCharType="separate"/>
        </w:r>
        <w:r w:rsidR="000A0424">
          <w:rPr>
            <w:rFonts w:ascii="Times New Roman" w:hAnsi="Times New Roman" w:cs="Times New Roman"/>
            <w:noProof/>
            <w:sz w:val="20"/>
          </w:rPr>
          <w:t>1</w:t>
        </w:r>
        <w:r w:rsidRPr="00395487">
          <w:rPr>
            <w:rFonts w:ascii="Times New Roman" w:hAnsi="Times New Roman" w:cs="Times New Roman"/>
            <w:noProof/>
            <w:sz w:val="20"/>
          </w:rPr>
          <w:fldChar w:fldCharType="end"/>
        </w:r>
      </w:p>
    </w:sdtContent>
  </w:sdt>
  <w:p w14:paraId="176E78FE" w14:textId="77777777" w:rsidR="004F4266" w:rsidRDefault="004F42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141B7" w14:textId="77777777" w:rsidR="00A75EB6" w:rsidRDefault="00A75EB6" w:rsidP="00395487">
      <w:pPr>
        <w:spacing w:line="240" w:lineRule="auto"/>
      </w:pPr>
      <w:r>
        <w:separator/>
      </w:r>
    </w:p>
  </w:footnote>
  <w:footnote w:type="continuationSeparator" w:id="0">
    <w:p w14:paraId="4C355A7B" w14:textId="77777777" w:rsidR="00A75EB6" w:rsidRDefault="00A75EB6" w:rsidP="0039548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C200B"/>
    <w:multiLevelType w:val="multilevel"/>
    <w:tmpl w:val="20A499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710DCF"/>
    <w:multiLevelType w:val="hybridMultilevel"/>
    <w:tmpl w:val="4CB64648"/>
    <w:lvl w:ilvl="0" w:tplc="C1C2D1D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954EC1"/>
    <w:multiLevelType w:val="hybridMultilevel"/>
    <w:tmpl w:val="18D04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7E3DEE"/>
    <w:multiLevelType w:val="hybridMultilevel"/>
    <w:tmpl w:val="43963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8412072">
    <w:abstractNumId w:val="0"/>
  </w:num>
  <w:num w:numId="2" w16cid:durableId="1211377614">
    <w:abstractNumId w:val="2"/>
  </w:num>
  <w:num w:numId="3" w16cid:durableId="540094646">
    <w:abstractNumId w:val="3"/>
  </w:num>
  <w:num w:numId="4" w16cid:durableId="8578858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467"/>
    <w:rsid w:val="00000179"/>
    <w:rsid w:val="00010634"/>
    <w:rsid w:val="000A0424"/>
    <w:rsid w:val="001D109D"/>
    <w:rsid w:val="001E23A2"/>
    <w:rsid w:val="00284854"/>
    <w:rsid w:val="002861AF"/>
    <w:rsid w:val="002B6CCA"/>
    <w:rsid w:val="002E20D9"/>
    <w:rsid w:val="00395487"/>
    <w:rsid w:val="003B27C9"/>
    <w:rsid w:val="003D4D31"/>
    <w:rsid w:val="003F0934"/>
    <w:rsid w:val="004139B8"/>
    <w:rsid w:val="0047591C"/>
    <w:rsid w:val="004F4266"/>
    <w:rsid w:val="004F4532"/>
    <w:rsid w:val="00515A1B"/>
    <w:rsid w:val="00523AA1"/>
    <w:rsid w:val="005B2AB6"/>
    <w:rsid w:val="005C2B74"/>
    <w:rsid w:val="00657F43"/>
    <w:rsid w:val="00670FFC"/>
    <w:rsid w:val="00731467"/>
    <w:rsid w:val="007374AE"/>
    <w:rsid w:val="007D6EF8"/>
    <w:rsid w:val="00801111"/>
    <w:rsid w:val="00941CB7"/>
    <w:rsid w:val="00955A42"/>
    <w:rsid w:val="00995BF4"/>
    <w:rsid w:val="00997484"/>
    <w:rsid w:val="009C5E03"/>
    <w:rsid w:val="009F0AA0"/>
    <w:rsid w:val="00A00FFD"/>
    <w:rsid w:val="00A32AF7"/>
    <w:rsid w:val="00A34AAE"/>
    <w:rsid w:val="00A54DDA"/>
    <w:rsid w:val="00A71F8B"/>
    <w:rsid w:val="00A74B15"/>
    <w:rsid w:val="00A75EB6"/>
    <w:rsid w:val="00AB48EE"/>
    <w:rsid w:val="00AD1A19"/>
    <w:rsid w:val="00BC4184"/>
    <w:rsid w:val="00C61DA0"/>
    <w:rsid w:val="00CB0492"/>
    <w:rsid w:val="00CC649A"/>
    <w:rsid w:val="00CF5588"/>
    <w:rsid w:val="00D14D66"/>
    <w:rsid w:val="00D902A0"/>
    <w:rsid w:val="00E207C4"/>
    <w:rsid w:val="00E77426"/>
    <w:rsid w:val="00F1171D"/>
    <w:rsid w:val="00F12F65"/>
    <w:rsid w:val="00F94674"/>
    <w:rsid w:val="00FA72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B3DED"/>
  <w15:docId w15:val="{284B675C-A961-42A9-A4DD-A03B3D7F1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395487"/>
    <w:pPr>
      <w:keepNext/>
      <w:keepLines/>
      <w:spacing w:before="120" w:after="120" w:line="360" w:lineRule="auto"/>
      <w:jc w:val="both"/>
      <w:outlineLvl w:val="0"/>
    </w:pPr>
    <w:rPr>
      <w:rFonts w:ascii="Times New Roman" w:hAnsi="Times New Roman"/>
      <w:b/>
      <w:sz w:val="28"/>
      <w:szCs w:val="40"/>
    </w:rPr>
  </w:style>
  <w:style w:type="paragraph" w:styleId="Heading2">
    <w:name w:val="heading 2"/>
    <w:basedOn w:val="Normal"/>
    <w:next w:val="Normal"/>
    <w:rsid w:val="00395487"/>
    <w:pPr>
      <w:keepNext/>
      <w:keepLines/>
      <w:spacing w:before="120" w:after="120" w:line="360" w:lineRule="auto"/>
      <w:outlineLvl w:val="1"/>
    </w:pPr>
    <w:rPr>
      <w:rFonts w:ascii="Times New Roman" w:hAnsi="Times New Roman"/>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Header">
    <w:name w:val="header"/>
    <w:basedOn w:val="Normal"/>
    <w:link w:val="HeaderChar"/>
    <w:uiPriority w:val="99"/>
    <w:unhideWhenUsed/>
    <w:rsid w:val="00395487"/>
    <w:pPr>
      <w:tabs>
        <w:tab w:val="center" w:pos="4680"/>
        <w:tab w:val="right" w:pos="9360"/>
      </w:tabs>
      <w:spacing w:line="240" w:lineRule="auto"/>
    </w:pPr>
  </w:style>
  <w:style w:type="character" w:customStyle="1" w:styleId="HeaderChar">
    <w:name w:val="Header Char"/>
    <w:basedOn w:val="DefaultParagraphFont"/>
    <w:link w:val="Header"/>
    <w:uiPriority w:val="99"/>
    <w:rsid w:val="00395487"/>
  </w:style>
  <w:style w:type="paragraph" w:styleId="Footer">
    <w:name w:val="footer"/>
    <w:basedOn w:val="Normal"/>
    <w:link w:val="FooterChar"/>
    <w:uiPriority w:val="99"/>
    <w:unhideWhenUsed/>
    <w:rsid w:val="00395487"/>
    <w:pPr>
      <w:tabs>
        <w:tab w:val="center" w:pos="4680"/>
        <w:tab w:val="right" w:pos="9360"/>
      </w:tabs>
      <w:spacing w:line="240" w:lineRule="auto"/>
    </w:pPr>
  </w:style>
  <w:style w:type="character" w:customStyle="1" w:styleId="FooterChar">
    <w:name w:val="Footer Char"/>
    <w:basedOn w:val="DefaultParagraphFont"/>
    <w:link w:val="Footer"/>
    <w:uiPriority w:val="99"/>
    <w:rsid w:val="00395487"/>
  </w:style>
  <w:style w:type="paragraph" w:styleId="ListParagraph">
    <w:name w:val="List Paragraph"/>
    <w:basedOn w:val="Normal"/>
    <w:uiPriority w:val="34"/>
    <w:qFormat/>
    <w:rsid w:val="00395487"/>
    <w:pPr>
      <w:ind w:left="720"/>
      <w:contextualSpacing/>
    </w:pPr>
  </w:style>
  <w:style w:type="paragraph" w:styleId="TOCHeading">
    <w:name w:val="TOC Heading"/>
    <w:basedOn w:val="Heading1"/>
    <w:next w:val="Normal"/>
    <w:uiPriority w:val="39"/>
    <w:unhideWhenUsed/>
    <w:qFormat/>
    <w:rsid w:val="0039548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95487"/>
    <w:pPr>
      <w:spacing w:after="100"/>
    </w:pPr>
  </w:style>
  <w:style w:type="paragraph" w:styleId="TOC2">
    <w:name w:val="toc 2"/>
    <w:basedOn w:val="Normal"/>
    <w:next w:val="Normal"/>
    <w:autoRedefine/>
    <w:uiPriority w:val="39"/>
    <w:unhideWhenUsed/>
    <w:rsid w:val="00395487"/>
    <w:pPr>
      <w:spacing w:after="100"/>
      <w:ind w:left="220"/>
    </w:pPr>
  </w:style>
  <w:style w:type="character" w:styleId="Hyperlink">
    <w:name w:val="Hyperlink"/>
    <w:basedOn w:val="DefaultParagraphFont"/>
    <w:uiPriority w:val="99"/>
    <w:unhideWhenUsed/>
    <w:rsid w:val="00395487"/>
    <w:rPr>
      <w:color w:val="0000FF" w:themeColor="hyperlink"/>
      <w:u w:val="single"/>
    </w:rPr>
  </w:style>
  <w:style w:type="paragraph" w:styleId="NormalWeb">
    <w:name w:val="Normal (Web)"/>
    <w:basedOn w:val="Normal"/>
    <w:uiPriority w:val="99"/>
    <w:unhideWhenUsed/>
    <w:rsid w:val="00395487"/>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00017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36834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hyperlink" Target="https://link.springer.com/content/pdf/10.1007/s10207-025-01097-x.pdf" TargetMode="External"/><Relationship Id="rId47" Type="http://schemas.openxmlformats.org/officeDocument/2006/relationships/hyperlink" Target="https://www.researchgate.net/profile/Austin-Kate-2/publication/403508974_Operationalizing_the_NIST_CSF_20_Govern_Function_for_AI-_Augmented_Critical_Infrastructure_Protection_Policy_Accountability_and_Risk_Ownership_Models/links/69d10fb49f53d47411c46806/Operationalizing-the-NIST-CSF-20-Govern-Function-for-AI-Augmented-Critical-Infrastructure-Protection-Policy-Accountability-and-Risk-Ownership-Models.pdf" TargetMode="External"/><Relationship Id="rId63" Type="http://schemas.openxmlformats.org/officeDocument/2006/relationships/hyperlink" Target="https://www.mdpi.com/2078-2489/14/5/275" TargetMode="External"/><Relationship Id="rId68" Type="http://schemas.openxmlformats.org/officeDocument/2006/relationships/hyperlink" Target="https://alkindipublisher.com/index.php/fcsai/article/download/12959/11628" TargetMode="External"/><Relationship Id="rId16" Type="http://schemas.openxmlformats.org/officeDocument/2006/relationships/image" Target="media/image3.png"/><Relationship Id="rId11" Type="http://schemas.openxmlformats.org/officeDocument/2006/relationships/diagramColors" Target="diagrams/colors1.xml"/><Relationship Id="rId32" Type="http://schemas.microsoft.com/office/2007/relationships/diagramDrawing" Target="diagrams/drawing2.xml"/><Relationship Id="rId37" Type="http://schemas.openxmlformats.org/officeDocument/2006/relationships/hyperlink" Target="https://www.researchgate.net/profile/Dildar-Abdulqadir/publication/383087255_Conducting_In-Depth_Analysis_of_AI_IoT_Web_Technology_Cloud_Computing_and_Enterprise_Systems_Integration_for_Enhancing_Data_Security_and_Governance_to_Promote_Sustainable_Business_Practices/links/66bdb090311cbb094939611f/Conducting-In-Depth-Analysis-of-AI-IoT-Web-Technology-Cloud-Computing-and-Enterprise-Systems-Integration-for-Enhancing-Data-Security-and-Governance-to-Promote-Sustainable-Business-Practices.pdf" TargetMode="External"/><Relationship Id="rId53" Type="http://schemas.openxmlformats.org/officeDocument/2006/relationships/hyperlink" Target="https://itsm.tools/itil-4-explained/" TargetMode="External"/><Relationship Id="rId58" Type="http://schemas.openxmlformats.org/officeDocument/2006/relationships/hyperlink" Target="https://link.springer.com/content/pdf/10.1007/s10207-025-01121-0.pdf" TargetMode="External"/><Relationship Id="rId74" Type="http://schemas.openxmlformats.org/officeDocument/2006/relationships/hyperlink" Target="https://www.academia.edu/download/109038414/fin_irjmets1700193452.pdf" TargetMode="External"/><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bibliotecatede.uninove.br/bitstream/tede/3833/2/Eduardo%20Corr%C3%AAa%20Stefani.pdf" TargetMode="External"/><Relationship Id="rId19" Type="http://schemas.openxmlformats.org/officeDocument/2006/relationships/image" Target="media/image6.png"/><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diagramQuickStyle" Target="diagrams/quickStyle2.xml"/><Relationship Id="rId35" Type="http://schemas.openxmlformats.org/officeDocument/2006/relationships/hyperlink" Target="https://www.ibm.com/reports/data-breach?cq_net=g&amp;cq_src=google_ads&amp;gad_campaignid=22644626335" TargetMode="External"/><Relationship Id="rId43" Type="http://schemas.openxmlformats.org/officeDocument/2006/relationships/hyperlink" Target="https://tsapps.nist.gov/publication/get_pdf.cfm?pub_id=957258" TargetMode="External"/><Relationship Id="rId48" Type="http://schemas.openxmlformats.org/officeDocument/2006/relationships/hyperlink" Target="https://www.mdpi.com/2071-1050/15/7/5828" TargetMode="External"/><Relationship Id="rId56" Type="http://schemas.openxmlformats.org/officeDocument/2006/relationships/hyperlink" Target="https://scholarspace.manoa.hawaii.edu/bitstreams/187dd8f3-05f3-402e-a304-7cef9d7f8e69/download" TargetMode="External"/><Relationship Id="rId64" Type="http://schemas.openxmlformats.org/officeDocument/2006/relationships/hyperlink" Target="https://www.johanolausson.com/management.pdf" TargetMode="External"/><Relationship Id="rId69" Type="http://schemas.openxmlformats.org/officeDocument/2006/relationships/hyperlink" Target="https://www.wto.org/english/res_e/booksp_e/airtransport_2000_e.pdf" TargetMode="External"/><Relationship Id="rId77" Type="http://schemas.openxmlformats.org/officeDocument/2006/relationships/hyperlink" Target="https://books.google.com/books?hl=en&amp;lr=&amp;id=b-wwEQAAQBAJ&amp;oi=fnd&amp;pg=PR5&amp;dq=+As+companies+began+to+adopt+more+IoT+devices,+Cloud+Services+and+an+increasing+number+of+interconnected+supply+chains,+the+organisational+attack+surfaces+became+further+stretched&amp;ots=kPJT4HxXpG&amp;sig=97GmDJ1_lRD5NTrNQ_aDH2Md2YQ" TargetMode="External"/><Relationship Id="rId8" Type="http://schemas.openxmlformats.org/officeDocument/2006/relationships/diagramData" Target="diagrams/data1.xml"/><Relationship Id="rId51" Type="http://schemas.openxmlformats.org/officeDocument/2006/relationships/hyperlink" Target="https://proceeding.raskhamedia.or.id/index.php/cessmuds/article/download/93/105" TargetMode="External"/><Relationship Id="rId72" Type="http://schemas.openxmlformats.org/officeDocument/2006/relationships/hyperlink" Target="https://library.oapen.org/bitstream/handle/20.500.12657/104373/1/9781040422359.pdf" TargetMode="External"/><Relationship Id="rId80" Type="http://schemas.openxmlformats.org/officeDocument/2006/relationships/fontTable" Target="fontTable.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15.png"/><Relationship Id="rId38" Type="http://schemas.openxmlformats.org/officeDocument/2006/relationships/hyperlink" Target="https://aerolink-logistics.com/about/" TargetMode="External"/><Relationship Id="rId46" Type="http://schemas.openxmlformats.org/officeDocument/2006/relationships/hyperlink" Target="https://ejournal.uin-suka.ac.id/saintek/JISKA/article/download/4186/2709" TargetMode="External"/><Relationship Id="rId59" Type="http://schemas.openxmlformats.org/officeDocument/2006/relationships/hyperlink" Target="https://www.researchgate.net/profile/Raza-Iqbal-3/publication/391448694_Cyber_security_Governance_as_a_Pillar_of_Enterprise_Risk_Management_Designing_a_Compliance-Driven_Framework_for_Operational_Resilience_Policy_Enforcement_and_Regulatory_Alignment/links/6818595bbfbe974b23c2f725/Cyber-security-Governance-as-a-Pillar-of-Enterprise-Risk-Management-Designing-a-Compliance-Driven-Framework-for-Operational-Resilience-Policy-Enforcement-and-Regulatory-Alignment.pdf" TargetMode="External"/><Relationship Id="rId67" Type="http://schemas.openxmlformats.org/officeDocument/2006/relationships/hyperlink" Target="https://www.manageengine.com/products/desktop-central/articles/what-is-itsecurity.html" TargetMode="External"/><Relationship Id="rId20" Type="http://schemas.openxmlformats.org/officeDocument/2006/relationships/image" Target="media/image7.png"/><Relationship Id="rId41" Type="http://schemas.openxmlformats.org/officeDocument/2006/relationships/hyperlink" Target="https://www.researchgate.net/profile/Hemantha-Herath/publication/358909388_An_Information_Security_Performance_Measurement_Tool_for_Senior_Managers_Balanced_Scorecard_Integration_for_Security_Governance_and_Control_Frameworks/links/6390a7aa484e65005bee951c/An-Information-Security-Performance-Measurement-Tool-for-Senior-Managers-Balanced-Scorecard-Integration-for-Security-Governance-and-Control-Frameworks.pdf" TargetMode="External"/><Relationship Id="rId54" Type="http://schemas.openxmlformats.org/officeDocument/2006/relationships/hyperlink" Target="https://proceeding.pancabudi.ac.id/index.php/ICEEGLOF/article/download/1646/1606" TargetMode="External"/><Relationship Id="rId62" Type="http://schemas.openxmlformats.org/officeDocument/2006/relationships/hyperlink" Target="https://dergipark.org.tr/en/download/article-file/3120080" TargetMode="External"/><Relationship Id="rId70" Type="http://schemas.openxmlformats.org/officeDocument/2006/relationships/hyperlink" Target="https://trepo.tuni.fi/bitstream/handle/10024/205043/Yli-KarroValtteri.pdf" TargetMode="External"/><Relationship Id="rId75" Type="http://schemas.openxmlformats.org/officeDocument/2006/relationships/hyperlink" Target="https://search.proquest.com/openview/11b5bbf99421d95d36b679c97b187781/1?pq-origsite=gscholar&amp;cbl=2026366&amp;diss=y"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diagramData" Target="diagrams/data2.xml"/><Relationship Id="rId36" Type="http://schemas.openxmlformats.org/officeDocument/2006/relationships/hyperlink" Target="https://www.ibm.com/think/insights/cybersecurity-dominates-concerns-c-suite-small-businesses-nation" TargetMode="External"/><Relationship Id="rId49" Type="http://schemas.openxmlformats.org/officeDocument/2006/relationships/hyperlink" Target="https://www.iso.org/standard/27001" TargetMode="External"/><Relationship Id="rId57" Type="http://schemas.openxmlformats.org/officeDocument/2006/relationships/hyperlink" Target="https://books.google.com/books?hl=en&amp;lr=&amp;id=CTQAEQAAQBAJ&amp;oi=fnd&amp;pg=PP1&amp;dq=The+CISO+manages+security,+risk,+compliance,+IT,+third+party,+and+continuous+security+functions&amp;ots=wJOYgjzv1s&amp;sig=Vgg0xGWaFZ8C58CZ2rUGm7YbQ9g" TargetMode="External"/><Relationship Id="rId10" Type="http://schemas.openxmlformats.org/officeDocument/2006/relationships/diagramQuickStyle" Target="diagrams/quickStyle1.xml"/><Relationship Id="rId31" Type="http://schemas.openxmlformats.org/officeDocument/2006/relationships/diagramColors" Target="diagrams/colors2.xml"/><Relationship Id="rId44" Type="http://schemas.openxmlformats.org/officeDocument/2006/relationships/hyperlink" Target="https://www.isaca.org/resources/news-and-trends/newsletters/atisaca/2023/volume-46/seven-key-features-lessons-and-tips-from-a-cobit-journey-of-27-years" TargetMode="External"/><Relationship Id="rId52" Type="http://schemas.openxmlformats.org/officeDocument/2006/relationships/hyperlink" Target="https://www.emerald.com/ics/article-pdf/doi/10.1108/ICS-09-2025-0376/11493712/ics-09-2025-0376en.pdf" TargetMode="External"/><Relationship Id="rId60" Type="http://schemas.openxmlformats.org/officeDocument/2006/relationships/hyperlink" Target="https://engineering-ai.academicsquare-pub.com/index.php/1/article/download/25/9" TargetMode="External"/><Relationship Id="rId65" Type="http://schemas.openxmlformats.org/officeDocument/2006/relationships/hyperlink" Target="https://papers.ssrn.com/sol3/Delivery.cfm?abstractid=5160686" TargetMode="External"/><Relationship Id="rId73" Type="http://schemas.openxmlformats.org/officeDocument/2006/relationships/hyperlink" Target="https://www.techtarget.com/searchsecurity/answer/Ransomware-recovery-How-can-enterprises-operate-post-attack" TargetMode="External"/><Relationship Id="rId78" Type="http://schemas.openxmlformats.org/officeDocument/2006/relationships/hyperlink" Target="https://arxiv.org/pdf/2603.07861"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3" Type="http://schemas.openxmlformats.org/officeDocument/2006/relationships/chart" Target="charts/chart1.xml"/><Relationship Id="rId18" Type="http://schemas.openxmlformats.org/officeDocument/2006/relationships/image" Target="media/image5.png"/><Relationship Id="rId39" Type="http://schemas.openxmlformats.org/officeDocument/2006/relationships/hyperlink" Target="https://www.mdpi.com/2624-800X/3/3/17" TargetMode="External"/><Relationship Id="rId34" Type="http://schemas.openxmlformats.org/officeDocument/2006/relationships/image" Target="media/image16.png"/><Relationship Id="rId50" Type="http://schemas.openxmlformats.org/officeDocument/2006/relationships/hyperlink" Target="https://www.torrossa.com/en/resources/an/5751016" TargetMode="External"/><Relationship Id="rId55" Type="http://schemas.openxmlformats.org/officeDocument/2006/relationships/hyperlink" Target="https://cogito.unklab.ac.id/index.php/cogito/article/download/998/397" TargetMode="External"/><Relationship Id="rId76" Type="http://schemas.openxmlformats.org/officeDocument/2006/relationships/hyperlink" Target="https://peerj.com/articles/cs-810.pdf" TargetMode="External"/><Relationship Id="rId7" Type="http://schemas.openxmlformats.org/officeDocument/2006/relationships/endnotes" Target="endnotes.xml"/><Relationship Id="rId71" Type="http://schemas.openxmlformats.org/officeDocument/2006/relationships/hyperlink" Target="https://osuva.uwasa.fi/bitstreams/308d2886-a5bf-4071-b4cc-e616d9750b17/download" TargetMode="External"/><Relationship Id="rId2" Type="http://schemas.openxmlformats.org/officeDocument/2006/relationships/numbering" Target="numbering.xml"/><Relationship Id="rId29" Type="http://schemas.openxmlformats.org/officeDocument/2006/relationships/diagramLayout" Target="diagrams/layout2.xml"/><Relationship Id="rId24" Type="http://schemas.openxmlformats.org/officeDocument/2006/relationships/image" Target="media/image11.png"/><Relationship Id="rId40" Type="http://schemas.openxmlformats.org/officeDocument/2006/relationships/hyperlink" Target="https://www.academia.edu/download/124278096/csistw.2024.12.1.pdf" TargetMode="External"/><Relationship Id="rId45" Type="http://schemas.openxmlformats.org/officeDocument/2006/relationships/hyperlink" Target="https://www.researchgate.net/profile/Kumrashan-Indranil-Iyer/publication/390597579_Poisoning_AI_Models_New_Frontiers_in_Data_Manipulation_Attacks/links/67f59a9d9b1c6c487784c1a6/Poisoning-AI-Models-New-Frontiers-in-Data-Manipulation-Attacks.pdf" TargetMode="External"/><Relationship Id="rId66" Type="http://schemas.openxmlformats.org/officeDocument/2006/relationships/hyperlink" Target="https://smsjournals.com/index.php/SAMRIDDHI/article/download/3350/1701"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wnloads\Figure_4_Security_Investment_Priority_Horizontal.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6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solidFill>
                  <a:sysClr val="windowText" lastClr="000000"/>
                </a:solidFill>
              </a:rPr>
              <a:t>Security Investment Priority</a:t>
            </a:r>
          </a:p>
        </c:rich>
      </c:tx>
      <c:overlay val="0"/>
      <c:spPr>
        <a:noFill/>
        <a:ln>
          <a:noFill/>
        </a:ln>
        <a:effectLst/>
      </c:spPr>
      <c:txPr>
        <a:bodyPr rot="0" spcFirstLastPara="1" vertOverflow="ellipsis" vert="horz" wrap="square" anchor="ctr" anchorCtr="1"/>
        <a:lstStyle/>
        <a:p>
          <a:pPr>
            <a:defRPr sz="16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1"/>
        <c:ser>
          <c:idx val="0"/>
          <c:order val="0"/>
          <c:tx>
            <c:strRef>
              <c:f>'[Figure_4_Security_Investment_Priority_Horizontal.xlsx]Security Investment Priority'!$B$1</c:f>
              <c:strCache>
                <c:ptCount val="1"/>
                <c:pt idx="0">
                  <c:v>Priority Score</c:v>
                </c:pt>
              </c:strCache>
            </c:strRef>
          </c:tx>
          <c:invertIfNegative val="1"/>
          <c:dPt>
            <c:idx val="0"/>
            <c:invertIfNegative val="1"/>
            <c:bubble3D val="0"/>
            <c:spPr>
              <a:gradFill rotWithShape="1">
                <a:gsLst>
                  <a:gs pos="0">
                    <a:schemeClr val="accent2">
                      <a:shade val="45000"/>
                      <a:tint val="100000"/>
                      <a:shade val="100000"/>
                      <a:satMod val="130000"/>
                    </a:schemeClr>
                  </a:gs>
                  <a:gs pos="100000">
                    <a:schemeClr val="accent2">
                      <a:shade val="4500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CD5E-4450-9C06-414185164ED5}"/>
              </c:ext>
            </c:extLst>
          </c:dPt>
          <c:dPt>
            <c:idx val="1"/>
            <c:invertIfNegative val="1"/>
            <c:bubble3D val="0"/>
            <c:spPr>
              <a:gradFill rotWithShape="1">
                <a:gsLst>
                  <a:gs pos="0">
                    <a:schemeClr val="accent2">
                      <a:shade val="61000"/>
                      <a:tint val="100000"/>
                      <a:shade val="100000"/>
                      <a:satMod val="130000"/>
                    </a:schemeClr>
                  </a:gs>
                  <a:gs pos="100000">
                    <a:schemeClr val="accent2">
                      <a:shade val="6100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CD5E-4450-9C06-414185164ED5}"/>
              </c:ext>
            </c:extLst>
          </c:dPt>
          <c:dPt>
            <c:idx val="2"/>
            <c:invertIfNegative val="1"/>
            <c:bubble3D val="0"/>
            <c:spPr>
              <a:gradFill rotWithShape="1">
                <a:gsLst>
                  <a:gs pos="0">
                    <a:schemeClr val="accent2">
                      <a:shade val="76000"/>
                      <a:tint val="100000"/>
                      <a:shade val="100000"/>
                      <a:satMod val="130000"/>
                    </a:schemeClr>
                  </a:gs>
                  <a:gs pos="100000">
                    <a:schemeClr val="accent2">
                      <a:shade val="7600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CD5E-4450-9C06-414185164ED5}"/>
              </c:ext>
            </c:extLst>
          </c:dPt>
          <c:dPt>
            <c:idx val="3"/>
            <c:invertIfNegative val="1"/>
            <c:bubble3D val="0"/>
            <c:spPr>
              <a:gradFill rotWithShape="1">
                <a:gsLst>
                  <a:gs pos="0">
                    <a:schemeClr val="accent2">
                      <a:shade val="92000"/>
                      <a:tint val="100000"/>
                      <a:shade val="100000"/>
                      <a:satMod val="130000"/>
                    </a:schemeClr>
                  </a:gs>
                  <a:gs pos="100000">
                    <a:schemeClr val="accent2">
                      <a:shade val="9200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CD5E-4450-9C06-414185164ED5}"/>
              </c:ext>
            </c:extLst>
          </c:dPt>
          <c:dPt>
            <c:idx val="4"/>
            <c:invertIfNegative val="1"/>
            <c:bubble3D val="0"/>
            <c:spPr>
              <a:gradFill rotWithShape="1">
                <a:gsLst>
                  <a:gs pos="0">
                    <a:schemeClr val="accent2">
                      <a:tint val="93000"/>
                      <a:tint val="100000"/>
                      <a:shade val="100000"/>
                      <a:satMod val="130000"/>
                    </a:schemeClr>
                  </a:gs>
                  <a:gs pos="100000">
                    <a:schemeClr val="accent2">
                      <a:tint val="9300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CD5E-4450-9C06-414185164ED5}"/>
              </c:ext>
            </c:extLst>
          </c:dPt>
          <c:dPt>
            <c:idx val="5"/>
            <c:invertIfNegative val="1"/>
            <c:bubble3D val="0"/>
            <c:spPr>
              <a:gradFill rotWithShape="1">
                <a:gsLst>
                  <a:gs pos="0">
                    <a:schemeClr val="accent2">
                      <a:tint val="77000"/>
                      <a:tint val="100000"/>
                      <a:shade val="100000"/>
                      <a:satMod val="130000"/>
                    </a:schemeClr>
                  </a:gs>
                  <a:gs pos="100000">
                    <a:schemeClr val="accent2">
                      <a:tint val="7700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B-CD5E-4450-9C06-414185164ED5}"/>
              </c:ext>
            </c:extLst>
          </c:dPt>
          <c:dPt>
            <c:idx val="6"/>
            <c:invertIfNegative val="1"/>
            <c:bubble3D val="0"/>
            <c:spPr>
              <a:gradFill rotWithShape="1">
                <a:gsLst>
                  <a:gs pos="0">
                    <a:schemeClr val="accent2">
                      <a:tint val="62000"/>
                      <a:tint val="100000"/>
                      <a:shade val="100000"/>
                      <a:satMod val="130000"/>
                    </a:schemeClr>
                  </a:gs>
                  <a:gs pos="100000">
                    <a:schemeClr val="accent2">
                      <a:tint val="6200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D-CD5E-4450-9C06-414185164ED5}"/>
              </c:ext>
            </c:extLst>
          </c:dPt>
          <c:dPt>
            <c:idx val="7"/>
            <c:invertIfNegative val="1"/>
            <c:bubble3D val="0"/>
            <c:spPr>
              <a:gradFill rotWithShape="1">
                <a:gsLst>
                  <a:gs pos="0">
                    <a:schemeClr val="accent2">
                      <a:tint val="46000"/>
                      <a:tint val="100000"/>
                      <a:shade val="100000"/>
                      <a:satMod val="130000"/>
                    </a:schemeClr>
                  </a:gs>
                  <a:gs pos="100000">
                    <a:schemeClr val="accent2">
                      <a:tint val="4600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F-CD5E-4450-9C06-414185164ED5}"/>
              </c:ext>
            </c:extLst>
          </c:dPt>
          <c:dLbls>
            <c:dLbl>
              <c:idx val="0"/>
              <c:tx>
                <c:rich>
                  <a:bodyPr/>
                  <a:lstStyle/>
                  <a:p>
                    <a:fld id="{1E589EE4-80A2-44C9-A95E-44732E145B4C}" type="VALUE">
                      <a:rPr lang="en-US" baseline="0"/>
                      <a:pPr/>
                      <a:t>[VALUE]</a:t>
                    </a:fld>
                    <a:endParaRPr lang="en-IN"/>
                  </a:p>
                </c:rich>
              </c:tx>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1-CD5E-4450-9C06-414185164ED5}"/>
                </c:ext>
              </c:extLst>
            </c:dLbl>
            <c:dLbl>
              <c:idx val="1"/>
              <c:tx>
                <c:rich>
                  <a:bodyPr/>
                  <a:lstStyle/>
                  <a:p>
                    <a:fld id="{7F4469D6-5EAA-4798-876D-C1E8CC77B6B4}" type="VALUE">
                      <a:rPr lang="en-US" baseline="0"/>
                      <a:pPr/>
                      <a:t>[VALUE]</a:t>
                    </a:fld>
                    <a:endParaRPr lang="en-IN"/>
                  </a:p>
                </c:rich>
              </c:tx>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3-CD5E-4450-9C06-414185164ED5}"/>
                </c:ext>
              </c:extLst>
            </c:dLbl>
            <c:dLbl>
              <c:idx val="2"/>
              <c:tx>
                <c:rich>
                  <a:bodyPr/>
                  <a:lstStyle/>
                  <a:p>
                    <a:fld id="{C8CA4030-4C5B-4874-AE2E-9827994F3AF2}" type="VALUE">
                      <a:rPr lang="en-US" baseline="0"/>
                      <a:pPr/>
                      <a:t>[VALUE]</a:t>
                    </a:fld>
                    <a:endParaRPr lang="en-IN"/>
                  </a:p>
                </c:rich>
              </c:tx>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5-CD5E-4450-9C06-414185164ED5}"/>
                </c:ext>
              </c:extLst>
            </c:dLbl>
            <c:dLbl>
              <c:idx val="3"/>
              <c:tx>
                <c:rich>
                  <a:bodyPr/>
                  <a:lstStyle/>
                  <a:p>
                    <a:r>
                      <a:rPr lang="en-US" baseline="0"/>
                      <a:t> </a:t>
                    </a:r>
                    <a:fld id="{43C5C6FC-09F2-427E-964C-7E130B30F4CF}" type="VALUE">
                      <a:rPr lang="en-US" baseline="0"/>
                      <a:pPr/>
                      <a:t>[VALUE]</a:t>
                    </a:fld>
                    <a:endParaRPr lang="en-US" baseline="0"/>
                  </a:p>
                </c:rich>
              </c:tx>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7-CD5E-4450-9C06-414185164ED5}"/>
                </c:ext>
              </c:extLst>
            </c:dLbl>
            <c:dLbl>
              <c:idx val="4"/>
              <c:tx>
                <c:rich>
                  <a:bodyPr/>
                  <a:lstStyle/>
                  <a:p>
                    <a:r>
                      <a:rPr lang="en-US" baseline="0"/>
                      <a:t> </a:t>
                    </a:r>
                    <a:fld id="{261BF36B-6AF7-4E7E-87DA-5982AB73B8CF}" type="VALUE">
                      <a:rPr lang="en-US" baseline="0"/>
                      <a:pPr/>
                      <a:t>[VALUE]</a:t>
                    </a:fld>
                    <a:endParaRPr lang="en-US" baseline="0"/>
                  </a:p>
                </c:rich>
              </c:tx>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9-CD5E-4450-9C06-414185164ED5}"/>
                </c:ext>
              </c:extLst>
            </c:dLbl>
            <c:dLbl>
              <c:idx val="5"/>
              <c:tx>
                <c:rich>
                  <a:bodyPr/>
                  <a:lstStyle/>
                  <a:p>
                    <a:r>
                      <a:rPr lang="en-US" baseline="0"/>
                      <a:t> </a:t>
                    </a:r>
                    <a:fld id="{37F0D031-4F65-4741-9012-9BC386B9EDCD}" type="VALUE">
                      <a:rPr lang="en-US" baseline="0"/>
                      <a:pPr/>
                      <a:t>[VALUE]</a:t>
                    </a:fld>
                    <a:endParaRPr lang="en-US" baseline="0"/>
                  </a:p>
                </c:rich>
              </c:tx>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B-CD5E-4450-9C06-414185164ED5}"/>
                </c:ext>
              </c:extLst>
            </c:dLbl>
            <c:dLbl>
              <c:idx val="6"/>
              <c:tx>
                <c:rich>
                  <a:bodyPr/>
                  <a:lstStyle/>
                  <a:p>
                    <a:r>
                      <a:rPr lang="en-US" baseline="0"/>
                      <a:t> </a:t>
                    </a:r>
                    <a:fld id="{F466F6E2-6B87-421B-AB18-5CF410F2E0FA}" type="VALUE">
                      <a:rPr lang="en-US" baseline="0"/>
                      <a:pPr/>
                      <a:t>[VALUE]</a:t>
                    </a:fld>
                    <a:endParaRPr lang="en-US" baseline="0"/>
                  </a:p>
                </c:rich>
              </c:tx>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D-CD5E-4450-9C06-414185164ED5}"/>
                </c:ext>
              </c:extLst>
            </c:dLbl>
            <c:dLbl>
              <c:idx val="7"/>
              <c:tx>
                <c:rich>
                  <a:bodyPr/>
                  <a:lstStyle/>
                  <a:p>
                    <a:r>
                      <a:rPr lang="en-US" baseline="0"/>
                      <a:t> </a:t>
                    </a:r>
                    <a:fld id="{13494006-1652-4404-B28C-A7E51726E3CE}" type="VALUE">
                      <a:rPr lang="en-US" baseline="0"/>
                      <a:pPr/>
                      <a:t>[VALUE]</a:t>
                    </a:fld>
                    <a:endParaRPr lang="en-US" baseline="0"/>
                  </a:p>
                </c:rich>
              </c:tx>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F-CD5E-4450-9C06-414185164ED5}"/>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strRef>
              <c:f>'[Figure_4_Security_Investment_Priority_Horizontal.xlsx]Security Investment Priority'!$A$2:$A$9</c:f>
              <c:strCache>
                <c:ptCount val="8"/>
                <c:pt idx="0">
                  <c:v>Governance &amp; Compliance</c:v>
                </c:pt>
                <c:pt idx="1">
                  <c:v>Identity &amp; Access Management</c:v>
                </c:pt>
                <c:pt idx="2">
                  <c:v>Risk Management</c:v>
                </c:pt>
                <c:pt idx="3">
                  <c:v>Incident Response</c:v>
                </c:pt>
                <c:pt idx="4">
                  <c:v>Vendor Security</c:v>
                </c:pt>
                <c:pt idx="5">
                  <c:v>Business Continuity</c:v>
                </c:pt>
                <c:pt idx="6">
                  <c:v>Security Awareness</c:v>
                </c:pt>
                <c:pt idx="7">
                  <c:v>Infrastructure Monitoring</c:v>
                </c:pt>
              </c:strCache>
            </c:strRef>
          </c:cat>
          <c:val>
            <c:numRef>
              <c:f>'[Figure_4_Security_Investment_Priority_Horizontal.xlsx]Security Investment Priority'!$B$2:$B$9</c:f>
              <c:numCache>
                <c:formatCode>General</c:formatCode>
                <c:ptCount val="8"/>
                <c:pt idx="0">
                  <c:v>5</c:v>
                </c:pt>
                <c:pt idx="1">
                  <c:v>5</c:v>
                </c:pt>
                <c:pt idx="2">
                  <c:v>4</c:v>
                </c:pt>
                <c:pt idx="3">
                  <c:v>4</c:v>
                </c:pt>
                <c:pt idx="4">
                  <c:v>4</c:v>
                </c:pt>
                <c:pt idx="5">
                  <c:v>3</c:v>
                </c:pt>
                <c:pt idx="6">
                  <c:v>3</c:v>
                </c:pt>
                <c:pt idx="7">
                  <c:v>3</c:v>
                </c:pt>
              </c:numCache>
            </c:numRef>
          </c:val>
          <c:extLst>
            <c:ext xmlns:c16="http://schemas.microsoft.com/office/drawing/2014/chart" uri="{C3380CC4-5D6E-409C-BE32-E72D297353CC}">
              <c16:uniqueId val="{00000010-CD5E-4450-9C06-414185164ED5}"/>
            </c:ext>
          </c:extLst>
        </c:ser>
        <c:dLbls>
          <c:showLegendKey val="1"/>
          <c:showVal val="1"/>
          <c:showCatName val="1"/>
          <c:showSerName val="1"/>
          <c:showPercent val="1"/>
          <c:showBubbleSize val="1"/>
        </c:dLbls>
        <c:gapWidth val="115"/>
        <c:overlap val="-20"/>
        <c:axId val="10"/>
        <c:axId val="100"/>
      </c:barChart>
      <c:catAx>
        <c:axId val="10"/>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Priority Score (1-5)</a:t>
                </a:r>
              </a:p>
            </c:rich>
          </c:tx>
          <c:overlay val="1"/>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0"/>
        <c:crosses val="autoZero"/>
        <c:auto val="1"/>
        <c:lblAlgn val="ctr"/>
        <c:lblOffset val="100"/>
        <c:noMultiLvlLbl val="1"/>
      </c:catAx>
      <c:valAx>
        <c:axId val="1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Security Area</a:t>
                </a:r>
              </a:p>
            </c:rich>
          </c:tx>
          <c:overlay val="1"/>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
        <c:crosses val="autoZero"/>
        <c:crossBetween val="between"/>
      </c:valAx>
      <c:spPr>
        <a:noFill/>
        <a:ln>
          <a:noFill/>
        </a:ln>
        <a:effectLst/>
      </c:spPr>
    </c:plotArea>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ACDC00-D7D6-410B-9238-A7F737DC4DA5}" type="doc">
      <dgm:prSet loTypeId="urn:microsoft.com/office/officeart/2005/8/layout/process5" loCatId="process" qsTypeId="urn:microsoft.com/office/officeart/2005/8/quickstyle/simple1" qsCatId="simple" csTypeId="urn:microsoft.com/office/officeart/2005/8/colors/accent0_3" csCatId="mainScheme" phldr="1"/>
      <dgm:spPr/>
    </dgm:pt>
    <dgm:pt modelId="{A4EA57F6-2792-4461-B1EE-CB36AAD0889A}">
      <dgm:prSet phldrT="[Text]" custT="1"/>
      <dgm:spPr/>
      <dgm:t>
        <a:bodyPr/>
        <a:lstStyle/>
        <a:p>
          <a:r>
            <a:rPr lang="en-GB" sz="1050">
              <a:latin typeface="Times New Roman" panose="02020603050405020304" pitchFamily="18" charset="0"/>
              <a:cs typeface="Times New Roman" panose="02020603050405020304" pitchFamily="18" charset="0"/>
            </a:rPr>
            <a:t>Cloud Computing</a:t>
          </a:r>
          <a:endParaRPr lang="en-US" sz="1050">
            <a:latin typeface="Times New Roman" panose="02020603050405020304" pitchFamily="18" charset="0"/>
            <a:cs typeface="Times New Roman" panose="02020603050405020304" pitchFamily="18" charset="0"/>
          </a:endParaRPr>
        </a:p>
      </dgm:t>
    </dgm:pt>
    <dgm:pt modelId="{42196851-5798-435A-83DB-42257E214334}" type="parTrans" cxnId="{04B2F0CD-8891-48D8-BC7F-DEAB74F6EC01}">
      <dgm:prSet/>
      <dgm:spPr/>
      <dgm:t>
        <a:bodyPr/>
        <a:lstStyle/>
        <a:p>
          <a:endParaRPr lang="en-US"/>
        </a:p>
      </dgm:t>
    </dgm:pt>
    <dgm:pt modelId="{ED01A547-C342-4FF5-A388-31B6389A939D}" type="sibTrans" cxnId="{04B2F0CD-8891-48D8-BC7F-DEAB74F6EC01}">
      <dgm:prSet/>
      <dgm:spPr/>
      <dgm:t>
        <a:bodyPr/>
        <a:lstStyle/>
        <a:p>
          <a:endParaRPr lang="en-US"/>
        </a:p>
      </dgm:t>
    </dgm:pt>
    <dgm:pt modelId="{145A35BA-49F1-4A4F-9401-43B3986D60F0}">
      <dgm:prSet phldrT="[Text]" custT="1"/>
      <dgm:spPr/>
      <dgm:t>
        <a:bodyPr/>
        <a:lstStyle/>
        <a:p>
          <a:r>
            <a:rPr lang="en-GB" sz="1050">
              <a:latin typeface="Times New Roman" panose="02020603050405020304" pitchFamily="18" charset="0"/>
              <a:cs typeface="Times New Roman" panose="02020603050405020304" pitchFamily="18" charset="0"/>
            </a:rPr>
            <a:t>Remote &amp; Third-Party Access</a:t>
          </a:r>
          <a:endParaRPr lang="en-US" sz="1050">
            <a:latin typeface="Times New Roman" panose="02020603050405020304" pitchFamily="18" charset="0"/>
            <a:cs typeface="Times New Roman" panose="02020603050405020304" pitchFamily="18" charset="0"/>
          </a:endParaRPr>
        </a:p>
      </dgm:t>
    </dgm:pt>
    <dgm:pt modelId="{051E0176-07DE-4483-8FCF-825C9C9D2D66}" type="parTrans" cxnId="{EA18A76E-B2B2-4D0B-B11B-E3B378BBC611}">
      <dgm:prSet/>
      <dgm:spPr/>
      <dgm:t>
        <a:bodyPr/>
        <a:lstStyle/>
        <a:p>
          <a:endParaRPr lang="en-US"/>
        </a:p>
      </dgm:t>
    </dgm:pt>
    <dgm:pt modelId="{6D870DD3-89B7-41C4-A46F-F49054A19C9C}" type="sibTrans" cxnId="{EA18A76E-B2B2-4D0B-B11B-E3B378BBC611}">
      <dgm:prSet/>
      <dgm:spPr/>
      <dgm:t>
        <a:bodyPr/>
        <a:lstStyle/>
        <a:p>
          <a:endParaRPr lang="en-US"/>
        </a:p>
      </dgm:t>
    </dgm:pt>
    <dgm:pt modelId="{565C844B-55E3-4C69-8A43-DEA3C38C32C2}">
      <dgm:prSet phldrT="[Text]" custT="1"/>
      <dgm:spPr/>
      <dgm:t>
        <a:bodyPr/>
        <a:lstStyle/>
        <a:p>
          <a:r>
            <a:rPr lang="en-GB" sz="1050">
              <a:latin typeface="Times New Roman" panose="02020603050405020304" pitchFamily="18" charset="0"/>
              <a:cs typeface="Times New Roman" panose="02020603050405020304" pitchFamily="18" charset="0"/>
            </a:rPr>
            <a:t>Weak Security Governance</a:t>
          </a:r>
          <a:endParaRPr lang="en-US" sz="1050">
            <a:latin typeface="Times New Roman" panose="02020603050405020304" pitchFamily="18" charset="0"/>
            <a:cs typeface="Times New Roman" panose="02020603050405020304" pitchFamily="18" charset="0"/>
          </a:endParaRPr>
        </a:p>
      </dgm:t>
    </dgm:pt>
    <dgm:pt modelId="{3EC179F1-DB2F-42A6-917E-88603D4314A7}" type="parTrans" cxnId="{FE316BC5-F713-4092-8460-5C35DE9241B0}">
      <dgm:prSet/>
      <dgm:spPr/>
      <dgm:t>
        <a:bodyPr/>
        <a:lstStyle/>
        <a:p>
          <a:endParaRPr lang="en-US"/>
        </a:p>
      </dgm:t>
    </dgm:pt>
    <dgm:pt modelId="{DAECDCEE-3730-47DE-A90A-F93837C27C6C}" type="sibTrans" cxnId="{FE316BC5-F713-4092-8460-5C35DE9241B0}">
      <dgm:prSet/>
      <dgm:spPr/>
      <dgm:t>
        <a:bodyPr/>
        <a:lstStyle/>
        <a:p>
          <a:endParaRPr lang="en-US"/>
        </a:p>
      </dgm:t>
    </dgm:pt>
    <dgm:pt modelId="{6522A3AD-A5DB-458A-94E8-9B033D8EE393}">
      <dgm:prSet phldrT="[Text]" custT="1"/>
      <dgm:spPr/>
      <dgm:t>
        <a:bodyPr/>
        <a:lstStyle/>
        <a:p>
          <a:r>
            <a:rPr lang="en-GB" sz="1050">
              <a:latin typeface="Times New Roman" panose="02020603050405020304" pitchFamily="18" charset="0"/>
              <a:cs typeface="Times New Roman" panose="02020603050405020304" pitchFamily="18" charset="0"/>
            </a:rPr>
            <a:t>Data Breaches &amp; PII Exposure</a:t>
          </a:r>
          <a:endParaRPr lang="en-US" sz="1050">
            <a:latin typeface="Times New Roman" panose="02020603050405020304" pitchFamily="18" charset="0"/>
            <a:cs typeface="Times New Roman" panose="02020603050405020304" pitchFamily="18" charset="0"/>
          </a:endParaRPr>
        </a:p>
      </dgm:t>
    </dgm:pt>
    <dgm:pt modelId="{B948FD25-5135-4F45-9F13-B3B58C0F94FB}" type="parTrans" cxnId="{E46C3200-D312-4F39-849F-B1AB683B0157}">
      <dgm:prSet/>
      <dgm:spPr/>
      <dgm:t>
        <a:bodyPr/>
        <a:lstStyle/>
        <a:p>
          <a:endParaRPr lang="en-US"/>
        </a:p>
      </dgm:t>
    </dgm:pt>
    <dgm:pt modelId="{900C4316-B84A-4B3D-A4D2-726667FFFC63}" type="sibTrans" cxnId="{E46C3200-D312-4F39-849F-B1AB683B0157}">
      <dgm:prSet/>
      <dgm:spPr/>
      <dgm:t>
        <a:bodyPr/>
        <a:lstStyle/>
        <a:p>
          <a:endParaRPr lang="en-US"/>
        </a:p>
      </dgm:t>
    </dgm:pt>
    <dgm:pt modelId="{5DFAB670-91CA-408A-8953-0AB171AE4580}">
      <dgm:prSet phldrT="[Text]" custT="1"/>
      <dgm:spPr/>
      <dgm:t>
        <a:bodyPr/>
        <a:lstStyle/>
        <a:p>
          <a:r>
            <a:rPr lang="en-GB" sz="1050">
              <a:latin typeface="Times New Roman" panose="02020603050405020304" pitchFamily="18" charset="0"/>
              <a:cs typeface="Times New Roman" panose="02020603050405020304" pitchFamily="18" charset="0"/>
            </a:rPr>
            <a:t>GDPR &amp; ISO Compliance Failures</a:t>
          </a:r>
          <a:endParaRPr lang="en-US" sz="1050">
            <a:latin typeface="Times New Roman" panose="02020603050405020304" pitchFamily="18" charset="0"/>
            <a:cs typeface="Times New Roman" panose="02020603050405020304" pitchFamily="18" charset="0"/>
          </a:endParaRPr>
        </a:p>
      </dgm:t>
    </dgm:pt>
    <dgm:pt modelId="{E8BF694C-0462-4BED-A357-C4F7EAA1CC07}" type="parTrans" cxnId="{1C7B25FA-CEC1-45B4-A32E-CA22CF5FD3A6}">
      <dgm:prSet/>
      <dgm:spPr/>
      <dgm:t>
        <a:bodyPr/>
        <a:lstStyle/>
        <a:p>
          <a:endParaRPr lang="en-US"/>
        </a:p>
      </dgm:t>
    </dgm:pt>
    <dgm:pt modelId="{6B127CC4-13DE-496F-9FC3-7B96CD6CA056}" type="sibTrans" cxnId="{1C7B25FA-CEC1-45B4-A32E-CA22CF5FD3A6}">
      <dgm:prSet/>
      <dgm:spPr/>
      <dgm:t>
        <a:bodyPr/>
        <a:lstStyle/>
        <a:p>
          <a:endParaRPr lang="en-US"/>
        </a:p>
      </dgm:t>
    </dgm:pt>
    <dgm:pt modelId="{C2C89743-0D63-4A39-ADDD-AF2EC93EBCAD}">
      <dgm:prSet phldrT="[Text]" custT="1"/>
      <dgm:spPr/>
      <dgm:t>
        <a:bodyPr/>
        <a:lstStyle/>
        <a:p>
          <a:r>
            <a:rPr lang="en-GB" sz="1050">
              <a:latin typeface="Times New Roman" panose="02020603050405020304" pitchFamily="18" charset="0"/>
              <a:cs typeface="Times New Roman" panose="02020603050405020304" pitchFamily="18" charset="0"/>
            </a:rPr>
            <a:t>Business Risk &amp; Operational Disruption</a:t>
          </a:r>
          <a:endParaRPr lang="en-US" sz="1050">
            <a:latin typeface="Times New Roman" panose="02020603050405020304" pitchFamily="18" charset="0"/>
            <a:cs typeface="Times New Roman" panose="02020603050405020304" pitchFamily="18" charset="0"/>
          </a:endParaRPr>
        </a:p>
      </dgm:t>
    </dgm:pt>
    <dgm:pt modelId="{FF6FCCEC-2001-4D68-8191-E6D19A70314B}" type="parTrans" cxnId="{D751C02D-05F5-4A17-8B50-FEEC773879C1}">
      <dgm:prSet/>
      <dgm:spPr/>
      <dgm:t>
        <a:bodyPr/>
        <a:lstStyle/>
        <a:p>
          <a:endParaRPr lang="en-US"/>
        </a:p>
      </dgm:t>
    </dgm:pt>
    <dgm:pt modelId="{E23CA352-6B64-4358-9703-2A4AD7E87987}" type="sibTrans" cxnId="{D751C02D-05F5-4A17-8B50-FEEC773879C1}">
      <dgm:prSet/>
      <dgm:spPr/>
      <dgm:t>
        <a:bodyPr/>
        <a:lstStyle/>
        <a:p>
          <a:endParaRPr lang="en-US"/>
        </a:p>
      </dgm:t>
    </dgm:pt>
    <dgm:pt modelId="{2D4380B0-3D5D-47BA-A75E-AF4D2ED7680D}" type="pres">
      <dgm:prSet presAssocID="{9AACDC00-D7D6-410B-9238-A7F737DC4DA5}" presName="diagram" presStyleCnt="0">
        <dgm:presLayoutVars>
          <dgm:dir/>
          <dgm:resizeHandles val="exact"/>
        </dgm:presLayoutVars>
      </dgm:prSet>
      <dgm:spPr/>
    </dgm:pt>
    <dgm:pt modelId="{8CCA8698-4B4B-450C-8E33-4A7AC2A6959F}" type="pres">
      <dgm:prSet presAssocID="{A4EA57F6-2792-4461-B1EE-CB36AAD0889A}" presName="node" presStyleLbl="node1" presStyleIdx="0" presStyleCnt="6">
        <dgm:presLayoutVars>
          <dgm:bulletEnabled val="1"/>
        </dgm:presLayoutVars>
      </dgm:prSet>
      <dgm:spPr/>
    </dgm:pt>
    <dgm:pt modelId="{FEC236DB-8BE7-4464-AD85-2B3976A013D1}" type="pres">
      <dgm:prSet presAssocID="{ED01A547-C342-4FF5-A388-31B6389A939D}" presName="sibTrans" presStyleLbl="sibTrans2D1" presStyleIdx="0" presStyleCnt="5"/>
      <dgm:spPr/>
    </dgm:pt>
    <dgm:pt modelId="{586F279E-4F80-4DC2-BA55-44C4FFFDB689}" type="pres">
      <dgm:prSet presAssocID="{ED01A547-C342-4FF5-A388-31B6389A939D}" presName="connectorText" presStyleLbl="sibTrans2D1" presStyleIdx="0" presStyleCnt="5"/>
      <dgm:spPr/>
    </dgm:pt>
    <dgm:pt modelId="{9955F8B2-CCC7-4759-91D2-B3F5A4E427E5}" type="pres">
      <dgm:prSet presAssocID="{145A35BA-49F1-4A4F-9401-43B3986D60F0}" presName="node" presStyleLbl="node1" presStyleIdx="1" presStyleCnt="6">
        <dgm:presLayoutVars>
          <dgm:bulletEnabled val="1"/>
        </dgm:presLayoutVars>
      </dgm:prSet>
      <dgm:spPr/>
    </dgm:pt>
    <dgm:pt modelId="{4EE98ED4-5E70-4A91-A7BB-FB45A915C700}" type="pres">
      <dgm:prSet presAssocID="{6D870DD3-89B7-41C4-A46F-F49054A19C9C}" presName="sibTrans" presStyleLbl="sibTrans2D1" presStyleIdx="1" presStyleCnt="5"/>
      <dgm:spPr/>
    </dgm:pt>
    <dgm:pt modelId="{CFE18164-46F4-4A94-B904-AFF59DFC3109}" type="pres">
      <dgm:prSet presAssocID="{6D870DD3-89B7-41C4-A46F-F49054A19C9C}" presName="connectorText" presStyleLbl="sibTrans2D1" presStyleIdx="1" presStyleCnt="5"/>
      <dgm:spPr/>
    </dgm:pt>
    <dgm:pt modelId="{1928796E-1525-4D51-976A-3D26DA14C265}" type="pres">
      <dgm:prSet presAssocID="{565C844B-55E3-4C69-8A43-DEA3C38C32C2}" presName="node" presStyleLbl="node1" presStyleIdx="2" presStyleCnt="6">
        <dgm:presLayoutVars>
          <dgm:bulletEnabled val="1"/>
        </dgm:presLayoutVars>
      </dgm:prSet>
      <dgm:spPr/>
    </dgm:pt>
    <dgm:pt modelId="{A04BEF68-7861-40C0-AEA0-78723AE07ED5}" type="pres">
      <dgm:prSet presAssocID="{DAECDCEE-3730-47DE-A90A-F93837C27C6C}" presName="sibTrans" presStyleLbl="sibTrans2D1" presStyleIdx="2" presStyleCnt="5"/>
      <dgm:spPr/>
    </dgm:pt>
    <dgm:pt modelId="{F537E0A1-D2FE-449E-A4D6-DBDCFADA1A1F}" type="pres">
      <dgm:prSet presAssocID="{DAECDCEE-3730-47DE-A90A-F93837C27C6C}" presName="connectorText" presStyleLbl="sibTrans2D1" presStyleIdx="2" presStyleCnt="5"/>
      <dgm:spPr/>
    </dgm:pt>
    <dgm:pt modelId="{DE671104-F06B-4292-89BE-D0E335787077}" type="pres">
      <dgm:prSet presAssocID="{6522A3AD-A5DB-458A-94E8-9B033D8EE393}" presName="node" presStyleLbl="node1" presStyleIdx="3" presStyleCnt="6">
        <dgm:presLayoutVars>
          <dgm:bulletEnabled val="1"/>
        </dgm:presLayoutVars>
      </dgm:prSet>
      <dgm:spPr/>
    </dgm:pt>
    <dgm:pt modelId="{34C0ED5E-F753-4C4D-B0A6-C900B22FADC2}" type="pres">
      <dgm:prSet presAssocID="{900C4316-B84A-4B3D-A4D2-726667FFFC63}" presName="sibTrans" presStyleLbl="sibTrans2D1" presStyleIdx="3" presStyleCnt="5"/>
      <dgm:spPr/>
    </dgm:pt>
    <dgm:pt modelId="{2ABBA12E-875C-4CEA-A7B3-4476207390FE}" type="pres">
      <dgm:prSet presAssocID="{900C4316-B84A-4B3D-A4D2-726667FFFC63}" presName="connectorText" presStyleLbl="sibTrans2D1" presStyleIdx="3" presStyleCnt="5"/>
      <dgm:spPr/>
    </dgm:pt>
    <dgm:pt modelId="{EF2C66F2-D2DA-4CE4-A224-767572A28469}" type="pres">
      <dgm:prSet presAssocID="{5DFAB670-91CA-408A-8953-0AB171AE4580}" presName="node" presStyleLbl="node1" presStyleIdx="4" presStyleCnt="6">
        <dgm:presLayoutVars>
          <dgm:bulletEnabled val="1"/>
        </dgm:presLayoutVars>
      </dgm:prSet>
      <dgm:spPr/>
    </dgm:pt>
    <dgm:pt modelId="{91F6C9EE-3449-428C-8808-3A7A6288171F}" type="pres">
      <dgm:prSet presAssocID="{6B127CC4-13DE-496F-9FC3-7B96CD6CA056}" presName="sibTrans" presStyleLbl="sibTrans2D1" presStyleIdx="4" presStyleCnt="5"/>
      <dgm:spPr/>
    </dgm:pt>
    <dgm:pt modelId="{23D3750B-16AB-48F7-94D6-A9E2D10D85C5}" type="pres">
      <dgm:prSet presAssocID="{6B127CC4-13DE-496F-9FC3-7B96CD6CA056}" presName="connectorText" presStyleLbl="sibTrans2D1" presStyleIdx="4" presStyleCnt="5"/>
      <dgm:spPr/>
    </dgm:pt>
    <dgm:pt modelId="{E27B911A-1A1E-4ED1-8FAF-D2B297FDBBC2}" type="pres">
      <dgm:prSet presAssocID="{C2C89743-0D63-4A39-ADDD-AF2EC93EBCAD}" presName="node" presStyleLbl="node1" presStyleIdx="5" presStyleCnt="6">
        <dgm:presLayoutVars>
          <dgm:bulletEnabled val="1"/>
        </dgm:presLayoutVars>
      </dgm:prSet>
      <dgm:spPr/>
    </dgm:pt>
  </dgm:ptLst>
  <dgm:cxnLst>
    <dgm:cxn modelId="{E46C3200-D312-4F39-849F-B1AB683B0157}" srcId="{9AACDC00-D7D6-410B-9238-A7F737DC4DA5}" destId="{6522A3AD-A5DB-458A-94E8-9B033D8EE393}" srcOrd="3" destOrd="0" parTransId="{B948FD25-5135-4F45-9F13-B3B58C0F94FB}" sibTransId="{900C4316-B84A-4B3D-A4D2-726667FFFC63}"/>
    <dgm:cxn modelId="{99ABF502-7A07-44EF-A7EA-0F01BB7B47D2}" type="presOf" srcId="{145A35BA-49F1-4A4F-9401-43B3986D60F0}" destId="{9955F8B2-CCC7-4759-91D2-B3F5A4E427E5}" srcOrd="0" destOrd="0" presId="urn:microsoft.com/office/officeart/2005/8/layout/process5"/>
    <dgm:cxn modelId="{C0D65D0A-4D2F-45E4-9FE7-BFF836AFE2C3}" type="presOf" srcId="{6D870DD3-89B7-41C4-A46F-F49054A19C9C}" destId="{4EE98ED4-5E70-4A91-A7BB-FB45A915C700}" srcOrd="0" destOrd="0" presId="urn:microsoft.com/office/officeart/2005/8/layout/process5"/>
    <dgm:cxn modelId="{E8AADF1E-8E5C-4C76-98F3-EB439B52E261}" type="presOf" srcId="{565C844B-55E3-4C69-8A43-DEA3C38C32C2}" destId="{1928796E-1525-4D51-976A-3D26DA14C265}" srcOrd="0" destOrd="0" presId="urn:microsoft.com/office/officeart/2005/8/layout/process5"/>
    <dgm:cxn modelId="{F37EDB21-370D-4B68-9FC2-EAAD9D96EFE6}" type="presOf" srcId="{DAECDCEE-3730-47DE-A90A-F93837C27C6C}" destId="{A04BEF68-7861-40C0-AEA0-78723AE07ED5}" srcOrd="0" destOrd="0" presId="urn:microsoft.com/office/officeart/2005/8/layout/process5"/>
    <dgm:cxn modelId="{2136BF23-88A6-48E2-95B5-C65B828DAB10}" type="presOf" srcId="{C2C89743-0D63-4A39-ADDD-AF2EC93EBCAD}" destId="{E27B911A-1A1E-4ED1-8FAF-D2B297FDBBC2}" srcOrd="0" destOrd="0" presId="urn:microsoft.com/office/officeart/2005/8/layout/process5"/>
    <dgm:cxn modelId="{B5C05725-5061-457E-801A-19161F7F21D4}" type="presOf" srcId="{900C4316-B84A-4B3D-A4D2-726667FFFC63}" destId="{2ABBA12E-875C-4CEA-A7B3-4476207390FE}" srcOrd="1" destOrd="0" presId="urn:microsoft.com/office/officeart/2005/8/layout/process5"/>
    <dgm:cxn modelId="{D751C02D-05F5-4A17-8B50-FEEC773879C1}" srcId="{9AACDC00-D7D6-410B-9238-A7F737DC4DA5}" destId="{C2C89743-0D63-4A39-ADDD-AF2EC93EBCAD}" srcOrd="5" destOrd="0" parTransId="{FF6FCCEC-2001-4D68-8191-E6D19A70314B}" sibTransId="{E23CA352-6B64-4358-9703-2A4AD7E87987}"/>
    <dgm:cxn modelId="{D5D56A3D-8323-41D5-A64F-32F4677CC418}" type="presOf" srcId="{DAECDCEE-3730-47DE-A90A-F93837C27C6C}" destId="{F537E0A1-D2FE-449E-A4D6-DBDCFADA1A1F}" srcOrd="1" destOrd="0" presId="urn:microsoft.com/office/officeart/2005/8/layout/process5"/>
    <dgm:cxn modelId="{6A1B8968-7289-4640-A8C2-42DB5AB42EA2}" type="presOf" srcId="{900C4316-B84A-4B3D-A4D2-726667FFFC63}" destId="{34C0ED5E-F753-4C4D-B0A6-C900B22FADC2}" srcOrd="0" destOrd="0" presId="urn:microsoft.com/office/officeart/2005/8/layout/process5"/>
    <dgm:cxn modelId="{93FD586D-3317-4077-95AA-7E5E0F38E278}" type="presOf" srcId="{6522A3AD-A5DB-458A-94E8-9B033D8EE393}" destId="{DE671104-F06B-4292-89BE-D0E335787077}" srcOrd="0" destOrd="0" presId="urn:microsoft.com/office/officeart/2005/8/layout/process5"/>
    <dgm:cxn modelId="{EA18A76E-B2B2-4D0B-B11B-E3B378BBC611}" srcId="{9AACDC00-D7D6-410B-9238-A7F737DC4DA5}" destId="{145A35BA-49F1-4A4F-9401-43B3986D60F0}" srcOrd="1" destOrd="0" parTransId="{051E0176-07DE-4483-8FCF-825C9C9D2D66}" sibTransId="{6D870DD3-89B7-41C4-A46F-F49054A19C9C}"/>
    <dgm:cxn modelId="{FCF43854-549A-46AA-B3CD-B543BAFEBBD1}" type="presOf" srcId="{A4EA57F6-2792-4461-B1EE-CB36AAD0889A}" destId="{8CCA8698-4B4B-450C-8E33-4A7AC2A6959F}" srcOrd="0" destOrd="0" presId="urn:microsoft.com/office/officeart/2005/8/layout/process5"/>
    <dgm:cxn modelId="{68F5FC7B-172C-41A8-8935-8DCC79AB1564}" type="presOf" srcId="{ED01A547-C342-4FF5-A388-31B6389A939D}" destId="{586F279E-4F80-4DC2-BA55-44C4FFFDB689}" srcOrd="1" destOrd="0" presId="urn:microsoft.com/office/officeart/2005/8/layout/process5"/>
    <dgm:cxn modelId="{810E4198-444A-4F5E-B4AC-A0E916756815}" type="presOf" srcId="{ED01A547-C342-4FF5-A388-31B6389A939D}" destId="{FEC236DB-8BE7-4464-AD85-2B3976A013D1}" srcOrd="0" destOrd="0" presId="urn:microsoft.com/office/officeart/2005/8/layout/process5"/>
    <dgm:cxn modelId="{6CA4F59D-CFDB-46C7-BDEE-219FB80C16CF}" type="presOf" srcId="{5DFAB670-91CA-408A-8953-0AB171AE4580}" destId="{EF2C66F2-D2DA-4CE4-A224-767572A28469}" srcOrd="0" destOrd="0" presId="urn:microsoft.com/office/officeart/2005/8/layout/process5"/>
    <dgm:cxn modelId="{C0C997A6-9E53-41C1-9755-C6173BB0FB81}" type="presOf" srcId="{6B127CC4-13DE-496F-9FC3-7B96CD6CA056}" destId="{23D3750B-16AB-48F7-94D6-A9E2D10D85C5}" srcOrd="1" destOrd="0" presId="urn:microsoft.com/office/officeart/2005/8/layout/process5"/>
    <dgm:cxn modelId="{CA80D4B5-9915-44E0-8A4C-8FCD14A513ED}" type="presOf" srcId="{6B127CC4-13DE-496F-9FC3-7B96CD6CA056}" destId="{91F6C9EE-3449-428C-8808-3A7A6288171F}" srcOrd="0" destOrd="0" presId="urn:microsoft.com/office/officeart/2005/8/layout/process5"/>
    <dgm:cxn modelId="{B60914C0-5528-4CB5-99CE-69B6D58E48A8}" type="presOf" srcId="{6D870DD3-89B7-41C4-A46F-F49054A19C9C}" destId="{CFE18164-46F4-4A94-B904-AFF59DFC3109}" srcOrd="1" destOrd="0" presId="urn:microsoft.com/office/officeart/2005/8/layout/process5"/>
    <dgm:cxn modelId="{FE316BC5-F713-4092-8460-5C35DE9241B0}" srcId="{9AACDC00-D7D6-410B-9238-A7F737DC4DA5}" destId="{565C844B-55E3-4C69-8A43-DEA3C38C32C2}" srcOrd="2" destOrd="0" parTransId="{3EC179F1-DB2F-42A6-917E-88603D4314A7}" sibTransId="{DAECDCEE-3730-47DE-A90A-F93837C27C6C}"/>
    <dgm:cxn modelId="{04B2F0CD-8891-48D8-BC7F-DEAB74F6EC01}" srcId="{9AACDC00-D7D6-410B-9238-A7F737DC4DA5}" destId="{A4EA57F6-2792-4461-B1EE-CB36AAD0889A}" srcOrd="0" destOrd="0" parTransId="{42196851-5798-435A-83DB-42257E214334}" sibTransId="{ED01A547-C342-4FF5-A388-31B6389A939D}"/>
    <dgm:cxn modelId="{F4BD63F7-64E9-4B16-BBC8-448D74D9B46C}" type="presOf" srcId="{9AACDC00-D7D6-410B-9238-A7F737DC4DA5}" destId="{2D4380B0-3D5D-47BA-A75E-AF4D2ED7680D}" srcOrd="0" destOrd="0" presId="urn:microsoft.com/office/officeart/2005/8/layout/process5"/>
    <dgm:cxn modelId="{1C7B25FA-CEC1-45B4-A32E-CA22CF5FD3A6}" srcId="{9AACDC00-D7D6-410B-9238-A7F737DC4DA5}" destId="{5DFAB670-91CA-408A-8953-0AB171AE4580}" srcOrd="4" destOrd="0" parTransId="{E8BF694C-0462-4BED-A357-C4F7EAA1CC07}" sibTransId="{6B127CC4-13DE-496F-9FC3-7B96CD6CA056}"/>
    <dgm:cxn modelId="{693B86F2-D94A-4403-A114-4B021F36865F}" type="presParOf" srcId="{2D4380B0-3D5D-47BA-A75E-AF4D2ED7680D}" destId="{8CCA8698-4B4B-450C-8E33-4A7AC2A6959F}" srcOrd="0" destOrd="0" presId="urn:microsoft.com/office/officeart/2005/8/layout/process5"/>
    <dgm:cxn modelId="{54580AFA-FDB4-4598-9FB8-33826999A38E}" type="presParOf" srcId="{2D4380B0-3D5D-47BA-A75E-AF4D2ED7680D}" destId="{FEC236DB-8BE7-4464-AD85-2B3976A013D1}" srcOrd="1" destOrd="0" presId="urn:microsoft.com/office/officeart/2005/8/layout/process5"/>
    <dgm:cxn modelId="{2D429CFF-9D9F-469A-80A2-678F1A4DE843}" type="presParOf" srcId="{FEC236DB-8BE7-4464-AD85-2B3976A013D1}" destId="{586F279E-4F80-4DC2-BA55-44C4FFFDB689}" srcOrd="0" destOrd="0" presId="urn:microsoft.com/office/officeart/2005/8/layout/process5"/>
    <dgm:cxn modelId="{7048D86A-1BC3-40D2-8D8C-6F7C414E13FB}" type="presParOf" srcId="{2D4380B0-3D5D-47BA-A75E-AF4D2ED7680D}" destId="{9955F8B2-CCC7-4759-91D2-B3F5A4E427E5}" srcOrd="2" destOrd="0" presId="urn:microsoft.com/office/officeart/2005/8/layout/process5"/>
    <dgm:cxn modelId="{8B321CFE-FBC5-4F5E-8583-E8CEDE62C9CC}" type="presParOf" srcId="{2D4380B0-3D5D-47BA-A75E-AF4D2ED7680D}" destId="{4EE98ED4-5E70-4A91-A7BB-FB45A915C700}" srcOrd="3" destOrd="0" presId="urn:microsoft.com/office/officeart/2005/8/layout/process5"/>
    <dgm:cxn modelId="{2F8C5210-D42E-48C2-A005-E1882E7F53C1}" type="presParOf" srcId="{4EE98ED4-5E70-4A91-A7BB-FB45A915C700}" destId="{CFE18164-46F4-4A94-B904-AFF59DFC3109}" srcOrd="0" destOrd="0" presId="urn:microsoft.com/office/officeart/2005/8/layout/process5"/>
    <dgm:cxn modelId="{1C36650E-493E-411D-8FE6-D46711F3533F}" type="presParOf" srcId="{2D4380B0-3D5D-47BA-A75E-AF4D2ED7680D}" destId="{1928796E-1525-4D51-976A-3D26DA14C265}" srcOrd="4" destOrd="0" presId="urn:microsoft.com/office/officeart/2005/8/layout/process5"/>
    <dgm:cxn modelId="{37F92805-B827-430C-AE63-C29B697265A2}" type="presParOf" srcId="{2D4380B0-3D5D-47BA-A75E-AF4D2ED7680D}" destId="{A04BEF68-7861-40C0-AEA0-78723AE07ED5}" srcOrd="5" destOrd="0" presId="urn:microsoft.com/office/officeart/2005/8/layout/process5"/>
    <dgm:cxn modelId="{6A6743E3-41B5-4986-AE26-6CFC7912BDCC}" type="presParOf" srcId="{A04BEF68-7861-40C0-AEA0-78723AE07ED5}" destId="{F537E0A1-D2FE-449E-A4D6-DBDCFADA1A1F}" srcOrd="0" destOrd="0" presId="urn:microsoft.com/office/officeart/2005/8/layout/process5"/>
    <dgm:cxn modelId="{CA01B76E-8DCE-4076-83CF-1AB8F3506BAE}" type="presParOf" srcId="{2D4380B0-3D5D-47BA-A75E-AF4D2ED7680D}" destId="{DE671104-F06B-4292-89BE-D0E335787077}" srcOrd="6" destOrd="0" presId="urn:microsoft.com/office/officeart/2005/8/layout/process5"/>
    <dgm:cxn modelId="{60A1C7D2-066D-4A5B-8D6D-D465A15AAE32}" type="presParOf" srcId="{2D4380B0-3D5D-47BA-A75E-AF4D2ED7680D}" destId="{34C0ED5E-F753-4C4D-B0A6-C900B22FADC2}" srcOrd="7" destOrd="0" presId="urn:microsoft.com/office/officeart/2005/8/layout/process5"/>
    <dgm:cxn modelId="{73387B19-676A-4747-B868-A7A5F5EEDDD6}" type="presParOf" srcId="{34C0ED5E-F753-4C4D-B0A6-C900B22FADC2}" destId="{2ABBA12E-875C-4CEA-A7B3-4476207390FE}" srcOrd="0" destOrd="0" presId="urn:microsoft.com/office/officeart/2005/8/layout/process5"/>
    <dgm:cxn modelId="{E3A8DABC-39B5-4101-A2AB-66CF1DB1E9DE}" type="presParOf" srcId="{2D4380B0-3D5D-47BA-A75E-AF4D2ED7680D}" destId="{EF2C66F2-D2DA-4CE4-A224-767572A28469}" srcOrd="8" destOrd="0" presId="urn:microsoft.com/office/officeart/2005/8/layout/process5"/>
    <dgm:cxn modelId="{06F098E4-19E8-4DA2-A199-98ACB3B80A73}" type="presParOf" srcId="{2D4380B0-3D5D-47BA-A75E-AF4D2ED7680D}" destId="{91F6C9EE-3449-428C-8808-3A7A6288171F}" srcOrd="9" destOrd="0" presId="urn:microsoft.com/office/officeart/2005/8/layout/process5"/>
    <dgm:cxn modelId="{8381B64B-C221-456A-8691-4E7852D0F237}" type="presParOf" srcId="{91F6C9EE-3449-428C-8808-3A7A6288171F}" destId="{23D3750B-16AB-48F7-94D6-A9E2D10D85C5}" srcOrd="0" destOrd="0" presId="urn:microsoft.com/office/officeart/2005/8/layout/process5"/>
    <dgm:cxn modelId="{E62B4248-9894-4321-A364-7DA7F0722365}" type="presParOf" srcId="{2D4380B0-3D5D-47BA-A75E-AF4D2ED7680D}" destId="{E27B911A-1A1E-4ED1-8FAF-D2B297FDBBC2}" srcOrd="10" destOrd="0" presId="urn:microsoft.com/office/officeart/2005/8/layout/process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F2221F4-A9C4-4469-BF6F-23E73B2876FC}" type="doc">
      <dgm:prSet loTypeId="urn:microsoft.com/office/officeart/2005/8/layout/hierarchy2" loCatId="hierarchy" qsTypeId="urn:microsoft.com/office/officeart/2005/8/quickstyle/simple1" qsCatId="simple" csTypeId="urn:microsoft.com/office/officeart/2005/8/colors/accent0_3" csCatId="mainScheme" phldr="1"/>
      <dgm:spPr/>
      <dgm:t>
        <a:bodyPr/>
        <a:lstStyle/>
        <a:p>
          <a:endParaRPr lang="en-US"/>
        </a:p>
      </dgm:t>
    </dgm:pt>
    <dgm:pt modelId="{25484C97-6BBD-4E27-BBB0-19FA4C2740E1}">
      <dgm:prSet phldrT="[Text]" custT="1"/>
      <dgm:spPr/>
      <dgm:t>
        <a:bodyPr/>
        <a:lstStyle/>
        <a:p>
          <a:r>
            <a:rPr lang="en-US" sz="1400">
              <a:latin typeface="Times New Roman" panose="02020603050405020304" pitchFamily="18" charset="0"/>
              <a:cs typeface="Times New Roman" panose="02020603050405020304" pitchFamily="18" charset="0"/>
            </a:rPr>
            <a:t>Business Impact Analysis (BIA)</a:t>
          </a:r>
        </a:p>
      </dgm:t>
    </dgm:pt>
    <dgm:pt modelId="{28C02A76-C880-46E7-8C9E-FC043D95C97D}" type="parTrans" cxnId="{368FF987-E226-4962-805F-464DEA95FB55}">
      <dgm:prSet/>
      <dgm:spPr/>
      <dgm:t>
        <a:bodyPr/>
        <a:lstStyle/>
        <a:p>
          <a:endParaRPr lang="en-US"/>
        </a:p>
      </dgm:t>
    </dgm:pt>
    <dgm:pt modelId="{2EB15CE5-ED4D-4EE0-B03B-41DBF3C66A68}" type="sibTrans" cxnId="{368FF987-E226-4962-805F-464DEA95FB55}">
      <dgm:prSet/>
      <dgm:spPr/>
      <dgm:t>
        <a:bodyPr/>
        <a:lstStyle/>
        <a:p>
          <a:endParaRPr lang="en-US"/>
        </a:p>
      </dgm:t>
    </dgm:pt>
    <dgm:pt modelId="{7E3DD979-7FF6-4D01-9BE0-B4EE7747BA94}">
      <dgm:prSet phldrT="[Text]" custT="1"/>
      <dgm:spPr/>
      <dgm:t>
        <a:bodyPr/>
        <a:lstStyle/>
        <a:p>
          <a:r>
            <a:rPr lang="en-US" sz="1400">
              <a:latin typeface="Times New Roman" panose="02020603050405020304" pitchFamily="18" charset="0"/>
              <a:cs typeface="Times New Roman" panose="02020603050405020304" pitchFamily="18" charset="0"/>
            </a:rPr>
            <a:t>Disaster Recovery Planning</a:t>
          </a:r>
        </a:p>
      </dgm:t>
    </dgm:pt>
    <dgm:pt modelId="{D95AEA43-6D3B-4C94-A22A-035E50BC6B12}" type="parTrans" cxnId="{34C30EA8-4AC2-4D14-BAEB-6E7669BB49D1}">
      <dgm:prSet/>
      <dgm:spPr/>
      <dgm:t>
        <a:bodyPr/>
        <a:lstStyle/>
        <a:p>
          <a:endParaRPr lang="en-US"/>
        </a:p>
      </dgm:t>
    </dgm:pt>
    <dgm:pt modelId="{BA99DDA1-F21D-4F35-97D4-789081BA1EB6}" type="sibTrans" cxnId="{34C30EA8-4AC2-4D14-BAEB-6E7669BB49D1}">
      <dgm:prSet/>
      <dgm:spPr/>
      <dgm:t>
        <a:bodyPr/>
        <a:lstStyle/>
        <a:p>
          <a:endParaRPr lang="en-US"/>
        </a:p>
      </dgm:t>
    </dgm:pt>
    <dgm:pt modelId="{89056367-D705-4E7D-9992-8C4F227DBA26}">
      <dgm:prSet phldrT="[Text]" custT="1"/>
      <dgm:spPr/>
      <dgm:t>
        <a:bodyPr/>
        <a:lstStyle/>
        <a:p>
          <a:r>
            <a:rPr lang="en-US" sz="1400">
              <a:latin typeface="Times New Roman" panose="02020603050405020304" pitchFamily="18" charset="0"/>
              <a:cs typeface="Times New Roman" panose="02020603050405020304" pitchFamily="18" charset="0"/>
            </a:rPr>
            <a:t>Cloud Backup</a:t>
          </a:r>
        </a:p>
      </dgm:t>
    </dgm:pt>
    <dgm:pt modelId="{BEFF2AF6-487A-4A37-9643-098843C45177}" type="parTrans" cxnId="{90DF693E-DCE8-4500-A7AE-5E8F972FB5E5}">
      <dgm:prSet/>
      <dgm:spPr/>
      <dgm:t>
        <a:bodyPr/>
        <a:lstStyle/>
        <a:p>
          <a:endParaRPr lang="en-US"/>
        </a:p>
      </dgm:t>
    </dgm:pt>
    <dgm:pt modelId="{4FB4F7A6-F850-432A-98E8-DFBB0D05B70D}" type="sibTrans" cxnId="{90DF693E-DCE8-4500-A7AE-5E8F972FB5E5}">
      <dgm:prSet/>
      <dgm:spPr/>
      <dgm:t>
        <a:bodyPr/>
        <a:lstStyle/>
        <a:p>
          <a:endParaRPr lang="en-US"/>
        </a:p>
      </dgm:t>
    </dgm:pt>
    <dgm:pt modelId="{50325E75-B7DF-473C-B303-78DF2669266C}">
      <dgm:prSet phldrT="[Text]" custT="1"/>
      <dgm:spPr/>
      <dgm:t>
        <a:bodyPr/>
        <a:lstStyle/>
        <a:p>
          <a:r>
            <a:rPr lang="en-US" sz="1400">
              <a:latin typeface="Times New Roman" panose="02020603050405020304" pitchFamily="18" charset="0"/>
              <a:cs typeface="Times New Roman" panose="02020603050405020304" pitchFamily="18" charset="0"/>
            </a:rPr>
            <a:t>RTO &amp; RPO</a:t>
          </a:r>
        </a:p>
      </dgm:t>
    </dgm:pt>
    <dgm:pt modelId="{1D705BCC-4CF3-4111-BD8F-DB2F4B780563}" type="parTrans" cxnId="{308B7705-A8A8-4486-A308-4AC2ECE917E7}">
      <dgm:prSet/>
      <dgm:spPr/>
      <dgm:t>
        <a:bodyPr/>
        <a:lstStyle/>
        <a:p>
          <a:endParaRPr lang="en-US"/>
        </a:p>
      </dgm:t>
    </dgm:pt>
    <dgm:pt modelId="{4B4AD908-AED0-44E1-B464-CF5CBBDD9C7B}" type="sibTrans" cxnId="{308B7705-A8A8-4486-A308-4AC2ECE917E7}">
      <dgm:prSet/>
      <dgm:spPr/>
      <dgm:t>
        <a:bodyPr/>
        <a:lstStyle/>
        <a:p>
          <a:endParaRPr lang="en-US"/>
        </a:p>
      </dgm:t>
    </dgm:pt>
    <dgm:pt modelId="{7E8C195E-47CD-4CE0-8CD2-FC033DFC8F34}">
      <dgm:prSet phldrT="[Text]" custT="1"/>
      <dgm:spPr/>
      <dgm:t>
        <a:bodyPr/>
        <a:lstStyle/>
        <a:p>
          <a:r>
            <a:rPr lang="en-US" sz="1400">
              <a:latin typeface="Times New Roman" panose="02020603050405020304" pitchFamily="18" charset="0"/>
              <a:cs typeface="Times New Roman" panose="02020603050405020304" pitchFamily="18" charset="0"/>
            </a:rPr>
            <a:t>Regular Testing</a:t>
          </a:r>
        </a:p>
      </dgm:t>
    </dgm:pt>
    <dgm:pt modelId="{321E9879-04A4-4FEA-9DF4-BAB53E493280}" type="parTrans" cxnId="{85294883-2102-4961-BCCF-FB2136532663}">
      <dgm:prSet/>
      <dgm:spPr/>
      <dgm:t>
        <a:bodyPr/>
        <a:lstStyle/>
        <a:p>
          <a:endParaRPr lang="en-US"/>
        </a:p>
      </dgm:t>
    </dgm:pt>
    <dgm:pt modelId="{89383783-2679-44F6-AD83-8DD3C39CA187}" type="sibTrans" cxnId="{85294883-2102-4961-BCCF-FB2136532663}">
      <dgm:prSet/>
      <dgm:spPr/>
      <dgm:t>
        <a:bodyPr/>
        <a:lstStyle/>
        <a:p>
          <a:endParaRPr lang="en-US"/>
        </a:p>
      </dgm:t>
    </dgm:pt>
    <dgm:pt modelId="{C5F58658-1B05-4076-990E-71EDAC4D0DB5}">
      <dgm:prSet phldrT="[Text]" custT="1"/>
      <dgm:spPr/>
      <dgm:t>
        <a:bodyPr/>
        <a:lstStyle/>
        <a:p>
          <a:r>
            <a:rPr lang="en-US" sz="1400">
              <a:latin typeface="Times New Roman" panose="02020603050405020304" pitchFamily="18" charset="0"/>
              <a:cs typeface="Times New Roman" panose="02020603050405020304" pitchFamily="18" charset="0"/>
            </a:rPr>
            <a:t>Continuous Improvement</a:t>
          </a:r>
        </a:p>
      </dgm:t>
    </dgm:pt>
    <dgm:pt modelId="{E97175CD-518C-458B-982D-1EE93208797A}" type="parTrans" cxnId="{0C373AAB-3089-471D-BCA6-6775676AF659}">
      <dgm:prSet/>
      <dgm:spPr/>
      <dgm:t>
        <a:bodyPr/>
        <a:lstStyle/>
        <a:p>
          <a:endParaRPr lang="en-US"/>
        </a:p>
      </dgm:t>
    </dgm:pt>
    <dgm:pt modelId="{5C3C6641-6576-48F3-81F9-0DFCA3C9A695}" type="sibTrans" cxnId="{0C373AAB-3089-471D-BCA6-6775676AF659}">
      <dgm:prSet/>
      <dgm:spPr/>
      <dgm:t>
        <a:bodyPr/>
        <a:lstStyle/>
        <a:p>
          <a:endParaRPr lang="en-US"/>
        </a:p>
      </dgm:t>
    </dgm:pt>
    <dgm:pt modelId="{EE49CF44-6598-43D0-8928-7DDC8C637525}" type="pres">
      <dgm:prSet presAssocID="{1F2221F4-A9C4-4469-BF6F-23E73B2876FC}" presName="diagram" presStyleCnt="0">
        <dgm:presLayoutVars>
          <dgm:chPref val="1"/>
          <dgm:dir/>
          <dgm:animOne val="branch"/>
          <dgm:animLvl val="lvl"/>
          <dgm:resizeHandles val="exact"/>
        </dgm:presLayoutVars>
      </dgm:prSet>
      <dgm:spPr/>
    </dgm:pt>
    <dgm:pt modelId="{F0D19468-94D9-4F23-9444-7C3E0FDBAC74}" type="pres">
      <dgm:prSet presAssocID="{25484C97-6BBD-4E27-BBB0-19FA4C2740E1}" presName="root1" presStyleCnt="0"/>
      <dgm:spPr/>
    </dgm:pt>
    <dgm:pt modelId="{76030A1A-E6F2-46A2-BDA0-BCA8DC75BECD}" type="pres">
      <dgm:prSet presAssocID="{25484C97-6BBD-4E27-BBB0-19FA4C2740E1}" presName="LevelOneTextNode" presStyleLbl="node0" presStyleIdx="0" presStyleCnt="1" custScaleY="157488">
        <dgm:presLayoutVars>
          <dgm:chPref val="3"/>
        </dgm:presLayoutVars>
      </dgm:prSet>
      <dgm:spPr/>
    </dgm:pt>
    <dgm:pt modelId="{75A262F1-4ED7-4323-893B-683AE8213335}" type="pres">
      <dgm:prSet presAssocID="{25484C97-6BBD-4E27-BBB0-19FA4C2740E1}" presName="level2hierChild" presStyleCnt="0"/>
      <dgm:spPr/>
    </dgm:pt>
    <dgm:pt modelId="{DD689E59-A649-4435-BE26-1860D890E04A}" type="pres">
      <dgm:prSet presAssocID="{D95AEA43-6D3B-4C94-A22A-035E50BC6B12}" presName="conn2-1" presStyleLbl="parChTrans1D2" presStyleIdx="0" presStyleCnt="5"/>
      <dgm:spPr/>
    </dgm:pt>
    <dgm:pt modelId="{1D9189A1-94DD-4B87-96CB-D4E44D444F31}" type="pres">
      <dgm:prSet presAssocID="{D95AEA43-6D3B-4C94-A22A-035E50BC6B12}" presName="connTx" presStyleLbl="parChTrans1D2" presStyleIdx="0" presStyleCnt="5"/>
      <dgm:spPr/>
    </dgm:pt>
    <dgm:pt modelId="{0B0E333F-945B-4198-A939-01A039F5766A}" type="pres">
      <dgm:prSet presAssocID="{7E3DD979-7FF6-4D01-9BE0-B4EE7747BA94}" presName="root2" presStyleCnt="0"/>
      <dgm:spPr/>
    </dgm:pt>
    <dgm:pt modelId="{CCE88549-3D53-45D0-A117-837FAE60C872}" type="pres">
      <dgm:prSet presAssocID="{7E3DD979-7FF6-4D01-9BE0-B4EE7747BA94}" presName="LevelTwoTextNode" presStyleLbl="node2" presStyleIdx="0" presStyleCnt="5">
        <dgm:presLayoutVars>
          <dgm:chPref val="3"/>
        </dgm:presLayoutVars>
      </dgm:prSet>
      <dgm:spPr/>
    </dgm:pt>
    <dgm:pt modelId="{1E4864F2-0F58-4D16-8368-835C61CF8263}" type="pres">
      <dgm:prSet presAssocID="{7E3DD979-7FF6-4D01-9BE0-B4EE7747BA94}" presName="level3hierChild" presStyleCnt="0"/>
      <dgm:spPr/>
    </dgm:pt>
    <dgm:pt modelId="{13631BCF-5CBA-463F-B444-3CD5B3EDD22A}" type="pres">
      <dgm:prSet presAssocID="{BEFF2AF6-487A-4A37-9643-098843C45177}" presName="conn2-1" presStyleLbl="parChTrans1D2" presStyleIdx="1" presStyleCnt="5"/>
      <dgm:spPr/>
    </dgm:pt>
    <dgm:pt modelId="{6C6C5F4E-E705-4479-8B24-CECB84D539D5}" type="pres">
      <dgm:prSet presAssocID="{BEFF2AF6-487A-4A37-9643-098843C45177}" presName="connTx" presStyleLbl="parChTrans1D2" presStyleIdx="1" presStyleCnt="5"/>
      <dgm:spPr/>
    </dgm:pt>
    <dgm:pt modelId="{2A5D8C67-FF37-4725-8D90-604B4632E262}" type="pres">
      <dgm:prSet presAssocID="{89056367-D705-4E7D-9992-8C4F227DBA26}" presName="root2" presStyleCnt="0"/>
      <dgm:spPr/>
    </dgm:pt>
    <dgm:pt modelId="{0BB84ED2-46BD-4F3C-826C-A56CBDF40247}" type="pres">
      <dgm:prSet presAssocID="{89056367-D705-4E7D-9992-8C4F227DBA26}" presName="LevelTwoTextNode" presStyleLbl="node2" presStyleIdx="1" presStyleCnt="5">
        <dgm:presLayoutVars>
          <dgm:chPref val="3"/>
        </dgm:presLayoutVars>
      </dgm:prSet>
      <dgm:spPr/>
    </dgm:pt>
    <dgm:pt modelId="{D78600E1-6E4D-4C07-BD6E-41DB9F6C5100}" type="pres">
      <dgm:prSet presAssocID="{89056367-D705-4E7D-9992-8C4F227DBA26}" presName="level3hierChild" presStyleCnt="0"/>
      <dgm:spPr/>
    </dgm:pt>
    <dgm:pt modelId="{96C1A7B6-C7A6-4E14-9D33-E41615D9BB6F}" type="pres">
      <dgm:prSet presAssocID="{1D705BCC-4CF3-4111-BD8F-DB2F4B780563}" presName="conn2-1" presStyleLbl="parChTrans1D2" presStyleIdx="2" presStyleCnt="5"/>
      <dgm:spPr/>
    </dgm:pt>
    <dgm:pt modelId="{8814F27C-35A5-4040-8C48-F50043AD9E29}" type="pres">
      <dgm:prSet presAssocID="{1D705BCC-4CF3-4111-BD8F-DB2F4B780563}" presName="connTx" presStyleLbl="parChTrans1D2" presStyleIdx="2" presStyleCnt="5"/>
      <dgm:spPr/>
    </dgm:pt>
    <dgm:pt modelId="{0E567AF5-52BD-435B-861C-63ECB5C932E9}" type="pres">
      <dgm:prSet presAssocID="{50325E75-B7DF-473C-B303-78DF2669266C}" presName="root2" presStyleCnt="0"/>
      <dgm:spPr/>
    </dgm:pt>
    <dgm:pt modelId="{76D247DE-FF76-4922-A8F2-4EAD08C33F28}" type="pres">
      <dgm:prSet presAssocID="{50325E75-B7DF-473C-B303-78DF2669266C}" presName="LevelTwoTextNode" presStyleLbl="node2" presStyleIdx="2" presStyleCnt="5">
        <dgm:presLayoutVars>
          <dgm:chPref val="3"/>
        </dgm:presLayoutVars>
      </dgm:prSet>
      <dgm:spPr/>
    </dgm:pt>
    <dgm:pt modelId="{3F2CB878-A34A-4817-A1A9-4B6F1D5CFA39}" type="pres">
      <dgm:prSet presAssocID="{50325E75-B7DF-473C-B303-78DF2669266C}" presName="level3hierChild" presStyleCnt="0"/>
      <dgm:spPr/>
    </dgm:pt>
    <dgm:pt modelId="{39FF4D58-00F1-46EC-B738-73C68C8B776E}" type="pres">
      <dgm:prSet presAssocID="{321E9879-04A4-4FEA-9DF4-BAB53E493280}" presName="conn2-1" presStyleLbl="parChTrans1D2" presStyleIdx="3" presStyleCnt="5"/>
      <dgm:spPr/>
    </dgm:pt>
    <dgm:pt modelId="{C642E0B0-1A95-4E21-890E-35893554278D}" type="pres">
      <dgm:prSet presAssocID="{321E9879-04A4-4FEA-9DF4-BAB53E493280}" presName="connTx" presStyleLbl="parChTrans1D2" presStyleIdx="3" presStyleCnt="5"/>
      <dgm:spPr/>
    </dgm:pt>
    <dgm:pt modelId="{1D5503AD-69B7-4E2B-807E-6892F3A7E48C}" type="pres">
      <dgm:prSet presAssocID="{7E8C195E-47CD-4CE0-8CD2-FC033DFC8F34}" presName="root2" presStyleCnt="0"/>
      <dgm:spPr/>
    </dgm:pt>
    <dgm:pt modelId="{3D4A902C-431C-40EA-A7D9-7EB755B037D1}" type="pres">
      <dgm:prSet presAssocID="{7E8C195E-47CD-4CE0-8CD2-FC033DFC8F34}" presName="LevelTwoTextNode" presStyleLbl="node2" presStyleIdx="3" presStyleCnt="5">
        <dgm:presLayoutVars>
          <dgm:chPref val="3"/>
        </dgm:presLayoutVars>
      </dgm:prSet>
      <dgm:spPr/>
    </dgm:pt>
    <dgm:pt modelId="{EBCF7AD6-A29B-4BD2-9EE2-68EBA87E4694}" type="pres">
      <dgm:prSet presAssocID="{7E8C195E-47CD-4CE0-8CD2-FC033DFC8F34}" presName="level3hierChild" presStyleCnt="0"/>
      <dgm:spPr/>
    </dgm:pt>
    <dgm:pt modelId="{8893E6DC-5068-435A-AD37-35C0D43F32F6}" type="pres">
      <dgm:prSet presAssocID="{E97175CD-518C-458B-982D-1EE93208797A}" presName="conn2-1" presStyleLbl="parChTrans1D2" presStyleIdx="4" presStyleCnt="5"/>
      <dgm:spPr/>
    </dgm:pt>
    <dgm:pt modelId="{186573EC-BC1E-453A-AA54-897295F17EEA}" type="pres">
      <dgm:prSet presAssocID="{E97175CD-518C-458B-982D-1EE93208797A}" presName="connTx" presStyleLbl="parChTrans1D2" presStyleIdx="4" presStyleCnt="5"/>
      <dgm:spPr/>
    </dgm:pt>
    <dgm:pt modelId="{35A8E401-71D4-4560-B0AE-A75C828A91BB}" type="pres">
      <dgm:prSet presAssocID="{C5F58658-1B05-4076-990E-71EDAC4D0DB5}" presName="root2" presStyleCnt="0"/>
      <dgm:spPr/>
    </dgm:pt>
    <dgm:pt modelId="{8A6FBC89-3C8A-4084-ACDA-57A3BC49C8D3}" type="pres">
      <dgm:prSet presAssocID="{C5F58658-1B05-4076-990E-71EDAC4D0DB5}" presName="LevelTwoTextNode" presStyleLbl="node2" presStyleIdx="4" presStyleCnt="5">
        <dgm:presLayoutVars>
          <dgm:chPref val="3"/>
        </dgm:presLayoutVars>
      </dgm:prSet>
      <dgm:spPr/>
    </dgm:pt>
    <dgm:pt modelId="{9E89FDB3-9830-457A-8D59-EC237930FF00}" type="pres">
      <dgm:prSet presAssocID="{C5F58658-1B05-4076-990E-71EDAC4D0DB5}" presName="level3hierChild" presStyleCnt="0"/>
      <dgm:spPr/>
    </dgm:pt>
  </dgm:ptLst>
  <dgm:cxnLst>
    <dgm:cxn modelId="{F6F5FA01-BFF5-47C1-9ABE-4C48B914AEE4}" type="presOf" srcId="{E97175CD-518C-458B-982D-1EE93208797A}" destId="{8893E6DC-5068-435A-AD37-35C0D43F32F6}" srcOrd="0" destOrd="0" presId="urn:microsoft.com/office/officeart/2005/8/layout/hierarchy2"/>
    <dgm:cxn modelId="{308B7705-A8A8-4486-A308-4AC2ECE917E7}" srcId="{25484C97-6BBD-4E27-BBB0-19FA4C2740E1}" destId="{50325E75-B7DF-473C-B303-78DF2669266C}" srcOrd="2" destOrd="0" parTransId="{1D705BCC-4CF3-4111-BD8F-DB2F4B780563}" sibTransId="{4B4AD908-AED0-44E1-B464-CF5CBBDD9C7B}"/>
    <dgm:cxn modelId="{4A3F7A08-89F2-45DD-8B55-5879CADC8E58}" type="presOf" srcId="{1D705BCC-4CF3-4111-BD8F-DB2F4B780563}" destId="{96C1A7B6-C7A6-4E14-9D33-E41615D9BB6F}" srcOrd="0" destOrd="0" presId="urn:microsoft.com/office/officeart/2005/8/layout/hierarchy2"/>
    <dgm:cxn modelId="{8D196511-AC04-44D3-919F-FCB05D92F10E}" type="presOf" srcId="{89056367-D705-4E7D-9992-8C4F227DBA26}" destId="{0BB84ED2-46BD-4F3C-826C-A56CBDF40247}" srcOrd="0" destOrd="0" presId="urn:microsoft.com/office/officeart/2005/8/layout/hierarchy2"/>
    <dgm:cxn modelId="{AEAF4A28-C569-4306-9442-3CF6073C4B57}" type="presOf" srcId="{BEFF2AF6-487A-4A37-9643-098843C45177}" destId="{13631BCF-5CBA-463F-B444-3CD5B3EDD22A}" srcOrd="0" destOrd="0" presId="urn:microsoft.com/office/officeart/2005/8/layout/hierarchy2"/>
    <dgm:cxn modelId="{2D6A9233-C831-4F5A-AF8D-728C72870EAA}" type="presOf" srcId="{1D705BCC-4CF3-4111-BD8F-DB2F4B780563}" destId="{8814F27C-35A5-4040-8C48-F50043AD9E29}" srcOrd="1" destOrd="0" presId="urn:microsoft.com/office/officeart/2005/8/layout/hierarchy2"/>
    <dgm:cxn modelId="{16C90335-A09A-41A4-99D2-304ABB417F41}" type="presOf" srcId="{321E9879-04A4-4FEA-9DF4-BAB53E493280}" destId="{39FF4D58-00F1-46EC-B738-73C68C8B776E}" srcOrd="0" destOrd="0" presId="urn:microsoft.com/office/officeart/2005/8/layout/hierarchy2"/>
    <dgm:cxn modelId="{DDE0A037-3842-4F15-A90F-2D644F8D6FC8}" type="presOf" srcId="{C5F58658-1B05-4076-990E-71EDAC4D0DB5}" destId="{8A6FBC89-3C8A-4084-ACDA-57A3BC49C8D3}" srcOrd="0" destOrd="0" presId="urn:microsoft.com/office/officeart/2005/8/layout/hierarchy2"/>
    <dgm:cxn modelId="{90DF693E-DCE8-4500-A7AE-5E8F972FB5E5}" srcId="{25484C97-6BBD-4E27-BBB0-19FA4C2740E1}" destId="{89056367-D705-4E7D-9992-8C4F227DBA26}" srcOrd="1" destOrd="0" parTransId="{BEFF2AF6-487A-4A37-9643-098843C45177}" sibTransId="{4FB4F7A6-F850-432A-98E8-DFBB0D05B70D}"/>
    <dgm:cxn modelId="{2A112845-5760-4986-91C9-24788BBF22E2}" type="presOf" srcId="{D95AEA43-6D3B-4C94-A22A-035E50BC6B12}" destId="{DD689E59-A649-4435-BE26-1860D890E04A}" srcOrd="0" destOrd="0" presId="urn:microsoft.com/office/officeart/2005/8/layout/hierarchy2"/>
    <dgm:cxn modelId="{04F15F7A-96DD-4F62-BF7D-BB16EC7ADD1F}" type="presOf" srcId="{7E8C195E-47CD-4CE0-8CD2-FC033DFC8F34}" destId="{3D4A902C-431C-40EA-A7D9-7EB755B037D1}" srcOrd="0" destOrd="0" presId="urn:microsoft.com/office/officeart/2005/8/layout/hierarchy2"/>
    <dgm:cxn modelId="{B0287B7F-DFB7-4800-88D3-18888D0D75EF}" type="presOf" srcId="{25484C97-6BBD-4E27-BBB0-19FA4C2740E1}" destId="{76030A1A-E6F2-46A2-BDA0-BCA8DC75BECD}" srcOrd="0" destOrd="0" presId="urn:microsoft.com/office/officeart/2005/8/layout/hierarchy2"/>
    <dgm:cxn modelId="{85294883-2102-4961-BCCF-FB2136532663}" srcId="{25484C97-6BBD-4E27-BBB0-19FA4C2740E1}" destId="{7E8C195E-47CD-4CE0-8CD2-FC033DFC8F34}" srcOrd="3" destOrd="0" parTransId="{321E9879-04A4-4FEA-9DF4-BAB53E493280}" sibTransId="{89383783-2679-44F6-AD83-8DD3C39CA187}"/>
    <dgm:cxn modelId="{368FF987-E226-4962-805F-464DEA95FB55}" srcId="{1F2221F4-A9C4-4469-BF6F-23E73B2876FC}" destId="{25484C97-6BBD-4E27-BBB0-19FA4C2740E1}" srcOrd="0" destOrd="0" parTransId="{28C02A76-C880-46E7-8C9E-FC043D95C97D}" sibTransId="{2EB15CE5-ED4D-4EE0-B03B-41DBF3C66A68}"/>
    <dgm:cxn modelId="{4680529E-9E5C-4730-B57B-49E10A3C879D}" type="presOf" srcId="{7E3DD979-7FF6-4D01-9BE0-B4EE7747BA94}" destId="{CCE88549-3D53-45D0-A117-837FAE60C872}" srcOrd="0" destOrd="0" presId="urn:microsoft.com/office/officeart/2005/8/layout/hierarchy2"/>
    <dgm:cxn modelId="{34C30EA8-4AC2-4D14-BAEB-6E7669BB49D1}" srcId="{25484C97-6BBD-4E27-BBB0-19FA4C2740E1}" destId="{7E3DD979-7FF6-4D01-9BE0-B4EE7747BA94}" srcOrd="0" destOrd="0" parTransId="{D95AEA43-6D3B-4C94-A22A-035E50BC6B12}" sibTransId="{BA99DDA1-F21D-4F35-97D4-789081BA1EB6}"/>
    <dgm:cxn modelId="{0C373AAB-3089-471D-BCA6-6775676AF659}" srcId="{25484C97-6BBD-4E27-BBB0-19FA4C2740E1}" destId="{C5F58658-1B05-4076-990E-71EDAC4D0DB5}" srcOrd="4" destOrd="0" parTransId="{E97175CD-518C-458B-982D-1EE93208797A}" sibTransId="{5C3C6641-6576-48F3-81F9-0DFCA3C9A695}"/>
    <dgm:cxn modelId="{FF65C9B6-9D06-494B-8C5F-2DA6EFA683F4}" type="presOf" srcId="{D95AEA43-6D3B-4C94-A22A-035E50BC6B12}" destId="{1D9189A1-94DD-4B87-96CB-D4E44D444F31}" srcOrd="1" destOrd="0" presId="urn:microsoft.com/office/officeart/2005/8/layout/hierarchy2"/>
    <dgm:cxn modelId="{1D3E4FBD-D017-4F5B-87E0-14D14827E1A0}" type="presOf" srcId="{E97175CD-518C-458B-982D-1EE93208797A}" destId="{186573EC-BC1E-453A-AA54-897295F17EEA}" srcOrd="1" destOrd="0" presId="urn:microsoft.com/office/officeart/2005/8/layout/hierarchy2"/>
    <dgm:cxn modelId="{FB2B9CC5-8203-487D-8435-1B37C5430060}" type="presOf" srcId="{321E9879-04A4-4FEA-9DF4-BAB53E493280}" destId="{C642E0B0-1A95-4E21-890E-35893554278D}" srcOrd="1" destOrd="0" presId="urn:microsoft.com/office/officeart/2005/8/layout/hierarchy2"/>
    <dgm:cxn modelId="{3549E9CC-1DD3-427F-8A11-014EC017E3BE}" type="presOf" srcId="{50325E75-B7DF-473C-B303-78DF2669266C}" destId="{76D247DE-FF76-4922-A8F2-4EAD08C33F28}" srcOrd="0" destOrd="0" presId="urn:microsoft.com/office/officeart/2005/8/layout/hierarchy2"/>
    <dgm:cxn modelId="{311FADE9-43D8-4FAF-B4F3-C71DB3678292}" type="presOf" srcId="{1F2221F4-A9C4-4469-BF6F-23E73B2876FC}" destId="{EE49CF44-6598-43D0-8928-7DDC8C637525}" srcOrd="0" destOrd="0" presId="urn:microsoft.com/office/officeart/2005/8/layout/hierarchy2"/>
    <dgm:cxn modelId="{FF574CF8-1281-46CB-AF9D-9B444E033676}" type="presOf" srcId="{BEFF2AF6-487A-4A37-9643-098843C45177}" destId="{6C6C5F4E-E705-4479-8B24-CECB84D539D5}" srcOrd="1" destOrd="0" presId="urn:microsoft.com/office/officeart/2005/8/layout/hierarchy2"/>
    <dgm:cxn modelId="{BA663EEB-7084-4566-9707-8501D2B207FE}" type="presParOf" srcId="{EE49CF44-6598-43D0-8928-7DDC8C637525}" destId="{F0D19468-94D9-4F23-9444-7C3E0FDBAC74}" srcOrd="0" destOrd="0" presId="urn:microsoft.com/office/officeart/2005/8/layout/hierarchy2"/>
    <dgm:cxn modelId="{FD872059-F80D-4A3E-926A-9C2515077252}" type="presParOf" srcId="{F0D19468-94D9-4F23-9444-7C3E0FDBAC74}" destId="{76030A1A-E6F2-46A2-BDA0-BCA8DC75BECD}" srcOrd="0" destOrd="0" presId="urn:microsoft.com/office/officeart/2005/8/layout/hierarchy2"/>
    <dgm:cxn modelId="{CEC4B2F6-9C6E-46B5-B0C5-252993E82A13}" type="presParOf" srcId="{F0D19468-94D9-4F23-9444-7C3E0FDBAC74}" destId="{75A262F1-4ED7-4323-893B-683AE8213335}" srcOrd="1" destOrd="0" presId="urn:microsoft.com/office/officeart/2005/8/layout/hierarchy2"/>
    <dgm:cxn modelId="{CC262CAF-6E11-475E-B664-EF72FC050BE9}" type="presParOf" srcId="{75A262F1-4ED7-4323-893B-683AE8213335}" destId="{DD689E59-A649-4435-BE26-1860D890E04A}" srcOrd="0" destOrd="0" presId="urn:microsoft.com/office/officeart/2005/8/layout/hierarchy2"/>
    <dgm:cxn modelId="{A50058C0-2764-479E-AE65-E936A504D0CF}" type="presParOf" srcId="{DD689E59-A649-4435-BE26-1860D890E04A}" destId="{1D9189A1-94DD-4B87-96CB-D4E44D444F31}" srcOrd="0" destOrd="0" presId="urn:microsoft.com/office/officeart/2005/8/layout/hierarchy2"/>
    <dgm:cxn modelId="{F6E55734-611A-471E-BDEF-C5444D41C274}" type="presParOf" srcId="{75A262F1-4ED7-4323-893B-683AE8213335}" destId="{0B0E333F-945B-4198-A939-01A039F5766A}" srcOrd="1" destOrd="0" presId="urn:microsoft.com/office/officeart/2005/8/layout/hierarchy2"/>
    <dgm:cxn modelId="{37A34B4F-63C7-4565-8AA6-CA37578B74FA}" type="presParOf" srcId="{0B0E333F-945B-4198-A939-01A039F5766A}" destId="{CCE88549-3D53-45D0-A117-837FAE60C872}" srcOrd="0" destOrd="0" presId="urn:microsoft.com/office/officeart/2005/8/layout/hierarchy2"/>
    <dgm:cxn modelId="{3B3FDAEC-92CB-4BF1-9C74-D11D90E150C8}" type="presParOf" srcId="{0B0E333F-945B-4198-A939-01A039F5766A}" destId="{1E4864F2-0F58-4D16-8368-835C61CF8263}" srcOrd="1" destOrd="0" presId="urn:microsoft.com/office/officeart/2005/8/layout/hierarchy2"/>
    <dgm:cxn modelId="{B4CC3CAF-292E-406F-99DA-671A49920545}" type="presParOf" srcId="{75A262F1-4ED7-4323-893B-683AE8213335}" destId="{13631BCF-5CBA-463F-B444-3CD5B3EDD22A}" srcOrd="2" destOrd="0" presId="urn:microsoft.com/office/officeart/2005/8/layout/hierarchy2"/>
    <dgm:cxn modelId="{3293D54A-C019-48FF-BF63-A282B75EB8D1}" type="presParOf" srcId="{13631BCF-5CBA-463F-B444-3CD5B3EDD22A}" destId="{6C6C5F4E-E705-4479-8B24-CECB84D539D5}" srcOrd="0" destOrd="0" presId="urn:microsoft.com/office/officeart/2005/8/layout/hierarchy2"/>
    <dgm:cxn modelId="{A7CB0D45-E2E1-4BC9-A1CE-4D211328CAB3}" type="presParOf" srcId="{75A262F1-4ED7-4323-893B-683AE8213335}" destId="{2A5D8C67-FF37-4725-8D90-604B4632E262}" srcOrd="3" destOrd="0" presId="urn:microsoft.com/office/officeart/2005/8/layout/hierarchy2"/>
    <dgm:cxn modelId="{C88FD16B-AC92-43D7-AF39-8127F6263256}" type="presParOf" srcId="{2A5D8C67-FF37-4725-8D90-604B4632E262}" destId="{0BB84ED2-46BD-4F3C-826C-A56CBDF40247}" srcOrd="0" destOrd="0" presId="urn:microsoft.com/office/officeart/2005/8/layout/hierarchy2"/>
    <dgm:cxn modelId="{4A245E88-2A3C-439F-BAE4-E4600DD2E11D}" type="presParOf" srcId="{2A5D8C67-FF37-4725-8D90-604B4632E262}" destId="{D78600E1-6E4D-4C07-BD6E-41DB9F6C5100}" srcOrd="1" destOrd="0" presId="urn:microsoft.com/office/officeart/2005/8/layout/hierarchy2"/>
    <dgm:cxn modelId="{041AD4A5-BE57-49B1-B6BB-E9F0CAD4363C}" type="presParOf" srcId="{75A262F1-4ED7-4323-893B-683AE8213335}" destId="{96C1A7B6-C7A6-4E14-9D33-E41615D9BB6F}" srcOrd="4" destOrd="0" presId="urn:microsoft.com/office/officeart/2005/8/layout/hierarchy2"/>
    <dgm:cxn modelId="{D2F4CB84-1F85-4F82-8845-122A4579F283}" type="presParOf" srcId="{96C1A7B6-C7A6-4E14-9D33-E41615D9BB6F}" destId="{8814F27C-35A5-4040-8C48-F50043AD9E29}" srcOrd="0" destOrd="0" presId="urn:microsoft.com/office/officeart/2005/8/layout/hierarchy2"/>
    <dgm:cxn modelId="{8EFB13E5-F623-4266-BCF6-9192A0C38299}" type="presParOf" srcId="{75A262F1-4ED7-4323-893B-683AE8213335}" destId="{0E567AF5-52BD-435B-861C-63ECB5C932E9}" srcOrd="5" destOrd="0" presId="urn:microsoft.com/office/officeart/2005/8/layout/hierarchy2"/>
    <dgm:cxn modelId="{AEE3A392-5BEE-42E3-AA20-638CA5B7998B}" type="presParOf" srcId="{0E567AF5-52BD-435B-861C-63ECB5C932E9}" destId="{76D247DE-FF76-4922-A8F2-4EAD08C33F28}" srcOrd="0" destOrd="0" presId="urn:microsoft.com/office/officeart/2005/8/layout/hierarchy2"/>
    <dgm:cxn modelId="{A35DC08A-119A-447D-A833-24F8C7C60CDC}" type="presParOf" srcId="{0E567AF5-52BD-435B-861C-63ECB5C932E9}" destId="{3F2CB878-A34A-4817-A1A9-4B6F1D5CFA39}" srcOrd="1" destOrd="0" presId="urn:microsoft.com/office/officeart/2005/8/layout/hierarchy2"/>
    <dgm:cxn modelId="{FDADEC56-87C5-494F-9FD4-B6759F2D0A1D}" type="presParOf" srcId="{75A262F1-4ED7-4323-893B-683AE8213335}" destId="{39FF4D58-00F1-46EC-B738-73C68C8B776E}" srcOrd="6" destOrd="0" presId="urn:microsoft.com/office/officeart/2005/8/layout/hierarchy2"/>
    <dgm:cxn modelId="{80265397-130F-44E1-A0CE-84428C5ACA0C}" type="presParOf" srcId="{39FF4D58-00F1-46EC-B738-73C68C8B776E}" destId="{C642E0B0-1A95-4E21-890E-35893554278D}" srcOrd="0" destOrd="0" presId="urn:microsoft.com/office/officeart/2005/8/layout/hierarchy2"/>
    <dgm:cxn modelId="{E5D7A5AD-FF44-487B-B52C-0B024F08815F}" type="presParOf" srcId="{75A262F1-4ED7-4323-893B-683AE8213335}" destId="{1D5503AD-69B7-4E2B-807E-6892F3A7E48C}" srcOrd="7" destOrd="0" presId="urn:microsoft.com/office/officeart/2005/8/layout/hierarchy2"/>
    <dgm:cxn modelId="{BF4692DB-EFE1-4E0F-AC09-64C047CACF75}" type="presParOf" srcId="{1D5503AD-69B7-4E2B-807E-6892F3A7E48C}" destId="{3D4A902C-431C-40EA-A7D9-7EB755B037D1}" srcOrd="0" destOrd="0" presId="urn:microsoft.com/office/officeart/2005/8/layout/hierarchy2"/>
    <dgm:cxn modelId="{F3B5B3CA-0EE2-4B53-A775-0F7007D6A823}" type="presParOf" srcId="{1D5503AD-69B7-4E2B-807E-6892F3A7E48C}" destId="{EBCF7AD6-A29B-4BD2-9EE2-68EBA87E4694}" srcOrd="1" destOrd="0" presId="urn:microsoft.com/office/officeart/2005/8/layout/hierarchy2"/>
    <dgm:cxn modelId="{EAECABD4-5535-4EED-B321-5C31EDEAC98D}" type="presParOf" srcId="{75A262F1-4ED7-4323-893B-683AE8213335}" destId="{8893E6DC-5068-435A-AD37-35C0D43F32F6}" srcOrd="8" destOrd="0" presId="urn:microsoft.com/office/officeart/2005/8/layout/hierarchy2"/>
    <dgm:cxn modelId="{6ECAB290-4705-4CBA-BDE9-AD678AA34BC7}" type="presParOf" srcId="{8893E6DC-5068-435A-AD37-35C0D43F32F6}" destId="{186573EC-BC1E-453A-AA54-897295F17EEA}" srcOrd="0" destOrd="0" presId="urn:microsoft.com/office/officeart/2005/8/layout/hierarchy2"/>
    <dgm:cxn modelId="{C69FDA21-F351-4F52-8AC1-EE2CD4B52345}" type="presParOf" srcId="{75A262F1-4ED7-4323-893B-683AE8213335}" destId="{35A8E401-71D4-4560-B0AE-A75C828A91BB}" srcOrd="9" destOrd="0" presId="urn:microsoft.com/office/officeart/2005/8/layout/hierarchy2"/>
    <dgm:cxn modelId="{CEFDE084-4EAE-47D4-8FD2-0A82BC9A9EBF}" type="presParOf" srcId="{35A8E401-71D4-4560-B0AE-A75C828A91BB}" destId="{8A6FBC89-3C8A-4084-ACDA-57A3BC49C8D3}" srcOrd="0" destOrd="0" presId="urn:microsoft.com/office/officeart/2005/8/layout/hierarchy2"/>
    <dgm:cxn modelId="{6D11416F-EC3E-4A50-8799-D9DF08F18CF4}" type="presParOf" srcId="{35A8E401-71D4-4560-B0AE-A75C828A91BB}" destId="{9E89FDB3-9830-457A-8D59-EC237930FF00}" srcOrd="1" destOrd="0" presId="urn:microsoft.com/office/officeart/2005/8/layout/hierarchy2"/>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CA8698-4B4B-450C-8E33-4A7AC2A6959F}">
      <dsp:nvSpPr>
        <dsp:cNvPr id="0" name=""/>
        <dsp:cNvSpPr/>
      </dsp:nvSpPr>
      <dsp:spPr>
        <a:xfrm>
          <a:off x="551335" y="282"/>
          <a:ext cx="1243849" cy="746309"/>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latin typeface="Times New Roman" panose="02020603050405020304" pitchFamily="18" charset="0"/>
              <a:cs typeface="Times New Roman" panose="02020603050405020304" pitchFamily="18" charset="0"/>
            </a:rPr>
            <a:t>Cloud Computing</a:t>
          </a:r>
          <a:endParaRPr lang="en-US" sz="1050" kern="1200">
            <a:latin typeface="Times New Roman" panose="02020603050405020304" pitchFamily="18" charset="0"/>
            <a:cs typeface="Times New Roman" panose="02020603050405020304" pitchFamily="18" charset="0"/>
          </a:endParaRPr>
        </a:p>
      </dsp:txBody>
      <dsp:txXfrm>
        <a:off x="573194" y="22141"/>
        <a:ext cx="1200131" cy="702591"/>
      </dsp:txXfrm>
    </dsp:sp>
    <dsp:sp modelId="{FEC236DB-8BE7-4464-AD85-2B3976A013D1}">
      <dsp:nvSpPr>
        <dsp:cNvPr id="0" name=""/>
        <dsp:cNvSpPr/>
      </dsp:nvSpPr>
      <dsp:spPr>
        <a:xfrm>
          <a:off x="1904644" y="219200"/>
          <a:ext cx="263696" cy="308474"/>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1904644" y="280895"/>
        <a:ext cx="184587" cy="185084"/>
      </dsp:txXfrm>
    </dsp:sp>
    <dsp:sp modelId="{9955F8B2-CCC7-4759-91D2-B3F5A4E427E5}">
      <dsp:nvSpPr>
        <dsp:cNvPr id="0" name=""/>
        <dsp:cNvSpPr/>
      </dsp:nvSpPr>
      <dsp:spPr>
        <a:xfrm>
          <a:off x="2292725" y="282"/>
          <a:ext cx="1243849" cy="746309"/>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latin typeface="Times New Roman" panose="02020603050405020304" pitchFamily="18" charset="0"/>
              <a:cs typeface="Times New Roman" panose="02020603050405020304" pitchFamily="18" charset="0"/>
            </a:rPr>
            <a:t>Remote &amp; Third-Party Access</a:t>
          </a:r>
          <a:endParaRPr lang="en-US" sz="1050" kern="1200">
            <a:latin typeface="Times New Roman" panose="02020603050405020304" pitchFamily="18" charset="0"/>
            <a:cs typeface="Times New Roman" panose="02020603050405020304" pitchFamily="18" charset="0"/>
          </a:endParaRPr>
        </a:p>
      </dsp:txBody>
      <dsp:txXfrm>
        <a:off x="2314584" y="22141"/>
        <a:ext cx="1200131" cy="702591"/>
      </dsp:txXfrm>
    </dsp:sp>
    <dsp:sp modelId="{4EE98ED4-5E70-4A91-A7BB-FB45A915C700}">
      <dsp:nvSpPr>
        <dsp:cNvPr id="0" name=""/>
        <dsp:cNvSpPr/>
      </dsp:nvSpPr>
      <dsp:spPr>
        <a:xfrm>
          <a:off x="3646033" y="219200"/>
          <a:ext cx="263696" cy="308474"/>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3646033" y="280895"/>
        <a:ext cx="184587" cy="185084"/>
      </dsp:txXfrm>
    </dsp:sp>
    <dsp:sp modelId="{1928796E-1525-4D51-976A-3D26DA14C265}">
      <dsp:nvSpPr>
        <dsp:cNvPr id="0" name=""/>
        <dsp:cNvSpPr/>
      </dsp:nvSpPr>
      <dsp:spPr>
        <a:xfrm>
          <a:off x="4034114" y="282"/>
          <a:ext cx="1243849" cy="746309"/>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latin typeface="Times New Roman" panose="02020603050405020304" pitchFamily="18" charset="0"/>
              <a:cs typeface="Times New Roman" panose="02020603050405020304" pitchFamily="18" charset="0"/>
            </a:rPr>
            <a:t>Weak Security Governance</a:t>
          </a:r>
          <a:endParaRPr lang="en-US" sz="1050" kern="1200">
            <a:latin typeface="Times New Roman" panose="02020603050405020304" pitchFamily="18" charset="0"/>
            <a:cs typeface="Times New Roman" panose="02020603050405020304" pitchFamily="18" charset="0"/>
          </a:endParaRPr>
        </a:p>
      </dsp:txBody>
      <dsp:txXfrm>
        <a:off x="4055973" y="22141"/>
        <a:ext cx="1200131" cy="702591"/>
      </dsp:txXfrm>
    </dsp:sp>
    <dsp:sp modelId="{A04BEF68-7861-40C0-AEA0-78723AE07ED5}">
      <dsp:nvSpPr>
        <dsp:cNvPr id="0" name=""/>
        <dsp:cNvSpPr/>
      </dsp:nvSpPr>
      <dsp:spPr>
        <a:xfrm rot="5400000">
          <a:off x="4524191" y="833662"/>
          <a:ext cx="263696" cy="308474"/>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5400000">
        <a:off x="4563498" y="856051"/>
        <a:ext cx="185084" cy="184587"/>
      </dsp:txXfrm>
    </dsp:sp>
    <dsp:sp modelId="{DE671104-F06B-4292-89BE-D0E335787077}">
      <dsp:nvSpPr>
        <dsp:cNvPr id="0" name=""/>
        <dsp:cNvSpPr/>
      </dsp:nvSpPr>
      <dsp:spPr>
        <a:xfrm>
          <a:off x="4034114" y="1244132"/>
          <a:ext cx="1243849" cy="746309"/>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latin typeface="Times New Roman" panose="02020603050405020304" pitchFamily="18" charset="0"/>
              <a:cs typeface="Times New Roman" panose="02020603050405020304" pitchFamily="18" charset="0"/>
            </a:rPr>
            <a:t>Data Breaches &amp; PII Exposure</a:t>
          </a:r>
          <a:endParaRPr lang="en-US" sz="1050" kern="1200">
            <a:latin typeface="Times New Roman" panose="02020603050405020304" pitchFamily="18" charset="0"/>
            <a:cs typeface="Times New Roman" panose="02020603050405020304" pitchFamily="18" charset="0"/>
          </a:endParaRPr>
        </a:p>
      </dsp:txBody>
      <dsp:txXfrm>
        <a:off x="4055973" y="1265991"/>
        <a:ext cx="1200131" cy="702591"/>
      </dsp:txXfrm>
    </dsp:sp>
    <dsp:sp modelId="{34C0ED5E-F753-4C4D-B0A6-C900B22FADC2}">
      <dsp:nvSpPr>
        <dsp:cNvPr id="0" name=""/>
        <dsp:cNvSpPr/>
      </dsp:nvSpPr>
      <dsp:spPr>
        <a:xfrm rot="10800000">
          <a:off x="3660959" y="1463049"/>
          <a:ext cx="263696" cy="308474"/>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3740068" y="1524744"/>
        <a:ext cx="184587" cy="185084"/>
      </dsp:txXfrm>
    </dsp:sp>
    <dsp:sp modelId="{EF2C66F2-D2DA-4CE4-A224-767572A28469}">
      <dsp:nvSpPr>
        <dsp:cNvPr id="0" name=""/>
        <dsp:cNvSpPr/>
      </dsp:nvSpPr>
      <dsp:spPr>
        <a:xfrm>
          <a:off x="2292725" y="1244132"/>
          <a:ext cx="1243849" cy="746309"/>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latin typeface="Times New Roman" panose="02020603050405020304" pitchFamily="18" charset="0"/>
              <a:cs typeface="Times New Roman" panose="02020603050405020304" pitchFamily="18" charset="0"/>
            </a:rPr>
            <a:t>GDPR &amp; ISO Compliance Failures</a:t>
          </a:r>
          <a:endParaRPr lang="en-US" sz="1050" kern="1200">
            <a:latin typeface="Times New Roman" panose="02020603050405020304" pitchFamily="18" charset="0"/>
            <a:cs typeface="Times New Roman" panose="02020603050405020304" pitchFamily="18" charset="0"/>
          </a:endParaRPr>
        </a:p>
      </dsp:txBody>
      <dsp:txXfrm>
        <a:off x="2314584" y="1265991"/>
        <a:ext cx="1200131" cy="702591"/>
      </dsp:txXfrm>
    </dsp:sp>
    <dsp:sp modelId="{91F6C9EE-3449-428C-8808-3A7A6288171F}">
      <dsp:nvSpPr>
        <dsp:cNvPr id="0" name=""/>
        <dsp:cNvSpPr/>
      </dsp:nvSpPr>
      <dsp:spPr>
        <a:xfrm rot="10800000">
          <a:off x="1919570" y="1463049"/>
          <a:ext cx="263696" cy="308474"/>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1998679" y="1524744"/>
        <a:ext cx="184587" cy="185084"/>
      </dsp:txXfrm>
    </dsp:sp>
    <dsp:sp modelId="{E27B911A-1A1E-4ED1-8FAF-D2B297FDBBC2}">
      <dsp:nvSpPr>
        <dsp:cNvPr id="0" name=""/>
        <dsp:cNvSpPr/>
      </dsp:nvSpPr>
      <dsp:spPr>
        <a:xfrm>
          <a:off x="551335" y="1244132"/>
          <a:ext cx="1243849" cy="746309"/>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latin typeface="Times New Roman" panose="02020603050405020304" pitchFamily="18" charset="0"/>
              <a:cs typeface="Times New Roman" panose="02020603050405020304" pitchFamily="18" charset="0"/>
            </a:rPr>
            <a:t>Business Risk &amp; Operational Disruption</a:t>
          </a:r>
          <a:endParaRPr lang="en-US" sz="1050" kern="1200">
            <a:latin typeface="Times New Roman" panose="02020603050405020304" pitchFamily="18" charset="0"/>
            <a:cs typeface="Times New Roman" panose="02020603050405020304" pitchFamily="18" charset="0"/>
          </a:endParaRPr>
        </a:p>
      </dsp:txBody>
      <dsp:txXfrm>
        <a:off x="573194" y="1265991"/>
        <a:ext cx="1200131" cy="70259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030A1A-E6F2-46A2-BDA0-BCA8DC75BECD}">
      <dsp:nvSpPr>
        <dsp:cNvPr id="0" name=""/>
        <dsp:cNvSpPr/>
      </dsp:nvSpPr>
      <dsp:spPr>
        <a:xfrm>
          <a:off x="1373742" y="1150880"/>
          <a:ext cx="1141214" cy="898638"/>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Business Impact Analysis (BIA)</a:t>
          </a:r>
        </a:p>
      </dsp:txBody>
      <dsp:txXfrm>
        <a:off x="1400062" y="1177200"/>
        <a:ext cx="1088574" cy="845998"/>
      </dsp:txXfrm>
    </dsp:sp>
    <dsp:sp modelId="{DD689E59-A649-4435-BE26-1860D890E04A}">
      <dsp:nvSpPr>
        <dsp:cNvPr id="0" name=""/>
        <dsp:cNvSpPr/>
      </dsp:nvSpPr>
      <dsp:spPr>
        <a:xfrm rot="17350740">
          <a:off x="2048440" y="927955"/>
          <a:ext cx="1389519" cy="32092"/>
        </a:xfrm>
        <a:custGeom>
          <a:avLst/>
          <a:gdLst/>
          <a:ahLst/>
          <a:cxnLst/>
          <a:rect l="0" t="0" r="0" b="0"/>
          <a:pathLst>
            <a:path>
              <a:moveTo>
                <a:pt x="0" y="16046"/>
              </a:moveTo>
              <a:lnTo>
                <a:pt x="1389519" y="16046"/>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8462" y="909263"/>
        <a:ext cx="69475" cy="69475"/>
      </dsp:txXfrm>
    </dsp:sp>
    <dsp:sp modelId="{CCE88549-3D53-45D0-A117-837FAE60C872}">
      <dsp:nvSpPr>
        <dsp:cNvPr id="0" name=""/>
        <dsp:cNvSpPr/>
      </dsp:nvSpPr>
      <dsp:spPr>
        <a:xfrm>
          <a:off x="2971442" y="2499"/>
          <a:ext cx="1141214" cy="570607"/>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Disaster Recovery Planning</a:t>
          </a:r>
        </a:p>
      </dsp:txBody>
      <dsp:txXfrm>
        <a:off x="2988155" y="19212"/>
        <a:ext cx="1107788" cy="537181"/>
      </dsp:txXfrm>
    </dsp:sp>
    <dsp:sp modelId="{13631BCF-5CBA-463F-B444-3CD5B3EDD22A}">
      <dsp:nvSpPr>
        <dsp:cNvPr id="0" name=""/>
        <dsp:cNvSpPr/>
      </dsp:nvSpPr>
      <dsp:spPr>
        <a:xfrm rot="18289469">
          <a:off x="2343520" y="1256054"/>
          <a:ext cx="799359" cy="32092"/>
        </a:xfrm>
        <a:custGeom>
          <a:avLst/>
          <a:gdLst/>
          <a:ahLst/>
          <a:cxnLst/>
          <a:rect l="0" t="0" r="0" b="0"/>
          <a:pathLst>
            <a:path>
              <a:moveTo>
                <a:pt x="0" y="16046"/>
              </a:moveTo>
              <a:lnTo>
                <a:pt x="799359" y="16046"/>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23216" y="1252116"/>
        <a:ext cx="39967" cy="39967"/>
      </dsp:txXfrm>
    </dsp:sp>
    <dsp:sp modelId="{0BB84ED2-46BD-4F3C-826C-A56CBDF40247}">
      <dsp:nvSpPr>
        <dsp:cNvPr id="0" name=""/>
        <dsp:cNvSpPr/>
      </dsp:nvSpPr>
      <dsp:spPr>
        <a:xfrm>
          <a:off x="2971442" y="658697"/>
          <a:ext cx="1141214" cy="570607"/>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Cloud Backup</a:t>
          </a:r>
        </a:p>
      </dsp:txBody>
      <dsp:txXfrm>
        <a:off x="2988155" y="675410"/>
        <a:ext cx="1107788" cy="537181"/>
      </dsp:txXfrm>
    </dsp:sp>
    <dsp:sp modelId="{96C1A7B6-C7A6-4E14-9D33-E41615D9BB6F}">
      <dsp:nvSpPr>
        <dsp:cNvPr id="0" name=""/>
        <dsp:cNvSpPr/>
      </dsp:nvSpPr>
      <dsp:spPr>
        <a:xfrm>
          <a:off x="2514957" y="1584153"/>
          <a:ext cx="456485" cy="32092"/>
        </a:xfrm>
        <a:custGeom>
          <a:avLst/>
          <a:gdLst/>
          <a:ahLst/>
          <a:cxnLst/>
          <a:rect l="0" t="0" r="0" b="0"/>
          <a:pathLst>
            <a:path>
              <a:moveTo>
                <a:pt x="0" y="16046"/>
              </a:moveTo>
              <a:lnTo>
                <a:pt x="456485" y="16046"/>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1787" y="1588787"/>
        <a:ext cx="22824" cy="22824"/>
      </dsp:txXfrm>
    </dsp:sp>
    <dsp:sp modelId="{76D247DE-FF76-4922-A8F2-4EAD08C33F28}">
      <dsp:nvSpPr>
        <dsp:cNvPr id="0" name=""/>
        <dsp:cNvSpPr/>
      </dsp:nvSpPr>
      <dsp:spPr>
        <a:xfrm>
          <a:off x="2971442" y="1314896"/>
          <a:ext cx="1141214" cy="570607"/>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RTO &amp; RPO</a:t>
          </a:r>
        </a:p>
      </dsp:txBody>
      <dsp:txXfrm>
        <a:off x="2988155" y="1331609"/>
        <a:ext cx="1107788" cy="537181"/>
      </dsp:txXfrm>
    </dsp:sp>
    <dsp:sp modelId="{39FF4D58-00F1-46EC-B738-73C68C8B776E}">
      <dsp:nvSpPr>
        <dsp:cNvPr id="0" name=""/>
        <dsp:cNvSpPr/>
      </dsp:nvSpPr>
      <dsp:spPr>
        <a:xfrm rot="3310531">
          <a:off x="2343520" y="1912252"/>
          <a:ext cx="799359" cy="32092"/>
        </a:xfrm>
        <a:custGeom>
          <a:avLst/>
          <a:gdLst/>
          <a:ahLst/>
          <a:cxnLst/>
          <a:rect l="0" t="0" r="0" b="0"/>
          <a:pathLst>
            <a:path>
              <a:moveTo>
                <a:pt x="0" y="16046"/>
              </a:moveTo>
              <a:lnTo>
                <a:pt x="799359" y="16046"/>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23216" y="1908315"/>
        <a:ext cx="39967" cy="39967"/>
      </dsp:txXfrm>
    </dsp:sp>
    <dsp:sp modelId="{3D4A902C-431C-40EA-A7D9-7EB755B037D1}">
      <dsp:nvSpPr>
        <dsp:cNvPr id="0" name=""/>
        <dsp:cNvSpPr/>
      </dsp:nvSpPr>
      <dsp:spPr>
        <a:xfrm>
          <a:off x="2971442" y="1971094"/>
          <a:ext cx="1141214" cy="570607"/>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Regular Testing</a:t>
          </a:r>
        </a:p>
      </dsp:txBody>
      <dsp:txXfrm>
        <a:off x="2988155" y="1987807"/>
        <a:ext cx="1107788" cy="537181"/>
      </dsp:txXfrm>
    </dsp:sp>
    <dsp:sp modelId="{8893E6DC-5068-435A-AD37-35C0D43F32F6}">
      <dsp:nvSpPr>
        <dsp:cNvPr id="0" name=""/>
        <dsp:cNvSpPr/>
      </dsp:nvSpPr>
      <dsp:spPr>
        <a:xfrm rot="4249260">
          <a:off x="2048440" y="2240352"/>
          <a:ext cx="1389519" cy="32092"/>
        </a:xfrm>
        <a:custGeom>
          <a:avLst/>
          <a:gdLst/>
          <a:ahLst/>
          <a:cxnLst/>
          <a:rect l="0" t="0" r="0" b="0"/>
          <a:pathLst>
            <a:path>
              <a:moveTo>
                <a:pt x="0" y="16046"/>
              </a:moveTo>
              <a:lnTo>
                <a:pt x="1389519" y="16046"/>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8462" y="2221660"/>
        <a:ext cx="69475" cy="69475"/>
      </dsp:txXfrm>
    </dsp:sp>
    <dsp:sp modelId="{8A6FBC89-3C8A-4084-ACDA-57A3BC49C8D3}">
      <dsp:nvSpPr>
        <dsp:cNvPr id="0" name=""/>
        <dsp:cNvSpPr/>
      </dsp:nvSpPr>
      <dsp:spPr>
        <a:xfrm>
          <a:off x="2971442" y="2627293"/>
          <a:ext cx="1141214" cy="570607"/>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Continuous Improvement</a:t>
          </a:r>
        </a:p>
      </dsp:txBody>
      <dsp:txXfrm>
        <a:off x="2988155" y="2644006"/>
        <a:ext cx="1107788" cy="53718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C146B-F007-4BCC-A07C-F70B79AF5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35</Pages>
  <Words>7010</Words>
  <Characters>39958</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Dharmik Dabgar</cp:lastModifiedBy>
  <cp:revision>4</cp:revision>
  <dcterms:created xsi:type="dcterms:W3CDTF">2026-08-12T07:01:00Z</dcterms:created>
  <dcterms:modified xsi:type="dcterms:W3CDTF">2026-08-12T10:26:00Z</dcterms:modified>
</cp:coreProperties>
</file>