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BDC6B02" w:rsidP="4B71873A" w:rsidRDefault="5BDC6B02" w14:paraId="5D3A9D48" w14:textId="7B8DE3FC">
      <w:pPr>
        <w:pStyle w:val="Normal"/>
        <w:jc w:val="left"/>
        <w:rPr>
          <w:rFonts w:ascii="Calibri" w:hAnsi="Calibri" w:eastAsia="Calibri" w:cs="Calibri"/>
          <w:noProof w:val="0"/>
          <w:sz w:val="24"/>
          <w:szCs w:val="24"/>
          <w:lang w:val="en-GB"/>
        </w:rPr>
      </w:pPr>
    </w:p>
    <w:p w:rsidR="4B71873A" w:rsidP="4B71873A" w:rsidRDefault="4B71873A" w14:paraId="103B7522" w14:textId="2289861B">
      <w:pPr>
        <w:pStyle w:val="Normal"/>
        <w:jc w:val="left"/>
      </w:pPr>
    </w:p>
    <w:p w:rsidR="674D6171" w:rsidP="4B71873A" w:rsidRDefault="674D6171" w14:paraId="3A5244C7" w14:textId="4C8798AC">
      <w:pPr>
        <w:pStyle w:val="Heading1"/>
        <w:spacing w:before="240" w:after="60" w:line="259" w:lineRule="auto"/>
        <w:ind w:left="0" w:firstLine="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B71873A" w:rsidR="674D6171">
        <w:rPr>
          <w:rFonts w:ascii="Arial" w:hAnsi="Arial" w:eastAsia="Arial" w:cs="Arial"/>
          <w:b w:val="1"/>
          <w:bCs w:val="1"/>
          <w:i w:val="0"/>
          <w:iCs w:val="0"/>
          <w:caps w:val="0"/>
          <w:smallCaps w:val="0"/>
          <w:noProof w:val="0"/>
          <w:color w:val="000000" w:themeColor="text1" w:themeTint="FF" w:themeShade="FF"/>
          <w:sz w:val="32"/>
          <w:szCs w:val="32"/>
          <w:lang w:val="en-GB"/>
        </w:rPr>
        <w:t>A report focussing on:</w:t>
      </w:r>
    </w:p>
    <w:p w:rsidR="4B71873A" w:rsidP="4B71873A" w:rsidRDefault="4B71873A" w14:paraId="441370DC" w14:textId="01A23F5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71873A" w:rsidP="4B71873A" w:rsidRDefault="4B71873A" w14:paraId="1B947C9C" w14:textId="3E808FA2">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E31F145" w:rsidP="4B71873A" w:rsidRDefault="2E31F145" w14:paraId="26803096" w14:textId="14AA825E">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B71873A" w:rsidR="2E31F145">
        <w:rPr>
          <w:rFonts w:ascii="Arial" w:hAnsi="Arial" w:eastAsia="Arial" w:cs="Arial"/>
          <w:b w:val="0"/>
          <w:bCs w:val="0"/>
          <w:i w:val="0"/>
          <w:iCs w:val="0"/>
          <w:caps w:val="0"/>
          <w:smallCaps w:val="0"/>
          <w:noProof w:val="0"/>
          <w:color w:val="000000" w:themeColor="text1" w:themeTint="FF" w:themeShade="FF"/>
          <w:sz w:val="40"/>
          <w:szCs w:val="40"/>
          <w:lang w:val="en-GB"/>
        </w:rPr>
        <w:t>Negligence in Construction</w:t>
      </w:r>
    </w:p>
    <w:p w:rsidR="4B71873A" w:rsidP="4B71873A" w:rsidRDefault="4B71873A" w14:paraId="68C8462C" w14:textId="7149F58F">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674D6171" w:rsidP="4B71873A" w:rsidRDefault="674D6171" w14:paraId="4EBC2E35" w14:textId="042BEC24">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B71873A" w:rsidR="674D6171">
        <w:rPr>
          <w:rFonts w:ascii="Arial" w:hAnsi="Arial" w:eastAsia="Arial" w:cs="Arial"/>
          <w:b w:val="1"/>
          <w:bCs w:val="1"/>
          <w:i w:val="0"/>
          <w:iCs w:val="0"/>
          <w:caps w:val="0"/>
          <w:smallCaps w:val="0"/>
          <w:noProof w:val="0"/>
          <w:color w:val="000000" w:themeColor="text1" w:themeTint="FF" w:themeShade="FF"/>
          <w:sz w:val="40"/>
          <w:szCs w:val="40"/>
          <w:lang w:val="en-GB"/>
        </w:rPr>
        <w:t>Student Number</w:t>
      </w:r>
    </w:p>
    <w:p w:rsidR="674D6171" w:rsidP="4B71873A" w:rsidRDefault="674D6171" w14:paraId="021C85D8" w14:textId="3530FFB6">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B71873A" w:rsidR="674D6171">
        <w:rPr>
          <w:rFonts w:ascii="Arial" w:hAnsi="Arial" w:eastAsia="Arial" w:cs="Arial"/>
          <w:b w:val="0"/>
          <w:bCs w:val="0"/>
          <w:i w:val="0"/>
          <w:iCs w:val="0"/>
          <w:caps w:val="0"/>
          <w:smallCaps w:val="0"/>
          <w:noProof w:val="0"/>
          <w:color w:val="000000" w:themeColor="text1" w:themeTint="FF" w:themeShade="FF"/>
          <w:sz w:val="40"/>
          <w:szCs w:val="40"/>
          <w:lang w:val="en-GB"/>
        </w:rPr>
        <w:t>2204590</w:t>
      </w:r>
    </w:p>
    <w:p w:rsidR="4B71873A" w:rsidP="4B71873A" w:rsidRDefault="4B71873A" w14:paraId="7F6E67D0" w14:textId="4E4AB99F">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B71873A" w:rsidP="4B71873A" w:rsidRDefault="4B71873A" w14:paraId="3D700191" w14:textId="70770889">
      <w:pPr>
        <w:spacing w:after="24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4B71873A" w:rsidP="4B71873A" w:rsidRDefault="4B71873A" w14:paraId="65D3FC7C" w14:textId="7C0CA724">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674D6171" w:rsidP="4B71873A" w:rsidRDefault="674D6171" w14:paraId="3DE94567" w14:textId="617B2345">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B71873A" w:rsidR="674D6171">
        <w:rPr>
          <w:rFonts w:ascii="Arial" w:hAnsi="Arial" w:eastAsia="Arial" w:cs="Arial"/>
          <w:b w:val="0"/>
          <w:bCs w:val="0"/>
          <w:i w:val="0"/>
          <w:iCs w:val="0"/>
          <w:caps w:val="0"/>
          <w:smallCaps w:val="0"/>
          <w:noProof w:val="0"/>
          <w:color w:val="000000" w:themeColor="text1" w:themeTint="FF" w:themeShade="FF"/>
          <w:sz w:val="28"/>
          <w:szCs w:val="28"/>
          <w:lang w:val="en-GB"/>
        </w:rPr>
        <w:t>Prepared for:</w:t>
      </w:r>
    </w:p>
    <w:p w:rsidR="4B71873A" w:rsidP="4B71873A" w:rsidRDefault="4B71873A" w14:paraId="5B55A826" w14:textId="70D8B003">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D3C77A0" w:rsidP="4B71873A" w:rsidRDefault="4D3C77A0" w14:paraId="2978D57C" w14:textId="4FE76E66">
      <w:pPr>
        <w:spacing w:after="240" w:line="259" w:lineRule="auto"/>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4B71873A" w:rsidR="4D3C77A0">
        <w:rPr>
          <w:rFonts w:ascii="Arial" w:hAnsi="Arial" w:eastAsia="Arial" w:cs="Arial"/>
          <w:b w:val="0"/>
          <w:bCs w:val="0"/>
          <w:i w:val="0"/>
          <w:iCs w:val="0"/>
          <w:caps w:val="0"/>
          <w:smallCaps w:val="0"/>
          <w:noProof w:val="0"/>
          <w:color w:val="000000" w:themeColor="text1" w:themeTint="FF" w:themeShade="FF"/>
          <w:sz w:val="44"/>
          <w:szCs w:val="44"/>
          <w:lang w:val="en-GB"/>
        </w:rPr>
        <w:t>Lara Hopkinson</w:t>
      </w:r>
    </w:p>
    <w:p w:rsidR="4B71873A" w:rsidP="4B71873A" w:rsidRDefault="4B71873A" w14:paraId="31D0AFC1" w14:textId="1C7B41CB">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B71873A" w:rsidP="4B71873A" w:rsidRDefault="4B71873A" w14:paraId="6F53CF72" w14:textId="037BBD00">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B71873A" w:rsidP="4B71873A" w:rsidRDefault="4B71873A" w14:paraId="04193AF9" w14:textId="28F635FE">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674D6171" w:rsidP="4B71873A" w:rsidRDefault="674D6171" w14:paraId="7D52244E" w14:textId="2AC7D26E">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B71873A" w:rsidR="674D6171">
        <w:rPr>
          <w:rFonts w:ascii="Arial" w:hAnsi="Arial" w:eastAsia="Arial" w:cs="Arial"/>
          <w:b w:val="0"/>
          <w:bCs w:val="0"/>
          <w:i w:val="0"/>
          <w:iCs w:val="0"/>
          <w:caps w:val="0"/>
          <w:smallCaps w:val="0"/>
          <w:noProof w:val="0"/>
          <w:color w:val="000000" w:themeColor="text1" w:themeTint="FF" w:themeShade="FF"/>
          <w:sz w:val="28"/>
          <w:szCs w:val="28"/>
          <w:lang w:val="en-GB"/>
        </w:rPr>
        <w:t>Created by:</w:t>
      </w:r>
    </w:p>
    <w:p w:rsidR="674D6171" w:rsidP="4B71873A" w:rsidRDefault="674D6171" w14:paraId="5F90417C" w14:textId="1BFCA62C">
      <w:pPr>
        <w:spacing w:after="240" w:line="259"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B71873A" w:rsidR="674D6171">
        <w:rPr>
          <w:rFonts w:ascii="Arial" w:hAnsi="Arial" w:eastAsia="Arial" w:cs="Arial"/>
          <w:b w:val="0"/>
          <w:bCs w:val="0"/>
          <w:i w:val="0"/>
          <w:iCs w:val="0"/>
          <w:caps w:val="0"/>
          <w:smallCaps w:val="0"/>
          <w:noProof w:val="0"/>
          <w:color w:val="000000" w:themeColor="text1" w:themeTint="FF" w:themeShade="FF"/>
          <w:sz w:val="36"/>
          <w:szCs w:val="36"/>
          <w:lang w:val="en-GB"/>
        </w:rPr>
        <w:t>Toby George</w:t>
      </w:r>
    </w:p>
    <w:p w:rsidR="4B71873A" w:rsidP="4B71873A" w:rsidRDefault="4B71873A" w14:paraId="675C8BA5" w14:textId="0B9F7141">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B71873A" w:rsidP="4B71873A" w:rsidRDefault="4B71873A" w14:paraId="52410BE4" w14:textId="7642DAE9">
      <w:pPr>
        <w:spacing w:after="24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4B71873A" w:rsidP="4B71873A" w:rsidRDefault="4B71873A" w14:paraId="4F5AF1F4" w14:textId="08A673DC">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B71873A" w:rsidP="4B71873A" w:rsidRDefault="4B71873A" w14:paraId="78586954" w14:textId="300C0FA5">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674D6171" w:rsidP="4B71873A" w:rsidRDefault="674D6171" w14:paraId="07D266FD" w14:textId="0DFFBDF8">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B71873A" w:rsidR="674D6171">
        <w:rPr>
          <w:rFonts w:ascii="Arial" w:hAnsi="Arial" w:eastAsia="Arial" w:cs="Arial"/>
          <w:b w:val="0"/>
          <w:bCs w:val="0"/>
          <w:i w:val="0"/>
          <w:iCs w:val="0"/>
          <w:caps w:val="0"/>
          <w:smallCaps w:val="0"/>
          <w:noProof w:val="0"/>
          <w:color w:val="000000" w:themeColor="text1" w:themeTint="FF" w:themeShade="FF"/>
          <w:sz w:val="28"/>
          <w:szCs w:val="28"/>
          <w:lang w:val="en-GB"/>
        </w:rPr>
        <w:t>Date accomplished:</w:t>
      </w:r>
    </w:p>
    <w:p w:rsidR="674D6171" w:rsidP="660B3404" w:rsidRDefault="674D6171" w14:paraId="4870B411" w14:textId="00737BF7">
      <w:pPr>
        <w:spacing w:before="0" w:beforeAutospacing="off" w:after="24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660B3404" w:rsidR="6F0A08DC">
        <w:rPr>
          <w:rFonts w:ascii="Arial" w:hAnsi="Arial" w:eastAsia="Arial" w:cs="Arial"/>
          <w:b w:val="0"/>
          <w:bCs w:val="0"/>
          <w:i w:val="0"/>
          <w:iCs w:val="0"/>
          <w:caps w:val="0"/>
          <w:smallCaps w:val="0"/>
          <w:noProof w:val="0"/>
          <w:color w:val="000000" w:themeColor="text1" w:themeTint="FF" w:themeShade="FF"/>
          <w:sz w:val="28"/>
          <w:szCs w:val="28"/>
          <w:lang w:val="en-GB"/>
        </w:rPr>
        <w:t>23</w:t>
      </w:r>
      <w:r w:rsidRPr="660B3404" w:rsidR="674D6171">
        <w:rPr>
          <w:rFonts w:ascii="Arial" w:hAnsi="Arial" w:eastAsia="Arial" w:cs="Arial"/>
          <w:b w:val="0"/>
          <w:bCs w:val="0"/>
          <w:i w:val="0"/>
          <w:iCs w:val="0"/>
          <w:caps w:val="0"/>
          <w:smallCaps w:val="0"/>
          <w:noProof w:val="0"/>
          <w:color w:val="000000" w:themeColor="text1" w:themeTint="FF" w:themeShade="FF"/>
          <w:sz w:val="28"/>
          <w:szCs w:val="28"/>
          <w:lang w:val="en-GB"/>
        </w:rPr>
        <w:t>/11/22</w:t>
      </w:r>
    </w:p>
    <w:p w:rsidR="4B71873A" w:rsidP="4B71873A" w:rsidRDefault="4B71873A" w14:paraId="44592AD8" w14:textId="72B34B5F">
      <w:pPr>
        <w:spacing w:after="24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674D6171" w:rsidP="4B71873A" w:rsidRDefault="674D6171" w14:paraId="195571A1" w14:textId="2338B235">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Table of Contents</w:t>
      </w:r>
      <w:r>
        <w:tab/>
      </w:r>
    </w:p>
    <w:p w:rsidR="674D6171" w:rsidP="4B71873A" w:rsidRDefault="674D6171" w14:paraId="69C9902D" w14:textId="376F3583">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Page Number</w:t>
      </w:r>
    </w:p>
    <w:p w:rsidR="674D6171" w:rsidP="4B71873A" w:rsidRDefault="674D6171" w14:paraId="140F96DD" w14:textId="602C6A30">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1.0</w:t>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Executive Summary</w:t>
      </w:r>
      <w:r>
        <w:tab/>
      </w:r>
      <w:r>
        <w:tab/>
      </w:r>
      <w:r>
        <w:tab/>
      </w:r>
      <w:r>
        <w:tab/>
      </w:r>
      <w:r>
        <w:tab/>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 2</w:t>
      </w:r>
    </w:p>
    <w:p w:rsidR="674D6171" w:rsidP="660B3404" w:rsidRDefault="674D6171" w14:paraId="1DA22456" w14:textId="63192CC5">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2.0</w:t>
      </w:r>
      <w:r>
        <w:tab/>
      </w: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Terms of reference</w:t>
      </w:r>
      <w:r>
        <w:tab/>
      </w:r>
      <w:r>
        <w:tab/>
      </w:r>
      <w:r>
        <w:tab/>
      </w:r>
      <w:r>
        <w:tab/>
      </w:r>
      <w:r>
        <w:tab/>
      </w: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tab/>
      </w:r>
      <w:r w:rsidRPr="660B3404" w:rsidR="1CCEC84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3</w:t>
      </w:r>
    </w:p>
    <w:p w:rsidR="674D6171" w:rsidP="4B71873A" w:rsidRDefault="674D6171" w14:paraId="3441282C" w14:textId="34139DF5">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3.0</w:t>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Procedure</w:t>
      </w:r>
      <w:r>
        <w:tab/>
      </w:r>
      <w:r>
        <w:tab/>
      </w:r>
      <w:r>
        <w:tab/>
      </w:r>
      <w:r>
        <w:tab/>
      </w:r>
      <w:r>
        <w:tab/>
      </w:r>
      <w:r>
        <w:tab/>
      </w:r>
      <w:r>
        <w:tab/>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 3</w:t>
      </w:r>
    </w:p>
    <w:p w:rsidR="674D6171" w:rsidP="4B71873A" w:rsidRDefault="674D6171" w14:paraId="63591A0F" w14:textId="7A468D29">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4.0</w:t>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Research</w:t>
      </w:r>
      <w:r>
        <w:tab/>
      </w:r>
      <w:r>
        <w:tab/>
      </w:r>
      <w:r>
        <w:tab/>
      </w:r>
      <w:r>
        <w:tab/>
      </w:r>
      <w:r>
        <w:tab/>
      </w:r>
      <w:r>
        <w:tab/>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            3</w:t>
      </w:r>
      <w:r>
        <w:tab/>
      </w:r>
    </w:p>
    <w:p w:rsidR="674D6171" w:rsidP="660B3404" w:rsidRDefault="674D6171" w14:paraId="35DF141B" w14:textId="4DA13062">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5.0</w:t>
      </w:r>
      <w:r>
        <w:tab/>
      </w: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Conclusion                                                                               </w:t>
      </w:r>
      <w:r w:rsidRPr="660B3404" w:rsidR="7C213AE5">
        <w:rPr>
          <w:rFonts w:ascii="Arial" w:hAnsi="Arial" w:eastAsia="Arial" w:cs="Arial"/>
          <w:b w:val="1"/>
          <w:bCs w:val="1"/>
          <w:i w:val="0"/>
          <w:iCs w:val="0"/>
          <w:caps w:val="0"/>
          <w:smallCaps w:val="0"/>
          <w:noProof w:val="0"/>
          <w:color w:val="000000" w:themeColor="text1" w:themeTint="FF" w:themeShade="FF"/>
          <w:sz w:val="24"/>
          <w:szCs w:val="24"/>
          <w:lang w:val="en-GB"/>
        </w:rPr>
        <w:t>6</w:t>
      </w:r>
    </w:p>
    <w:p w:rsidR="674D6171" w:rsidP="4B71873A" w:rsidRDefault="674D6171" w14:paraId="5B730992" w14:textId="5CCDA459">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6.0</w:t>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References       </w:t>
      </w:r>
      <w:r>
        <w:tab/>
      </w:r>
      <w:r>
        <w:tab/>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tab/>
      </w:r>
      <w:r>
        <w:tab/>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            7</w:t>
      </w:r>
    </w:p>
    <w:p w:rsidR="674D6171" w:rsidP="660B3404" w:rsidRDefault="674D6171" w14:paraId="4F582B58" w14:textId="6AB215CB">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7.0</w:t>
      </w:r>
      <w:r>
        <w:tab/>
      </w: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Appendices</w:t>
      </w:r>
      <w:r>
        <w:tab/>
      </w:r>
      <w:r>
        <w:tab/>
      </w:r>
      <w:r>
        <w:tab/>
      </w:r>
      <w:r>
        <w:tab/>
      </w:r>
      <w:r>
        <w:tab/>
      </w:r>
      <w:r>
        <w:tab/>
      </w:r>
      <w:r>
        <w:tab/>
      </w: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tab/>
      </w:r>
      <w:r w:rsidRPr="660B3404" w:rsidR="665A2CF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60B3404" w:rsidR="674D6171">
        <w:rPr>
          <w:rFonts w:ascii="Arial" w:hAnsi="Arial" w:eastAsia="Arial" w:cs="Arial"/>
          <w:b w:val="1"/>
          <w:bCs w:val="1"/>
          <w:i w:val="0"/>
          <w:iCs w:val="0"/>
          <w:caps w:val="0"/>
          <w:smallCaps w:val="0"/>
          <w:noProof w:val="0"/>
          <w:color w:val="000000" w:themeColor="text1" w:themeTint="FF" w:themeShade="FF"/>
          <w:sz w:val="24"/>
          <w:szCs w:val="24"/>
          <w:lang w:val="en-GB"/>
        </w:rPr>
        <w:t>8</w:t>
      </w:r>
    </w:p>
    <w:p w:rsidR="4B71873A" w:rsidP="4B71873A" w:rsidRDefault="4B71873A" w14:paraId="0049687F" w14:textId="25D9E0FC">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B71873A" w:rsidP="660B3404" w:rsidRDefault="4B71873A" w14:paraId="4247C3B3" w14:textId="3D2AC6CD">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660B3404" w:rsidRDefault="674D6171" w14:paraId="4267E8E3" w14:textId="73BB69E9">
      <w:pPr>
        <w:spacing w:after="240" w:line="360"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0B3404" w:rsidR="674D617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1.0    </w:t>
      </w:r>
      <w:r w:rsidRPr="660B3404" w:rsidR="674D6171">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Executive Summary</w:t>
      </w:r>
    </w:p>
    <w:p w:rsidR="36F55CD9" w:rsidP="660B3404" w:rsidRDefault="36F55CD9" w14:paraId="384AE7FE" w14:textId="10325B77">
      <w:pPr>
        <w:pStyle w:val="Normal"/>
        <w:spacing w:after="24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0B3404" w:rsidR="36F55C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report will </w:t>
      </w:r>
      <w:r w:rsidRPr="660B3404" w:rsidR="4066F5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summarise the </w:t>
      </w:r>
      <w:r w:rsidRPr="660B3404" w:rsidR="36F55C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essential elements to the tort of negligence. It will also include an example of case law and how it can </w:t>
      </w:r>
      <w:r w:rsidRPr="660B3404" w:rsidR="1647CF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affect project progression. Then finalising with the Vinci V Beumer Group case where I will be reviewing the impact of </w:t>
      </w:r>
      <w:r w:rsidRPr="660B3404" w:rsidR="115865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adjudication</w:t>
      </w:r>
      <w:r w:rsidRPr="660B3404" w:rsidR="1647CF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w:t>
      </w:r>
      <w:r w:rsidRPr="660B3404" w:rsidR="2FCCBF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will be achieving by researching </w:t>
      </w:r>
      <w:r w:rsidRPr="660B3404" w:rsidR="07BB2B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relevant</w:t>
      </w:r>
      <w:r w:rsidRPr="660B3404" w:rsidR="2FCCBF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information in a report format.</w:t>
      </w:r>
      <w:r w:rsidRPr="660B3404" w:rsidR="1647CF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B71873A" w:rsidP="660B3404" w:rsidRDefault="4B71873A" w14:paraId="1FA2A3E8" w14:textId="1641BE1E">
      <w:pPr>
        <w:pStyle w:val="Normal"/>
        <w:spacing w:after="240" w:line="360" w:lineRule="auto"/>
        <w:rPr>
          <w:color w:val="000000" w:themeColor="text1" w:themeTint="FF" w:themeShade="FF"/>
        </w:rPr>
      </w:pPr>
    </w:p>
    <w:p w:rsidR="4B71873A" w:rsidP="660B3404" w:rsidRDefault="4B71873A" w14:paraId="5430AF50" w14:textId="4110D379">
      <w:pPr>
        <w:spacing w:after="24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B71873A" w:rsidP="660B3404" w:rsidRDefault="4B71873A" w14:paraId="468715D4" w14:textId="08B9DD32">
      <w:pPr>
        <w:spacing w:after="24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B71873A" w:rsidP="660B3404" w:rsidRDefault="4B71873A" w14:paraId="091CB11E" w14:textId="4A15EDE9">
      <w:pPr>
        <w:spacing w:after="24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660B3404" w:rsidRDefault="674D6171" w14:paraId="7C0E990E" w14:textId="161EE34A">
      <w:pPr>
        <w:spacing w:after="24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       </w:t>
      </w: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Terms of Reference</w:t>
      </w:r>
    </w:p>
    <w:p w:rsidR="4B71873A" w:rsidP="660B3404" w:rsidRDefault="4B71873A" w14:paraId="3B017495" w14:textId="370967FE">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660B3404" w:rsidRDefault="674D6171" w14:paraId="30D6C420" w14:textId="7C1911F7">
      <w:pPr>
        <w:spacing w:after="24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2.1 The prime focus is:</w:t>
      </w:r>
    </w:p>
    <w:p w:rsidR="674D6171" w:rsidP="660B3404" w:rsidRDefault="674D6171" w14:paraId="581164DD" w14:textId="20FEADD2">
      <w:pPr>
        <w:spacing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2.1   Researching </w:t>
      </w:r>
      <w:r w:rsidRPr="660B3404" w:rsidR="01DD1BC0">
        <w:rPr>
          <w:rFonts w:ascii="Arial" w:hAnsi="Arial" w:eastAsia="Arial" w:cs="Arial"/>
          <w:b w:val="0"/>
          <w:bCs w:val="0"/>
          <w:i w:val="0"/>
          <w:iCs w:val="0"/>
          <w:caps w:val="0"/>
          <w:smallCaps w:val="0"/>
          <w:noProof w:val="0"/>
          <w:color w:val="000000" w:themeColor="text1" w:themeTint="FF" w:themeShade="FF"/>
          <w:sz w:val="24"/>
          <w:szCs w:val="24"/>
          <w:lang w:val="en-GB"/>
        </w:rPr>
        <w:t>key elements to the tort of negligence</w:t>
      </w: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w:t>
      </w:r>
    </w:p>
    <w:p w:rsidR="674D6171" w:rsidP="660B3404" w:rsidRDefault="674D6171" w14:paraId="16592F85" w14:textId="01B3F565">
      <w:pPr>
        <w:spacing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2.2   Identifying </w:t>
      </w:r>
      <w:r w:rsidRPr="660B3404" w:rsidR="32AACA1E">
        <w:rPr>
          <w:rFonts w:ascii="Arial" w:hAnsi="Arial" w:eastAsia="Arial" w:cs="Arial"/>
          <w:b w:val="0"/>
          <w:bCs w:val="0"/>
          <w:i w:val="0"/>
          <w:iCs w:val="0"/>
          <w:caps w:val="0"/>
          <w:smallCaps w:val="0"/>
          <w:noProof w:val="0"/>
          <w:color w:val="000000" w:themeColor="text1" w:themeTint="FF" w:themeShade="FF"/>
          <w:sz w:val="24"/>
          <w:szCs w:val="24"/>
          <w:lang w:val="en-GB"/>
        </w:rPr>
        <w:t>case law and how it can impact a project progression.</w:t>
      </w:r>
    </w:p>
    <w:p w:rsidR="674D6171" w:rsidP="660B3404" w:rsidRDefault="674D6171" w14:paraId="469F170E" w14:textId="4307E296">
      <w:pPr>
        <w:spacing w:after="240" w:line="360" w:lineRule="auto"/>
        <w:ind w:left="108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2.3   This report is due by December </w:t>
      </w:r>
      <w:r w:rsidRPr="660B3404" w:rsidR="0843B224">
        <w:rPr>
          <w:rFonts w:ascii="Arial" w:hAnsi="Arial" w:eastAsia="Arial" w:cs="Arial"/>
          <w:b w:val="0"/>
          <w:bCs w:val="0"/>
          <w:i w:val="0"/>
          <w:iCs w:val="0"/>
          <w:caps w:val="0"/>
          <w:smallCaps w:val="0"/>
          <w:noProof w:val="0"/>
          <w:color w:val="000000" w:themeColor="text1" w:themeTint="FF" w:themeShade="FF"/>
          <w:sz w:val="24"/>
          <w:szCs w:val="24"/>
          <w:lang w:val="en-GB"/>
        </w:rPr>
        <w:t>1st</w:t>
      </w: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2022.</w:t>
      </w:r>
    </w:p>
    <w:p w:rsidR="4B71873A" w:rsidP="660B3404" w:rsidRDefault="4B71873A" w14:paraId="44765FBB" w14:textId="5EEE8801">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660B3404" w:rsidRDefault="674D6171" w14:paraId="573511A1" w14:textId="75617C2B">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3.0</w:t>
      </w: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Procedure</w:t>
      </w:r>
    </w:p>
    <w:p w:rsidR="4B71873A" w:rsidP="660B3404" w:rsidRDefault="4B71873A" w14:paraId="37BE8CB1" w14:textId="03F5841E">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660B3404" w:rsidRDefault="674D6171" w14:paraId="2E2EC5C7" w14:textId="38D0012F">
      <w:pPr>
        <w:spacing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This section highlights the research methods used.</w:t>
      </w:r>
    </w:p>
    <w:p w:rsidR="674D6171" w:rsidP="660B3404" w:rsidRDefault="674D6171" w14:paraId="0F438D02" w14:textId="46FF994E">
      <w:pPr>
        <w:spacing w:after="240" w:line="360" w:lineRule="auto"/>
        <w:ind w:left="36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0B3404" w:rsidR="26412ADF">
        <w:rPr>
          <w:rFonts w:ascii="Arial" w:hAnsi="Arial" w:eastAsia="Arial" w:cs="Arial"/>
          <w:b w:val="0"/>
          <w:bCs w:val="0"/>
          <w:i w:val="0"/>
          <w:iCs w:val="0"/>
          <w:caps w:val="0"/>
          <w:smallCaps w:val="0"/>
          <w:noProof w:val="0"/>
          <w:color w:val="000000" w:themeColor="text1" w:themeTint="FF" w:themeShade="FF"/>
          <w:sz w:val="24"/>
          <w:szCs w:val="24"/>
          <w:lang w:val="en-GB"/>
        </w:rPr>
        <w:t>3.1 The</w:t>
      </w: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consists of different sources ranging from online websites,</w:t>
      </w:r>
      <w:r w:rsidRPr="660B3404" w:rsidR="7004D538">
        <w:rPr>
          <w:rFonts w:ascii="Arial" w:hAnsi="Arial" w:eastAsia="Arial" w:cs="Arial"/>
          <w:b w:val="0"/>
          <w:bCs w:val="0"/>
          <w:i w:val="0"/>
          <w:iCs w:val="0"/>
          <w:caps w:val="0"/>
          <w:smallCaps w:val="0"/>
          <w:noProof w:val="0"/>
          <w:color w:val="000000" w:themeColor="text1" w:themeTint="FF" w:themeShade="FF"/>
          <w:sz w:val="24"/>
          <w:szCs w:val="24"/>
          <w:lang w:val="en-GB"/>
        </w:rPr>
        <w:t xml:space="preserve"> blogs and</w:t>
      </w: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 information which is all set out on the bibliography and references. </w:t>
      </w:r>
    </w:p>
    <w:p w:rsidR="674D6171" w:rsidP="660B3404" w:rsidRDefault="674D6171" w14:paraId="50FBDDC2" w14:textId="1F4A0AD6">
      <w:pPr>
        <w:spacing w:after="240" w:line="360" w:lineRule="auto"/>
        <w:ind w:left="36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0B3404" w:rsidR="3CE34E23">
        <w:rPr>
          <w:rFonts w:ascii="Arial" w:hAnsi="Arial" w:eastAsia="Arial" w:cs="Arial"/>
          <w:b w:val="0"/>
          <w:bCs w:val="0"/>
          <w:i w:val="0"/>
          <w:iCs w:val="0"/>
          <w:caps w:val="0"/>
          <w:smallCaps w:val="0"/>
          <w:noProof w:val="0"/>
          <w:color w:val="000000" w:themeColor="text1" w:themeTint="FF" w:themeShade="FF"/>
          <w:sz w:val="24"/>
          <w:szCs w:val="24"/>
          <w:lang w:val="en-GB"/>
        </w:rPr>
        <w:t>3.2 Detailed</w:t>
      </w: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notes from online sources and extensive research. </w:t>
      </w:r>
    </w:p>
    <w:p w:rsidR="4B71873A" w:rsidP="660B3404" w:rsidRDefault="4B71873A" w14:paraId="07470BEA" w14:textId="55CD37DA">
      <w:pPr>
        <w:spacing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660B3404" w:rsidRDefault="674D6171" w14:paraId="4BFEB398" w14:textId="15CD2F0C">
      <w:pPr>
        <w:spacing w:after="24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4.0</w:t>
      </w: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Research</w:t>
      </w:r>
    </w:p>
    <w:p w:rsidR="674D6171" w:rsidP="660B3404" w:rsidRDefault="674D6171" w14:paraId="5F222C91" w14:textId="647CD0D7">
      <w:pPr>
        <w:pStyle w:val="Normal"/>
        <w:jc w:val="left"/>
        <w:rPr>
          <w:rFonts w:ascii="Calibri" w:hAnsi="Calibri" w:eastAsia="Calibri" w:cs="Calibri" w:asciiTheme="minorAscii" w:hAnsiTheme="minorAscii" w:eastAsiaTheme="minorAscii" w:cstheme="minorAscii"/>
          <w:color w:val="000000" w:themeColor="text1" w:themeTint="FF" w:themeShade="FF"/>
          <w:u w:val="single"/>
        </w:rPr>
      </w:pP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660B3404" w:rsidR="461F97D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660B3404" w:rsidR="674D6171">
        <w:rPr>
          <w:rFonts w:ascii="Calibri" w:hAnsi="Calibri" w:eastAsia="Calibri" w:cs="Calibri" w:asciiTheme="minorAscii" w:hAnsiTheme="minorAscii" w:eastAsiaTheme="minorAscii" w:cstheme="minorAscii"/>
          <w:color w:val="000000" w:themeColor="text1" w:themeTint="FF" w:themeShade="FF"/>
          <w:u w:val="single"/>
        </w:rPr>
        <w:t>Understanding the difference between civil and criminal disputes</w:t>
      </w:r>
    </w:p>
    <w:p w:rsidR="674D6171" w:rsidP="660B3404" w:rsidRDefault="674D6171" w14:paraId="0DA37167" w14:textId="73703271">
      <w:pPr>
        <w:pStyle w:val="Normal"/>
        <w:jc w:val="left"/>
        <w:rPr>
          <w:rFonts w:ascii="Calibri" w:hAnsi="Calibri" w:eastAsia="Calibri" w:cs="Calibri" w:asciiTheme="minorAscii" w:hAnsiTheme="minorAscii" w:eastAsiaTheme="minorAscii" w:cstheme="minorAscii"/>
          <w:color w:val="000000" w:themeColor="text1" w:themeTint="FF" w:themeShade="FF"/>
        </w:rPr>
      </w:pPr>
      <w:r w:rsidRPr="660B3404" w:rsidR="674D6171">
        <w:rPr>
          <w:rFonts w:ascii="Calibri" w:hAnsi="Calibri" w:eastAsia="Calibri" w:cs="Calibri" w:asciiTheme="minorAscii" w:hAnsiTheme="minorAscii" w:eastAsiaTheme="minorAscii" w:cstheme="minorAscii"/>
          <w:color w:val="000000" w:themeColor="text1" w:themeTint="FF" w:themeShade="FF"/>
        </w:rPr>
        <w:t xml:space="preserve">A common misconception by people in the construction industry is the understanding of a tort. Simply put it, a tort is a civil wrong and not a criminal act. </w:t>
      </w:r>
      <w:r w:rsidRPr="660B3404" w:rsidR="19A56A97">
        <w:rPr>
          <w:rFonts w:ascii="Calibri" w:hAnsi="Calibri" w:eastAsia="Calibri" w:cs="Calibri" w:asciiTheme="minorAscii" w:hAnsiTheme="minorAscii" w:eastAsiaTheme="minorAscii" w:cstheme="minorAscii"/>
          <w:color w:val="000000" w:themeColor="text1" w:themeTint="FF" w:themeShade="FF"/>
        </w:rPr>
        <w:t>A</w:t>
      </w:r>
      <w:r w:rsidRPr="660B3404" w:rsidR="674D6171">
        <w:rPr>
          <w:rFonts w:ascii="Calibri" w:hAnsi="Calibri" w:eastAsia="Calibri" w:cs="Calibri" w:asciiTheme="minorAscii" w:hAnsiTheme="minorAscii" w:eastAsiaTheme="minorAscii" w:cstheme="minorAscii"/>
          <w:color w:val="000000" w:themeColor="text1" w:themeTint="FF" w:themeShade="FF"/>
        </w:rPr>
        <w:t xml:space="preserve"> civil wrong is a dispute against a person and not </w:t>
      </w:r>
      <w:r w:rsidRPr="660B3404" w:rsidR="674D6171">
        <w:rPr>
          <w:rFonts w:ascii="Calibri" w:hAnsi="Calibri" w:eastAsia="Calibri" w:cs="Calibri" w:asciiTheme="minorAscii" w:hAnsiTheme="minorAscii" w:eastAsiaTheme="minorAscii" w:cstheme="minorAscii"/>
          <w:color w:val="000000" w:themeColor="text1" w:themeTint="FF" w:themeShade="FF"/>
        </w:rPr>
        <w:t>society, whereas a criminal dispute is the act against a society. However, a tort of negligence is only civil not criminal. Therefore, committing a tort is where the claimant suffers from damage or loss due to negligence. Tort cases typically involve compensation f</w:t>
      </w:r>
      <w:r w:rsidRPr="660B3404" w:rsidR="0024B833">
        <w:rPr>
          <w:rFonts w:ascii="Calibri" w:hAnsi="Calibri" w:eastAsia="Calibri" w:cs="Calibri" w:asciiTheme="minorAscii" w:hAnsiTheme="minorAscii" w:eastAsiaTheme="minorAscii" w:cstheme="minorAscii"/>
          <w:color w:val="000000" w:themeColor="text1" w:themeTint="FF" w:themeShade="FF"/>
        </w:rPr>
        <w:t>or</w:t>
      </w:r>
      <w:r w:rsidRPr="660B3404" w:rsidR="674D6171">
        <w:rPr>
          <w:rFonts w:ascii="Calibri" w:hAnsi="Calibri" w:eastAsia="Calibri" w:cs="Calibri" w:asciiTheme="minorAscii" w:hAnsiTheme="minorAscii" w:eastAsiaTheme="minorAscii" w:cstheme="minorAscii"/>
          <w:color w:val="000000" w:themeColor="text1" w:themeTint="FF" w:themeShade="FF"/>
        </w:rPr>
        <w:t xml:space="preserve"> the victim</w:t>
      </w:r>
      <w:r w:rsidRPr="660B3404" w:rsidR="2708F876">
        <w:rPr>
          <w:rFonts w:ascii="Calibri" w:hAnsi="Calibri" w:eastAsia="Calibri" w:cs="Calibri" w:asciiTheme="minorAscii" w:hAnsiTheme="minorAscii" w:eastAsiaTheme="minorAscii" w:cstheme="minorAscii"/>
          <w:color w:val="000000" w:themeColor="text1" w:themeTint="FF" w:themeShade="FF"/>
        </w:rPr>
        <w:t xml:space="preserve"> which </w:t>
      </w:r>
      <w:r w:rsidRPr="660B3404" w:rsidR="530DABA4">
        <w:rPr>
          <w:rFonts w:ascii="Calibri" w:hAnsi="Calibri" w:eastAsia="Calibri" w:cs="Calibri" w:asciiTheme="minorAscii" w:hAnsiTheme="minorAscii" w:eastAsiaTheme="minorAscii" w:cstheme="minorAscii"/>
          <w:color w:val="000000" w:themeColor="text1" w:themeTint="FF" w:themeShade="FF"/>
        </w:rPr>
        <w:t xml:space="preserve">is </w:t>
      </w:r>
      <w:r w:rsidRPr="660B3404" w:rsidR="2708F876">
        <w:rPr>
          <w:rFonts w:ascii="Calibri" w:hAnsi="Calibri" w:eastAsia="Calibri" w:cs="Calibri" w:asciiTheme="minorAscii" w:hAnsiTheme="minorAscii" w:eastAsiaTheme="minorAscii" w:cstheme="minorAscii"/>
          <w:color w:val="000000" w:themeColor="text1" w:themeTint="FF" w:themeShade="FF"/>
        </w:rPr>
        <w:t>caused</w:t>
      </w:r>
      <w:r w:rsidRPr="660B3404" w:rsidR="674D6171">
        <w:rPr>
          <w:rFonts w:ascii="Calibri" w:hAnsi="Calibri" w:eastAsia="Calibri" w:cs="Calibri" w:asciiTheme="minorAscii" w:hAnsiTheme="minorAscii" w:eastAsiaTheme="minorAscii" w:cstheme="minorAscii"/>
          <w:color w:val="000000" w:themeColor="text1" w:themeTint="FF" w:themeShade="FF"/>
        </w:rPr>
        <w:t xml:space="preserve"> </w:t>
      </w:r>
      <w:r w:rsidRPr="660B3404" w:rsidR="61683FF4">
        <w:rPr>
          <w:rFonts w:ascii="Calibri" w:hAnsi="Calibri" w:eastAsia="Calibri" w:cs="Calibri" w:asciiTheme="minorAscii" w:hAnsiTheme="minorAscii" w:eastAsiaTheme="minorAscii" w:cstheme="minorAscii"/>
          <w:color w:val="000000" w:themeColor="text1" w:themeTint="FF" w:themeShade="FF"/>
        </w:rPr>
        <w:t>by legal liability from</w:t>
      </w:r>
      <w:r w:rsidRPr="660B3404" w:rsidR="674D6171">
        <w:rPr>
          <w:rFonts w:ascii="Calibri" w:hAnsi="Calibri" w:eastAsia="Calibri" w:cs="Calibri" w:asciiTheme="minorAscii" w:hAnsiTheme="minorAscii" w:eastAsiaTheme="minorAscii" w:cstheme="minorAscii"/>
          <w:color w:val="000000" w:themeColor="text1" w:themeTint="FF" w:themeShade="FF"/>
        </w:rPr>
        <w:t xml:space="preserve"> the tortfeasor.</w:t>
      </w:r>
    </w:p>
    <w:p w:rsidR="4B71873A" w:rsidP="660B3404" w:rsidRDefault="4B71873A" w14:paraId="6727BA0A" w14:textId="6713B957">
      <w:pPr>
        <w:pStyle w:val="Normal"/>
        <w:jc w:val="left"/>
        <w:rPr>
          <w:rFonts w:ascii="Calibri" w:hAnsi="Calibri" w:eastAsia="Calibri" w:cs="Calibri" w:asciiTheme="minorAscii" w:hAnsiTheme="minorAscii" w:eastAsiaTheme="minorAscii" w:cstheme="minorAscii"/>
          <w:color w:val="000000" w:themeColor="text1" w:themeTint="FF" w:themeShade="FF"/>
        </w:rPr>
      </w:pPr>
    </w:p>
    <w:p w:rsidR="674D6171" w:rsidP="660B3404" w:rsidRDefault="674D6171" w14:paraId="00679AC4" w14:textId="574E60AC">
      <w:pPr>
        <w:pStyle w:val="Normal"/>
        <w:jc w:val="left"/>
        <w:rPr>
          <w:rFonts w:ascii="Calibri" w:hAnsi="Calibri" w:eastAsia="Calibri" w:cs="Calibri" w:asciiTheme="minorAscii" w:hAnsiTheme="minorAscii" w:eastAsiaTheme="minorAscii" w:cstheme="minorAscii"/>
          <w:color w:val="000000" w:themeColor="text1" w:themeTint="FF" w:themeShade="FF"/>
          <w:u w:val="single"/>
        </w:rPr>
      </w:pPr>
      <w:r w:rsidRPr="660B3404" w:rsidR="674D6171">
        <w:rPr>
          <w:rFonts w:ascii="Calibri" w:hAnsi="Calibri" w:eastAsia="Calibri" w:cs="Calibri" w:asciiTheme="minorAscii" w:hAnsiTheme="minorAscii" w:eastAsiaTheme="minorAscii" w:cstheme="minorAscii"/>
          <w:color w:val="000000" w:themeColor="text1" w:themeTint="FF" w:themeShade="FF"/>
          <w:u w:val="single"/>
        </w:rPr>
        <w:t>Negligence</w:t>
      </w:r>
    </w:p>
    <w:p w:rsidR="674D6171" w:rsidP="660B3404" w:rsidRDefault="674D6171" w14:paraId="4C5662AF" w14:textId="50022C34">
      <w:pPr>
        <w:pStyle w:val="Normal"/>
        <w:jc w:val="left"/>
        <w:rPr>
          <w:rFonts w:ascii="Calibri" w:hAnsi="Calibri" w:eastAsia="Calibri" w:cs="Calibri"/>
          <w:noProof w:val="0"/>
          <w:color w:val="000000" w:themeColor="text1" w:themeTint="FF" w:themeShade="FF"/>
          <w:sz w:val="22"/>
          <w:szCs w:val="22"/>
          <w:lang w:val="en-GB"/>
        </w:rPr>
      </w:pPr>
      <w:r w:rsidRPr="660B3404" w:rsidR="674D6171">
        <w:rPr>
          <w:rFonts w:ascii="Calibri" w:hAnsi="Calibri" w:eastAsia="Calibri" w:cs="Calibri" w:asciiTheme="minorAscii" w:hAnsiTheme="minorAscii" w:eastAsiaTheme="minorAscii" w:cstheme="minorAscii"/>
          <w:color w:val="000000" w:themeColor="text1" w:themeTint="FF" w:themeShade="FF"/>
          <w:u w:val="none"/>
        </w:rPr>
        <w:t>To establish a negligence claim it’s important for the victim to provide proof that the defendant owed them a duty of care. The law must acknowledge a relationship between the defendant and the claimant to further pursue the investigation. The judge must also identify if the defendant owed the plaintiff a duty of care and if they find the duty exists</w:t>
      </w:r>
      <w:r w:rsidRPr="660B3404" w:rsidR="26B4A9DC">
        <w:rPr>
          <w:rFonts w:ascii="Calibri" w:hAnsi="Calibri" w:eastAsia="Calibri" w:cs="Calibri" w:asciiTheme="minorAscii" w:hAnsiTheme="minorAscii" w:eastAsiaTheme="minorAscii" w:cstheme="minorAscii"/>
          <w:color w:val="000000" w:themeColor="text1" w:themeTint="FF" w:themeShade="FF"/>
          <w:u w:val="none"/>
        </w:rPr>
        <w:t>,</w:t>
      </w:r>
      <w:r w:rsidRPr="660B3404" w:rsidR="674D6171">
        <w:rPr>
          <w:rFonts w:ascii="Calibri" w:hAnsi="Calibri" w:eastAsia="Calibri" w:cs="Calibri" w:asciiTheme="minorAscii" w:hAnsiTheme="minorAscii" w:eastAsiaTheme="minorAscii" w:cstheme="minorAscii"/>
          <w:color w:val="000000" w:themeColor="text1" w:themeTint="FF" w:themeShade="FF"/>
          <w:u w:val="none"/>
        </w:rPr>
        <w:t xml:space="preserve"> then the defendant will be held liable for their actions. However, “you may not be successful in your negligence claim lawsuit if that negligence caused you no harm.” Therefore, duty of care would exist if a reasonable person was held responsible a</w:t>
      </w:r>
      <w:r w:rsidRPr="660B3404" w:rsidR="674D6171">
        <w:rPr>
          <w:color w:val="000000" w:themeColor="text1" w:themeTint="FF" w:themeShade="FF"/>
        </w:rPr>
        <w:t>nd the outcome was, they received harm or economic loss due the consequences of the negligence alleged</w:t>
      </w:r>
      <w:r w:rsidRPr="660B3404" w:rsidR="674D6171">
        <w:rPr>
          <w:color w:val="000000" w:themeColor="text1" w:themeTint="FF" w:themeShade="FF"/>
        </w:rPr>
        <w:t>.</w:t>
      </w:r>
      <w:r w:rsidRPr="660B3404" w:rsidR="674D6171">
        <w:rPr>
          <w:color w:val="000000" w:themeColor="text1" w:themeTint="FF" w:themeShade="FF"/>
        </w:rPr>
        <w:t xml:space="preserve"> </w:t>
      </w:r>
      <w:r w:rsidRPr="660B3404" w:rsidR="674D6171">
        <w:rPr>
          <w:rFonts w:ascii="Calibri" w:hAnsi="Calibri" w:eastAsia="Calibri" w:cs="Calibri" w:asciiTheme="minorAscii" w:hAnsiTheme="minorAscii" w:eastAsiaTheme="minorAscii" w:cstheme="minorAscii"/>
          <w:color w:val="000000" w:themeColor="text1" w:themeTint="FF" w:themeShade="FF"/>
          <w:u w:val="none"/>
        </w:rPr>
        <w:t xml:space="preserve"> An example of this in construction is when a construction team has a duty of care to construct a wall for the client. The wall constructed must be fit for purpose and if the project was deemed unsuccessful then the construction team would then be held liable for negligence</w:t>
      </w:r>
      <w:r w:rsidRPr="660B3404" w:rsidR="1DA616F5">
        <w:rPr>
          <w:rFonts w:ascii="Calibri" w:hAnsi="Calibri" w:eastAsia="Calibri" w:cs="Calibri" w:asciiTheme="minorAscii" w:hAnsiTheme="minorAscii" w:eastAsiaTheme="minorAscii" w:cstheme="minorAscii"/>
          <w:color w:val="000000" w:themeColor="text1" w:themeTint="FF" w:themeShade="FF"/>
          <w:u w:val="none"/>
        </w:rPr>
        <w:t xml:space="preserve"> as there was a breach of care</w:t>
      </w:r>
      <w:r w:rsidRPr="660B3404" w:rsidR="674D6171">
        <w:rPr>
          <w:rFonts w:ascii="Calibri" w:hAnsi="Calibri" w:eastAsia="Calibri" w:cs="Calibri" w:asciiTheme="minorAscii" w:hAnsiTheme="minorAscii" w:eastAsiaTheme="minorAscii" w:cstheme="minorAscii"/>
          <w:color w:val="000000" w:themeColor="text1" w:themeTint="FF" w:themeShade="FF"/>
          <w:u w:val="none"/>
        </w:rPr>
        <w:t xml:space="preserve">. </w:t>
      </w:r>
      <w:r w:rsidRPr="660B3404" w:rsidR="3DA99740">
        <w:rPr>
          <w:rFonts w:ascii="Calibri" w:hAnsi="Calibri" w:eastAsia="Calibri" w:cs="Calibri" w:asciiTheme="minorAscii" w:hAnsiTheme="minorAscii" w:eastAsiaTheme="minorAscii" w:cstheme="minorAscii"/>
          <w:color w:val="000000" w:themeColor="text1" w:themeTint="FF" w:themeShade="FF"/>
          <w:u w:val="none"/>
        </w:rPr>
        <w:t xml:space="preserve">This would result in </w:t>
      </w:r>
      <w:r w:rsidRPr="660B3404" w:rsidR="1F353DB2">
        <w:rPr>
          <w:rFonts w:ascii="Calibri" w:hAnsi="Calibri" w:eastAsia="Calibri" w:cs="Calibri" w:asciiTheme="minorAscii" w:hAnsiTheme="minorAscii" w:eastAsiaTheme="minorAscii" w:cstheme="minorAscii"/>
          <w:color w:val="000000" w:themeColor="text1" w:themeTint="FF" w:themeShade="FF"/>
          <w:u w:val="none"/>
        </w:rPr>
        <w:t xml:space="preserve">a </w:t>
      </w:r>
      <w:r w:rsidRPr="660B3404" w:rsidR="3DA99740">
        <w:rPr>
          <w:rFonts w:ascii="Calibri" w:hAnsi="Calibri" w:eastAsia="Calibri" w:cs="Calibri" w:asciiTheme="minorAscii" w:hAnsiTheme="minorAscii" w:eastAsiaTheme="minorAscii" w:cstheme="minorAscii"/>
          <w:color w:val="000000" w:themeColor="text1" w:themeTint="FF" w:themeShade="FF"/>
          <w:u w:val="none"/>
        </w:rPr>
        <w:t>court action</w:t>
      </w:r>
      <w:r w:rsidRPr="660B3404" w:rsidR="6183534C">
        <w:rPr>
          <w:rFonts w:ascii="Calibri" w:hAnsi="Calibri" w:eastAsia="Calibri" w:cs="Calibri" w:asciiTheme="minorAscii" w:hAnsiTheme="minorAscii" w:eastAsiaTheme="minorAscii" w:cstheme="minorAscii"/>
          <w:color w:val="000000" w:themeColor="text1" w:themeTint="FF" w:themeShade="FF"/>
          <w:u w:val="none"/>
        </w:rPr>
        <w:t xml:space="preserve">, where project progression will </w:t>
      </w:r>
      <w:r w:rsidRPr="660B3404" w:rsidR="48D3C1E5">
        <w:rPr>
          <w:rFonts w:ascii="Calibri" w:hAnsi="Calibri" w:eastAsia="Calibri" w:cs="Calibri" w:asciiTheme="minorAscii" w:hAnsiTheme="minorAscii" w:eastAsiaTheme="minorAscii" w:cstheme="minorAscii"/>
          <w:color w:val="000000" w:themeColor="text1" w:themeTint="FF" w:themeShade="FF"/>
          <w:u w:val="none"/>
        </w:rPr>
        <w:t>impede</w:t>
      </w:r>
      <w:r w:rsidRPr="660B3404" w:rsidR="3DA99740">
        <w:rPr>
          <w:rFonts w:ascii="Calibri" w:hAnsi="Calibri" w:eastAsia="Calibri" w:cs="Calibri" w:asciiTheme="minorAscii" w:hAnsiTheme="minorAscii" w:eastAsiaTheme="minorAscii" w:cstheme="minorAscii"/>
          <w:color w:val="000000" w:themeColor="text1" w:themeTint="FF" w:themeShade="FF"/>
          <w:u w:val="none"/>
        </w:rPr>
        <w:t>.</w:t>
      </w:r>
      <w:r w:rsidRPr="660B3404" w:rsidR="72452373">
        <w:rPr>
          <w:rFonts w:ascii="Calibri" w:hAnsi="Calibri" w:eastAsia="Calibri" w:cs="Calibri" w:asciiTheme="minorAscii" w:hAnsiTheme="minorAscii" w:eastAsiaTheme="minorAscii" w:cstheme="minorAscii"/>
          <w:color w:val="000000" w:themeColor="text1" w:themeTint="FF" w:themeShade="FF"/>
          <w:u w:val="none"/>
        </w:rPr>
        <w:t xml:space="preserve"> </w:t>
      </w:r>
      <w:r w:rsidRPr="660B3404" w:rsidR="674D6171">
        <w:rPr>
          <w:rFonts w:ascii="Calibri" w:hAnsi="Calibri" w:eastAsia="Calibri" w:cs="Calibri" w:asciiTheme="minorAscii" w:hAnsiTheme="minorAscii" w:eastAsiaTheme="minorAscii" w:cstheme="minorAscii"/>
          <w:color w:val="000000" w:themeColor="text1" w:themeTint="FF" w:themeShade="FF"/>
          <w:u w:val="none"/>
        </w:rPr>
        <w:t>The Defective Premises Act 1972 ensures construction workers are</w:t>
      </w:r>
      <w:r w:rsidRPr="660B3404" w:rsidR="556033A0">
        <w:rPr>
          <w:rFonts w:ascii="Calibri" w:hAnsi="Calibri" w:eastAsia="Calibri" w:cs="Calibri" w:asciiTheme="minorAscii" w:hAnsiTheme="minorAscii" w:eastAsiaTheme="minorAscii" w:cstheme="minorAscii"/>
          <w:color w:val="000000" w:themeColor="text1" w:themeTint="FF" w:themeShade="FF"/>
          <w:u w:val="none"/>
        </w:rPr>
        <w:t xml:space="preserve"> to</w:t>
      </w:r>
      <w:r w:rsidRPr="660B3404" w:rsidR="674D6171">
        <w:rPr>
          <w:rFonts w:ascii="Calibri" w:hAnsi="Calibri" w:eastAsia="Calibri" w:cs="Calibri" w:asciiTheme="minorAscii" w:hAnsiTheme="minorAscii" w:eastAsiaTheme="minorAscii" w:cstheme="minorAscii"/>
          <w:color w:val="000000" w:themeColor="text1" w:themeTint="FF" w:themeShade="FF"/>
          <w:u w:val="none"/>
        </w:rPr>
        <w:t xml:space="preserve"> </w:t>
      </w:r>
      <w:r w:rsidRPr="660B3404" w:rsidR="674D6171">
        <w:rPr>
          <w:rFonts w:ascii="Calibri" w:hAnsi="Calibri" w:eastAsia="Calibri" w:cs="Calibri" w:asciiTheme="minorAscii" w:hAnsiTheme="minorAscii" w:eastAsiaTheme="minorAscii" w:cstheme="minorAscii"/>
          <w:color w:val="000000" w:themeColor="text1" w:themeTint="FF" w:themeShade="FF"/>
          <w:u w:val="none"/>
        </w:rPr>
        <w:t>comply with standards and building regulations where if the “</w:t>
      </w:r>
      <w:r w:rsidRPr="660B3404" w:rsidR="674D6171">
        <w:rPr>
          <w:rFonts w:ascii="Calibri" w:hAnsi="Calibri" w:eastAsia="Calibri" w:cs="Calibri"/>
          <w:b w:val="0"/>
          <w:bCs w:val="0"/>
          <w:i w:val="0"/>
          <w:iCs w:val="0"/>
          <w:caps w:val="0"/>
          <w:smallCaps w:val="0"/>
          <w:noProof w:val="0"/>
          <w:color w:val="000000" w:themeColor="text1" w:themeTint="FF" w:themeShade="FF"/>
          <w:sz w:val="22"/>
          <w:szCs w:val="22"/>
          <w:lang w:val="en-GB"/>
        </w:rPr>
        <w:t>developers and landlords fail to comply, it is known as a breach of statutory duty.”</w:t>
      </w:r>
    </w:p>
    <w:p w:rsidR="4B71873A" w:rsidP="660B3404" w:rsidRDefault="4B71873A" w14:paraId="7F8AA751" w14:textId="53A64CE1">
      <w:pPr>
        <w:pStyle w:val="Normal"/>
        <w:jc w:val="left"/>
        <w:rPr>
          <w:rFonts w:ascii="Calibri" w:hAnsi="Calibri" w:eastAsia="Calibri" w:cs="Calibri" w:asciiTheme="minorAscii" w:hAnsiTheme="minorAscii" w:eastAsiaTheme="minorAscii" w:cstheme="minorAscii"/>
          <w:color w:val="000000" w:themeColor="text1" w:themeTint="FF" w:themeShade="FF"/>
          <w:u w:val="none"/>
        </w:rPr>
      </w:pPr>
    </w:p>
    <w:p w:rsidR="674D6171" w:rsidP="660B3404" w:rsidRDefault="674D6171" w14:paraId="15318029" w14:textId="2785FF0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0B3404" w:rsidR="674D6171">
        <w:rPr>
          <w:rFonts w:ascii="Calibri" w:hAnsi="Calibri" w:eastAsia="Calibri" w:cs="Calibri" w:asciiTheme="minorAscii" w:hAnsiTheme="minorAscii" w:eastAsiaTheme="minorAscii" w:cstheme="minorAscii"/>
          <w:color w:val="000000" w:themeColor="text1" w:themeTint="FF" w:themeShade="FF"/>
          <w:u w:val="none"/>
        </w:rPr>
        <w:t>Standard of care is also an important element to negligence where certain circumstances can lower the standard of care. This can be determined by a vulnerable person or child where the standard</w:t>
      </w:r>
      <w:r w:rsidRPr="660B3404" w:rsidR="0256BBAE">
        <w:rPr>
          <w:rFonts w:ascii="Calibri" w:hAnsi="Calibri" w:eastAsia="Calibri" w:cs="Calibri" w:asciiTheme="minorAscii" w:hAnsiTheme="minorAscii" w:eastAsiaTheme="minorAscii" w:cstheme="minorAscii"/>
          <w:color w:val="000000" w:themeColor="text1" w:themeTint="FF" w:themeShade="FF"/>
          <w:u w:val="none"/>
        </w:rPr>
        <w:t xml:space="preserve"> of care</w:t>
      </w:r>
      <w:r w:rsidRPr="660B3404" w:rsidR="674D6171">
        <w:rPr>
          <w:rFonts w:ascii="Calibri" w:hAnsi="Calibri" w:eastAsia="Calibri" w:cs="Calibri" w:asciiTheme="minorAscii" w:hAnsiTheme="minorAscii" w:eastAsiaTheme="minorAscii" w:cstheme="minorAscii"/>
          <w:color w:val="000000" w:themeColor="text1" w:themeTint="FF" w:themeShade="FF"/>
          <w:u w:val="none"/>
        </w:rPr>
        <w:t xml:space="preserve"> isn’t as high in comparison to a reasonable person.</w:t>
      </w:r>
      <w:r w:rsidRPr="660B3404" w:rsidR="7FAEBF2A">
        <w:rPr>
          <w:rFonts w:ascii="Calibri" w:hAnsi="Calibri" w:eastAsia="Calibri" w:cs="Calibri" w:asciiTheme="minorAscii" w:hAnsiTheme="minorAscii" w:eastAsiaTheme="minorAscii" w:cstheme="minorAscii"/>
          <w:color w:val="000000" w:themeColor="text1" w:themeTint="FF" w:themeShade="FF"/>
          <w:u w:val="none"/>
        </w:rPr>
        <w:t xml:space="preserve"> For example, in </w:t>
      </w:r>
      <w:r w:rsidRPr="660B3404" w:rsidR="2EDE7B11">
        <w:rPr>
          <w:rFonts w:ascii="Calibri" w:hAnsi="Calibri" w:eastAsia="Calibri" w:cs="Calibri" w:asciiTheme="minorAscii" w:hAnsiTheme="minorAscii" w:eastAsiaTheme="minorAscii" w:cstheme="minorAscii"/>
          <w:color w:val="000000" w:themeColor="text1" w:themeTint="FF" w:themeShade="FF"/>
          <w:u w:val="none"/>
        </w:rPr>
        <w:t>construction</w:t>
      </w:r>
      <w:r w:rsidRPr="660B3404" w:rsidR="674D6171">
        <w:rPr>
          <w:rFonts w:ascii="Calibri" w:hAnsi="Calibri" w:eastAsia="Calibri" w:cs="Calibri" w:asciiTheme="minorAscii" w:hAnsiTheme="minorAscii" w:eastAsiaTheme="minorAscii" w:cstheme="minorAscii"/>
          <w:color w:val="000000" w:themeColor="text1" w:themeTint="FF" w:themeShade="FF"/>
          <w:u w:val="none"/>
        </w:rPr>
        <w:t xml:space="preserve"> </w:t>
      </w:r>
      <w:r w:rsidRPr="660B3404" w:rsidR="14DB0129">
        <w:rPr>
          <w:rFonts w:ascii="Calibri" w:hAnsi="Calibri" w:eastAsia="Calibri" w:cs="Calibri" w:asciiTheme="minorAscii" w:hAnsiTheme="minorAscii" w:eastAsiaTheme="minorAscii" w:cstheme="minorAscii"/>
          <w:color w:val="000000" w:themeColor="text1" w:themeTint="FF" w:themeShade="FF"/>
          <w:u w:val="none"/>
        </w:rPr>
        <w:t>t</w:t>
      </w:r>
      <w:r w:rsidRPr="660B3404" w:rsidR="674D6171">
        <w:rPr>
          <w:rFonts w:ascii="Calibri" w:hAnsi="Calibri" w:eastAsia="Calibri" w:cs="Calibri" w:asciiTheme="minorAscii" w:hAnsiTheme="minorAscii" w:eastAsiaTheme="minorAscii" w:cstheme="minorAscii"/>
          <w:color w:val="000000" w:themeColor="text1" w:themeTint="FF" w:themeShade="FF"/>
          <w:u w:val="none"/>
        </w:rPr>
        <w:t>he “</w:t>
      </w:r>
      <w:r w:rsidRPr="660B3404" w:rsidR="674D61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PPER 1992 places a duty on every employer in Great Britain to ensure that suitable PPE is provided to 'employees' who may be exposed to a risk to their health or safety while at work.” In essence, it’s prudent to provide PPE gear to all employees. However, if an experienced professional entered the site, then the standard of care would be lower as the experienced individual has most likely brought their own PPE equipment. On the other hand, if a group of children from a school trip entered the site, the standard of care would increase as children are far more likely to be harmed or injured in contrast to an experienced professional. Ultimately, it’s important to observe the standard of care in individuals when discussing the tort of negligence.</w:t>
      </w:r>
    </w:p>
    <w:p w:rsidR="4B71873A" w:rsidP="660B3404" w:rsidRDefault="4B71873A" w14:paraId="5235E694" w14:textId="3F8041E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4D6171" w:rsidP="660B3404" w:rsidRDefault="674D6171" w14:paraId="6FC5B042" w14:textId="5BF022B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0B3404" w:rsidR="674D61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breach of care occurs when an individual/responsible team has a duty of care to another individual. If the duty of care is broken, then the individual/responsible team has failed to comply with standards resulting in a breach of care. Breach of care can be judged and determined by a jury to see if a person is held liable for negligence. Damage is also an element to consider for negligence. Damage must be caused in any form such as physical, nominal damages, compensatory damages or punitive damages. By law, you must report an i</w:t>
      </w:r>
      <w:r w:rsidRPr="660B3404" w:rsidR="414A59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nci</w:t>
      </w:r>
      <w:r w:rsidRPr="660B3404" w:rsidR="674D61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dent within a reasonable time and not 10 years later. Courts are very strict about this limitation period and therefore the case must be presented to the court within "six years from the date of the negligent act.” In addition to this, the damages presented to the court must have </w:t>
      </w:r>
      <w:r w:rsidRPr="660B3404" w:rsidR="7988A8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direct </w:t>
      </w:r>
      <w:r w:rsidRPr="660B3404" w:rsidR="674D61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relation to the incident or else the investigation won’t have any relevance to the damages.</w:t>
      </w:r>
      <w:r w:rsidRPr="660B3404" w:rsidR="154E86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60B3404" w:rsidR="674D61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However, if the damages were caused by a chain of events and wasn’t overseen ahead of time then this could potentially </w:t>
      </w:r>
      <w:r w:rsidRPr="660B3404" w:rsidR="10BED0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 project </w:t>
      </w:r>
      <w:r w:rsidRPr="660B3404" w:rsidR="10BED0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progression.</w:t>
      </w:r>
    </w:p>
    <w:p w:rsidR="4B71873A" w:rsidP="660B3404" w:rsidRDefault="4B71873A" w14:paraId="2B40CA8A" w14:textId="6C78CF9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B71873A" w:rsidP="660B3404" w:rsidRDefault="4B71873A" w14:paraId="37D454E1" w14:textId="2F35C4B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660B3404" w:rsidR="086287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 xml:space="preserve">Case Law and </w:t>
      </w:r>
      <w:r w:rsidRPr="660B3404" w:rsidR="086287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its</w:t>
      </w:r>
      <w:r w:rsidRPr="660B3404" w:rsidR="086287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 xml:space="preserve"> relevance to the construction industry</w:t>
      </w:r>
    </w:p>
    <w:p w:rsidR="674D6171" w:rsidP="660B3404" w:rsidRDefault="674D6171" w14:paraId="34FAE212" w14:textId="14637EB6">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60B3404" w:rsidR="674D6171">
        <w:rPr>
          <w:color w:val="000000" w:themeColor="text1" w:themeTint="FF" w:themeShade="FF"/>
        </w:rPr>
        <w:t xml:space="preserve">An important </w:t>
      </w:r>
      <w:r w:rsidRPr="660B3404" w:rsidR="15024369">
        <w:rPr>
          <w:color w:val="000000" w:themeColor="text1" w:themeTint="FF" w:themeShade="FF"/>
        </w:rPr>
        <w:t>cas</w:t>
      </w:r>
      <w:r w:rsidRPr="660B3404" w:rsidR="674D6171">
        <w:rPr>
          <w:color w:val="000000" w:themeColor="text1" w:themeTint="FF" w:themeShade="FF"/>
        </w:rPr>
        <w:t>e</w:t>
      </w:r>
      <w:r w:rsidRPr="660B3404" w:rsidR="6FCFFD89">
        <w:rPr>
          <w:color w:val="000000" w:themeColor="text1" w:themeTint="FF" w:themeShade="FF"/>
        </w:rPr>
        <w:t xml:space="preserve"> law</w:t>
      </w:r>
      <w:r w:rsidRPr="660B3404" w:rsidR="674D6171">
        <w:rPr>
          <w:color w:val="000000" w:themeColor="text1" w:themeTint="FF" w:themeShade="FF"/>
        </w:rPr>
        <w:t xml:space="preserve"> </w:t>
      </w:r>
      <w:r w:rsidRPr="660B3404" w:rsidR="6732C6F2">
        <w:rPr>
          <w:color w:val="000000" w:themeColor="text1" w:themeTint="FF" w:themeShade="FF"/>
        </w:rPr>
        <w:t xml:space="preserve">for the construction industry is the </w:t>
      </w:r>
      <w:r w:rsidRPr="660B3404" w:rsidR="674D6171">
        <w:rPr>
          <w:color w:val="000000" w:themeColor="text1" w:themeTint="FF" w:themeShade="FF"/>
        </w:rPr>
        <w:t xml:space="preserve">Donoghue V Stenson 1932. </w:t>
      </w:r>
      <w:r w:rsidRPr="660B3404" w:rsidR="51569F4F">
        <w:rPr>
          <w:color w:val="000000" w:themeColor="text1" w:themeTint="FF" w:themeShade="FF"/>
        </w:rPr>
        <w:t xml:space="preserve">Where </w:t>
      </w:r>
      <w:r w:rsidRPr="660B3404" w:rsidR="674D6171">
        <w:rPr>
          <w:color w:val="000000" w:themeColor="text1" w:themeTint="FF" w:themeShade="FF"/>
        </w:rPr>
        <w:t xml:space="preserve">Mrs Donoghue </w:t>
      </w:r>
      <w:r w:rsidRPr="660B3404" w:rsidR="3FF2F516">
        <w:rPr>
          <w:color w:val="000000" w:themeColor="text1" w:themeTint="FF" w:themeShade="FF"/>
        </w:rPr>
        <w:t>purchased an</w:t>
      </w:r>
      <w:r w:rsidRPr="660B3404" w:rsidR="674D6171">
        <w:rPr>
          <w:color w:val="000000" w:themeColor="text1" w:themeTint="FF" w:themeShade="FF"/>
        </w:rPr>
        <w:t xml:space="preserve"> ice cream and a ginger</w:t>
      </w:r>
      <w:r w:rsidRPr="660B3404" w:rsidR="651F317A">
        <w:rPr>
          <w:color w:val="000000" w:themeColor="text1" w:themeTint="FF" w:themeShade="FF"/>
        </w:rPr>
        <w:t xml:space="preserve"> beer</w:t>
      </w:r>
      <w:r w:rsidRPr="660B3404" w:rsidR="674D6171">
        <w:rPr>
          <w:color w:val="000000" w:themeColor="text1" w:themeTint="FF" w:themeShade="FF"/>
        </w:rPr>
        <w:t xml:space="preserve"> that contained the remains of a decomposed snail. She “</w:t>
      </w:r>
      <w:r w:rsidRPr="660B3404" w:rsidR="674D6171">
        <w:rPr>
          <w:rFonts w:ascii="Calibri" w:hAnsi="Calibri" w:eastAsia="Calibri" w:cs="Calibri"/>
          <w:b w:val="0"/>
          <w:bCs w:val="0"/>
          <w:i w:val="0"/>
          <w:iCs w:val="0"/>
          <w:caps w:val="0"/>
          <w:smallCaps w:val="0"/>
          <w:noProof w:val="0"/>
          <w:color w:val="000000" w:themeColor="text1" w:themeTint="FF" w:themeShade="FF"/>
          <w:sz w:val="22"/>
          <w:szCs w:val="22"/>
          <w:lang w:val="en-GB"/>
        </w:rPr>
        <w:t>suffered from personal injury due to this and proceeded to claim against the manufacturer which was successful and resulted in the establishment of the modern law of negligence and the neighbour test.” This incident of case law also resulted in the fundam</w:t>
      </w:r>
      <w:r w:rsidRPr="660B3404" w:rsidR="674D6171">
        <w:rPr>
          <w:rFonts w:ascii="Calibri" w:hAnsi="Calibri" w:eastAsia="Calibri" w:cs="Calibri"/>
          <w:b w:val="0"/>
          <w:bCs w:val="0"/>
          <w:i w:val="0"/>
          <w:iCs w:val="0"/>
          <w:caps w:val="0"/>
          <w:smallCaps w:val="0"/>
          <w:noProof w:val="0"/>
          <w:color w:val="000000" w:themeColor="text1" w:themeTint="FF" w:themeShade="FF"/>
          <w:sz w:val="22"/>
          <w:szCs w:val="22"/>
          <w:lang w:val="en-GB"/>
        </w:rPr>
        <w:t>ental principle of the duty of care from Stevenson not being able to provide clean glasses for his customers</w:t>
      </w:r>
      <w:r w:rsidRPr="660B3404" w:rsidR="674D61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Ultimately, the judges </w:t>
      </w:r>
      <w:r w:rsidRPr="660B3404" w:rsidR="0CB4AF38">
        <w:rPr>
          <w:rFonts w:ascii="Calibri" w:hAnsi="Calibri" w:eastAsia="Calibri" w:cs="Calibri"/>
          <w:b w:val="0"/>
          <w:bCs w:val="0"/>
          <w:i w:val="0"/>
          <w:iCs w:val="0"/>
          <w:caps w:val="0"/>
          <w:smallCaps w:val="0"/>
          <w:noProof w:val="0"/>
          <w:color w:val="000000" w:themeColor="text1" w:themeTint="FF" w:themeShade="FF"/>
          <w:sz w:val="22"/>
          <w:szCs w:val="22"/>
          <w:lang w:val="en-GB"/>
        </w:rPr>
        <w:t>altered</w:t>
      </w:r>
      <w:r w:rsidRPr="660B3404" w:rsidR="674D61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one of the ten commandments from ‘thy shall not kill’ to ‘thy shall not harm neighbour’. </w:t>
      </w:r>
      <w:r w:rsidRPr="660B3404" w:rsidR="2C245970">
        <w:rPr>
          <w:rFonts w:ascii="Calibri" w:hAnsi="Calibri" w:eastAsia="Calibri" w:cs="Calibri"/>
          <w:b w:val="0"/>
          <w:bCs w:val="0"/>
          <w:i w:val="0"/>
          <w:iCs w:val="0"/>
          <w:caps w:val="0"/>
          <w:smallCaps w:val="0"/>
          <w:noProof w:val="0"/>
          <w:color w:val="000000" w:themeColor="text1" w:themeTint="FF" w:themeShade="FF"/>
          <w:sz w:val="22"/>
          <w:szCs w:val="22"/>
          <w:lang w:val="en-GB"/>
        </w:rPr>
        <w:t>Where t</w:t>
      </w:r>
      <w:r w:rsidRPr="660B3404" w:rsidR="674D6171">
        <w:rPr>
          <w:rFonts w:ascii="Calibri" w:hAnsi="Calibri" w:eastAsia="Calibri" w:cs="Calibri"/>
          <w:b w:val="0"/>
          <w:bCs w:val="0"/>
          <w:i w:val="0"/>
          <w:iCs w:val="0"/>
          <w:caps w:val="0"/>
          <w:smallCaps w:val="0"/>
          <w:noProof w:val="0"/>
          <w:color w:val="000000" w:themeColor="text1" w:themeTint="FF" w:themeShade="FF"/>
          <w:sz w:val="22"/>
          <w:szCs w:val="22"/>
          <w:lang w:val="en-GB"/>
        </w:rPr>
        <w:t>he law states that the neighbour is classed as directly affected by someone within proximity e.g., purchased and consumed a drink</w:t>
      </w:r>
      <w:r w:rsidRPr="660B3404" w:rsidR="4892BF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from a local shop</w:t>
      </w:r>
      <w:r w:rsidRPr="660B3404" w:rsidR="674D6171">
        <w:rPr>
          <w:rFonts w:ascii="Calibri" w:hAnsi="Calibri" w:eastAsia="Calibri" w:cs="Calibri"/>
          <w:b w:val="0"/>
          <w:bCs w:val="0"/>
          <w:i w:val="0"/>
          <w:iCs w:val="0"/>
          <w:caps w:val="0"/>
          <w:smallCaps w:val="0"/>
          <w:noProof w:val="0"/>
          <w:color w:val="000000" w:themeColor="text1" w:themeTint="FF" w:themeShade="FF"/>
          <w:sz w:val="22"/>
          <w:szCs w:val="22"/>
          <w:lang w:val="en-GB"/>
        </w:rPr>
        <w:t>. The proximity requirement requires one person to cause another</w:t>
      </w:r>
      <w:r w:rsidRPr="660B3404" w:rsidR="482D65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person</w:t>
      </w:r>
      <w:r w:rsidRPr="660B3404" w:rsidR="674D61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harm in close relation. Therefore, there must be reasonable foreseeability of lose and a sufficient relationship of proximity between the defendant and claimant to cause negligence.</w:t>
      </w:r>
      <w:r w:rsidRPr="660B3404" w:rsidR="230074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can b</w:t>
      </w:r>
      <w:r w:rsidRPr="660B3404" w:rsidR="6E7172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 effectively used in the construction industry </w:t>
      </w:r>
      <w:r w:rsidRPr="660B3404" w:rsidR="3A487976">
        <w:rPr>
          <w:rFonts w:ascii="Calibri" w:hAnsi="Calibri" w:eastAsia="Calibri" w:cs="Calibri"/>
          <w:b w:val="0"/>
          <w:bCs w:val="0"/>
          <w:i w:val="0"/>
          <w:iCs w:val="0"/>
          <w:caps w:val="0"/>
          <w:smallCaps w:val="0"/>
          <w:noProof w:val="0"/>
          <w:color w:val="000000" w:themeColor="text1" w:themeTint="FF" w:themeShade="FF"/>
          <w:sz w:val="22"/>
          <w:szCs w:val="22"/>
          <w:lang w:val="en-GB"/>
        </w:rPr>
        <w:t>to determine if there was sufficient relation between loss or damages at a construction site. If found responsible</w:t>
      </w:r>
      <w:r w:rsidRPr="660B3404" w:rsidR="13B887CD">
        <w:rPr>
          <w:rFonts w:ascii="Calibri" w:hAnsi="Calibri" w:eastAsia="Calibri" w:cs="Calibri"/>
          <w:b w:val="0"/>
          <w:bCs w:val="0"/>
          <w:i w:val="0"/>
          <w:iCs w:val="0"/>
          <w:caps w:val="0"/>
          <w:smallCaps w:val="0"/>
          <w:noProof w:val="0"/>
          <w:color w:val="000000" w:themeColor="text1" w:themeTint="FF" w:themeShade="FF"/>
          <w:sz w:val="22"/>
          <w:szCs w:val="22"/>
          <w:lang w:val="en-GB"/>
        </w:rPr>
        <w:t>, then the party is held liable for breaching their care of duty.</w:t>
      </w:r>
    </w:p>
    <w:p w:rsidR="4D031CA4" w:rsidP="660B3404" w:rsidRDefault="4D031CA4" w14:paraId="1E90ABE1" w14:textId="0310EF04">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60B3404" w:rsidR="4D031CA4">
        <w:rPr>
          <w:rFonts w:ascii="Calibri" w:hAnsi="Calibri" w:eastAsia="Calibri" w:cs="Calibri"/>
          <w:b w:val="0"/>
          <w:bCs w:val="0"/>
          <w:i w:val="0"/>
          <w:iCs w:val="0"/>
          <w:caps w:val="0"/>
          <w:smallCaps w:val="0"/>
          <w:noProof w:val="0"/>
          <w:color w:val="000000" w:themeColor="text1" w:themeTint="FF" w:themeShade="FF"/>
          <w:sz w:val="22"/>
          <w:szCs w:val="22"/>
          <w:lang w:val="en-GB"/>
        </w:rPr>
        <w:t>The development of duty of care in the Donoghue V Stenson 1932 case is a staple for</w:t>
      </w:r>
      <w:r w:rsidRPr="660B3404" w:rsidR="50F7C1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w:t>
      </w:r>
      <w:r w:rsidRPr="660B3404" w:rsidR="50F7C16D">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660B3404" w:rsidR="50F7C1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century</w:t>
      </w:r>
      <w:r w:rsidRPr="660B3404" w:rsidR="4D031C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construction </w:t>
      </w:r>
      <w:r w:rsidRPr="660B3404" w:rsidR="40A7940F">
        <w:rPr>
          <w:rFonts w:ascii="Calibri" w:hAnsi="Calibri" w:eastAsia="Calibri" w:cs="Calibri"/>
          <w:b w:val="0"/>
          <w:bCs w:val="0"/>
          <w:i w:val="0"/>
          <w:iCs w:val="0"/>
          <w:caps w:val="0"/>
          <w:smallCaps w:val="0"/>
          <w:noProof w:val="0"/>
          <w:color w:val="000000" w:themeColor="text1" w:themeTint="FF" w:themeShade="FF"/>
          <w:sz w:val="22"/>
          <w:szCs w:val="22"/>
          <w:lang w:val="en-GB"/>
        </w:rPr>
        <w:t>standards</w:t>
      </w:r>
      <w:r w:rsidRPr="660B3404" w:rsidR="4D031C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0B3404" w:rsidR="763209E0">
        <w:rPr>
          <w:rFonts w:ascii="Calibri" w:hAnsi="Calibri" w:eastAsia="Calibri" w:cs="Calibri"/>
          <w:b w:val="0"/>
          <w:bCs w:val="0"/>
          <w:i w:val="0"/>
          <w:iCs w:val="0"/>
          <w:caps w:val="0"/>
          <w:smallCaps w:val="0"/>
          <w:noProof w:val="0"/>
          <w:color w:val="000000" w:themeColor="text1" w:themeTint="FF" w:themeShade="FF"/>
          <w:sz w:val="22"/>
          <w:szCs w:val="22"/>
          <w:lang w:val="en-GB"/>
        </w:rPr>
        <w:t>From this case, c</w:t>
      </w:r>
      <w:r w:rsidRPr="660B3404" w:rsidR="53EDE52A">
        <w:rPr>
          <w:rFonts w:ascii="Calibri" w:hAnsi="Calibri" w:eastAsia="Calibri" w:cs="Calibri"/>
          <w:b w:val="0"/>
          <w:bCs w:val="0"/>
          <w:i w:val="0"/>
          <w:iCs w:val="0"/>
          <w:caps w:val="0"/>
          <w:smallCaps w:val="0"/>
          <w:noProof w:val="0"/>
          <w:color w:val="000000" w:themeColor="text1" w:themeTint="FF" w:themeShade="FF"/>
          <w:sz w:val="22"/>
          <w:szCs w:val="22"/>
          <w:lang w:val="en-GB"/>
        </w:rPr>
        <w:t>ontractors and consultants are</w:t>
      </w:r>
      <w:r w:rsidRPr="660B3404" w:rsidR="2B442A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required</w:t>
      </w:r>
      <w:r w:rsidRPr="660B3404" w:rsidR="53EDE5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owe their clients a duty of care </w:t>
      </w:r>
      <w:r w:rsidRPr="660B3404" w:rsidR="50B37D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they’re obligated to </w:t>
      </w:r>
      <w:r w:rsidRPr="660B3404" w:rsidR="5463DE32">
        <w:rPr>
          <w:rFonts w:ascii="Calibri" w:hAnsi="Calibri" w:eastAsia="Calibri" w:cs="Calibri"/>
          <w:b w:val="0"/>
          <w:bCs w:val="0"/>
          <w:i w:val="0"/>
          <w:iCs w:val="0"/>
          <w:caps w:val="0"/>
          <w:smallCaps w:val="0"/>
          <w:noProof w:val="0"/>
          <w:color w:val="000000" w:themeColor="text1" w:themeTint="FF" w:themeShade="FF"/>
          <w:sz w:val="22"/>
          <w:szCs w:val="22"/>
          <w:lang w:val="en-GB"/>
        </w:rPr>
        <w:t>ensure that the project is fit for purpose.</w:t>
      </w:r>
      <w:r w:rsidRPr="660B3404" w:rsidR="1F710E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0B3404" w:rsidR="169B65F1">
        <w:rPr>
          <w:rFonts w:ascii="Calibri" w:hAnsi="Calibri" w:eastAsia="Calibri" w:cs="Calibri"/>
          <w:b w:val="0"/>
          <w:bCs w:val="0"/>
          <w:i w:val="0"/>
          <w:iCs w:val="0"/>
          <w:caps w:val="0"/>
          <w:smallCaps w:val="0"/>
          <w:noProof w:val="0"/>
          <w:color w:val="000000" w:themeColor="text1" w:themeTint="FF" w:themeShade="FF"/>
          <w:sz w:val="22"/>
          <w:szCs w:val="22"/>
          <w:lang w:val="en-GB"/>
        </w:rPr>
        <w:t>Fundamentally, t</w:t>
      </w:r>
      <w:r w:rsidRPr="660B3404" w:rsidR="36C4C136">
        <w:rPr>
          <w:rFonts w:ascii="Calibri" w:hAnsi="Calibri" w:eastAsia="Calibri" w:cs="Calibri"/>
          <w:b w:val="0"/>
          <w:bCs w:val="0"/>
          <w:i w:val="0"/>
          <w:iCs w:val="0"/>
          <w:caps w:val="0"/>
          <w:smallCaps w:val="0"/>
          <w:noProof w:val="0"/>
          <w:color w:val="000000" w:themeColor="text1" w:themeTint="FF" w:themeShade="FF"/>
          <w:sz w:val="22"/>
          <w:szCs w:val="22"/>
          <w:lang w:val="en-GB"/>
        </w:rPr>
        <w:t>he cont</w:t>
      </w:r>
      <w:r w:rsidRPr="660B3404" w:rsidR="3EDD8E49">
        <w:rPr>
          <w:rFonts w:ascii="Calibri" w:hAnsi="Calibri" w:eastAsia="Calibri" w:cs="Calibri"/>
          <w:b w:val="0"/>
          <w:bCs w:val="0"/>
          <w:i w:val="0"/>
          <w:iCs w:val="0"/>
          <w:caps w:val="0"/>
          <w:smallCaps w:val="0"/>
          <w:noProof w:val="0"/>
          <w:color w:val="000000" w:themeColor="text1" w:themeTint="FF" w:themeShade="FF"/>
          <w:sz w:val="22"/>
          <w:szCs w:val="22"/>
          <w:lang w:val="en-GB"/>
        </w:rPr>
        <w:t>r</w:t>
      </w:r>
      <w:r w:rsidRPr="660B3404" w:rsidR="36C4C1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actor </w:t>
      </w:r>
      <w:r w:rsidRPr="660B3404" w:rsidR="39EB968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60B3404" w:rsidR="36C4C136">
        <w:rPr>
          <w:rFonts w:ascii="Calibri" w:hAnsi="Calibri" w:eastAsia="Calibri" w:cs="Calibri"/>
          <w:b w:val="0"/>
          <w:bCs w:val="0"/>
          <w:i w:val="0"/>
          <w:iCs w:val="0"/>
          <w:caps w:val="0"/>
          <w:smallCaps w:val="0"/>
          <w:noProof w:val="0"/>
          <w:color w:val="000000" w:themeColor="text1" w:themeTint="FF" w:themeShade="FF"/>
          <w:sz w:val="22"/>
          <w:szCs w:val="22"/>
          <w:lang w:val="en-GB"/>
        </w:rPr>
        <w:t>shall not harm neighbour’ wh</w:t>
      </w:r>
      <w:r w:rsidRPr="660B3404" w:rsidR="1034CF8D">
        <w:rPr>
          <w:rFonts w:ascii="Calibri" w:hAnsi="Calibri" w:eastAsia="Calibri" w:cs="Calibri"/>
          <w:b w:val="0"/>
          <w:bCs w:val="0"/>
          <w:i w:val="0"/>
          <w:iCs w:val="0"/>
          <w:caps w:val="0"/>
          <w:smallCaps w:val="0"/>
          <w:noProof w:val="0"/>
          <w:color w:val="000000" w:themeColor="text1" w:themeTint="FF" w:themeShade="FF"/>
          <w:sz w:val="22"/>
          <w:szCs w:val="22"/>
          <w:lang w:val="en-GB"/>
        </w:rPr>
        <w:t>ere the client is classed as the neighbour.</w:t>
      </w:r>
    </w:p>
    <w:p w:rsidR="1F710E6F" w:rsidP="660B3404" w:rsidRDefault="1F710E6F" w14:paraId="5F1B98EF" w14:textId="7F27BBD1">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60B3404" w:rsidR="1F710E6F">
        <w:rPr>
          <w:rFonts w:ascii="Calibri" w:hAnsi="Calibri" w:eastAsia="Calibri" w:cs="Calibri"/>
          <w:b w:val="0"/>
          <w:bCs w:val="0"/>
          <w:i w:val="0"/>
          <w:iCs w:val="0"/>
          <w:caps w:val="0"/>
          <w:smallCaps w:val="0"/>
          <w:noProof w:val="0"/>
          <w:color w:val="000000" w:themeColor="text1" w:themeTint="FF" w:themeShade="FF"/>
          <w:sz w:val="22"/>
          <w:szCs w:val="22"/>
          <w:lang w:val="en-GB"/>
        </w:rPr>
        <w:t>The obligation to provide care for their clients can be arranged through a contract specification</w:t>
      </w:r>
      <w:r w:rsidRPr="660B3404" w:rsidR="02573C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a design and build specification</w:t>
      </w:r>
      <w:r w:rsidRPr="660B3404" w:rsidR="379243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0B3404" w:rsidR="5463DE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if the contractor fails to </w:t>
      </w:r>
      <w:r w:rsidRPr="660B3404" w:rsidR="725B35FC">
        <w:rPr>
          <w:rFonts w:ascii="Calibri" w:hAnsi="Calibri" w:eastAsia="Calibri" w:cs="Calibri"/>
          <w:b w:val="0"/>
          <w:bCs w:val="0"/>
          <w:i w:val="0"/>
          <w:iCs w:val="0"/>
          <w:caps w:val="0"/>
          <w:smallCaps w:val="0"/>
          <w:noProof w:val="0"/>
          <w:color w:val="000000" w:themeColor="text1" w:themeTint="FF" w:themeShade="FF"/>
          <w:sz w:val="22"/>
          <w:szCs w:val="22"/>
          <w:lang w:val="en-GB"/>
        </w:rPr>
        <w:t>fulfil</w:t>
      </w:r>
      <w:r w:rsidRPr="660B3404" w:rsidR="5463DE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his duty of care, then t</w:t>
      </w:r>
      <w:r w:rsidRPr="660B3404" w:rsidR="4EF042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contractor will be held liable for </w:t>
      </w:r>
      <w:r w:rsidRPr="660B3404" w:rsidR="220366A0">
        <w:rPr>
          <w:rFonts w:ascii="Calibri" w:hAnsi="Calibri" w:eastAsia="Calibri" w:cs="Calibri"/>
          <w:b w:val="0"/>
          <w:bCs w:val="0"/>
          <w:i w:val="0"/>
          <w:iCs w:val="0"/>
          <w:caps w:val="0"/>
          <w:smallCaps w:val="0"/>
          <w:noProof w:val="0"/>
          <w:color w:val="000000" w:themeColor="text1" w:themeTint="FF" w:themeShade="FF"/>
          <w:sz w:val="22"/>
          <w:szCs w:val="22"/>
          <w:lang w:val="en-GB"/>
        </w:rPr>
        <w:t>his</w:t>
      </w:r>
      <w:r w:rsidRPr="660B3404" w:rsidR="4EF042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actions in court.</w:t>
      </w:r>
      <w:r w:rsidRPr="660B3404" w:rsidR="56FFC0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0B3404" w:rsidR="308538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Case law is extremely important for the construction industry as contractors/judges can </w:t>
      </w:r>
      <w:r w:rsidRPr="660B3404" w:rsidR="4663DCF7">
        <w:rPr>
          <w:rFonts w:ascii="Calibri" w:hAnsi="Calibri" w:eastAsia="Calibri" w:cs="Calibri"/>
          <w:b w:val="0"/>
          <w:bCs w:val="0"/>
          <w:i w:val="0"/>
          <w:iCs w:val="0"/>
          <w:caps w:val="0"/>
          <w:smallCaps w:val="0"/>
          <w:noProof w:val="0"/>
          <w:color w:val="000000" w:themeColor="text1" w:themeTint="FF" w:themeShade="FF"/>
          <w:sz w:val="22"/>
          <w:szCs w:val="22"/>
          <w:lang w:val="en-GB"/>
        </w:rPr>
        <w:t>refer</w:t>
      </w:r>
      <w:r w:rsidRPr="660B3404" w:rsidR="308538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660B3404" w:rsidR="184882CE">
        <w:rPr>
          <w:rFonts w:ascii="Calibri" w:hAnsi="Calibri" w:eastAsia="Calibri" w:cs="Calibri"/>
          <w:b w:val="0"/>
          <w:bCs w:val="0"/>
          <w:i w:val="0"/>
          <w:iCs w:val="0"/>
          <w:caps w:val="0"/>
          <w:smallCaps w:val="0"/>
          <w:noProof w:val="0"/>
          <w:color w:val="000000" w:themeColor="text1" w:themeTint="FF" w:themeShade="FF"/>
          <w:sz w:val="22"/>
          <w:szCs w:val="22"/>
          <w:lang w:val="en-GB"/>
        </w:rPr>
        <w:t>previous</w:t>
      </w:r>
      <w:r w:rsidRPr="660B3404" w:rsidR="308538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cases to appoint a decision by using English law.</w:t>
      </w:r>
      <w:r w:rsidRPr="660B3404" w:rsidR="6C6C7B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0B3404" w:rsidR="5D6D4B1C">
        <w:rPr>
          <w:rFonts w:ascii="Calibri" w:hAnsi="Calibri" w:eastAsia="Calibri" w:cs="Calibri"/>
          <w:b w:val="0"/>
          <w:bCs w:val="0"/>
          <w:i w:val="0"/>
          <w:iCs w:val="0"/>
          <w:caps w:val="0"/>
          <w:smallCaps w:val="0"/>
          <w:noProof w:val="0"/>
          <w:color w:val="000000" w:themeColor="text1" w:themeTint="FF" w:themeShade="FF"/>
          <w:sz w:val="22"/>
          <w:szCs w:val="22"/>
          <w:lang w:val="en-GB"/>
        </w:rPr>
        <w:t>It can</w:t>
      </w:r>
      <w:r w:rsidRPr="660B3404" w:rsidR="6C6C7B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ultimately provid</w:t>
      </w:r>
      <w:r w:rsidRPr="660B3404" w:rsidR="50540DCD">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660B3404" w:rsidR="6C6C7B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order through legal practices which can affect pro</w:t>
      </w:r>
      <w:r w:rsidRPr="660B3404" w:rsidR="2B116091">
        <w:rPr>
          <w:rFonts w:ascii="Calibri" w:hAnsi="Calibri" w:eastAsia="Calibri" w:cs="Calibri"/>
          <w:b w:val="0"/>
          <w:bCs w:val="0"/>
          <w:i w:val="0"/>
          <w:iCs w:val="0"/>
          <w:caps w:val="0"/>
          <w:smallCaps w:val="0"/>
          <w:noProof w:val="0"/>
          <w:color w:val="000000" w:themeColor="text1" w:themeTint="FF" w:themeShade="FF"/>
          <w:sz w:val="22"/>
          <w:szCs w:val="22"/>
          <w:lang w:val="en-GB"/>
        </w:rPr>
        <w:t>jection completion if laws aren’t applied and followed correctly.</w:t>
      </w:r>
    </w:p>
    <w:p w:rsidR="5C44F18C" w:rsidP="660B3404" w:rsidRDefault="5C44F18C" w14:paraId="11EE0F70" w14:textId="08E53351">
      <w:pPr>
        <w:pStyle w:val="Normal"/>
        <w:jc w:val="left"/>
        <w:rPr>
          <w:rFonts w:ascii="Calibri" w:hAnsi="Calibri" w:eastAsia="Calibri" w:cs="Calibri"/>
          <w:noProof w:val="0"/>
          <w:color w:val="000000" w:themeColor="text1" w:themeTint="FF" w:themeShade="FF"/>
          <w:sz w:val="22"/>
          <w:szCs w:val="22"/>
          <w:lang w:val="en-GB"/>
        </w:rPr>
      </w:pPr>
    </w:p>
    <w:p w:rsidR="5C44F18C" w:rsidP="660B3404" w:rsidRDefault="5C44F18C" w14:paraId="00DD6E1F" w14:textId="132204C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 xml:space="preserve">What is </w:t>
      </w:r>
      <w:r w:rsidRPr="660B3404" w:rsidR="09CB6E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adjudication</w:t>
      </w: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 xml:space="preserve"> and its importance in the construction industry</w:t>
      </w:r>
    </w:p>
    <w:p w:rsidR="5C44F18C" w:rsidP="660B3404" w:rsidRDefault="5C44F18C" w14:paraId="40677498" w14:textId="269D5E0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Ultimately, </w:t>
      </w:r>
      <w:r w:rsidRPr="660B3404" w:rsidR="31A996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adjudication</w:t>
      </w: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the legal process that resolves a dispute where the claim is initially brought forward and reviewed by the adjudicator. Upon decision, the judge and court will appoint the rights and wrongs of the dispute </w:t>
      </w:r>
      <w:r w:rsidRPr="660B3404" w:rsidR="03E909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where parties must abide as its</w:t>
      </w: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legally binding. The</w:t>
      </w:r>
      <w:r w:rsidRPr="660B3404" w:rsidR="1B79CB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adjudication</w:t>
      </w: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process must have a decision within 28 days which is governed by the Housing Grants, Construction and Regeneration Act 1996. This is a construction act that must be delivered in writing. In essence, any party under a construction contract can appoint a dispute for adjudication</w:t>
      </w:r>
      <w:r w:rsidRPr="660B3404" w:rsidR="33299B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where the adjudicator must act uniformly as it’s his duty to appoint </w:t>
      </w:r>
      <w:r w:rsidRPr="660B3404" w:rsidR="135E33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provide </w:t>
      </w: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fair decision.</w:t>
      </w:r>
    </w:p>
    <w:p w:rsidR="5C44F18C" w:rsidP="660B3404" w:rsidRDefault="5C44F18C" w14:paraId="78294A02" w14:textId="6B52BA6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
        </w:rPr>
      </w:pP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benefit of adjudication is “</w:t>
      </w: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
        </w:rPr>
        <w:t>to protect cash-flow during construction projects by resolving disputes without resorting to lengthy and expensive court proceedings.” Not only that, but under normal circumstances the claimant will receive payment shortly after the decision which will ultimately assist with cash flow for the project. To add to this, construction contracts can proceed even during the adjudication process which</w:t>
      </w:r>
      <w:r w:rsidRPr="660B3404" w:rsidR="2B25A6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
        </w:rPr>
        <w:t xml:space="preserve"> in essence,</w:t>
      </w:r>
      <w:r w:rsidRPr="660B3404" w:rsidR="729C3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
        </w:rPr>
        <w:t xml:space="preserve"> prevents time and cost overruns. Therefore, adjudication is particularly useful in the construction industry to avoid long legal court decision which will ultimately speed up the projection completion.</w:t>
      </w:r>
    </w:p>
    <w:p w:rsidR="5C44F18C" w:rsidP="660B3404" w:rsidRDefault="5C44F18C" w14:paraId="0BB80AF8" w14:textId="7863EF6D">
      <w:pPr>
        <w:pStyle w:val="Normal"/>
        <w:jc w:val="left"/>
        <w:rPr>
          <w:rFonts w:ascii="Calibri" w:hAnsi="Calibri" w:eastAsia="Calibri" w:cs="Calibri"/>
          <w:noProof w:val="0"/>
          <w:color w:val="000000" w:themeColor="text1" w:themeTint="FF" w:themeShade="FF"/>
          <w:sz w:val="22"/>
          <w:szCs w:val="22"/>
          <w:lang w:val="en-GB"/>
        </w:rPr>
      </w:pPr>
    </w:p>
    <w:p w:rsidR="0CFC6334" w:rsidP="660B3404" w:rsidRDefault="0CFC6334" w14:paraId="48195214" w14:textId="70BD8668">
      <w:pPr>
        <w:pStyle w:val="Normal"/>
        <w:jc w:val="left"/>
        <w:rPr>
          <w:rFonts w:ascii="Calibri" w:hAnsi="Calibri" w:eastAsia="Calibri" w:cs="Calibri"/>
          <w:noProof w:val="0"/>
          <w:color w:val="000000" w:themeColor="text1" w:themeTint="FF" w:themeShade="FF"/>
          <w:sz w:val="28"/>
          <w:szCs w:val="28"/>
          <w:u w:val="single"/>
          <w:lang w:val="en-GB"/>
        </w:rPr>
      </w:pPr>
      <w:r w:rsidRPr="660B3404" w:rsidR="0CFC6334">
        <w:rPr>
          <w:rFonts w:ascii="Calibri" w:hAnsi="Calibri" w:eastAsia="Calibri" w:cs="Calibri"/>
          <w:noProof w:val="0"/>
          <w:color w:val="000000" w:themeColor="text1" w:themeTint="FF" w:themeShade="FF"/>
          <w:sz w:val="28"/>
          <w:szCs w:val="28"/>
          <w:u w:val="single"/>
          <w:lang w:val="en-GB"/>
        </w:rPr>
        <w:t>Vinci Construction Ltd Vs Beumer Group Ltd</w:t>
      </w:r>
    </w:p>
    <w:p w:rsidR="5C44F18C" w:rsidP="660B3404" w:rsidRDefault="5C44F18C" w14:paraId="5499B884" w14:textId="0372230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0B3404" w:rsidR="0757E0E3">
        <w:rPr>
          <w:rFonts w:ascii="Calibri" w:hAnsi="Calibri" w:eastAsia="Calibri" w:cs="Calibri"/>
          <w:noProof w:val="0"/>
          <w:color w:val="000000" w:themeColor="text1" w:themeTint="FF" w:themeShade="FF"/>
          <w:sz w:val="22"/>
          <w:szCs w:val="22"/>
          <w:u w:val="none"/>
          <w:lang w:val="en-GB"/>
        </w:rPr>
        <w:t xml:space="preserve">Vinci construction was </w:t>
      </w:r>
      <w:r w:rsidRPr="660B3404" w:rsidR="01674387">
        <w:rPr>
          <w:rFonts w:ascii="Calibri" w:hAnsi="Calibri" w:eastAsia="Calibri" w:cs="Calibri"/>
          <w:noProof w:val="0"/>
          <w:color w:val="000000" w:themeColor="text1" w:themeTint="FF" w:themeShade="FF"/>
          <w:sz w:val="22"/>
          <w:szCs w:val="22"/>
          <w:u w:val="none"/>
          <w:lang w:val="en-GB"/>
        </w:rPr>
        <w:t>employed</w:t>
      </w:r>
      <w:r w:rsidRPr="660B3404" w:rsidR="0757E0E3">
        <w:rPr>
          <w:rFonts w:ascii="Calibri" w:hAnsi="Calibri" w:eastAsia="Calibri" w:cs="Calibri"/>
          <w:noProof w:val="0"/>
          <w:color w:val="000000" w:themeColor="text1" w:themeTint="FF" w:themeShade="FF"/>
          <w:sz w:val="22"/>
          <w:szCs w:val="22"/>
          <w:u w:val="none"/>
          <w:lang w:val="en-GB"/>
        </w:rPr>
        <w:t xml:space="preserve"> to work at </w:t>
      </w:r>
      <w:r w:rsidRPr="660B3404" w:rsidR="29F43741">
        <w:rPr>
          <w:rFonts w:ascii="Calibri" w:hAnsi="Calibri" w:eastAsia="Calibri" w:cs="Calibri"/>
          <w:noProof w:val="0"/>
          <w:color w:val="000000" w:themeColor="text1" w:themeTint="FF" w:themeShade="FF"/>
          <w:sz w:val="22"/>
          <w:szCs w:val="22"/>
          <w:u w:val="none"/>
          <w:lang w:val="en-GB"/>
        </w:rPr>
        <w:t>Gatwick</w:t>
      </w:r>
      <w:r w:rsidRPr="660B3404" w:rsidR="0757E0E3">
        <w:rPr>
          <w:rFonts w:ascii="Calibri" w:hAnsi="Calibri" w:eastAsia="Calibri" w:cs="Calibri"/>
          <w:noProof w:val="0"/>
          <w:color w:val="000000" w:themeColor="text1" w:themeTint="FF" w:themeShade="FF"/>
          <w:sz w:val="22"/>
          <w:szCs w:val="22"/>
          <w:u w:val="none"/>
          <w:lang w:val="en-GB"/>
        </w:rPr>
        <w:t xml:space="preserve"> airport as Beumer Group was appointed as sub-contractors to work on the baggage handling system. A</w:t>
      </w:r>
      <w:r w:rsidRPr="660B3404" w:rsidR="2D6AD0C8">
        <w:rPr>
          <w:rFonts w:ascii="Calibri" w:hAnsi="Calibri" w:eastAsia="Calibri" w:cs="Calibri"/>
          <w:noProof w:val="0"/>
          <w:color w:val="000000" w:themeColor="text1" w:themeTint="FF" w:themeShade="FF"/>
          <w:sz w:val="22"/>
          <w:szCs w:val="22"/>
          <w:u w:val="none"/>
          <w:lang w:val="en-GB"/>
        </w:rPr>
        <w:t xml:space="preserve">n extension for two completion dates were arranged and </w:t>
      </w:r>
      <w:r w:rsidRPr="660B3404" w:rsidR="2D6AD0C8">
        <w:rPr>
          <w:rFonts w:ascii="Calibri" w:hAnsi="Calibri" w:eastAsia="Calibri" w:cs="Calibri"/>
          <w:noProof w:val="0"/>
          <w:color w:val="000000" w:themeColor="text1" w:themeTint="FF" w:themeShade="FF"/>
          <w:sz w:val="22"/>
          <w:szCs w:val="22"/>
          <w:u w:val="none"/>
          <w:lang w:val="en-GB"/>
        </w:rPr>
        <w:t>“s</w:t>
      </w:r>
      <w:r w:rsidRPr="660B3404" w:rsidR="2D6AD0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ubsequently, a dispute arose over the operation of the extended sectional completion dates and the delay damages (liquidated damages) payable.”</w:t>
      </w:r>
      <w:r w:rsidRPr="660B3404" w:rsidR="751AE0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60B3404" w:rsidR="04F5BA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adjudication process went on for 7 </w:t>
      </w:r>
      <w:r w:rsidRPr="660B3404" w:rsidR="2D7C77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adjudications</w:t>
      </w:r>
      <w:r w:rsidRPr="660B3404" w:rsidR="04F5BA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where typically the final decision must be appointed in the first </w:t>
      </w:r>
      <w:r w:rsidRPr="660B3404" w:rsidR="59F70D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adjudication</w:t>
      </w:r>
      <w:r w:rsidRPr="660B3404" w:rsidR="19FCA6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This is because the process</w:t>
      </w:r>
      <w:r w:rsidRPr="660B3404" w:rsidR="488DF0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w:t>
      </w:r>
      <w:r w:rsidRPr="660B3404" w:rsidR="60A669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660B3404" w:rsidR="488DF0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legally binding where the parties must comply with the legal proceedings.</w:t>
      </w:r>
    </w:p>
    <w:p w:rsidR="4B71873A" w:rsidP="660B3404" w:rsidRDefault="4B71873A" w14:paraId="768B363C" w14:textId="3CE650A1">
      <w:pPr>
        <w:pStyle w:val="Normal"/>
        <w:spacing w:after="160" w:line="360" w:lineRule="auto"/>
        <w:ind/>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0B3404" w:rsidR="0D8CC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Upon the seventh adjudication, Vinci was entitled to receive a total of £9.7 million from liquidated </w:t>
      </w:r>
      <w:r w:rsidRPr="660B3404" w:rsidR="75EDC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damages</w:t>
      </w:r>
      <w:r w:rsidRPr="660B3404" w:rsidR="0D8CC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w:t>
      </w:r>
      <w:r w:rsidRPr="660B3404" w:rsidR="3090A2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rom</w:t>
      </w:r>
      <w:r w:rsidRPr="660B3404" w:rsidR="0D8CC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delays </w:t>
      </w:r>
      <w:r w:rsidRPr="660B3404" w:rsidR="07D773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w:t>
      </w:r>
      <w:r w:rsidRPr="660B3404" w:rsidR="0D8CC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Beumer Ltd.</w:t>
      </w:r>
      <w:r w:rsidRPr="660B3404" w:rsidR="09E22A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Beumer claimed “</w:t>
      </w:r>
      <w:r w:rsidRPr="660B3404" w:rsidR="09E22A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there had been three separate breaches of natural justice in the seventh set of adjudication proceedings</w:t>
      </w:r>
      <w:r w:rsidRPr="660B3404" w:rsidR="01C692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which </w:t>
      </w:r>
      <w:r w:rsidRPr="660B3404" w:rsidR="01C692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led</w:t>
      </w:r>
      <w:r w:rsidRPr="660B3404" w:rsidR="01C692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Beumer refusing to pay the fee.</w:t>
      </w:r>
      <w:r w:rsidRPr="660B3404" w:rsidR="76A415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Some of the key </w:t>
      </w:r>
      <w:r w:rsidRPr="660B3404" w:rsidR="72D19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statements</w:t>
      </w:r>
      <w:r w:rsidRPr="660B3404" w:rsidR="76A415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Beumer argued</w:t>
      </w:r>
      <w:r w:rsidRPr="660B3404" w:rsidR="47F88B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consist of; insufficient evidence from the adjudicator to provide reasoning behind his decision,</w:t>
      </w:r>
      <w:r w:rsidRPr="660B3404" w:rsidR="534052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inconsistency with the 4</w:t>
      </w:r>
      <w:r w:rsidRPr="660B3404" w:rsidR="534052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660B3404" w:rsidR="534052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6</w:t>
      </w:r>
      <w:r w:rsidRPr="660B3404" w:rsidR="534052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660B3404" w:rsidR="534052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adjudication which didn’t match the findings in the seventh decision, </w:t>
      </w:r>
      <w:r w:rsidRPr="660B3404" w:rsidR="7D80A5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findings of Vinci using a different case from 2016 in the 7</w:t>
      </w:r>
      <w:r w:rsidRPr="660B3404" w:rsidR="7D80A5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660B3404" w:rsidR="7D80A5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adjudication.</w:t>
      </w:r>
    </w:p>
    <w:p w:rsidR="4B71873A" w:rsidP="660B3404" w:rsidRDefault="4B71873A" w14:paraId="5E349345" w14:textId="5CCAA1FF">
      <w:pPr>
        <w:pStyle w:val="Normal"/>
        <w:spacing w:after="160" w:line="360" w:lineRule="auto"/>
        <w:ind/>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0B3404" w:rsidR="255EB9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Therefore,</w:t>
      </w:r>
      <w:r w:rsidRPr="660B3404" w:rsidR="2D0B3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Mr. Eggleston (the adjudicator), failed to disclose the order as no</w:t>
      </w:r>
      <w:r w:rsidRPr="660B3404" w:rsidR="2DE8C4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compelling evidence </w:t>
      </w:r>
      <w:r w:rsidRPr="660B3404" w:rsidR="2D0B3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w:t>
      </w:r>
      <w:r w:rsidRPr="660B3404" w:rsidR="590087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presented</w:t>
      </w:r>
      <w:r w:rsidRPr="660B3404" w:rsidR="1CC795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Fortunately for Beumer, the adjudicator provided him with endless opportunities to provide more information, </w:t>
      </w:r>
      <w:r w:rsidRPr="660B3404" w:rsidR="0340D9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w:t>
      </w:r>
      <w:r w:rsidRPr="660B3404" w:rsidR="605A18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Mr. Eggleston “was entitled to make no reference for that aspect of the dispute in his Decision. Certainly, the failure to do so does not support any allegation of breach of natural justice.”</w:t>
      </w:r>
    </w:p>
    <w:p w:rsidR="4B71873A" w:rsidP="660B3404" w:rsidRDefault="4B71873A" w14:paraId="769E5855" w14:textId="63ED3C32">
      <w:pPr>
        <w:pStyle w:val="Normal"/>
        <w:spacing w:after="160" w:line="360" w:lineRule="auto"/>
        <w:ind/>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0B3404" w:rsidR="23721E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was also found that prior adjudications only focused on the monetary value of certain </w:t>
      </w:r>
      <w:r w:rsidRPr="660B3404" w:rsidR="185201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660B3404" w:rsidR="23721E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ompensation </w:t>
      </w:r>
      <w:r w:rsidRPr="660B3404" w:rsidR="2CB694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660B3404" w:rsidR="23721E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vents. </w:t>
      </w:r>
      <w:r w:rsidRPr="660B3404" w:rsidR="0BD323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Therefore, </w:t>
      </w:r>
      <w:r w:rsidRPr="660B3404" w:rsidR="2ED2F8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Mr. </w:t>
      </w:r>
      <w:proofErr w:type="spellStart"/>
      <w:r w:rsidRPr="660B3404" w:rsidR="2ED2F8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Egglestons</w:t>
      </w:r>
      <w:proofErr w:type="spellEnd"/>
      <w:r w:rsidRPr="660B3404" w:rsidR="0BD323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60B3404" w:rsidR="0BD323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evidence was not affected by previous adjudications.</w:t>
      </w:r>
      <w:r w:rsidRPr="660B3404" w:rsidR="423586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add to this, </w:t>
      </w:r>
      <w:r w:rsidRPr="660B3404" w:rsidR="0A4243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Beumer provided inadequate evidence to </w:t>
      </w:r>
      <w:r w:rsidRPr="660B3404" w:rsidR="0CEA3F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enforce</w:t>
      </w:r>
      <w:r w:rsidRPr="660B3404" w:rsidR="0A4243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reasonable decision where the TCC was in</w:t>
      </w:r>
      <w:r w:rsidRPr="660B3404" w:rsidR="00A82A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favour with the </w:t>
      </w:r>
      <w:r w:rsidRPr="660B3404" w:rsidR="075EBC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adjudicator's</w:t>
      </w:r>
      <w:r w:rsidRPr="660B3404" w:rsidR="00A82A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final decision</w:t>
      </w:r>
      <w:r w:rsidRPr="660B3404" w:rsidR="240C38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regardless o</w:t>
      </w:r>
      <w:r w:rsidRPr="660B3404" w:rsidR="2F204D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w:t>
      </w:r>
      <w:r w:rsidRPr="660B3404" w:rsidR="240C38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it was the right decision or not.</w:t>
      </w:r>
      <w:r w:rsidRPr="660B3404" w:rsidR="09C541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Despite a challenging case,</w:t>
      </w:r>
      <w:r w:rsidRPr="660B3404" w:rsidR="2D9EFD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court’s decision ultimately </w:t>
      </w:r>
      <w:r w:rsidRPr="660B3404" w:rsidR="215C23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tries it’s best to provide a summary judgment which aims to maintain its efficiency during the adjudication process.</w:t>
      </w:r>
    </w:p>
    <w:p w:rsidR="660B3404" w:rsidP="660B3404" w:rsidRDefault="660B3404" w14:paraId="32412C13" w14:textId="565F8D2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60B3404" w:rsidP="660B3404" w:rsidRDefault="660B3404" w14:paraId="56F69391" w14:textId="1CB0BB2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4D6171" w:rsidP="660B3404" w:rsidRDefault="674D6171" w14:paraId="7FE84064" w14:textId="3DF921F2">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60B3404" w:rsidR="674D617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5.0     </w:t>
      </w:r>
      <w:r w:rsidRPr="660B3404" w:rsidR="674D6171">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Conclusion</w:t>
      </w:r>
    </w:p>
    <w:p w:rsidR="376B55E1" w:rsidP="660B3404" w:rsidRDefault="376B55E1" w14:paraId="51DC78A1" w14:textId="2A0053DD">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660B3404" w:rsidR="376B55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5.1 Through detailed research, I have accumulated knowledge ranging from important elements of negligence to understanding case law. </w:t>
      </w:r>
      <w:r w:rsidRPr="660B3404" w:rsidR="2DEA1F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incorporating this knowledge, I’ve been able to construct a formal report expressing the information I have gathered </w:t>
      </w:r>
      <w:r w:rsidRPr="660B3404" w:rsidR="00F397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from in class studies to online sources. I now feel confident and knowledgeable in </w:t>
      </w:r>
      <w:r w:rsidRPr="660B3404" w:rsidR="66ACA0CA">
        <w:rPr>
          <w:rFonts w:ascii="Calibri" w:hAnsi="Calibri" w:eastAsia="Calibri" w:cs="Calibri"/>
          <w:b w:val="0"/>
          <w:bCs w:val="0"/>
          <w:i w:val="0"/>
          <w:iCs w:val="0"/>
          <w:caps w:val="0"/>
          <w:smallCaps w:val="0"/>
          <w:noProof w:val="0"/>
          <w:color w:val="000000" w:themeColor="text1" w:themeTint="FF" w:themeShade="FF"/>
          <w:sz w:val="22"/>
          <w:szCs w:val="22"/>
          <w:lang w:val="en-GB"/>
        </w:rPr>
        <w:t>understanding case law, negligence and adjudication on deciding a dispute.</w:t>
      </w:r>
    </w:p>
    <w:p w:rsidR="4B71873A" w:rsidP="660B3404" w:rsidRDefault="4B71873A" w14:paraId="455A4BDD" w14:textId="5919855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4B71873A" w:rsidRDefault="674D6171" w14:paraId="2D0A6689" w14:textId="6B9B487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6.0 Reference</w:t>
      </w:r>
    </w:p>
    <w:p w:rsidR="4B71873A" w:rsidP="4B71873A" w:rsidRDefault="4B71873A" w14:paraId="4B741D50" w14:textId="0B32FBD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B71873A" w:rsidP="660B3404" w:rsidRDefault="4B71873A" w14:paraId="1735BA51" w14:textId="1590BD47">
      <w:pPr>
        <w:pStyle w:val="Normal"/>
        <w:spacing w:after="160"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4B11B7FE">
        <w:rPr>
          <w:rFonts w:ascii="Arial" w:hAnsi="Arial" w:eastAsia="Arial" w:cs="Arial"/>
          <w:noProof w:val="0"/>
          <w:sz w:val="24"/>
          <w:szCs w:val="24"/>
          <w:lang w:val="en-GB"/>
        </w:rPr>
        <w:t xml:space="preserve">(Advice Now, 2022) Available from </w:t>
      </w:r>
      <w:hyperlink r:id="R5696a1f9dee240d9">
        <w:r w:rsidRPr="660B3404" w:rsidR="4B11B7FE">
          <w:rPr>
            <w:rStyle w:val="Hyperlink"/>
            <w:rFonts w:ascii="Arial" w:hAnsi="Arial" w:eastAsia="Arial" w:cs="Arial"/>
            <w:noProof w:val="0"/>
            <w:sz w:val="24"/>
            <w:szCs w:val="24"/>
            <w:lang w:val="en-GB"/>
          </w:rPr>
          <w:t xml:space="preserve">Time limits for suing someone | Advicenow  </w:t>
        </w:r>
      </w:hyperlink>
      <w:r w:rsidRPr="660B3404" w:rsidR="4B11B7FE">
        <w:rPr>
          <w:rFonts w:ascii="Arial" w:hAnsi="Arial" w:eastAsia="Arial" w:cs="Arial"/>
          <w:noProof w:val="0"/>
          <w:sz w:val="24"/>
          <w:szCs w:val="24"/>
          <w:lang w:val="en-GB"/>
        </w:rPr>
        <w:t xml:space="preserve"> </w:t>
      </w:r>
      <w:r w:rsidRPr="660B3404" w:rsidR="4B11B7FE">
        <w:rPr>
          <w:rFonts w:ascii="Arial" w:hAnsi="Arial" w:eastAsia="Arial" w:cs="Arial"/>
          <w:b w:val="0"/>
          <w:bCs w:val="0"/>
          <w:i w:val="0"/>
          <w:iCs w:val="0"/>
          <w:caps w:val="0"/>
          <w:smallCaps w:val="0"/>
          <w:noProof w:val="0"/>
          <w:color w:val="000000" w:themeColor="text1" w:themeTint="FF" w:themeShade="FF"/>
          <w:sz w:val="24"/>
          <w:szCs w:val="24"/>
          <w:lang w:val="en-GB"/>
        </w:rPr>
        <w:t>[Accessed on 22/11/22]</w:t>
      </w:r>
    </w:p>
    <w:p w:rsidR="484618E9" w:rsidP="660B3404" w:rsidRDefault="484618E9" w14:paraId="5207EBC1" w14:textId="402E69B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484618E9">
        <w:rPr>
          <w:rFonts w:ascii="Arial" w:hAnsi="Arial" w:eastAsia="Arial" w:cs="Arial"/>
          <w:b w:val="0"/>
          <w:bCs w:val="0"/>
          <w:i w:val="0"/>
          <w:iCs w:val="0"/>
          <w:caps w:val="0"/>
          <w:smallCaps w:val="0"/>
          <w:noProof w:val="0"/>
          <w:color w:val="000000" w:themeColor="text1" w:themeTint="FF" w:themeShade="FF"/>
          <w:sz w:val="24"/>
          <w:szCs w:val="24"/>
          <w:lang w:val="en-GB"/>
        </w:rPr>
        <w:t xml:space="preserve">BpCollins (2022) on </w:t>
      </w:r>
      <w:hyperlink r:id="Rb79eb31197ef4fd7">
        <w:r w:rsidRPr="660B3404" w:rsidR="484618E9">
          <w:rPr>
            <w:rStyle w:val="Hyperlink"/>
            <w:rFonts w:ascii="Arial" w:hAnsi="Arial" w:eastAsia="Arial" w:cs="Arial"/>
            <w:noProof w:val="0"/>
            <w:sz w:val="24"/>
            <w:szCs w:val="24"/>
            <w:lang w:val="en-GB"/>
          </w:rPr>
          <w:t>Adjudication – B P Collins Solicitors</w:t>
        </w:r>
      </w:hyperlink>
      <w:r w:rsidRPr="660B3404" w:rsidR="484618E9">
        <w:rPr>
          <w:rFonts w:ascii="Arial" w:hAnsi="Arial" w:eastAsia="Arial" w:cs="Arial"/>
          <w:noProof w:val="0"/>
          <w:sz w:val="24"/>
          <w:szCs w:val="24"/>
          <w:lang w:val="en-GB"/>
        </w:rPr>
        <w:t xml:space="preserve"> </w:t>
      </w:r>
      <w:r w:rsidRPr="660B3404" w:rsidR="484618E9">
        <w:rPr>
          <w:rFonts w:ascii="Arial" w:hAnsi="Arial" w:eastAsia="Arial" w:cs="Arial"/>
          <w:noProof w:val="0"/>
          <w:sz w:val="24"/>
          <w:szCs w:val="24"/>
          <w:lang w:val="en-GB"/>
        </w:rPr>
        <w:t xml:space="preserve">  </w:t>
      </w:r>
      <w:r w:rsidRPr="660B3404" w:rsidR="484618E9">
        <w:rPr>
          <w:rFonts w:ascii="Arial" w:hAnsi="Arial" w:eastAsia="Arial" w:cs="Arial"/>
          <w:b w:val="0"/>
          <w:bCs w:val="0"/>
          <w:i w:val="0"/>
          <w:iCs w:val="0"/>
          <w:caps w:val="0"/>
          <w:smallCaps w:val="0"/>
          <w:noProof w:val="0"/>
          <w:color w:val="000000" w:themeColor="text1" w:themeTint="FF" w:themeShade="FF"/>
          <w:sz w:val="24"/>
          <w:szCs w:val="24"/>
          <w:lang w:val="en-GB"/>
        </w:rPr>
        <w:t>[Last Accessed on 16/11/22]</w:t>
      </w:r>
    </w:p>
    <w:p w:rsidR="4B11B7FE" w:rsidP="660B3404" w:rsidRDefault="4B11B7FE" w14:paraId="02186DAF" w14:textId="1CC09A1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4B11B7FE">
        <w:rPr>
          <w:rFonts w:ascii="Arial" w:hAnsi="Arial" w:eastAsia="Arial" w:cs="Arial"/>
          <w:noProof w:val="0"/>
          <w:sz w:val="24"/>
          <w:szCs w:val="24"/>
          <w:lang w:val="en-GB"/>
        </w:rPr>
        <w:t xml:space="preserve">(FindLaw, 2022) Available from </w:t>
      </w:r>
      <w:hyperlink r:id="Rcaffe9c33a534cf4">
        <w:r w:rsidRPr="660B3404" w:rsidR="4B11B7FE">
          <w:rPr>
            <w:rStyle w:val="Hyperlink"/>
            <w:rFonts w:ascii="Arial" w:hAnsi="Arial" w:eastAsia="Arial" w:cs="Arial"/>
            <w:noProof w:val="0"/>
            <w:sz w:val="24"/>
            <w:szCs w:val="24"/>
            <w:lang w:val="en-GB"/>
          </w:rPr>
          <w:t xml:space="preserve">Elements of a Negligence Case - FindLaw    </w:t>
        </w:r>
      </w:hyperlink>
      <w:r w:rsidRPr="660B3404" w:rsidR="4B11B7FE">
        <w:rPr>
          <w:rFonts w:ascii="Arial" w:hAnsi="Arial" w:eastAsia="Arial" w:cs="Arial"/>
          <w:noProof w:val="0"/>
          <w:sz w:val="24"/>
          <w:szCs w:val="24"/>
          <w:lang w:val="en-GB"/>
        </w:rPr>
        <w:t xml:space="preserve"> </w:t>
      </w:r>
      <w:r w:rsidRPr="660B3404" w:rsidR="4B11B7FE">
        <w:rPr>
          <w:rFonts w:ascii="Arial" w:hAnsi="Arial" w:eastAsia="Arial" w:cs="Arial"/>
          <w:b w:val="0"/>
          <w:bCs w:val="0"/>
          <w:i w:val="0"/>
          <w:iCs w:val="0"/>
          <w:caps w:val="0"/>
          <w:smallCaps w:val="0"/>
          <w:noProof w:val="0"/>
          <w:color w:val="000000" w:themeColor="text1" w:themeTint="FF" w:themeShade="FF"/>
          <w:sz w:val="24"/>
          <w:szCs w:val="24"/>
          <w:lang w:val="en-GB"/>
        </w:rPr>
        <w:t>[Last Accessed on 19/11/22]</w:t>
      </w:r>
    </w:p>
    <w:p w:rsidR="4B11B7FE" w:rsidP="660B3404" w:rsidRDefault="4B11B7FE" w14:paraId="46EB7987" w14:textId="52A26DC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4B11B7FE">
        <w:rPr>
          <w:rFonts w:ascii="Arial" w:hAnsi="Arial" w:eastAsia="Arial" w:cs="Arial"/>
          <w:noProof w:val="0"/>
          <w:sz w:val="24"/>
          <w:szCs w:val="24"/>
          <w:lang w:val="en-GB"/>
        </w:rPr>
        <w:t xml:space="preserve">(HSE, 2022) Available on </w:t>
      </w:r>
      <w:hyperlink w:anchor=":~:text=PPER%201992%20places%20a%20duty,force%20on%206%20April%202022." r:id="Rf5f98e1c432441f3">
        <w:r w:rsidRPr="660B3404" w:rsidR="4B11B7FE">
          <w:rPr>
            <w:rStyle w:val="Hyperlink"/>
            <w:rFonts w:ascii="Arial" w:hAnsi="Arial" w:eastAsia="Arial" w:cs="Arial"/>
            <w:noProof w:val="0"/>
            <w:sz w:val="24"/>
            <w:szCs w:val="24"/>
            <w:lang w:val="en-GB"/>
          </w:rPr>
          <w:t>Personal protective equipment (PPE) at work regulations from 6 April 2022 (hse.gov.uk)</w:t>
        </w:r>
      </w:hyperlink>
      <w:r w:rsidRPr="660B3404" w:rsidR="4B11B7FE">
        <w:rPr>
          <w:rFonts w:ascii="Arial" w:hAnsi="Arial" w:eastAsia="Arial" w:cs="Arial"/>
          <w:noProof w:val="0"/>
          <w:sz w:val="24"/>
          <w:szCs w:val="24"/>
          <w:lang w:val="en-GB"/>
        </w:rPr>
        <w:t xml:space="preserve">  </w:t>
      </w:r>
      <w:r w:rsidRPr="660B3404" w:rsidR="4B11B7FE">
        <w:rPr>
          <w:rFonts w:ascii="Arial" w:hAnsi="Arial" w:eastAsia="Arial" w:cs="Arial"/>
          <w:b w:val="0"/>
          <w:bCs w:val="0"/>
          <w:i w:val="0"/>
          <w:iCs w:val="0"/>
          <w:caps w:val="0"/>
          <w:smallCaps w:val="0"/>
          <w:noProof w:val="0"/>
          <w:color w:val="000000" w:themeColor="text1" w:themeTint="FF" w:themeShade="FF"/>
          <w:sz w:val="24"/>
          <w:szCs w:val="24"/>
          <w:lang w:val="en-GB"/>
        </w:rPr>
        <w:t>[Accessed on 21/11/22]</w:t>
      </w:r>
    </w:p>
    <w:p w:rsidR="4B11B7FE" w:rsidP="660B3404" w:rsidRDefault="4B11B7FE" w14:paraId="21B2B75B" w14:textId="7346BEF3">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4B11B7FE">
        <w:rPr>
          <w:rFonts w:ascii="Arial" w:hAnsi="Arial" w:eastAsia="Arial" w:cs="Arial"/>
          <w:b w:val="0"/>
          <w:bCs w:val="0"/>
          <w:i w:val="0"/>
          <w:iCs w:val="0"/>
          <w:caps w:val="0"/>
          <w:smallCaps w:val="0"/>
          <w:noProof w:val="0"/>
          <w:color w:val="000000" w:themeColor="text1" w:themeTint="FF" w:themeShade="FF"/>
          <w:sz w:val="24"/>
          <w:szCs w:val="24"/>
          <w:lang w:val="en-GB"/>
        </w:rPr>
        <w:t xml:space="preserve">(Hugh James, 2022) Available on </w:t>
      </w:r>
      <w:hyperlink w:anchor=":~:text=The%20main%20objective%20of%20adjudication,and%20disruption%20of%20the%20works" r:id="Rd005d1bbd666403b">
        <w:r w:rsidRPr="660B3404" w:rsidR="4B11B7FE">
          <w:rPr>
            <w:rStyle w:val="Hyperlink"/>
            <w:rFonts w:ascii="Arial" w:hAnsi="Arial" w:eastAsia="Arial" w:cs="Arial"/>
            <w:noProof w:val="0"/>
            <w:sz w:val="24"/>
            <w:szCs w:val="24"/>
            <w:lang w:val="en-GB"/>
          </w:rPr>
          <w:t>Construction Adjudication | Construction Disputes (hughjames.com)</w:t>
        </w:r>
      </w:hyperlink>
      <w:r w:rsidRPr="660B3404" w:rsidR="4B11B7FE">
        <w:rPr>
          <w:rFonts w:ascii="Arial" w:hAnsi="Arial" w:eastAsia="Arial" w:cs="Arial"/>
          <w:noProof w:val="0"/>
          <w:sz w:val="24"/>
          <w:szCs w:val="24"/>
          <w:lang w:val="en-GB"/>
        </w:rPr>
        <w:t xml:space="preserve">   </w:t>
      </w:r>
      <w:r w:rsidRPr="660B3404" w:rsidR="4B11B7FE">
        <w:rPr>
          <w:rFonts w:ascii="Arial" w:hAnsi="Arial" w:eastAsia="Arial" w:cs="Arial"/>
          <w:b w:val="0"/>
          <w:bCs w:val="0"/>
          <w:i w:val="0"/>
          <w:iCs w:val="0"/>
          <w:caps w:val="0"/>
          <w:smallCaps w:val="0"/>
          <w:noProof w:val="0"/>
          <w:color w:val="000000" w:themeColor="text1" w:themeTint="FF" w:themeShade="FF"/>
          <w:sz w:val="24"/>
          <w:szCs w:val="24"/>
          <w:lang w:val="en-GB"/>
        </w:rPr>
        <w:t>[Accessed on 17/11/22</w:t>
      </w:r>
    </w:p>
    <w:p w:rsidR="4B11B7FE" w:rsidP="660B3404" w:rsidRDefault="4B11B7FE" w14:paraId="26449E60" w14:textId="76852EF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4B11B7FE">
        <w:rPr>
          <w:rFonts w:ascii="Arial" w:hAnsi="Arial" w:eastAsia="Arial" w:cs="Arial"/>
          <w:noProof w:val="0"/>
          <w:sz w:val="24"/>
          <w:szCs w:val="24"/>
          <w:lang w:val="en-GB"/>
        </w:rPr>
        <w:t xml:space="preserve">(Iain Drummond,2018) Available on </w:t>
      </w:r>
      <w:hyperlink r:id="R5bac896ef5b24c1e">
        <w:r w:rsidRPr="660B3404" w:rsidR="4B11B7FE">
          <w:rPr>
            <w:rStyle w:val="Hyperlink"/>
            <w:rFonts w:ascii="Arial" w:hAnsi="Arial" w:eastAsia="Arial" w:cs="Arial"/>
            <w:noProof w:val="0"/>
            <w:sz w:val="24"/>
            <w:szCs w:val="24"/>
            <w:lang w:val="en-GB"/>
          </w:rPr>
          <w:t>TCC round three: Vinci Construction UK Limited v Beumer Group UK (linkedin.com)</w:t>
        </w:r>
      </w:hyperlink>
      <w:r w:rsidRPr="660B3404" w:rsidR="4B11B7FE">
        <w:rPr>
          <w:rFonts w:ascii="Arial" w:hAnsi="Arial" w:eastAsia="Arial" w:cs="Arial"/>
          <w:noProof w:val="0"/>
          <w:sz w:val="24"/>
          <w:szCs w:val="24"/>
          <w:lang w:val="en-GB"/>
        </w:rPr>
        <w:t xml:space="preserve"> </w:t>
      </w:r>
      <w:r w:rsidRPr="660B3404" w:rsidR="4B11B7FE">
        <w:rPr>
          <w:rFonts w:ascii="Arial" w:hAnsi="Arial" w:eastAsia="Arial" w:cs="Arial"/>
          <w:b w:val="0"/>
          <w:bCs w:val="0"/>
          <w:i w:val="0"/>
          <w:iCs w:val="0"/>
          <w:caps w:val="0"/>
          <w:smallCaps w:val="0"/>
          <w:noProof w:val="0"/>
          <w:color w:val="000000" w:themeColor="text1" w:themeTint="FF" w:themeShade="FF"/>
          <w:sz w:val="24"/>
          <w:szCs w:val="24"/>
          <w:lang w:val="en-GB"/>
        </w:rPr>
        <w:t>[Accessed on 18/11/22]</w:t>
      </w:r>
    </w:p>
    <w:p w:rsidR="4B71873A" w:rsidP="660B3404" w:rsidRDefault="4B71873A" w14:paraId="7AD7C9D4" w14:textId="3CD7ECDC">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205B6C86">
        <w:rPr>
          <w:rFonts w:ascii="Arial" w:hAnsi="Arial" w:eastAsia="Arial" w:cs="Arial"/>
          <w:b w:val="0"/>
          <w:bCs w:val="0"/>
          <w:i w:val="0"/>
          <w:iCs w:val="0"/>
          <w:caps w:val="0"/>
          <w:smallCaps w:val="0"/>
          <w:noProof w:val="0"/>
          <w:color w:val="000000" w:themeColor="text1" w:themeTint="FF" w:themeShade="FF"/>
          <w:sz w:val="24"/>
          <w:szCs w:val="24"/>
          <w:lang w:val="en-GB"/>
        </w:rPr>
        <w:t xml:space="preserve">(Jonathon Cope, 2018) Available from </w:t>
      </w:r>
      <w:hyperlink r:id="R74dc0ab2d4944039">
        <w:r w:rsidRPr="660B3404" w:rsidR="205B6C86">
          <w:rPr>
            <w:rStyle w:val="Hyperlink"/>
            <w:rFonts w:ascii="Arial" w:hAnsi="Arial" w:eastAsia="Arial" w:cs="Arial"/>
            <w:noProof w:val="0"/>
            <w:sz w:val="24"/>
            <w:szCs w:val="24"/>
            <w:lang w:val="en-GB"/>
          </w:rPr>
          <w:t>Vinci v Beumer: the case that keeps on giving (and giving) | Construction Blog (practicallaw.com)</w:t>
        </w:r>
      </w:hyperlink>
      <w:r w:rsidRPr="660B3404" w:rsidR="205B6C86">
        <w:rPr>
          <w:rFonts w:ascii="Arial" w:hAnsi="Arial" w:eastAsia="Arial" w:cs="Arial"/>
          <w:noProof w:val="0"/>
          <w:sz w:val="24"/>
          <w:szCs w:val="24"/>
          <w:lang w:val="en-GB"/>
        </w:rPr>
        <w:t xml:space="preserve">  </w:t>
      </w:r>
      <w:r w:rsidRPr="660B3404" w:rsidR="64D47CDF">
        <w:rPr>
          <w:rFonts w:ascii="Arial" w:hAnsi="Arial" w:eastAsia="Arial" w:cs="Arial"/>
          <w:noProof w:val="0"/>
          <w:sz w:val="24"/>
          <w:szCs w:val="24"/>
          <w:lang w:val="en-GB"/>
        </w:rPr>
        <w:t xml:space="preserve"> </w:t>
      </w:r>
      <w:r w:rsidRPr="660B3404" w:rsidR="64D47CDF">
        <w:rPr>
          <w:rFonts w:ascii="Arial" w:hAnsi="Arial" w:eastAsia="Arial" w:cs="Arial"/>
          <w:b w:val="0"/>
          <w:bCs w:val="0"/>
          <w:i w:val="0"/>
          <w:iCs w:val="0"/>
          <w:caps w:val="0"/>
          <w:smallCaps w:val="0"/>
          <w:noProof w:val="0"/>
          <w:color w:val="000000" w:themeColor="text1" w:themeTint="FF" w:themeShade="FF"/>
          <w:sz w:val="24"/>
          <w:szCs w:val="24"/>
          <w:lang w:val="en-GB"/>
        </w:rPr>
        <w:t xml:space="preserve">[Last Accessed on </w:t>
      </w:r>
      <w:r w:rsidRPr="660B3404" w:rsidR="44AB219A">
        <w:rPr>
          <w:rFonts w:ascii="Arial" w:hAnsi="Arial" w:eastAsia="Arial" w:cs="Arial"/>
          <w:b w:val="0"/>
          <w:bCs w:val="0"/>
          <w:i w:val="0"/>
          <w:iCs w:val="0"/>
          <w:caps w:val="0"/>
          <w:smallCaps w:val="0"/>
          <w:noProof w:val="0"/>
          <w:color w:val="000000" w:themeColor="text1" w:themeTint="FF" w:themeShade="FF"/>
          <w:sz w:val="24"/>
          <w:szCs w:val="24"/>
          <w:lang w:val="en-GB"/>
        </w:rPr>
        <w:t>1</w:t>
      </w:r>
      <w:r w:rsidRPr="660B3404" w:rsidR="64D47CDF">
        <w:rPr>
          <w:rFonts w:ascii="Arial" w:hAnsi="Arial" w:eastAsia="Arial" w:cs="Arial"/>
          <w:b w:val="0"/>
          <w:bCs w:val="0"/>
          <w:i w:val="0"/>
          <w:iCs w:val="0"/>
          <w:caps w:val="0"/>
          <w:smallCaps w:val="0"/>
          <w:noProof w:val="0"/>
          <w:color w:val="000000" w:themeColor="text1" w:themeTint="FF" w:themeShade="FF"/>
          <w:sz w:val="24"/>
          <w:szCs w:val="24"/>
          <w:lang w:val="en-GB"/>
        </w:rPr>
        <w:t>6/11/22]</w:t>
      </w:r>
    </w:p>
    <w:p w:rsidR="702A7CB9" w:rsidP="660B3404" w:rsidRDefault="702A7CB9" w14:paraId="3737D384" w14:textId="510F056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702A7CB9">
        <w:rPr>
          <w:rFonts w:ascii="Arial" w:hAnsi="Arial" w:eastAsia="Arial" w:cs="Arial"/>
          <w:noProof w:val="0"/>
          <w:sz w:val="24"/>
          <w:szCs w:val="24"/>
          <w:lang w:val="en-GB"/>
        </w:rPr>
        <w:t xml:space="preserve">(Jo Walia, 2022) Available on </w:t>
      </w:r>
      <w:hyperlink w:anchor=":~:text=For%20instance%2C%20during%20general%20construction,the%20contract%20specifically%20states%20this." r:id="R467d3dca49384c57">
        <w:r w:rsidRPr="660B3404" w:rsidR="2A416FD0">
          <w:rPr>
            <w:rStyle w:val="Hyperlink"/>
            <w:rFonts w:ascii="Arial" w:hAnsi="Arial" w:eastAsia="Arial" w:cs="Arial"/>
            <w:noProof w:val="0"/>
            <w:sz w:val="24"/>
            <w:szCs w:val="24"/>
            <w:lang w:val="en-GB"/>
          </w:rPr>
          <w:t>Duty of Care in Construction Law | Van Eaton Solicitors</w:t>
        </w:r>
      </w:hyperlink>
      <w:r w:rsidRPr="660B3404" w:rsidR="2A416FD0">
        <w:rPr>
          <w:rFonts w:ascii="Arial" w:hAnsi="Arial" w:eastAsia="Arial" w:cs="Arial"/>
          <w:noProof w:val="0"/>
          <w:sz w:val="24"/>
          <w:szCs w:val="24"/>
          <w:lang w:val="en-GB"/>
        </w:rPr>
        <w:t xml:space="preserve">   </w:t>
      </w:r>
      <w:r w:rsidRPr="660B3404" w:rsidR="6AADE83D">
        <w:rPr>
          <w:rFonts w:ascii="Arial" w:hAnsi="Arial" w:eastAsia="Arial" w:cs="Arial"/>
          <w:b w:val="0"/>
          <w:bCs w:val="0"/>
          <w:i w:val="0"/>
          <w:iCs w:val="0"/>
          <w:caps w:val="0"/>
          <w:smallCaps w:val="0"/>
          <w:noProof w:val="0"/>
          <w:color w:val="000000" w:themeColor="text1" w:themeTint="FF" w:themeShade="FF"/>
          <w:sz w:val="24"/>
          <w:szCs w:val="24"/>
          <w:lang w:val="en-GB"/>
        </w:rPr>
        <w:t xml:space="preserve">[Last Accessed on </w:t>
      </w:r>
      <w:r w:rsidRPr="660B3404" w:rsidR="5BD478C8">
        <w:rPr>
          <w:rFonts w:ascii="Arial" w:hAnsi="Arial" w:eastAsia="Arial" w:cs="Arial"/>
          <w:b w:val="0"/>
          <w:bCs w:val="0"/>
          <w:i w:val="0"/>
          <w:iCs w:val="0"/>
          <w:caps w:val="0"/>
          <w:smallCaps w:val="0"/>
          <w:noProof w:val="0"/>
          <w:color w:val="000000" w:themeColor="text1" w:themeTint="FF" w:themeShade="FF"/>
          <w:sz w:val="24"/>
          <w:szCs w:val="24"/>
          <w:lang w:val="en-GB"/>
        </w:rPr>
        <w:t>21</w:t>
      </w:r>
      <w:r w:rsidRPr="660B3404" w:rsidR="6AADE83D">
        <w:rPr>
          <w:rFonts w:ascii="Arial" w:hAnsi="Arial" w:eastAsia="Arial" w:cs="Arial"/>
          <w:b w:val="0"/>
          <w:bCs w:val="0"/>
          <w:i w:val="0"/>
          <w:iCs w:val="0"/>
          <w:caps w:val="0"/>
          <w:smallCaps w:val="0"/>
          <w:noProof w:val="0"/>
          <w:color w:val="000000" w:themeColor="text1" w:themeTint="FF" w:themeShade="FF"/>
          <w:sz w:val="24"/>
          <w:szCs w:val="24"/>
          <w:lang w:val="en-GB"/>
        </w:rPr>
        <w:t>/11/22]</w:t>
      </w:r>
    </w:p>
    <w:p w:rsidR="15987617" w:rsidP="660B3404" w:rsidRDefault="15987617" w14:paraId="01402184" w14:textId="120F220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15987617">
        <w:rPr>
          <w:rFonts w:ascii="Arial" w:hAnsi="Arial" w:eastAsia="Arial" w:cs="Arial"/>
          <w:noProof w:val="0"/>
          <w:sz w:val="24"/>
          <w:szCs w:val="24"/>
          <w:lang w:val="en-GB"/>
        </w:rPr>
        <w:t xml:space="preserve">(Professional Negligence, 2019) Available from </w:t>
      </w:r>
      <w:hyperlink r:id="R55e4fabc2e5f4db8">
        <w:r w:rsidRPr="660B3404" w:rsidR="2A416FD0">
          <w:rPr>
            <w:rStyle w:val="Hyperlink"/>
            <w:rFonts w:ascii="Arial" w:hAnsi="Arial" w:eastAsia="Arial" w:cs="Arial"/>
            <w:noProof w:val="0"/>
            <w:sz w:val="24"/>
            <w:szCs w:val="24"/>
            <w:lang w:val="en-GB"/>
          </w:rPr>
          <w:t>Donoghue v Stevenson [1932]: Case Analysis | Negligence Solicitors (professionalnegligenceclaimsolicitors.co.uk)</w:t>
        </w:r>
      </w:hyperlink>
      <w:r w:rsidRPr="660B3404" w:rsidR="2A416FD0">
        <w:rPr>
          <w:rFonts w:ascii="Arial" w:hAnsi="Arial" w:eastAsia="Arial" w:cs="Arial"/>
          <w:noProof w:val="0"/>
          <w:sz w:val="24"/>
          <w:szCs w:val="24"/>
          <w:lang w:val="en-GB"/>
        </w:rPr>
        <w:t xml:space="preserve">   </w:t>
      </w:r>
      <w:r w:rsidRPr="660B3404" w:rsidR="55E42D47">
        <w:rPr>
          <w:rFonts w:ascii="Arial" w:hAnsi="Arial" w:eastAsia="Arial" w:cs="Arial"/>
          <w:b w:val="0"/>
          <w:bCs w:val="0"/>
          <w:i w:val="0"/>
          <w:iCs w:val="0"/>
          <w:caps w:val="0"/>
          <w:smallCaps w:val="0"/>
          <w:noProof w:val="0"/>
          <w:color w:val="000000" w:themeColor="text1" w:themeTint="FF" w:themeShade="FF"/>
          <w:sz w:val="24"/>
          <w:szCs w:val="24"/>
          <w:lang w:val="en-GB"/>
        </w:rPr>
        <w:t xml:space="preserve">[Last Accessed on </w:t>
      </w:r>
      <w:r w:rsidRPr="660B3404" w:rsidR="288335E0">
        <w:rPr>
          <w:rFonts w:ascii="Arial" w:hAnsi="Arial" w:eastAsia="Arial" w:cs="Arial"/>
          <w:b w:val="0"/>
          <w:bCs w:val="0"/>
          <w:i w:val="0"/>
          <w:iCs w:val="0"/>
          <w:caps w:val="0"/>
          <w:smallCaps w:val="0"/>
          <w:noProof w:val="0"/>
          <w:color w:val="000000" w:themeColor="text1" w:themeTint="FF" w:themeShade="FF"/>
          <w:sz w:val="24"/>
          <w:szCs w:val="24"/>
          <w:lang w:val="en-GB"/>
        </w:rPr>
        <w:t>22</w:t>
      </w:r>
      <w:r w:rsidRPr="660B3404" w:rsidR="55E42D47">
        <w:rPr>
          <w:rFonts w:ascii="Arial" w:hAnsi="Arial" w:eastAsia="Arial" w:cs="Arial"/>
          <w:b w:val="0"/>
          <w:bCs w:val="0"/>
          <w:i w:val="0"/>
          <w:iCs w:val="0"/>
          <w:caps w:val="0"/>
          <w:smallCaps w:val="0"/>
          <w:noProof w:val="0"/>
          <w:color w:val="000000" w:themeColor="text1" w:themeTint="FF" w:themeShade="FF"/>
          <w:sz w:val="24"/>
          <w:szCs w:val="24"/>
          <w:lang w:val="en-GB"/>
        </w:rPr>
        <w:t>/11/22]</w:t>
      </w:r>
    </w:p>
    <w:p w:rsidR="660B3404" w:rsidP="660B3404" w:rsidRDefault="660B3404" w14:paraId="4A1C200B" w14:textId="4260F221">
      <w:pPr>
        <w:pStyle w:val="Normal"/>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4B71873A" w:rsidP="4B71873A" w:rsidRDefault="4B71873A" w14:paraId="2833117B" w14:textId="493FA96A">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674D6171" w:rsidP="660B3404" w:rsidRDefault="674D6171" w14:paraId="5681176F" w14:textId="7577C052">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660B3404" w:rsidRDefault="674D6171" w14:paraId="5E2E7F5B" w14:textId="3B9CD4DB">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660B3404" w:rsidRDefault="674D6171" w14:paraId="53767EBA" w14:textId="4645FD59">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60B3404"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7.0   </w:t>
      </w:r>
      <w:r w:rsidRPr="660B3404"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Appendices</w:t>
      </w:r>
    </w:p>
    <w:p w:rsidR="4B71873A" w:rsidP="4B71873A" w:rsidRDefault="4B71873A" w14:paraId="3663FC61" w14:textId="57C2359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4B71873A" w:rsidRDefault="674D6171" w14:paraId="05B80F5D" w14:textId="43763FFF">
      <w:pPr>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7.1  </w:t>
      </w:r>
      <w:r w:rsidRPr="4B71873A" w:rsidR="674D617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4B71873A" w:rsidR="674D61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Appendix 1</w:t>
      </w:r>
    </w:p>
    <w:p w:rsidR="4B71873A" w:rsidP="4B71873A" w:rsidRDefault="4B71873A" w14:paraId="4A53E498" w14:textId="238A8C4E">
      <w:pPr>
        <w:spacing w:after="16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74D6171" w:rsidP="4B71873A" w:rsidRDefault="674D6171" w14:paraId="4E258825" w14:textId="38B08F5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The image below demonstrates the </w:t>
      </w:r>
      <w:r w:rsidRPr="4B71873A" w:rsidR="77D6CBCC">
        <w:rPr>
          <w:rFonts w:ascii="Arial" w:hAnsi="Arial" w:eastAsia="Arial" w:cs="Arial"/>
          <w:b w:val="0"/>
          <w:bCs w:val="0"/>
          <w:i w:val="0"/>
          <w:iCs w:val="0"/>
          <w:caps w:val="0"/>
          <w:smallCaps w:val="0"/>
          <w:noProof w:val="0"/>
          <w:color w:val="000000" w:themeColor="text1" w:themeTint="FF" w:themeShade="FF"/>
          <w:sz w:val="24"/>
          <w:szCs w:val="24"/>
          <w:lang w:val="en-GB"/>
        </w:rPr>
        <w:t xml:space="preserve">adjudication timeline through a </w:t>
      </w:r>
      <w:r w:rsidRPr="4B71873A" w:rsidR="7E6C8D4E">
        <w:rPr>
          <w:rFonts w:ascii="Arial" w:hAnsi="Arial" w:eastAsia="Arial" w:cs="Arial"/>
          <w:b w:val="0"/>
          <w:bCs w:val="0"/>
          <w:i w:val="0"/>
          <w:iCs w:val="0"/>
          <w:caps w:val="0"/>
          <w:smallCaps w:val="0"/>
          <w:noProof w:val="0"/>
          <w:color w:val="000000" w:themeColor="text1" w:themeTint="FF" w:themeShade="FF"/>
          <w:sz w:val="24"/>
          <w:szCs w:val="24"/>
          <w:lang w:val="en-GB"/>
        </w:rPr>
        <w:t>detailed</w:t>
      </w:r>
      <w:r w:rsidRPr="4B71873A" w:rsidR="77D6CBCC">
        <w:rPr>
          <w:rFonts w:ascii="Arial" w:hAnsi="Arial" w:eastAsia="Arial" w:cs="Arial"/>
          <w:b w:val="0"/>
          <w:bCs w:val="0"/>
          <w:i w:val="0"/>
          <w:iCs w:val="0"/>
          <w:caps w:val="0"/>
          <w:smallCaps w:val="0"/>
          <w:noProof w:val="0"/>
          <w:color w:val="000000" w:themeColor="text1" w:themeTint="FF" w:themeShade="FF"/>
          <w:sz w:val="24"/>
          <w:szCs w:val="24"/>
          <w:lang w:val="en-GB"/>
        </w:rPr>
        <w:t xml:space="preserve"> diagram:</w:t>
      </w:r>
    </w:p>
    <w:p w:rsidR="68E24955" w:rsidP="4B71873A" w:rsidRDefault="68E24955" w14:paraId="5C91508C" w14:textId="09C5BD1D">
      <w:pPr>
        <w:pStyle w:val="Normal"/>
        <w:spacing w:after="160" w:line="360" w:lineRule="auto"/>
        <w:ind w:left="720"/>
      </w:pPr>
      <w:r w:rsidR="68E24955">
        <w:drawing>
          <wp:inline wp14:editId="3D74C9BC" wp14:anchorId="335AAADE">
            <wp:extent cx="4572000" cy="3228975"/>
            <wp:effectExtent l="0" t="0" r="0" b="0"/>
            <wp:docPr id="1628345060" name="" title=""/>
            <wp:cNvGraphicFramePr>
              <a:graphicFrameLocks noChangeAspect="1"/>
            </wp:cNvGraphicFramePr>
            <a:graphic>
              <a:graphicData uri="http://schemas.openxmlformats.org/drawingml/2006/picture">
                <pic:pic>
                  <pic:nvPicPr>
                    <pic:cNvPr id="0" name=""/>
                    <pic:cNvPicPr/>
                  </pic:nvPicPr>
                  <pic:blipFill>
                    <a:blip r:embed="R0f348d7e07ab4dcd">
                      <a:extLst>
                        <a:ext xmlns:a="http://schemas.openxmlformats.org/drawingml/2006/main" uri="{28A0092B-C50C-407E-A947-70E740481C1C}">
                          <a14:useLocalDpi val="0"/>
                        </a:ext>
                      </a:extLst>
                    </a:blip>
                    <a:stretch>
                      <a:fillRect/>
                    </a:stretch>
                  </pic:blipFill>
                  <pic:spPr>
                    <a:xfrm>
                      <a:off x="0" y="0"/>
                      <a:ext cx="4572000" cy="3228975"/>
                    </a:xfrm>
                    <a:prstGeom prst="rect">
                      <a:avLst/>
                    </a:prstGeom>
                  </pic:spPr>
                </pic:pic>
              </a:graphicData>
            </a:graphic>
          </wp:inline>
        </w:drawing>
      </w:r>
    </w:p>
    <w:p w:rsidR="4B71873A" w:rsidP="4B71873A" w:rsidRDefault="4B71873A" w14:paraId="71911376" w14:textId="57AA0183">
      <w:pPr>
        <w:spacing w:after="160" w:line="360" w:lineRule="auto"/>
        <w:ind w:left="720"/>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p>
    <w:p w:rsidR="674D6171" w:rsidP="4B71873A" w:rsidRDefault="674D6171" w14:paraId="725588FB" w14:textId="107ED0C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71873A"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Source: </w:t>
      </w:r>
      <w:r w:rsidRPr="4B71873A" w:rsidR="2828AD9D">
        <w:rPr>
          <w:rFonts w:ascii="Arial" w:hAnsi="Arial" w:eastAsia="Arial" w:cs="Arial"/>
          <w:b w:val="0"/>
          <w:bCs w:val="0"/>
          <w:i w:val="0"/>
          <w:iCs w:val="0"/>
          <w:caps w:val="0"/>
          <w:smallCaps w:val="0"/>
          <w:noProof w:val="0"/>
          <w:color w:val="000000" w:themeColor="text1" w:themeTint="FF" w:themeShade="FF"/>
          <w:sz w:val="24"/>
          <w:szCs w:val="24"/>
          <w:lang w:val="en-GB"/>
        </w:rPr>
        <w:t>BpCollins</w:t>
      </w:r>
      <w:r w:rsidRPr="4B71873A" w:rsidR="674D6171">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4B71873A" w:rsidR="0327B5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B71873A" w:rsidP="4B71873A" w:rsidRDefault="4B71873A" w14:paraId="18A33FBF" w14:textId="15A2A7D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B71873A" w:rsidP="4B71873A" w:rsidRDefault="4B71873A" w14:paraId="6A8D4EB8" w14:textId="290EDFE6">
      <w:pPr>
        <w:pStyle w:val="Normal"/>
        <w:jc w:val="left"/>
      </w:pPr>
    </w:p>
    <w:p w:rsidR="5BDC6B02" w:rsidP="5BDC6B02" w:rsidRDefault="5BDC6B02" w14:paraId="578F4733" w14:textId="7F61CF87">
      <w:pPr>
        <w:pStyle w:val="Normal"/>
        <w:jc w:val="left"/>
      </w:pPr>
    </w:p>
    <w:p w:rsidR="5BDC6B02" w:rsidP="5BDC6B02" w:rsidRDefault="5BDC6B02" w14:paraId="279533BD" w14:textId="76B30152">
      <w:pPr>
        <w:pStyle w:val="Normal"/>
        <w:jc w:val="left"/>
      </w:pPr>
    </w:p>
    <w:p w:rsidR="5BDC6B02" w:rsidP="5BDC6B02" w:rsidRDefault="5BDC6B02" w14:paraId="0FBB7D8B" w14:textId="241A8593">
      <w:pPr>
        <w:pStyle w:val="Normal"/>
        <w:jc w:val="left"/>
      </w:pPr>
    </w:p>
    <w:p w:rsidR="5BDC6B02" w:rsidP="5BDC6B02" w:rsidRDefault="5BDC6B02" w14:paraId="532A780D" w14:textId="7DA40050">
      <w:pPr>
        <w:pStyle w:val="Normal"/>
        <w:jc w:val="left"/>
      </w:pPr>
    </w:p>
    <w:p w:rsidR="5BDC6B02" w:rsidP="5BDC6B02" w:rsidRDefault="5BDC6B02" w14:paraId="2DA006E7" w14:textId="0AC240F2">
      <w:pPr>
        <w:pStyle w:val="Normal"/>
        <w:jc w:val="left"/>
        <w:rPr>
          <w:rFonts w:ascii="Calibri" w:hAnsi="Calibri" w:eastAsia="Calibri" w:cs="Calibri" w:asciiTheme="minorAscii" w:hAnsiTheme="minorAscii" w:eastAsiaTheme="minorAscii" w:cstheme="minorAscii"/>
        </w:rPr>
      </w:pPr>
    </w:p>
    <w:p w:rsidR="5BDC6B02" w:rsidP="5BDC6B02" w:rsidRDefault="5BDC6B02" w14:paraId="6A7E7BF0" w14:textId="71EBEFA3">
      <w:pPr>
        <w:pStyle w:val="Normal"/>
        <w:jc w:val="left"/>
        <w:rPr>
          <w:rFonts w:ascii="Calibri" w:hAnsi="Calibri" w:eastAsia="Calibri" w:cs="Calibri" w:asciiTheme="minorAscii" w:hAnsiTheme="minorAscii" w:eastAsiaTheme="minorAscii" w:cstheme="minorAscii"/>
        </w:rPr>
      </w:pPr>
    </w:p>
    <w:p w:rsidR="5BDC6B02" w:rsidP="5BDC6B02" w:rsidRDefault="5BDC6B02" w14:paraId="4705463B" w14:textId="57F78F8C">
      <w:pPr>
        <w:pStyle w:val="Normal"/>
        <w:jc w:val="left"/>
        <w:rPr>
          <w:rFonts w:ascii="Calibri" w:hAnsi="Calibri" w:eastAsia="Calibri" w:cs="Calibri" w:asciiTheme="minorAscii" w:hAnsiTheme="minorAscii" w:eastAsiaTheme="minorAscii" w:cstheme="minorAscii"/>
        </w:rPr>
      </w:pPr>
    </w:p>
    <w:p w:rsidR="5BDC6B02" w:rsidP="5BDC6B02" w:rsidRDefault="5BDC6B02" w14:paraId="2B5054E1" w14:textId="4F0B9457">
      <w:pPr>
        <w:pStyle w:val="Normal"/>
        <w:jc w:val="left"/>
        <w:rPr>
          <w:rFonts w:ascii="Calibri" w:hAnsi="Calibri" w:eastAsia="Calibri" w:cs="Calibri" w:asciiTheme="minorAscii" w:hAnsiTheme="minorAscii" w:eastAsiaTheme="minorAscii" w:cstheme="minorAscii"/>
        </w:rPr>
      </w:pPr>
    </w:p>
    <w:p w:rsidR="5BDC6B02" w:rsidP="5BDC6B02" w:rsidRDefault="5BDC6B02" w14:paraId="3491991E" w14:textId="4F693419">
      <w:pPr>
        <w:pStyle w:val="Normal"/>
        <w:jc w:val="left"/>
        <w:rPr>
          <w:rFonts w:ascii="Calibri" w:hAnsi="Calibri" w:eastAsia="Calibri" w:cs="Calibri" w:asciiTheme="minorAscii" w:hAnsiTheme="minorAscii" w:eastAsiaTheme="minorAscii" w:cstheme="minorAscii"/>
        </w:rPr>
      </w:pPr>
    </w:p>
    <w:p w:rsidR="5BDC6B02" w:rsidP="5BDC6B02" w:rsidRDefault="5BDC6B02" w14:paraId="6B07CC49" w14:textId="7AEBEE97">
      <w:pPr>
        <w:pStyle w:val="Normal"/>
        <w:jc w:val="left"/>
        <w:rPr>
          <w:rFonts w:ascii="Calibri" w:hAnsi="Calibri" w:eastAsia="Calibri" w:cs="Calibri" w:asciiTheme="minorAscii" w:hAnsiTheme="minorAscii" w:eastAsiaTheme="minorAscii" w:cstheme="minorAscii"/>
        </w:rPr>
      </w:pPr>
    </w:p>
    <w:p w:rsidR="5BDC6B02" w:rsidP="5BDC6B02" w:rsidRDefault="5BDC6B02" w14:paraId="5A0100EF" w14:textId="587D3595">
      <w:pPr>
        <w:pStyle w:val="Normal"/>
        <w:jc w:val="left"/>
        <w:rPr>
          <w:rFonts w:ascii="Calibri" w:hAnsi="Calibri" w:eastAsia="Calibri" w:cs="Calibri" w:asciiTheme="minorAscii" w:hAnsiTheme="minorAscii" w:eastAsiaTheme="minorAscii" w:cstheme="minorAscii"/>
        </w:rPr>
      </w:pPr>
    </w:p>
    <w:p w:rsidR="5BDC6B02" w:rsidP="5BDC6B02" w:rsidRDefault="5BDC6B02" w14:paraId="6A90434E" w14:textId="303A672C">
      <w:pPr>
        <w:pStyle w:val="Normal"/>
        <w:jc w:val="left"/>
        <w:rPr>
          <w:rFonts w:ascii="Calibri" w:hAnsi="Calibri" w:eastAsia="Calibri" w:cs="Calibri" w:asciiTheme="minorAscii" w:hAnsiTheme="minorAscii" w:eastAsiaTheme="minorAscii" w:cstheme="minorAscii"/>
        </w:rPr>
      </w:pPr>
    </w:p>
    <w:p w:rsidR="5BDC6B02" w:rsidP="5BDC6B02" w:rsidRDefault="5BDC6B02" w14:paraId="609BB262" w14:textId="7FFB9532">
      <w:pPr>
        <w:pStyle w:val="Normal"/>
        <w:jc w:val="left"/>
        <w:rPr>
          <w:rFonts w:ascii="Calibri" w:hAnsi="Calibri" w:eastAsia="Calibri" w:cs="Calibri" w:asciiTheme="minorAscii" w:hAnsiTheme="minorAscii" w:eastAsiaTheme="minorAscii" w:cstheme="minorAscii"/>
        </w:rPr>
      </w:pPr>
    </w:p>
    <w:p w:rsidR="5BDC6B02" w:rsidP="5BDC6B02" w:rsidRDefault="5BDC6B02" w14:paraId="2975123A" w14:textId="48D1BE67">
      <w:pPr>
        <w:pStyle w:val="Normal"/>
        <w:jc w:val="left"/>
        <w:rPr>
          <w:rFonts w:ascii="Calibri" w:hAnsi="Calibri" w:eastAsia="Calibri" w:cs="Calibri" w:asciiTheme="minorAscii" w:hAnsiTheme="minorAscii" w:eastAsiaTheme="minorAscii" w:cstheme="minorAsci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Rvt5k6oCbMNhE" int2:id="8w9igrlh">
      <int2:state int2:type="LegacyProofing" int2:value="Rejected"/>
    </int2:textHash>
    <int2:textHash int2:hashCode="X3oQcrO/1wEJyz" int2:id="1bwVpZaK">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ecdbf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81d5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c0d0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70146A"/>
    <w:rsid w:val="0018CDE6"/>
    <w:rsid w:val="0024B833"/>
    <w:rsid w:val="00418C75"/>
    <w:rsid w:val="004AB383"/>
    <w:rsid w:val="007AA819"/>
    <w:rsid w:val="007D08F8"/>
    <w:rsid w:val="0083862B"/>
    <w:rsid w:val="008AB648"/>
    <w:rsid w:val="00A82A1B"/>
    <w:rsid w:val="00AFFFA9"/>
    <w:rsid w:val="00BF2FEE"/>
    <w:rsid w:val="00C7F7E1"/>
    <w:rsid w:val="00F397CE"/>
    <w:rsid w:val="01138B7A"/>
    <w:rsid w:val="0135C3A6"/>
    <w:rsid w:val="013C31B2"/>
    <w:rsid w:val="0164BA61"/>
    <w:rsid w:val="01674387"/>
    <w:rsid w:val="0170634A"/>
    <w:rsid w:val="01ADB3D7"/>
    <w:rsid w:val="01C69242"/>
    <w:rsid w:val="01DD1BC0"/>
    <w:rsid w:val="02112885"/>
    <w:rsid w:val="0236B881"/>
    <w:rsid w:val="0256BBAE"/>
    <w:rsid w:val="02573CE4"/>
    <w:rsid w:val="0266B944"/>
    <w:rsid w:val="02722AFF"/>
    <w:rsid w:val="02B92321"/>
    <w:rsid w:val="0327B523"/>
    <w:rsid w:val="0340D97C"/>
    <w:rsid w:val="035F3E43"/>
    <w:rsid w:val="0360F421"/>
    <w:rsid w:val="036FEA7E"/>
    <w:rsid w:val="038208EB"/>
    <w:rsid w:val="03ACF8E6"/>
    <w:rsid w:val="03BA3212"/>
    <w:rsid w:val="03BDB084"/>
    <w:rsid w:val="03E909DF"/>
    <w:rsid w:val="0400A5A7"/>
    <w:rsid w:val="04162172"/>
    <w:rsid w:val="0426EDC5"/>
    <w:rsid w:val="04699093"/>
    <w:rsid w:val="0490516D"/>
    <w:rsid w:val="04924A01"/>
    <w:rsid w:val="04C0DB1A"/>
    <w:rsid w:val="04E00ECC"/>
    <w:rsid w:val="04F5BA64"/>
    <w:rsid w:val="052EBF29"/>
    <w:rsid w:val="053F52F9"/>
    <w:rsid w:val="05A73C0B"/>
    <w:rsid w:val="05CBB7C6"/>
    <w:rsid w:val="05E50C96"/>
    <w:rsid w:val="05ECDAA6"/>
    <w:rsid w:val="0659C417"/>
    <w:rsid w:val="06611AFC"/>
    <w:rsid w:val="067BDF2D"/>
    <w:rsid w:val="06AF7C3F"/>
    <w:rsid w:val="06CC570F"/>
    <w:rsid w:val="06EDBB9B"/>
    <w:rsid w:val="074B653E"/>
    <w:rsid w:val="074D6307"/>
    <w:rsid w:val="0757E0E3"/>
    <w:rsid w:val="075EBC9F"/>
    <w:rsid w:val="076C6728"/>
    <w:rsid w:val="07BB2BA5"/>
    <w:rsid w:val="07CE9764"/>
    <w:rsid w:val="07D773B1"/>
    <w:rsid w:val="080960B3"/>
    <w:rsid w:val="08421A8F"/>
    <w:rsid w:val="0843B224"/>
    <w:rsid w:val="08471F5D"/>
    <w:rsid w:val="086287F3"/>
    <w:rsid w:val="087CE808"/>
    <w:rsid w:val="0896D9B3"/>
    <w:rsid w:val="08A634B7"/>
    <w:rsid w:val="08BEDBAB"/>
    <w:rsid w:val="08D4542D"/>
    <w:rsid w:val="09202302"/>
    <w:rsid w:val="093EE721"/>
    <w:rsid w:val="09A60542"/>
    <w:rsid w:val="09C54158"/>
    <w:rsid w:val="09CB6E21"/>
    <w:rsid w:val="09D0B501"/>
    <w:rsid w:val="09E22A5D"/>
    <w:rsid w:val="0A0A72CC"/>
    <w:rsid w:val="0A0E4BB7"/>
    <w:rsid w:val="0A18B869"/>
    <w:rsid w:val="0A2AA5E7"/>
    <w:rsid w:val="0A42431C"/>
    <w:rsid w:val="0A4B1FF6"/>
    <w:rsid w:val="0A54D04B"/>
    <w:rsid w:val="0A70558D"/>
    <w:rsid w:val="0A8503C9"/>
    <w:rsid w:val="0A9A52F2"/>
    <w:rsid w:val="0AE4E547"/>
    <w:rsid w:val="0AFD125C"/>
    <w:rsid w:val="0B3AB75D"/>
    <w:rsid w:val="0B47C9F0"/>
    <w:rsid w:val="0B6A5028"/>
    <w:rsid w:val="0B74031B"/>
    <w:rsid w:val="0B82C4F0"/>
    <w:rsid w:val="0B8635F1"/>
    <w:rsid w:val="0BA8E00B"/>
    <w:rsid w:val="0BC12CBE"/>
    <w:rsid w:val="0BD323F5"/>
    <w:rsid w:val="0BEB6BF2"/>
    <w:rsid w:val="0C07ABCD"/>
    <w:rsid w:val="0C2030DF"/>
    <w:rsid w:val="0C31B98D"/>
    <w:rsid w:val="0C74A810"/>
    <w:rsid w:val="0C9466CA"/>
    <w:rsid w:val="0CB4AF38"/>
    <w:rsid w:val="0CCE692A"/>
    <w:rsid w:val="0CEA3F9F"/>
    <w:rsid w:val="0CFC6334"/>
    <w:rsid w:val="0CFFC1A3"/>
    <w:rsid w:val="0D015DDF"/>
    <w:rsid w:val="0D1C76AC"/>
    <w:rsid w:val="0D865C94"/>
    <w:rsid w:val="0D8CC04A"/>
    <w:rsid w:val="0D9EBF89"/>
    <w:rsid w:val="0DA4DB8B"/>
    <w:rsid w:val="0DAB69B4"/>
    <w:rsid w:val="0DABF401"/>
    <w:rsid w:val="0DCDD00B"/>
    <w:rsid w:val="0EA1F0EA"/>
    <w:rsid w:val="0EAC9A0A"/>
    <w:rsid w:val="0EE883C7"/>
    <w:rsid w:val="0F32107E"/>
    <w:rsid w:val="0F3F4C8F"/>
    <w:rsid w:val="0F567723"/>
    <w:rsid w:val="0F93F2B7"/>
    <w:rsid w:val="0FD97BDC"/>
    <w:rsid w:val="1007FD42"/>
    <w:rsid w:val="1034CF8D"/>
    <w:rsid w:val="103DC14B"/>
    <w:rsid w:val="103FDAA8"/>
    <w:rsid w:val="103FDAA8"/>
    <w:rsid w:val="1083B6A1"/>
    <w:rsid w:val="10AD20E5"/>
    <w:rsid w:val="10BED01C"/>
    <w:rsid w:val="10C57467"/>
    <w:rsid w:val="10CAEE2E"/>
    <w:rsid w:val="10E30A76"/>
    <w:rsid w:val="10F0568D"/>
    <w:rsid w:val="113DB65D"/>
    <w:rsid w:val="115865FC"/>
    <w:rsid w:val="118635C5"/>
    <w:rsid w:val="1188B89B"/>
    <w:rsid w:val="11D332C6"/>
    <w:rsid w:val="12357FF7"/>
    <w:rsid w:val="12429CD1"/>
    <w:rsid w:val="125D47E2"/>
    <w:rsid w:val="12624624"/>
    <w:rsid w:val="12C85EF0"/>
    <w:rsid w:val="12CB287A"/>
    <w:rsid w:val="12D47930"/>
    <w:rsid w:val="12D74244"/>
    <w:rsid w:val="135E332A"/>
    <w:rsid w:val="13637A0A"/>
    <w:rsid w:val="13A07E05"/>
    <w:rsid w:val="13B887CD"/>
    <w:rsid w:val="13FA3B09"/>
    <w:rsid w:val="1412E453"/>
    <w:rsid w:val="14141D0F"/>
    <w:rsid w:val="141AAB38"/>
    <w:rsid w:val="141CF76E"/>
    <w:rsid w:val="148F1467"/>
    <w:rsid w:val="14CAF3D8"/>
    <w:rsid w:val="14DB0129"/>
    <w:rsid w:val="14F46633"/>
    <w:rsid w:val="15024369"/>
    <w:rsid w:val="154E86F9"/>
    <w:rsid w:val="15987617"/>
    <w:rsid w:val="15BFB993"/>
    <w:rsid w:val="160ED533"/>
    <w:rsid w:val="162FB821"/>
    <w:rsid w:val="1647CF72"/>
    <w:rsid w:val="16702A57"/>
    <w:rsid w:val="168D5FC8"/>
    <w:rsid w:val="169B65F1"/>
    <w:rsid w:val="16B5B25C"/>
    <w:rsid w:val="16CEDF49"/>
    <w:rsid w:val="16D3A662"/>
    <w:rsid w:val="1707B222"/>
    <w:rsid w:val="172CF8DB"/>
    <w:rsid w:val="174BBDD1"/>
    <w:rsid w:val="175B89F4"/>
    <w:rsid w:val="1766261E"/>
    <w:rsid w:val="1774B251"/>
    <w:rsid w:val="179F551A"/>
    <w:rsid w:val="17AA9BD0"/>
    <w:rsid w:val="17B93A8A"/>
    <w:rsid w:val="17D373AD"/>
    <w:rsid w:val="184882CE"/>
    <w:rsid w:val="185201F6"/>
    <w:rsid w:val="18AB1DAA"/>
    <w:rsid w:val="18AD8CBC"/>
    <w:rsid w:val="18C4BA45"/>
    <w:rsid w:val="18C8C93C"/>
    <w:rsid w:val="18D6F21A"/>
    <w:rsid w:val="18E93A3C"/>
    <w:rsid w:val="1945DE4C"/>
    <w:rsid w:val="194D0EAA"/>
    <w:rsid w:val="199A7D83"/>
    <w:rsid w:val="19A56A97"/>
    <w:rsid w:val="19C4D52A"/>
    <w:rsid w:val="19DE3AEA"/>
    <w:rsid w:val="19FCA643"/>
    <w:rsid w:val="1A2A09BF"/>
    <w:rsid w:val="1A2FA581"/>
    <w:rsid w:val="1ACFEA62"/>
    <w:rsid w:val="1AD6CA75"/>
    <w:rsid w:val="1AD7B2EF"/>
    <w:rsid w:val="1AFC5323"/>
    <w:rsid w:val="1B312F44"/>
    <w:rsid w:val="1B45199C"/>
    <w:rsid w:val="1B6E20DF"/>
    <w:rsid w:val="1B73C460"/>
    <w:rsid w:val="1B79CB45"/>
    <w:rsid w:val="1BB4C687"/>
    <w:rsid w:val="1C0DF41D"/>
    <w:rsid w:val="1C2E34F0"/>
    <w:rsid w:val="1C5BD08F"/>
    <w:rsid w:val="1C6DD7FF"/>
    <w:rsid w:val="1C933BFC"/>
    <w:rsid w:val="1CA4E40F"/>
    <w:rsid w:val="1CB2A114"/>
    <w:rsid w:val="1CC79528"/>
    <w:rsid w:val="1CCB137B"/>
    <w:rsid w:val="1CCEC84D"/>
    <w:rsid w:val="1CEE6DD0"/>
    <w:rsid w:val="1D0F94C1"/>
    <w:rsid w:val="1D44DAA4"/>
    <w:rsid w:val="1D674643"/>
    <w:rsid w:val="1DA605D8"/>
    <w:rsid w:val="1DA616F5"/>
    <w:rsid w:val="1DDDB68C"/>
    <w:rsid w:val="1DF7A0F0"/>
    <w:rsid w:val="1EB08796"/>
    <w:rsid w:val="1EE0BE60"/>
    <w:rsid w:val="1EE5440C"/>
    <w:rsid w:val="1F07F824"/>
    <w:rsid w:val="1F1A5F2E"/>
    <w:rsid w:val="1F353DB2"/>
    <w:rsid w:val="1F4594DF"/>
    <w:rsid w:val="1F669BD9"/>
    <w:rsid w:val="1F710E6F"/>
    <w:rsid w:val="1F7563A0"/>
    <w:rsid w:val="201899E0"/>
    <w:rsid w:val="203C4100"/>
    <w:rsid w:val="205B6C86"/>
    <w:rsid w:val="205D6BAF"/>
    <w:rsid w:val="20765AC3"/>
    <w:rsid w:val="20788C4A"/>
    <w:rsid w:val="209561E7"/>
    <w:rsid w:val="20B6A3CD"/>
    <w:rsid w:val="20E16540"/>
    <w:rsid w:val="20E7FEE0"/>
    <w:rsid w:val="215C23AF"/>
    <w:rsid w:val="21758548"/>
    <w:rsid w:val="217C3A4E"/>
    <w:rsid w:val="2181BD32"/>
    <w:rsid w:val="219D741B"/>
    <w:rsid w:val="21C113D3"/>
    <w:rsid w:val="220366A0"/>
    <w:rsid w:val="22122B24"/>
    <w:rsid w:val="22593EB7"/>
    <w:rsid w:val="225C2721"/>
    <w:rsid w:val="225D1240"/>
    <w:rsid w:val="22913A98"/>
    <w:rsid w:val="22A32BB5"/>
    <w:rsid w:val="22CA500C"/>
    <w:rsid w:val="22CC0FD6"/>
    <w:rsid w:val="22D43DB1"/>
    <w:rsid w:val="2300749C"/>
    <w:rsid w:val="232D186B"/>
    <w:rsid w:val="235E3706"/>
    <w:rsid w:val="23721E75"/>
    <w:rsid w:val="23742924"/>
    <w:rsid w:val="237835E5"/>
    <w:rsid w:val="2397FEA2"/>
    <w:rsid w:val="23EDD051"/>
    <w:rsid w:val="240C385B"/>
    <w:rsid w:val="2411C72E"/>
    <w:rsid w:val="244CF810"/>
    <w:rsid w:val="244FD323"/>
    <w:rsid w:val="24644086"/>
    <w:rsid w:val="2483CACC"/>
    <w:rsid w:val="24C20EB8"/>
    <w:rsid w:val="24E95891"/>
    <w:rsid w:val="24E974F9"/>
    <w:rsid w:val="251AA6A6"/>
    <w:rsid w:val="251D65DC"/>
    <w:rsid w:val="252C5CF9"/>
    <w:rsid w:val="253F472F"/>
    <w:rsid w:val="255EB98A"/>
    <w:rsid w:val="256CF7F7"/>
    <w:rsid w:val="256D4C97"/>
    <w:rsid w:val="25A8982D"/>
    <w:rsid w:val="25B117BD"/>
    <w:rsid w:val="2604188B"/>
    <w:rsid w:val="260BDE73"/>
    <w:rsid w:val="26292F1C"/>
    <w:rsid w:val="26412ADF"/>
    <w:rsid w:val="264DC971"/>
    <w:rsid w:val="26661B1B"/>
    <w:rsid w:val="26955016"/>
    <w:rsid w:val="269C31B7"/>
    <w:rsid w:val="26B4A9DC"/>
    <w:rsid w:val="26B67707"/>
    <w:rsid w:val="2708F876"/>
    <w:rsid w:val="27257113"/>
    <w:rsid w:val="273E9970"/>
    <w:rsid w:val="27478082"/>
    <w:rsid w:val="274B0B07"/>
    <w:rsid w:val="27A7AED4"/>
    <w:rsid w:val="27BB6B8E"/>
    <w:rsid w:val="27E999D2"/>
    <w:rsid w:val="2828AD9D"/>
    <w:rsid w:val="283524C7"/>
    <w:rsid w:val="283E05D3"/>
    <w:rsid w:val="288335E0"/>
    <w:rsid w:val="289767E5"/>
    <w:rsid w:val="28D56F3F"/>
    <w:rsid w:val="2905E10B"/>
    <w:rsid w:val="29156BA5"/>
    <w:rsid w:val="29234446"/>
    <w:rsid w:val="2954FBB0"/>
    <w:rsid w:val="2997095A"/>
    <w:rsid w:val="29BBC3FF"/>
    <w:rsid w:val="29D947DA"/>
    <w:rsid w:val="29EE17C9"/>
    <w:rsid w:val="29F43741"/>
    <w:rsid w:val="2A2A5C73"/>
    <w:rsid w:val="2A2B5E8D"/>
    <w:rsid w:val="2A416FD0"/>
    <w:rsid w:val="2A436035"/>
    <w:rsid w:val="2AA8C4F6"/>
    <w:rsid w:val="2ADAA83F"/>
    <w:rsid w:val="2B081F13"/>
    <w:rsid w:val="2B116091"/>
    <w:rsid w:val="2B1733FA"/>
    <w:rsid w:val="2B25A623"/>
    <w:rsid w:val="2B442A09"/>
    <w:rsid w:val="2B7AAB1C"/>
    <w:rsid w:val="2BA80BDC"/>
    <w:rsid w:val="2BC72EEE"/>
    <w:rsid w:val="2C09131B"/>
    <w:rsid w:val="2C245970"/>
    <w:rsid w:val="2C424FEA"/>
    <w:rsid w:val="2C79E1DF"/>
    <w:rsid w:val="2C8EDA2A"/>
    <w:rsid w:val="2C9194A0"/>
    <w:rsid w:val="2CAF4019"/>
    <w:rsid w:val="2CB694B7"/>
    <w:rsid w:val="2CC9FB12"/>
    <w:rsid w:val="2CE59A83"/>
    <w:rsid w:val="2CE924CB"/>
    <w:rsid w:val="2CF4CFFC"/>
    <w:rsid w:val="2D0B32E4"/>
    <w:rsid w:val="2D141C34"/>
    <w:rsid w:val="2D25B88B"/>
    <w:rsid w:val="2D6AD0C8"/>
    <w:rsid w:val="2D7C7752"/>
    <w:rsid w:val="2D8FB805"/>
    <w:rsid w:val="2D9EFD64"/>
    <w:rsid w:val="2DE8C438"/>
    <w:rsid w:val="2DEA1FDB"/>
    <w:rsid w:val="2DFEA5AB"/>
    <w:rsid w:val="2E31F145"/>
    <w:rsid w:val="2E381EAB"/>
    <w:rsid w:val="2E58DB56"/>
    <w:rsid w:val="2E613904"/>
    <w:rsid w:val="2E62BD9F"/>
    <w:rsid w:val="2E753999"/>
    <w:rsid w:val="2E757246"/>
    <w:rsid w:val="2EA49C37"/>
    <w:rsid w:val="2EC3AD56"/>
    <w:rsid w:val="2ED2F8E4"/>
    <w:rsid w:val="2EDE7B11"/>
    <w:rsid w:val="2F204D5A"/>
    <w:rsid w:val="2F344B99"/>
    <w:rsid w:val="2F8AE8AB"/>
    <w:rsid w:val="2F94ACA0"/>
    <w:rsid w:val="2FC747FF"/>
    <w:rsid w:val="2FCCBF8A"/>
    <w:rsid w:val="2FD413EE"/>
    <w:rsid w:val="30085326"/>
    <w:rsid w:val="301388F9"/>
    <w:rsid w:val="3024BA29"/>
    <w:rsid w:val="303922C2"/>
    <w:rsid w:val="303D95CC"/>
    <w:rsid w:val="3050397B"/>
    <w:rsid w:val="30853844"/>
    <w:rsid w:val="3090A29C"/>
    <w:rsid w:val="30A28C9C"/>
    <w:rsid w:val="30BCF855"/>
    <w:rsid w:val="30DC843E"/>
    <w:rsid w:val="3128C24C"/>
    <w:rsid w:val="31319123"/>
    <w:rsid w:val="31667FEF"/>
    <w:rsid w:val="316A3B5A"/>
    <w:rsid w:val="31888400"/>
    <w:rsid w:val="31A996F1"/>
    <w:rsid w:val="31F6B7C6"/>
    <w:rsid w:val="320403F1"/>
    <w:rsid w:val="323A0497"/>
    <w:rsid w:val="3242463A"/>
    <w:rsid w:val="32678BDB"/>
    <w:rsid w:val="326BE9BD"/>
    <w:rsid w:val="32AACA1E"/>
    <w:rsid w:val="32C2896D"/>
    <w:rsid w:val="32CAFA90"/>
    <w:rsid w:val="33299B72"/>
    <w:rsid w:val="334A839D"/>
    <w:rsid w:val="3352DCC6"/>
    <w:rsid w:val="3369C471"/>
    <w:rsid w:val="33871C5E"/>
    <w:rsid w:val="33B010DE"/>
    <w:rsid w:val="3435CF0F"/>
    <w:rsid w:val="3440ED4F"/>
    <w:rsid w:val="344FD547"/>
    <w:rsid w:val="34ACAB7F"/>
    <w:rsid w:val="34D173EC"/>
    <w:rsid w:val="34DDC563"/>
    <w:rsid w:val="34DE8EB1"/>
    <w:rsid w:val="3502C95E"/>
    <w:rsid w:val="3522ECBF"/>
    <w:rsid w:val="353A4321"/>
    <w:rsid w:val="35824261"/>
    <w:rsid w:val="35C3EF63"/>
    <w:rsid w:val="35C60928"/>
    <w:rsid w:val="35EA04AB"/>
    <w:rsid w:val="35FA2A2F"/>
    <w:rsid w:val="36050246"/>
    <w:rsid w:val="36226EFF"/>
    <w:rsid w:val="363A8A46"/>
    <w:rsid w:val="363DAC7D"/>
    <w:rsid w:val="3648CA45"/>
    <w:rsid w:val="3659E459"/>
    <w:rsid w:val="365E0AF7"/>
    <w:rsid w:val="366FFC3C"/>
    <w:rsid w:val="36A11DE8"/>
    <w:rsid w:val="36C4C136"/>
    <w:rsid w:val="36EABE83"/>
    <w:rsid w:val="36F55CD9"/>
    <w:rsid w:val="376B55E1"/>
    <w:rsid w:val="379243D9"/>
    <w:rsid w:val="37C83751"/>
    <w:rsid w:val="37F70794"/>
    <w:rsid w:val="3845F584"/>
    <w:rsid w:val="38582937"/>
    <w:rsid w:val="3861A5F7"/>
    <w:rsid w:val="386AB537"/>
    <w:rsid w:val="387058B8"/>
    <w:rsid w:val="3870E569"/>
    <w:rsid w:val="38868EE4"/>
    <w:rsid w:val="38A9461B"/>
    <w:rsid w:val="38BDE589"/>
    <w:rsid w:val="38C80A3A"/>
    <w:rsid w:val="38CE223F"/>
    <w:rsid w:val="38D8A49C"/>
    <w:rsid w:val="38F3CEF8"/>
    <w:rsid w:val="393CA308"/>
    <w:rsid w:val="395A3D2E"/>
    <w:rsid w:val="397191D4"/>
    <w:rsid w:val="399AB74A"/>
    <w:rsid w:val="39A3D9F0"/>
    <w:rsid w:val="39A55D83"/>
    <w:rsid w:val="39C99999"/>
    <w:rsid w:val="39DAAC37"/>
    <w:rsid w:val="39EB9689"/>
    <w:rsid w:val="39F978A6"/>
    <w:rsid w:val="39FD7658"/>
    <w:rsid w:val="3A16DB52"/>
    <w:rsid w:val="3A225F45"/>
    <w:rsid w:val="3A37FD90"/>
    <w:rsid w:val="3A47A212"/>
    <w:rsid w:val="3A487976"/>
    <w:rsid w:val="3A8318B0"/>
    <w:rsid w:val="3A89A6EC"/>
    <w:rsid w:val="3ABDAF38"/>
    <w:rsid w:val="3ABF10CA"/>
    <w:rsid w:val="3B748F0B"/>
    <w:rsid w:val="3B754740"/>
    <w:rsid w:val="3B7905E6"/>
    <w:rsid w:val="3BB3B458"/>
    <w:rsid w:val="3BD020A5"/>
    <w:rsid w:val="3BFCA4B8"/>
    <w:rsid w:val="3C2A4A9E"/>
    <w:rsid w:val="3C5F3EBA"/>
    <w:rsid w:val="3C60613A"/>
    <w:rsid w:val="3CD538F8"/>
    <w:rsid w:val="3CE34E23"/>
    <w:rsid w:val="3CE4F4A4"/>
    <w:rsid w:val="3D12F9D8"/>
    <w:rsid w:val="3D5246EB"/>
    <w:rsid w:val="3D8E0BEB"/>
    <w:rsid w:val="3DA99740"/>
    <w:rsid w:val="3DF80118"/>
    <w:rsid w:val="3E2BDA9A"/>
    <w:rsid w:val="3E723506"/>
    <w:rsid w:val="3E81F099"/>
    <w:rsid w:val="3E8935A5"/>
    <w:rsid w:val="3E8C8661"/>
    <w:rsid w:val="3E8FFE07"/>
    <w:rsid w:val="3EA880D4"/>
    <w:rsid w:val="3EB16487"/>
    <w:rsid w:val="3EBB08DE"/>
    <w:rsid w:val="3EC07CA1"/>
    <w:rsid w:val="3ECA0286"/>
    <w:rsid w:val="3EDD8E49"/>
    <w:rsid w:val="3EF2C385"/>
    <w:rsid w:val="3F19A6DC"/>
    <w:rsid w:val="3F3D7E65"/>
    <w:rsid w:val="3F44F764"/>
    <w:rsid w:val="3F59AF5E"/>
    <w:rsid w:val="3F786A9C"/>
    <w:rsid w:val="3FC7AAFB"/>
    <w:rsid w:val="3FD0D209"/>
    <w:rsid w:val="3FF2005C"/>
    <w:rsid w:val="3FF2F516"/>
    <w:rsid w:val="4059E96E"/>
    <w:rsid w:val="4066F57C"/>
    <w:rsid w:val="406A32BE"/>
    <w:rsid w:val="40756EB0"/>
    <w:rsid w:val="409C212A"/>
    <w:rsid w:val="40A7940F"/>
    <w:rsid w:val="40F25A34"/>
    <w:rsid w:val="412111E3"/>
    <w:rsid w:val="412CF0BC"/>
    <w:rsid w:val="4132E689"/>
    <w:rsid w:val="41333FB7"/>
    <w:rsid w:val="4147669B"/>
    <w:rsid w:val="414A5969"/>
    <w:rsid w:val="414A8F43"/>
    <w:rsid w:val="416140F6"/>
    <w:rsid w:val="41637B5C"/>
    <w:rsid w:val="4163E60B"/>
    <w:rsid w:val="41AC54C7"/>
    <w:rsid w:val="41EC8F73"/>
    <w:rsid w:val="4235864B"/>
    <w:rsid w:val="4236D5EC"/>
    <w:rsid w:val="425FF1E8"/>
    <w:rsid w:val="4268F4B4"/>
    <w:rsid w:val="426EEC80"/>
    <w:rsid w:val="4270B744"/>
    <w:rsid w:val="42915020"/>
    <w:rsid w:val="42CA7147"/>
    <w:rsid w:val="42ED26D6"/>
    <w:rsid w:val="43448015"/>
    <w:rsid w:val="43474DF0"/>
    <w:rsid w:val="4360CFA0"/>
    <w:rsid w:val="438AA5F4"/>
    <w:rsid w:val="439D4028"/>
    <w:rsid w:val="43B6B2D5"/>
    <w:rsid w:val="43D91FBC"/>
    <w:rsid w:val="43F369D5"/>
    <w:rsid w:val="444924AF"/>
    <w:rsid w:val="444A702C"/>
    <w:rsid w:val="446181E4"/>
    <w:rsid w:val="44AB219A"/>
    <w:rsid w:val="44CAB4ED"/>
    <w:rsid w:val="44DD69F1"/>
    <w:rsid w:val="44E4141B"/>
    <w:rsid w:val="45438CCA"/>
    <w:rsid w:val="454F4154"/>
    <w:rsid w:val="4574F01D"/>
    <w:rsid w:val="4585D9A5"/>
    <w:rsid w:val="458FB18E"/>
    <w:rsid w:val="45B5420B"/>
    <w:rsid w:val="45B8DB3A"/>
    <w:rsid w:val="45C7FAB5"/>
    <w:rsid w:val="45C8F0E2"/>
    <w:rsid w:val="45FD5245"/>
    <w:rsid w:val="4611E4B7"/>
    <w:rsid w:val="461F97D9"/>
    <w:rsid w:val="463A1D72"/>
    <w:rsid w:val="465CC97B"/>
    <w:rsid w:val="466141E0"/>
    <w:rsid w:val="4662F2E1"/>
    <w:rsid w:val="4663DCF7"/>
    <w:rsid w:val="46EAAC21"/>
    <w:rsid w:val="47026A51"/>
    <w:rsid w:val="475A4E7B"/>
    <w:rsid w:val="4767F4DB"/>
    <w:rsid w:val="47CC45EB"/>
    <w:rsid w:val="47F88BEF"/>
    <w:rsid w:val="48028C80"/>
    <w:rsid w:val="482D65C4"/>
    <w:rsid w:val="483888F0"/>
    <w:rsid w:val="484618E9"/>
    <w:rsid w:val="48759A32"/>
    <w:rsid w:val="48840A9A"/>
    <w:rsid w:val="488DF0D7"/>
    <w:rsid w:val="4892BF53"/>
    <w:rsid w:val="48D3C1E5"/>
    <w:rsid w:val="48DE2E04"/>
    <w:rsid w:val="48E2B22E"/>
    <w:rsid w:val="48E67562"/>
    <w:rsid w:val="48E883E4"/>
    <w:rsid w:val="48F2C398"/>
    <w:rsid w:val="4923DADE"/>
    <w:rsid w:val="49284103"/>
    <w:rsid w:val="4948C293"/>
    <w:rsid w:val="494C3CB6"/>
    <w:rsid w:val="49678F02"/>
    <w:rsid w:val="49903C58"/>
    <w:rsid w:val="49C8239E"/>
    <w:rsid w:val="49F154A7"/>
    <w:rsid w:val="49F3594F"/>
    <w:rsid w:val="4A13D6BF"/>
    <w:rsid w:val="4A4F49F9"/>
    <w:rsid w:val="4A58E6CB"/>
    <w:rsid w:val="4A675B44"/>
    <w:rsid w:val="4A781E92"/>
    <w:rsid w:val="4A79FE65"/>
    <w:rsid w:val="4AA79DAD"/>
    <w:rsid w:val="4ACA8D22"/>
    <w:rsid w:val="4AE60A1C"/>
    <w:rsid w:val="4AF743F8"/>
    <w:rsid w:val="4B11B7FE"/>
    <w:rsid w:val="4B3A2D42"/>
    <w:rsid w:val="4B6C55C3"/>
    <w:rsid w:val="4B71873A"/>
    <w:rsid w:val="4B8DA969"/>
    <w:rsid w:val="4B971736"/>
    <w:rsid w:val="4B9AC01B"/>
    <w:rsid w:val="4BFAC696"/>
    <w:rsid w:val="4C01DC00"/>
    <w:rsid w:val="4C281CBE"/>
    <w:rsid w:val="4C3BC42D"/>
    <w:rsid w:val="4C5FBCE8"/>
    <w:rsid w:val="4C98B7DA"/>
    <w:rsid w:val="4CC7557C"/>
    <w:rsid w:val="4CCA0EA1"/>
    <w:rsid w:val="4CCF74D8"/>
    <w:rsid w:val="4D031CA4"/>
    <w:rsid w:val="4D0FF545"/>
    <w:rsid w:val="4D113A86"/>
    <w:rsid w:val="4D253CB5"/>
    <w:rsid w:val="4D391998"/>
    <w:rsid w:val="4D3C77A0"/>
    <w:rsid w:val="4D8D68F8"/>
    <w:rsid w:val="4DC358D1"/>
    <w:rsid w:val="4DC3ED1F"/>
    <w:rsid w:val="4DE210CF"/>
    <w:rsid w:val="4E30BEFD"/>
    <w:rsid w:val="4E50F5B8"/>
    <w:rsid w:val="4E5F0B4A"/>
    <w:rsid w:val="4E6B4539"/>
    <w:rsid w:val="4E75B741"/>
    <w:rsid w:val="4EABC5A6"/>
    <w:rsid w:val="4EC10D16"/>
    <w:rsid w:val="4EE78770"/>
    <w:rsid w:val="4EEEBF73"/>
    <w:rsid w:val="4EF0429A"/>
    <w:rsid w:val="4EFB50A4"/>
    <w:rsid w:val="4F34472B"/>
    <w:rsid w:val="4F77C0AE"/>
    <w:rsid w:val="4F7DE130"/>
    <w:rsid w:val="5001AF63"/>
    <w:rsid w:val="500EE1C1"/>
    <w:rsid w:val="50540DCD"/>
    <w:rsid w:val="506446DD"/>
    <w:rsid w:val="509CA2EC"/>
    <w:rsid w:val="50B37D6B"/>
    <w:rsid w:val="50F7C16D"/>
    <w:rsid w:val="51106B84"/>
    <w:rsid w:val="511540E7"/>
    <w:rsid w:val="5124019D"/>
    <w:rsid w:val="51378D82"/>
    <w:rsid w:val="51569F4F"/>
    <w:rsid w:val="517ED79E"/>
    <w:rsid w:val="519402C7"/>
    <w:rsid w:val="519B4E3D"/>
    <w:rsid w:val="51BECEEE"/>
    <w:rsid w:val="51D99107"/>
    <w:rsid w:val="51E90079"/>
    <w:rsid w:val="520658BA"/>
    <w:rsid w:val="521DAF1C"/>
    <w:rsid w:val="5264D1E6"/>
    <w:rsid w:val="52757737"/>
    <w:rsid w:val="52763DCD"/>
    <w:rsid w:val="5305072D"/>
    <w:rsid w:val="530DABA4"/>
    <w:rsid w:val="53262035"/>
    <w:rsid w:val="534052AF"/>
    <w:rsid w:val="5375EE2B"/>
    <w:rsid w:val="539BE79F"/>
    <w:rsid w:val="53EDE52A"/>
    <w:rsid w:val="54264348"/>
    <w:rsid w:val="5463DE32"/>
    <w:rsid w:val="5488E4F8"/>
    <w:rsid w:val="548E4011"/>
    <w:rsid w:val="54F66FB0"/>
    <w:rsid w:val="55186980"/>
    <w:rsid w:val="556033A0"/>
    <w:rsid w:val="55789B39"/>
    <w:rsid w:val="5588C27E"/>
    <w:rsid w:val="55A9B792"/>
    <w:rsid w:val="55E42D47"/>
    <w:rsid w:val="55E53629"/>
    <w:rsid w:val="5611646B"/>
    <w:rsid w:val="563CA7EF"/>
    <w:rsid w:val="56705648"/>
    <w:rsid w:val="56788783"/>
    <w:rsid w:val="56A7F999"/>
    <w:rsid w:val="56B257DF"/>
    <w:rsid w:val="56B2F69E"/>
    <w:rsid w:val="56D86A80"/>
    <w:rsid w:val="56E9F193"/>
    <w:rsid w:val="56FFC075"/>
    <w:rsid w:val="571E6826"/>
    <w:rsid w:val="573F5910"/>
    <w:rsid w:val="5746607E"/>
    <w:rsid w:val="5749AEF0"/>
    <w:rsid w:val="579B31BA"/>
    <w:rsid w:val="57ABE0B1"/>
    <w:rsid w:val="57CCB7C0"/>
    <w:rsid w:val="57E87A96"/>
    <w:rsid w:val="57F0CE30"/>
    <w:rsid w:val="57FB51A1"/>
    <w:rsid w:val="5863E466"/>
    <w:rsid w:val="58759A3E"/>
    <w:rsid w:val="588C0DAC"/>
    <w:rsid w:val="58AE8E35"/>
    <w:rsid w:val="58C2B4A9"/>
    <w:rsid w:val="58DA6937"/>
    <w:rsid w:val="58E57F51"/>
    <w:rsid w:val="58EEC92A"/>
    <w:rsid w:val="5900870B"/>
    <w:rsid w:val="59011ED8"/>
    <w:rsid w:val="5919913F"/>
    <w:rsid w:val="5931F2E7"/>
    <w:rsid w:val="59586F04"/>
    <w:rsid w:val="59632497"/>
    <w:rsid w:val="598CB027"/>
    <w:rsid w:val="59938A3E"/>
    <w:rsid w:val="59F4839C"/>
    <w:rsid w:val="59F70D08"/>
    <w:rsid w:val="5A116A9F"/>
    <w:rsid w:val="5A23F756"/>
    <w:rsid w:val="5A3EFDC7"/>
    <w:rsid w:val="5A4F0FA0"/>
    <w:rsid w:val="5A7722FE"/>
    <w:rsid w:val="5A910F52"/>
    <w:rsid w:val="5AA47FF9"/>
    <w:rsid w:val="5AE417AF"/>
    <w:rsid w:val="5B384110"/>
    <w:rsid w:val="5B68DCF2"/>
    <w:rsid w:val="5B92B346"/>
    <w:rsid w:val="5BBBEC3B"/>
    <w:rsid w:val="5BCDB870"/>
    <w:rsid w:val="5BD478C8"/>
    <w:rsid w:val="5BDC6B02"/>
    <w:rsid w:val="5BE2C0A5"/>
    <w:rsid w:val="5C1C0248"/>
    <w:rsid w:val="5C2EE7B1"/>
    <w:rsid w:val="5C44F18C"/>
    <w:rsid w:val="5C9ABC77"/>
    <w:rsid w:val="5CA18862"/>
    <w:rsid w:val="5CB6B531"/>
    <w:rsid w:val="5D32037B"/>
    <w:rsid w:val="5D4706B9"/>
    <w:rsid w:val="5D6988D1"/>
    <w:rsid w:val="5D6D4B1C"/>
    <w:rsid w:val="5D99ABAF"/>
    <w:rsid w:val="5DC141C4"/>
    <w:rsid w:val="5E215C5D"/>
    <w:rsid w:val="5E37AD1E"/>
    <w:rsid w:val="5E54AC68"/>
    <w:rsid w:val="5E7A646E"/>
    <w:rsid w:val="5EE210D2"/>
    <w:rsid w:val="5EE51D4B"/>
    <w:rsid w:val="5F1E9907"/>
    <w:rsid w:val="5F41E70D"/>
    <w:rsid w:val="5F9C8406"/>
    <w:rsid w:val="5FC035DA"/>
    <w:rsid w:val="5FC04CA2"/>
    <w:rsid w:val="601C5155"/>
    <w:rsid w:val="602EFB41"/>
    <w:rsid w:val="605A183B"/>
    <w:rsid w:val="607EA77B"/>
    <w:rsid w:val="6082582D"/>
    <w:rsid w:val="608840E7"/>
    <w:rsid w:val="608BB2E9"/>
    <w:rsid w:val="60A66985"/>
    <w:rsid w:val="60BA6968"/>
    <w:rsid w:val="60FD3514"/>
    <w:rsid w:val="611A97FA"/>
    <w:rsid w:val="61683FF4"/>
    <w:rsid w:val="6183534C"/>
    <w:rsid w:val="61A03CF8"/>
    <w:rsid w:val="61CB6953"/>
    <w:rsid w:val="61F146D3"/>
    <w:rsid w:val="61FF9581"/>
    <w:rsid w:val="621E288E"/>
    <w:rsid w:val="62243FA5"/>
    <w:rsid w:val="622451E0"/>
    <w:rsid w:val="6249C888"/>
    <w:rsid w:val="626A5778"/>
    <w:rsid w:val="62B2B90C"/>
    <w:rsid w:val="62C10AFD"/>
    <w:rsid w:val="630EE01A"/>
    <w:rsid w:val="6318F70C"/>
    <w:rsid w:val="632B0928"/>
    <w:rsid w:val="6336A0CD"/>
    <w:rsid w:val="63635077"/>
    <w:rsid w:val="6370146A"/>
    <w:rsid w:val="63881CA2"/>
    <w:rsid w:val="63B88E6E"/>
    <w:rsid w:val="63E091EA"/>
    <w:rsid w:val="64032D5A"/>
    <w:rsid w:val="64323449"/>
    <w:rsid w:val="64A83156"/>
    <w:rsid w:val="64D47CDF"/>
    <w:rsid w:val="64E001E6"/>
    <w:rsid w:val="651F317A"/>
    <w:rsid w:val="65418312"/>
    <w:rsid w:val="6542CA45"/>
    <w:rsid w:val="656C2E2B"/>
    <w:rsid w:val="6581A6AD"/>
    <w:rsid w:val="65A9EBCE"/>
    <w:rsid w:val="65ABBB36"/>
    <w:rsid w:val="65C3AD5F"/>
    <w:rsid w:val="65CBEFDF"/>
    <w:rsid w:val="65CE04AA"/>
    <w:rsid w:val="65E72E10"/>
    <w:rsid w:val="65F6F8F4"/>
    <w:rsid w:val="660B3404"/>
    <w:rsid w:val="662A4101"/>
    <w:rsid w:val="662C2E8E"/>
    <w:rsid w:val="665A2CFC"/>
    <w:rsid w:val="66757361"/>
    <w:rsid w:val="6685BFEC"/>
    <w:rsid w:val="66A1BF52"/>
    <w:rsid w:val="66ACA0CA"/>
    <w:rsid w:val="670FB941"/>
    <w:rsid w:val="6732C6F2"/>
    <w:rsid w:val="674D6171"/>
    <w:rsid w:val="676BDCFB"/>
    <w:rsid w:val="678D209B"/>
    <w:rsid w:val="67A979BD"/>
    <w:rsid w:val="67AA64DC"/>
    <w:rsid w:val="67C928E0"/>
    <w:rsid w:val="67EB8F37"/>
    <w:rsid w:val="67FE1D97"/>
    <w:rsid w:val="6857FD80"/>
    <w:rsid w:val="68E24955"/>
    <w:rsid w:val="6921FA90"/>
    <w:rsid w:val="6927E6FC"/>
    <w:rsid w:val="69AAF6E7"/>
    <w:rsid w:val="69E15DC3"/>
    <w:rsid w:val="69F9CA1D"/>
    <w:rsid w:val="6A1290BC"/>
    <w:rsid w:val="6A293A73"/>
    <w:rsid w:val="6A460731"/>
    <w:rsid w:val="6A946289"/>
    <w:rsid w:val="6AADE83D"/>
    <w:rsid w:val="6AB413C2"/>
    <w:rsid w:val="6AC3B75D"/>
    <w:rsid w:val="6AF902BD"/>
    <w:rsid w:val="6B00C9A2"/>
    <w:rsid w:val="6B06AF91"/>
    <w:rsid w:val="6B46C748"/>
    <w:rsid w:val="6B489D60"/>
    <w:rsid w:val="6B48E484"/>
    <w:rsid w:val="6B4D6BEF"/>
    <w:rsid w:val="6B79D37D"/>
    <w:rsid w:val="6B9538C0"/>
    <w:rsid w:val="6BB70C6D"/>
    <w:rsid w:val="6BD2547A"/>
    <w:rsid w:val="6BE4D687"/>
    <w:rsid w:val="6C230FDB"/>
    <w:rsid w:val="6C3B32E9"/>
    <w:rsid w:val="6C4CF901"/>
    <w:rsid w:val="6C6C7B5F"/>
    <w:rsid w:val="6C72C3AF"/>
    <w:rsid w:val="6C8657A7"/>
    <w:rsid w:val="6CAE2116"/>
    <w:rsid w:val="6CB5C260"/>
    <w:rsid w:val="6CBF005A"/>
    <w:rsid w:val="6CCEF2F1"/>
    <w:rsid w:val="6D001A28"/>
    <w:rsid w:val="6D0502BF"/>
    <w:rsid w:val="6DB8B91E"/>
    <w:rsid w:val="6DC0912E"/>
    <w:rsid w:val="6DD8EBD2"/>
    <w:rsid w:val="6DE8C962"/>
    <w:rsid w:val="6DF7CEEF"/>
    <w:rsid w:val="6DFB581F"/>
    <w:rsid w:val="6E01A166"/>
    <w:rsid w:val="6E62BE41"/>
    <w:rsid w:val="6E717296"/>
    <w:rsid w:val="6E88825B"/>
    <w:rsid w:val="6EB1743F"/>
    <w:rsid w:val="6ED30B38"/>
    <w:rsid w:val="6F0A08DC"/>
    <w:rsid w:val="6F1E78CA"/>
    <w:rsid w:val="6F5398CF"/>
    <w:rsid w:val="6F5706C8"/>
    <w:rsid w:val="6F598E17"/>
    <w:rsid w:val="6F59A9C8"/>
    <w:rsid w:val="6F7AA71F"/>
    <w:rsid w:val="6F82B541"/>
    <w:rsid w:val="6F913C14"/>
    <w:rsid w:val="6FCFFD89"/>
    <w:rsid w:val="6FD2912F"/>
    <w:rsid w:val="6FDF21EB"/>
    <w:rsid w:val="6FED6322"/>
    <w:rsid w:val="7004D538"/>
    <w:rsid w:val="701C55A7"/>
    <w:rsid w:val="702A7CB9"/>
    <w:rsid w:val="702CA232"/>
    <w:rsid w:val="702F5CAA"/>
    <w:rsid w:val="703E0B4A"/>
    <w:rsid w:val="7043F654"/>
    <w:rsid w:val="706EDB99"/>
    <w:rsid w:val="707B7D4D"/>
    <w:rsid w:val="707CD6CF"/>
    <w:rsid w:val="70993225"/>
    <w:rsid w:val="70CC509B"/>
    <w:rsid w:val="712EEC48"/>
    <w:rsid w:val="715665B7"/>
    <w:rsid w:val="71684441"/>
    <w:rsid w:val="72014ADC"/>
    <w:rsid w:val="7218A730"/>
    <w:rsid w:val="72452373"/>
    <w:rsid w:val="725B35FC"/>
    <w:rsid w:val="72730B27"/>
    <w:rsid w:val="72837E05"/>
    <w:rsid w:val="729C3FDF"/>
    <w:rsid w:val="72AC88BB"/>
    <w:rsid w:val="72C748A2"/>
    <w:rsid w:val="72D14841"/>
    <w:rsid w:val="72D197C6"/>
    <w:rsid w:val="72D97434"/>
    <w:rsid w:val="72E20533"/>
    <w:rsid w:val="732503E4"/>
    <w:rsid w:val="733F3B17"/>
    <w:rsid w:val="735A554F"/>
    <w:rsid w:val="73A56EE5"/>
    <w:rsid w:val="73C8AD61"/>
    <w:rsid w:val="73CC6005"/>
    <w:rsid w:val="74041717"/>
    <w:rsid w:val="740E6F72"/>
    <w:rsid w:val="742F38E8"/>
    <w:rsid w:val="744C224C"/>
    <w:rsid w:val="745B5D61"/>
    <w:rsid w:val="74612CD9"/>
    <w:rsid w:val="747DD594"/>
    <w:rsid w:val="74DA4487"/>
    <w:rsid w:val="74DB25D8"/>
    <w:rsid w:val="74F7C3DF"/>
    <w:rsid w:val="74FF2F1D"/>
    <w:rsid w:val="751687FE"/>
    <w:rsid w:val="751AE02F"/>
    <w:rsid w:val="75328B2F"/>
    <w:rsid w:val="755213FB"/>
    <w:rsid w:val="7555A5C2"/>
    <w:rsid w:val="75A3387B"/>
    <w:rsid w:val="75B2996F"/>
    <w:rsid w:val="75C2066D"/>
    <w:rsid w:val="75EDC5C9"/>
    <w:rsid w:val="75EFC0A6"/>
    <w:rsid w:val="7619A5F5"/>
    <w:rsid w:val="7627F4A3"/>
    <w:rsid w:val="763209E0"/>
    <w:rsid w:val="763F3F0D"/>
    <w:rsid w:val="7644DBA6"/>
    <w:rsid w:val="76451D2F"/>
    <w:rsid w:val="769ADA9B"/>
    <w:rsid w:val="76A415B3"/>
    <w:rsid w:val="76D03746"/>
    <w:rsid w:val="77130E9D"/>
    <w:rsid w:val="772F7857"/>
    <w:rsid w:val="773C1E04"/>
    <w:rsid w:val="77467C4A"/>
    <w:rsid w:val="77649FFC"/>
    <w:rsid w:val="777EF33B"/>
    <w:rsid w:val="77D6CBCC"/>
    <w:rsid w:val="77F9093A"/>
    <w:rsid w:val="780927B3"/>
    <w:rsid w:val="78275DCB"/>
    <w:rsid w:val="7897C2C5"/>
    <w:rsid w:val="7897D639"/>
    <w:rsid w:val="789A9C66"/>
    <w:rsid w:val="78CB2217"/>
    <w:rsid w:val="78CBE384"/>
    <w:rsid w:val="78ED6130"/>
    <w:rsid w:val="79400BE0"/>
    <w:rsid w:val="797C7C68"/>
    <w:rsid w:val="797CBDF1"/>
    <w:rsid w:val="7988A836"/>
    <w:rsid w:val="79A570E8"/>
    <w:rsid w:val="7A55B7A1"/>
    <w:rsid w:val="7A589989"/>
    <w:rsid w:val="7A5F6759"/>
    <w:rsid w:val="7A6EDFFE"/>
    <w:rsid w:val="7A91EA70"/>
    <w:rsid w:val="7ABEF7F5"/>
    <w:rsid w:val="7ADBDC41"/>
    <w:rsid w:val="7AE41FA0"/>
    <w:rsid w:val="7AF578DC"/>
    <w:rsid w:val="7B3E9CB9"/>
    <w:rsid w:val="7B559357"/>
    <w:rsid w:val="7B901F62"/>
    <w:rsid w:val="7BA2BB1F"/>
    <w:rsid w:val="7BE5CE77"/>
    <w:rsid w:val="7C1EE8C2"/>
    <w:rsid w:val="7C1FBCE3"/>
    <w:rsid w:val="7C213AE5"/>
    <w:rsid w:val="7C53A35D"/>
    <w:rsid w:val="7C573431"/>
    <w:rsid w:val="7C6323A9"/>
    <w:rsid w:val="7C6E3084"/>
    <w:rsid w:val="7D00A8F9"/>
    <w:rsid w:val="7D1312C0"/>
    <w:rsid w:val="7D26506D"/>
    <w:rsid w:val="7D43F393"/>
    <w:rsid w:val="7D46271B"/>
    <w:rsid w:val="7D51166D"/>
    <w:rsid w:val="7D80A51F"/>
    <w:rsid w:val="7D825021"/>
    <w:rsid w:val="7DAEF893"/>
    <w:rsid w:val="7DB7CC43"/>
    <w:rsid w:val="7DBDAB54"/>
    <w:rsid w:val="7DDBEAB7"/>
    <w:rsid w:val="7E113348"/>
    <w:rsid w:val="7E6C8D4E"/>
    <w:rsid w:val="7E872C50"/>
    <w:rsid w:val="7E9BE431"/>
    <w:rsid w:val="7EE809E6"/>
    <w:rsid w:val="7F02DCDC"/>
    <w:rsid w:val="7F1E1E2F"/>
    <w:rsid w:val="7F2D3483"/>
    <w:rsid w:val="7F332C88"/>
    <w:rsid w:val="7F568984"/>
    <w:rsid w:val="7F77A28C"/>
    <w:rsid w:val="7FA6D4C2"/>
    <w:rsid w:val="7FAEBF2A"/>
    <w:rsid w:val="7FEBB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0146A"/>
  <w15:chartTrackingRefBased/>
  <w15:docId w15:val="{B0E13C41-8961-4002-8090-FEBA7E1BBB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37ca3843f034958" /><Relationship Type="http://schemas.openxmlformats.org/officeDocument/2006/relationships/image" Target="/media/image3.png" Id="R0f348d7e07ab4dcd" /><Relationship Type="http://schemas.microsoft.com/office/2020/10/relationships/intelligence" Target="/word/intelligence2.xml" Id="R233da80359be46b0" /><Relationship Type="http://schemas.openxmlformats.org/officeDocument/2006/relationships/hyperlink" Target="https://www.advicenow.org.uk/guides/time-limits-suing-someone" TargetMode="External" Id="R5696a1f9dee240d9" /><Relationship Type="http://schemas.openxmlformats.org/officeDocument/2006/relationships/hyperlink" Target="https://www.bpcollins.co.uk/services/dispute-resolution/construction-disputes/adjudication/" TargetMode="External" Id="Rb79eb31197ef4fd7" /><Relationship Type="http://schemas.openxmlformats.org/officeDocument/2006/relationships/hyperlink" Target="https://www.findlaw.com/injury/accident-injury-law/elements-of-a-negligence-case.html" TargetMode="External" Id="Rcaffe9c33a534cf4" /><Relationship Type="http://schemas.openxmlformats.org/officeDocument/2006/relationships/hyperlink" Target="https://www.hse.gov.uk/ppe/ppe-regulations-2022.htm" TargetMode="External" Id="Rf5f98e1c432441f3" /><Relationship Type="http://schemas.openxmlformats.org/officeDocument/2006/relationships/hyperlink" Target="https://www.hughjames.com/service/construction/construction-adjudication" TargetMode="External" Id="Rd005d1bbd666403b" /><Relationship Type="http://schemas.openxmlformats.org/officeDocument/2006/relationships/hyperlink" Target="https://www.linkedin.com/pulse/tcc-round-three-vinci-construction-uk-limited-v-beumer-iain-drummond" TargetMode="External" Id="R5bac896ef5b24c1e" /><Relationship Type="http://schemas.openxmlformats.org/officeDocument/2006/relationships/hyperlink" Target="http://constructionblog.practicallaw.com/vinci-v-beumer-the-case-that-keeps-on-giving-and-giving/" TargetMode="External" Id="R74dc0ab2d4944039" /><Relationship Type="http://schemas.openxmlformats.org/officeDocument/2006/relationships/hyperlink" Target="https://vaneatonsolicitors.co.uk/duty-of-care-in-construction-law/" TargetMode="External" Id="R467d3dca49384c57" /><Relationship Type="http://schemas.openxmlformats.org/officeDocument/2006/relationships/hyperlink" Target="https://professionalnegligenceclaimsolicitors.co.uk/duty-of-care-key-tort-law-judgment-donoghue/" TargetMode="External" Id="R55e4fabc2e5f4d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George (2204590)</dc:creator>
  <keywords/>
  <dc:description/>
  <lastModifiedBy>Toby George (2204590)</lastModifiedBy>
  <revision>7</revision>
  <dcterms:created xsi:type="dcterms:W3CDTF">2022-11-08T19:25:13.8079764Z</dcterms:created>
  <dcterms:modified xsi:type="dcterms:W3CDTF">2022-11-23T13:15:28.4984553Z</dcterms:modified>
</coreProperties>
</file>