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9092F" w14:textId="5FC163AE" w:rsidR="00915332" w:rsidRDefault="6830D291" w:rsidP="3BDDEF42">
      <w:pPr>
        <w:pStyle w:val="Heading1"/>
        <w:shd w:val="clear" w:color="auto" w:fill="215E99" w:themeFill="text2" w:themeFillTint="BF"/>
        <w:spacing w:before="0" w:after="0"/>
        <w:jc w:val="center"/>
        <w:rPr>
          <w:rFonts w:ascii="Arial" w:eastAsia="Arial" w:hAnsi="Arial" w:cs="Arial"/>
          <w:b/>
          <w:bCs/>
          <w:color w:val="FFFFFF" w:themeColor="background1"/>
          <w:sz w:val="42"/>
          <w:szCs w:val="42"/>
        </w:rPr>
      </w:pPr>
      <w:r w:rsidRPr="3BDDEF42">
        <w:rPr>
          <w:rFonts w:ascii="Arial" w:eastAsia="Arial" w:hAnsi="Arial" w:cs="Arial"/>
          <w:b/>
          <w:bCs/>
          <w:color w:val="FFFFFF" w:themeColor="background1"/>
          <w:sz w:val="42"/>
          <w:szCs w:val="42"/>
        </w:rPr>
        <w:t>University of Wales Trinity Saint David</w:t>
      </w:r>
    </w:p>
    <w:p w14:paraId="44285912" w14:textId="3CD7A6A2" w:rsidR="00915332" w:rsidRDefault="3BD27E2D" w:rsidP="3BDDEF42">
      <w:pPr>
        <w:shd w:val="clear" w:color="auto" w:fill="215E99" w:themeFill="text2" w:themeFillTint="BF"/>
        <w:spacing w:before="75" w:after="270"/>
        <w:jc w:val="center"/>
      </w:pPr>
      <w:r w:rsidRPr="3BDDEF42">
        <w:rPr>
          <w:rFonts w:ascii="Arial" w:eastAsia="Arial" w:hAnsi="Arial" w:cs="Arial"/>
          <w:color w:val="FFFFFF" w:themeColor="background1"/>
          <w:sz w:val="27"/>
          <w:szCs w:val="27"/>
        </w:rPr>
        <w:t>Financial Management</w:t>
      </w:r>
    </w:p>
    <w:p w14:paraId="6EABA50E" w14:textId="2EE46B0D" w:rsidR="00915332" w:rsidRDefault="00915332" w:rsidP="3BDDEF42">
      <w:pPr>
        <w:pStyle w:val="Heading2"/>
        <w:spacing w:before="0" w:after="225"/>
        <w:jc w:val="center"/>
        <w:rPr>
          <w:rFonts w:ascii="Arial" w:eastAsia="Arial" w:hAnsi="Arial" w:cs="Arial"/>
          <w:b/>
          <w:bCs/>
          <w:caps/>
          <w:color w:val="003087"/>
          <w:sz w:val="39"/>
          <w:szCs w:val="39"/>
        </w:rPr>
      </w:pPr>
    </w:p>
    <w:p w14:paraId="488C6472" w14:textId="54D0BF1B" w:rsidR="00915332" w:rsidRDefault="6830D291" w:rsidP="3BDDEF42">
      <w:pPr>
        <w:pStyle w:val="Heading2"/>
        <w:spacing w:before="0" w:after="225"/>
        <w:jc w:val="center"/>
        <w:rPr>
          <w:rFonts w:ascii="Arial" w:eastAsia="Arial" w:hAnsi="Arial" w:cs="Arial"/>
          <w:b/>
          <w:bCs/>
          <w:caps/>
          <w:color w:val="003087"/>
          <w:sz w:val="39"/>
          <w:szCs w:val="39"/>
        </w:rPr>
      </w:pPr>
      <w:r w:rsidRPr="3BDDEF42">
        <w:rPr>
          <w:rFonts w:ascii="Arial" w:eastAsia="Arial" w:hAnsi="Arial" w:cs="Arial"/>
          <w:b/>
          <w:bCs/>
          <w:caps/>
          <w:color w:val="003087"/>
          <w:sz w:val="39"/>
          <w:szCs w:val="39"/>
        </w:rPr>
        <w:t>Strategic CFO Challenge: Saving a Failing Global Firm</w:t>
      </w:r>
    </w:p>
    <w:p w14:paraId="08EB3A0B" w14:textId="59AD670A" w:rsidR="00915332" w:rsidRDefault="6830D291" w:rsidP="3BDDEF42">
      <w:pPr>
        <w:spacing w:before="150" w:after="150"/>
        <w:jc w:val="center"/>
        <w:rPr>
          <w:rFonts w:ascii="Arial" w:eastAsia="Arial" w:hAnsi="Arial" w:cs="Arial"/>
          <w:color w:val="0053A6"/>
          <w:sz w:val="30"/>
          <w:szCs w:val="30"/>
        </w:rPr>
      </w:pPr>
      <w:r w:rsidRPr="3BDDEF42">
        <w:rPr>
          <w:rFonts w:ascii="Arial" w:eastAsia="Arial" w:hAnsi="Arial" w:cs="Arial"/>
          <w:color w:val="0053A6"/>
          <w:sz w:val="30"/>
          <w:szCs w:val="30"/>
        </w:rPr>
        <w:t>A Turnaround Strategy for General Electronics</w:t>
      </w:r>
    </w:p>
    <w:p w14:paraId="565BE6A2" w14:textId="67041CF6" w:rsidR="00915332" w:rsidRDefault="00915332" w:rsidP="3BDDEF42">
      <w:pPr>
        <w:spacing w:after="180"/>
        <w:jc w:val="both"/>
        <w:rPr>
          <w:rFonts w:ascii="Arial" w:eastAsia="Arial" w:hAnsi="Arial" w:cs="Arial"/>
          <w:color w:val="003087"/>
        </w:rPr>
      </w:pPr>
    </w:p>
    <w:p w14:paraId="5F395856" w14:textId="0BED0219" w:rsidR="00915332" w:rsidRDefault="6830D291" w:rsidP="3BDDEF42">
      <w:pPr>
        <w:spacing w:after="180"/>
        <w:jc w:val="center"/>
        <w:rPr>
          <w:rFonts w:ascii="Arial" w:eastAsia="Arial" w:hAnsi="Arial" w:cs="Arial"/>
          <w:color w:val="333333"/>
        </w:rPr>
      </w:pPr>
      <w:r w:rsidRPr="3BDDEF42">
        <w:rPr>
          <w:rFonts w:ascii="Arial" w:eastAsia="Arial" w:hAnsi="Arial" w:cs="Arial"/>
          <w:color w:val="003087"/>
        </w:rPr>
        <w:t>Module Name:</w:t>
      </w:r>
      <w:r w:rsidR="7EC0BA16" w:rsidRPr="3BDDEF42">
        <w:rPr>
          <w:rFonts w:ascii="Arial" w:eastAsia="Arial" w:hAnsi="Arial" w:cs="Arial"/>
          <w:color w:val="003087"/>
        </w:rPr>
        <w:t xml:space="preserve"> </w:t>
      </w:r>
      <w:r w:rsidRPr="3BDDEF42">
        <w:rPr>
          <w:rFonts w:ascii="Arial" w:eastAsia="Arial" w:hAnsi="Arial" w:cs="Arial"/>
          <w:color w:val="333333"/>
        </w:rPr>
        <w:t>Financial Management</w:t>
      </w:r>
    </w:p>
    <w:p w14:paraId="06EDC65C" w14:textId="610B0512" w:rsidR="00915332" w:rsidRDefault="6830D291" w:rsidP="3BDDEF42">
      <w:pPr>
        <w:spacing w:after="180"/>
        <w:jc w:val="center"/>
        <w:rPr>
          <w:rFonts w:ascii="Arial" w:eastAsia="Arial" w:hAnsi="Arial" w:cs="Arial"/>
          <w:color w:val="333333"/>
        </w:rPr>
      </w:pPr>
      <w:r w:rsidRPr="3BDDEF42">
        <w:rPr>
          <w:rFonts w:ascii="Arial" w:eastAsia="Arial" w:hAnsi="Arial" w:cs="Arial"/>
          <w:color w:val="003087"/>
        </w:rPr>
        <w:t>Module Code:</w:t>
      </w:r>
      <w:r w:rsidR="110EA5F0" w:rsidRPr="3BDDEF42">
        <w:rPr>
          <w:rFonts w:ascii="Arial" w:eastAsia="Arial" w:hAnsi="Arial" w:cs="Arial"/>
          <w:color w:val="003087"/>
        </w:rPr>
        <w:t xml:space="preserve"> </w:t>
      </w:r>
      <w:r w:rsidRPr="3BDDEF42">
        <w:rPr>
          <w:rFonts w:ascii="Arial" w:eastAsia="Arial" w:hAnsi="Arial" w:cs="Arial"/>
          <w:color w:val="333333"/>
        </w:rPr>
        <w:t>LCMB7002</w:t>
      </w:r>
    </w:p>
    <w:p w14:paraId="60432A6C" w14:textId="325B58EA" w:rsidR="00915332" w:rsidRDefault="6830D291" w:rsidP="3BDDEF42">
      <w:pPr>
        <w:spacing w:after="180"/>
        <w:jc w:val="center"/>
        <w:rPr>
          <w:rFonts w:ascii="Arial" w:eastAsia="Arial" w:hAnsi="Arial" w:cs="Arial"/>
          <w:color w:val="333333"/>
        </w:rPr>
      </w:pPr>
      <w:proofErr w:type="spellStart"/>
      <w:r w:rsidRPr="3BDDEF42">
        <w:rPr>
          <w:rFonts w:ascii="Arial" w:eastAsia="Arial" w:hAnsi="Arial" w:cs="Arial"/>
          <w:color w:val="003087"/>
        </w:rPr>
        <w:t>Programme</w:t>
      </w:r>
      <w:proofErr w:type="spellEnd"/>
      <w:r w:rsidRPr="3BDDEF42">
        <w:rPr>
          <w:rFonts w:ascii="Arial" w:eastAsia="Arial" w:hAnsi="Arial" w:cs="Arial"/>
          <w:color w:val="003087"/>
        </w:rPr>
        <w:t>:</w:t>
      </w:r>
      <w:r w:rsidR="709DC959" w:rsidRPr="3BDDEF42">
        <w:rPr>
          <w:rFonts w:ascii="Arial" w:eastAsia="Arial" w:hAnsi="Arial" w:cs="Arial"/>
          <w:color w:val="003087"/>
        </w:rPr>
        <w:t xml:space="preserve"> </w:t>
      </w:r>
      <w:r w:rsidRPr="3BDDEF42">
        <w:rPr>
          <w:rFonts w:ascii="Arial" w:eastAsia="Arial" w:hAnsi="Arial" w:cs="Arial"/>
          <w:color w:val="333333"/>
        </w:rPr>
        <w:t>Master of Business Administration</w:t>
      </w:r>
    </w:p>
    <w:p w14:paraId="779CC78B" w14:textId="13F60EA9" w:rsidR="00915332" w:rsidRDefault="00915332" w:rsidP="3BDDEF42">
      <w:pPr>
        <w:spacing w:after="180"/>
        <w:jc w:val="center"/>
        <w:rPr>
          <w:rFonts w:ascii="Arial" w:eastAsia="Arial" w:hAnsi="Arial" w:cs="Arial"/>
          <w:color w:val="003087"/>
        </w:rPr>
      </w:pPr>
    </w:p>
    <w:p w14:paraId="7E5F69C6" w14:textId="7CC7A712" w:rsidR="00915332" w:rsidRDefault="00915332" w:rsidP="3BDDEF42">
      <w:pPr>
        <w:spacing w:after="180"/>
        <w:jc w:val="center"/>
        <w:rPr>
          <w:rFonts w:ascii="Arial" w:eastAsia="Arial" w:hAnsi="Arial" w:cs="Arial"/>
          <w:color w:val="003087"/>
        </w:rPr>
      </w:pPr>
    </w:p>
    <w:p w14:paraId="3B828597" w14:textId="20B6FC39" w:rsidR="00915332" w:rsidRDefault="002A150D" w:rsidP="3BDDEF42">
      <w:pPr>
        <w:spacing w:after="180"/>
        <w:jc w:val="center"/>
        <w:rPr>
          <w:rFonts w:ascii="Arial" w:eastAsia="Arial" w:hAnsi="Arial" w:cs="Arial"/>
          <w:color w:val="003087"/>
        </w:rPr>
      </w:pPr>
      <w:r>
        <w:rPr>
          <w:rFonts w:ascii="Arial" w:eastAsia="Arial" w:hAnsi="Arial" w:cs="Arial"/>
          <w:color w:val="003087"/>
        </w:rPr>
        <w:t>Student</w:t>
      </w:r>
      <w:r w:rsidR="00FB2858">
        <w:rPr>
          <w:rFonts w:ascii="Arial" w:eastAsia="Arial" w:hAnsi="Arial" w:cs="Arial"/>
          <w:color w:val="003087"/>
        </w:rPr>
        <w:t>:</w:t>
      </w:r>
      <w:r w:rsidR="00555C03">
        <w:rPr>
          <w:rFonts w:ascii="Arial" w:eastAsia="Arial" w:hAnsi="Arial" w:cs="Arial"/>
          <w:color w:val="003087"/>
        </w:rPr>
        <w:t xml:space="preserve"> </w:t>
      </w:r>
      <w:r w:rsidR="005573BD">
        <w:rPr>
          <w:rFonts w:ascii="Arial" w:eastAsia="Arial" w:hAnsi="Arial" w:cs="Arial"/>
          <w:color w:val="003087"/>
        </w:rPr>
        <w:t xml:space="preserve">Jahangir </w:t>
      </w:r>
      <w:proofErr w:type="spellStart"/>
      <w:r w:rsidR="005573BD">
        <w:rPr>
          <w:rFonts w:ascii="Arial" w:eastAsia="Arial" w:hAnsi="Arial" w:cs="Arial"/>
          <w:color w:val="003087"/>
        </w:rPr>
        <w:t>khalaj</w:t>
      </w:r>
      <w:proofErr w:type="spellEnd"/>
      <w:r w:rsidR="005573BD">
        <w:rPr>
          <w:rFonts w:ascii="Arial" w:eastAsia="Arial" w:hAnsi="Arial" w:cs="Arial"/>
          <w:color w:val="003087"/>
        </w:rPr>
        <w:t xml:space="preserve"> </w:t>
      </w:r>
      <w:proofErr w:type="spellStart"/>
      <w:r w:rsidR="005573BD">
        <w:rPr>
          <w:rFonts w:ascii="Arial" w:eastAsia="Arial" w:hAnsi="Arial" w:cs="Arial"/>
          <w:color w:val="003087"/>
        </w:rPr>
        <w:t>savojbolagh</w:t>
      </w:r>
      <w:proofErr w:type="spellEnd"/>
      <w:r w:rsidR="005573BD">
        <w:rPr>
          <w:rFonts w:ascii="Arial" w:eastAsia="Arial" w:hAnsi="Arial" w:cs="Arial"/>
          <w:color w:val="003087"/>
        </w:rPr>
        <w:t xml:space="preserve"> </w:t>
      </w:r>
    </w:p>
    <w:p w14:paraId="4CD3863D" w14:textId="3815E4EB" w:rsidR="00915332" w:rsidRDefault="6830D291" w:rsidP="3BDDEF42">
      <w:pPr>
        <w:spacing w:after="180"/>
        <w:jc w:val="center"/>
        <w:rPr>
          <w:rFonts w:ascii="Arial" w:eastAsia="Arial" w:hAnsi="Arial" w:cs="Arial"/>
          <w:color w:val="333333"/>
        </w:rPr>
      </w:pPr>
      <w:r w:rsidRPr="3BDDEF42">
        <w:rPr>
          <w:rFonts w:ascii="Arial" w:eastAsia="Arial" w:hAnsi="Arial" w:cs="Arial"/>
          <w:color w:val="003087"/>
        </w:rPr>
        <w:t xml:space="preserve">Student </w:t>
      </w:r>
      <w:r w:rsidR="164616DF" w:rsidRPr="3BDDEF42">
        <w:rPr>
          <w:rFonts w:ascii="Arial" w:eastAsia="Arial" w:hAnsi="Arial" w:cs="Arial"/>
          <w:color w:val="003087"/>
        </w:rPr>
        <w:t>ID:</w:t>
      </w:r>
      <w:r w:rsidR="00FB2858">
        <w:rPr>
          <w:rFonts w:ascii="Arial" w:eastAsia="Arial" w:hAnsi="Arial" w:cs="Arial"/>
          <w:color w:val="003087"/>
        </w:rPr>
        <w:t xml:space="preserve"> </w:t>
      </w:r>
      <w:r w:rsidR="005573BD">
        <w:rPr>
          <w:rFonts w:ascii="Arial" w:eastAsia="Arial" w:hAnsi="Arial" w:cs="Arial"/>
          <w:color w:val="003087"/>
        </w:rPr>
        <w:t>2109914</w:t>
      </w:r>
    </w:p>
    <w:p w14:paraId="330A7DE5" w14:textId="4FCA069C" w:rsidR="00915332" w:rsidRDefault="6830D291" w:rsidP="3BDDEF42">
      <w:pPr>
        <w:spacing w:after="180"/>
        <w:jc w:val="center"/>
        <w:rPr>
          <w:rFonts w:ascii="Arial" w:eastAsia="Arial" w:hAnsi="Arial" w:cs="Arial"/>
          <w:color w:val="333333"/>
        </w:rPr>
      </w:pPr>
      <w:r w:rsidRPr="3BDDEF42">
        <w:rPr>
          <w:rFonts w:ascii="Arial" w:eastAsia="Arial" w:hAnsi="Arial" w:cs="Arial"/>
          <w:color w:val="003087"/>
        </w:rPr>
        <w:t>Lecturers:</w:t>
      </w:r>
      <w:r w:rsidR="129BF27E" w:rsidRPr="3BDDEF42">
        <w:rPr>
          <w:rFonts w:ascii="Arial" w:eastAsia="Arial" w:hAnsi="Arial" w:cs="Arial"/>
          <w:color w:val="003087"/>
        </w:rPr>
        <w:t xml:space="preserve"> </w:t>
      </w:r>
      <w:proofErr w:type="spellStart"/>
      <w:r w:rsidRPr="3BDDEF42">
        <w:rPr>
          <w:rFonts w:ascii="Arial" w:eastAsia="Arial" w:hAnsi="Arial" w:cs="Arial"/>
          <w:color w:val="333333"/>
        </w:rPr>
        <w:t>Shengfeng</w:t>
      </w:r>
      <w:proofErr w:type="spellEnd"/>
      <w:r w:rsidRPr="3BDDEF42">
        <w:rPr>
          <w:rFonts w:ascii="Arial" w:eastAsia="Arial" w:hAnsi="Arial" w:cs="Arial"/>
          <w:color w:val="333333"/>
        </w:rPr>
        <w:t xml:space="preserve"> Mei (London) Patrick </w:t>
      </w:r>
      <w:proofErr w:type="spellStart"/>
      <w:r w:rsidRPr="3BDDEF42">
        <w:rPr>
          <w:rFonts w:ascii="Arial" w:eastAsia="Arial" w:hAnsi="Arial" w:cs="Arial"/>
          <w:color w:val="333333"/>
        </w:rPr>
        <w:t>Yeboah</w:t>
      </w:r>
      <w:proofErr w:type="spellEnd"/>
      <w:r w:rsidRPr="3BDDEF42">
        <w:rPr>
          <w:rFonts w:ascii="Arial" w:eastAsia="Arial" w:hAnsi="Arial" w:cs="Arial"/>
          <w:color w:val="333333"/>
        </w:rPr>
        <w:t xml:space="preserve"> (Birmingham)</w:t>
      </w:r>
    </w:p>
    <w:p w14:paraId="6F2960FC" w14:textId="6FBA81FB" w:rsidR="00915332" w:rsidRDefault="00915332" w:rsidP="3BDDEF42">
      <w:pPr>
        <w:spacing w:after="180"/>
        <w:jc w:val="both"/>
        <w:rPr>
          <w:rFonts w:ascii="Arial" w:eastAsia="Arial" w:hAnsi="Arial" w:cs="Arial"/>
          <w:color w:val="003087"/>
        </w:rPr>
      </w:pPr>
    </w:p>
    <w:p w14:paraId="24451662" w14:textId="4E5B78EB" w:rsidR="00915332" w:rsidRDefault="6830D291" w:rsidP="3BDDEF42">
      <w:pPr>
        <w:spacing w:after="180"/>
        <w:jc w:val="center"/>
        <w:rPr>
          <w:rFonts w:ascii="Arial" w:eastAsia="Arial" w:hAnsi="Arial" w:cs="Arial"/>
          <w:color w:val="333333"/>
        </w:rPr>
      </w:pPr>
      <w:r w:rsidRPr="3BDDEF42">
        <w:rPr>
          <w:rFonts w:ascii="Arial" w:eastAsia="Arial" w:hAnsi="Arial" w:cs="Arial"/>
          <w:color w:val="003087"/>
        </w:rPr>
        <w:t>Date of Submission:</w:t>
      </w:r>
      <w:r w:rsidR="000742E1">
        <w:rPr>
          <w:rFonts w:ascii="Arial" w:eastAsia="Arial" w:hAnsi="Arial" w:cs="Arial"/>
          <w:color w:val="003087"/>
        </w:rPr>
        <w:t xml:space="preserve"> 24 November 2025</w:t>
      </w:r>
    </w:p>
    <w:p w14:paraId="2C078E63" w14:textId="640C0E94" w:rsidR="00915332" w:rsidRDefault="00915332" w:rsidP="3BDDEF42">
      <w:pPr>
        <w:spacing w:line="360" w:lineRule="auto"/>
        <w:jc w:val="both"/>
        <w:rPr>
          <w:rFonts w:ascii="Arial" w:eastAsia="Arial" w:hAnsi="Arial" w:cs="Arial"/>
        </w:rPr>
      </w:pPr>
    </w:p>
    <w:p w14:paraId="79924480" w14:textId="05A83C4C" w:rsidR="3BDDEF42" w:rsidRDefault="3BDDEF42" w:rsidP="3BDDEF42">
      <w:pPr>
        <w:spacing w:line="360" w:lineRule="auto"/>
        <w:jc w:val="both"/>
        <w:rPr>
          <w:rFonts w:ascii="Arial" w:eastAsia="Arial" w:hAnsi="Arial" w:cs="Arial"/>
        </w:rPr>
      </w:pPr>
      <w:r w:rsidRPr="3BDDEF42">
        <w:rPr>
          <w:rFonts w:ascii="Arial" w:eastAsia="Arial" w:hAnsi="Arial" w:cs="Arial"/>
        </w:rPr>
        <w:br w:type="page"/>
      </w:r>
    </w:p>
    <w:sdt>
      <w:sdtPr>
        <w:id w:val="929215188"/>
        <w:docPartObj>
          <w:docPartGallery w:val="Table of Contents"/>
          <w:docPartUnique/>
        </w:docPartObj>
      </w:sdtPr>
      <w:sdtContent>
        <w:p w14:paraId="730B7592" w14:textId="207D2730" w:rsidR="3BDDEF42" w:rsidRDefault="3BDDEF42" w:rsidP="3BDDEF42">
          <w:pPr>
            <w:pStyle w:val="TOC2"/>
            <w:tabs>
              <w:tab w:val="right" w:leader="dot" w:pos="9360"/>
            </w:tabs>
            <w:rPr>
              <w:rStyle w:val="Hyperlink"/>
            </w:rPr>
          </w:pPr>
          <w:r>
            <w:fldChar w:fldCharType="begin"/>
          </w:r>
          <w:r>
            <w:instrText>TOC \o \z \u \h</w:instrText>
          </w:r>
          <w:r>
            <w:fldChar w:fldCharType="separate"/>
          </w:r>
          <w:hyperlink w:anchor="_Toc1742314497">
            <w:r w:rsidRPr="3BDDEF42">
              <w:rPr>
                <w:rStyle w:val="Hyperlink"/>
              </w:rPr>
              <w:t>1. Introduction</w:t>
            </w:r>
            <w:r>
              <w:tab/>
            </w:r>
            <w:r>
              <w:fldChar w:fldCharType="begin"/>
            </w:r>
            <w:r>
              <w:instrText>PAGEREF _Toc1742314497 \h</w:instrText>
            </w:r>
            <w:r>
              <w:fldChar w:fldCharType="separate"/>
            </w:r>
            <w:r w:rsidRPr="3BDDEF42">
              <w:rPr>
                <w:rStyle w:val="Hyperlink"/>
              </w:rPr>
              <w:t>2</w:t>
            </w:r>
            <w:r>
              <w:fldChar w:fldCharType="end"/>
            </w:r>
          </w:hyperlink>
        </w:p>
        <w:p w14:paraId="2FE83D79" w14:textId="3156DA61" w:rsidR="3BDDEF42" w:rsidRDefault="3BDDEF42" w:rsidP="3BDDEF42">
          <w:pPr>
            <w:pStyle w:val="TOC2"/>
            <w:tabs>
              <w:tab w:val="right" w:leader="dot" w:pos="9360"/>
            </w:tabs>
            <w:rPr>
              <w:rStyle w:val="Hyperlink"/>
            </w:rPr>
          </w:pPr>
          <w:hyperlink w:anchor="_Toc721272962">
            <w:r w:rsidRPr="3BDDEF42">
              <w:rPr>
                <w:rStyle w:val="Hyperlink"/>
              </w:rPr>
              <w:t>2. Financial Health Check</w:t>
            </w:r>
            <w:r>
              <w:tab/>
            </w:r>
            <w:r>
              <w:fldChar w:fldCharType="begin"/>
            </w:r>
            <w:r>
              <w:instrText>PAGEREF _Toc721272962 \h</w:instrText>
            </w:r>
            <w:r>
              <w:fldChar w:fldCharType="separate"/>
            </w:r>
            <w:r w:rsidRPr="3BDDEF42">
              <w:rPr>
                <w:rStyle w:val="Hyperlink"/>
              </w:rPr>
              <w:t>4</w:t>
            </w:r>
            <w:r>
              <w:fldChar w:fldCharType="end"/>
            </w:r>
          </w:hyperlink>
        </w:p>
        <w:p w14:paraId="19D13DD4" w14:textId="7F692D1F" w:rsidR="3BDDEF42" w:rsidRDefault="3BDDEF42" w:rsidP="3BDDEF42">
          <w:pPr>
            <w:pStyle w:val="TOC3"/>
            <w:tabs>
              <w:tab w:val="right" w:leader="dot" w:pos="9360"/>
            </w:tabs>
            <w:rPr>
              <w:rStyle w:val="Hyperlink"/>
            </w:rPr>
          </w:pPr>
          <w:hyperlink w:anchor="_Toc709281515">
            <w:r w:rsidRPr="3BDDEF42">
              <w:rPr>
                <w:rStyle w:val="Hyperlink"/>
              </w:rPr>
              <w:t>2.1. Analysis of Financial Performance</w:t>
            </w:r>
            <w:r>
              <w:tab/>
            </w:r>
            <w:r>
              <w:fldChar w:fldCharType="begin"/>
            </w:r>
            <w:r>
              <w:instrText>PAGEREF _Toc709281515 \h</w:instrText>
            </w:r>
            <w:r>
              <w:fldChar w:fldCharType="separate"/>
            </w:r>
            <w:r w:rsidRPr="3BDDEF42">
              <w:rPr>
                <w:rStyle w:val="Hyperlink"/>
              </w:rPr>
              <w:t>4</w:t>
            </w:r>
            <w:r>
              <w:fldChar w:fldCharType="end"/>
            </w:r>
          </w:hyperlink>
        </w:p>
        <w:p w14:paraId="78533DDE" w14:textId="0C08AF41" w:rsidR="3BDDEF42" w:rsidRDefault="3BDDEF42" w:rsidP="3BDDEF42">
          <w:pPr>
            <w:pStyle w:val="TOC3"/>
            <w:tabs>
              <w:tab w:val="right" w:leader="dot" w:pos="9360"/>
            </w:tabs>
            <w:rPr>
              <w:rStyle w:val="Hyperlink"/>
            </w:rPr>
          </w:pPr>
          <w:hyperlink w:anchor="_Toc895294050">
            <w:r w:rsidRPr="3BDDEF42">
              <w:rPr>
                <w:rStyle w:val="Hyperlink"/>
              </w:rPr>
              <w:t>2.2. Ratio Analysis</w:t>
            </w:r>
            <w:r>
              <w:tab/>
            </w:r>
            <w:r>
              <w:fldChar w:fldCharType="begin"/>
            </w:r>
            <w:r>
              <w:instrText>PAGEREF _Toc895294050 \h</w:instrText>
            </w:r>
            <w:r>
              <w:fldChar w:fldCharType="separate"/>
            </w:r>
            <w:r w:rsidRPr="3BDDEF42">
              <w:rPr>
                <w:rStyle w:val="Hyperlink"/>
              </w:rPr>
              <w:t>5</w:t>
            </w:r>
            <w:r>
              <w:fldChar w:fldCharType="end"/>
            </w:r>
          </w:hyperlink>
        </w:p>
        <w:p w14:paraId="4AB31A13" w14:textId="55632C66" w:rsidR="3BDDEF42" w:rsidRDefault="3BDDEF42" w:rsidP="3BDDEF42">
          <w:pPr>
            <w:pStyle w:val="TOC3"/>
            <w:tabs>
              <w:tab w:val="right" w:leader="dot" w:pos="9360"/>
            </w:tabs>
            <w:rPr>
              <w:rStyle w:val="Hyperlink"/>
            </w:rPr>
          </w:pPr>
          <w:hyperlink w:anchor="_Toc1980134606">
            <w:r w:rsidRPr="3BDDEF42">
              <w:rPr>
                <w:rStyle w:val="Hyperlink"/>
              </w:rPr>
              <w:t>2.3. Identification of Trends, Strengths, and Threats</w:t>
            </w:r>
            <w:r>
              <w:tab/>
            </w:r>
            <w:r>
              <w:fldChar w:fldCharType="begin"/>
            </w:r>
            <w:r>
              <w:instrText>PAGEREF _Toc1980134606 \h</w:instrText>
            </w:r>
            <w:r>
              <w:fldChar w:fldCharType="separate"/>
            </w:r>
            <w:r w:rsidRPr="3BDDEF42">
              <w:rPr>
                <w:rStyle w:val="Hyperlink"/>
              </w:rPr>
              <w:t>7</w:t>
            </w:r>
            <w:r>
              <w:fldChar w:fldCharType="end"/>
            </w:r>
          </w:hyperlink>
        </w:p>
        <w:p w14:paraId="4109A8FD" w14:textId="261E9A34" w:rsidR="3BDDEF42" w:rsidRDefault="3BDDEF42" w:rsidP="3BDDEF42">
          <w:pPr>
            <w:pStyle w:val="TOC3"/>
            <w:tabs>
              <w:tab w:val="right" w:leader="dot" w:pos="9360"/>
            </w:tabs>
            <w:rPr>
              <w:rStyle w:val="Hyperlink"/>
            </w:rPr>
          </w:pPr>
          <w:hyperlink w:anchor="_Toc1565573473">
            <w:r w:rsidRPr="3BDDEF42">
              <w:rPr>
                <w:rStyle w:val="Hyperlink"/>
              </w:rPr>
              <w:t>2.4. Corporate Failure Forecasting: Altman Z-Score Analysis</w:t>
            </w:r>
            <w:r>
              <w:tab/>
            </w:r>
            <w:r>
              <w:fldChar w:fldCharType="begin"/>
            </w:r>
            <w:r>
              <w:instrText>PAGEREF _Toc1565573473 \h</w:instrText>
            </w:r>
            <w:r>
              <w:fldChar w:fldCharType="separate"/>
            </w:r>
            <w:r w:rsidRPr="3BDDEF42">
              <w:rPr>
                <w:rStyle w:val="Hyperlink"/>
              </w:rPr>
              <w:t>7</w:t>
            </w:r>
            <w:r>
              <w:fldChar w:fldCharType="end"/>
            </w:r>
          </w:hyperlink>
        </w:p>
        <w:p w14:paraId="31B31C44" w14:textId="702FCD95" w:rsidR="3BDDEF42" w:rsidRDefault="3BDDEF42" w:rsidP="3BDDEF42">
          <w:pPr>
            <w:pStyle w:val="TOC2"/>
            <w:tabs>
              <w:tab w:val="right" w:leader="dot" w:pos="9360"/>
            </w:tabs>
            <w:rPr>
              <w:rStyle w:val="Hyperlink"/>
            </w:rPr>
          </w:pPr>
          <w:hyperlink w:anchor="_Toc1619314672">
            <w:r w:rsidRPr="3BDDEF42">
              <w:rPr>
                <w:rStyle w:val="Hyperlink"/>
              </w:rPr>
              <w:t>3. Working Capital Management Analysis</w:t>
            </w:r>
            <w:r>
              <w:tab/>
            </w:r>
            <w:r>
              <w:fldChar w:fldCharType="begin"/>
            </w:r>
            <w:r>
              <w:instrText>PAGEREF _Toc1619314672 \h</w:instrText>
            </w:r>
            <w:r>
              <w:fldChar w:fldCharType="separate"/>
            </w:r>
            <w:r w:rsidRPr="3BDDEF42">
              <w:rPr>
                <w:rStyle w:val="Hyperlink"/>
              </w:rPr>
              <w:t>7</w:t>
            </w:r>
            <w:r>
              <w:fldChar w:fldCharType="end"/>
            </w:r>
          </w:hyperlink>
        </w:p>
        <w:p w14:paraId="5B8EA142" w14:textId="36172524" w:rsidR="3BDDEF42" w:rsidRDefault="3BDDEF42" w:rsidP="3BDDEF42">
          <w:pPr>
            <w:pStyle w:val="TOC3"/>
            <w:tabs>
              <w:tab w:val="right" w:leader="dot" w:pos="9360"/>
            </w:tabs>
            <w:rPr>
              <w:rStyle w:val="Hyperlink"/>
            </w:rPr>
          </w:pPr>
          <w:hyperlink w:anchor="_Toc2065788320">
            <w:r w:rsidRPr="3BDDEF42">
              <w:rPr>
                <w:rStyle w:val="Hyperlink"/>
              </w:rPr>
              <w:t>3.1. Analysis of the Operating Cash Cycle</w:t>
            </w:r>
            <w:r>
              <w:tab/>
            </w:r>
            <w:r>
              <w:fldChar w:fldCharType="begin"/>
            </w:r>
            <w:r>
              <w:instrText>PAGEREF _Toc2065788320 \h</w:instrText>
            </w:r>
            <w:r>
              <w:fldChar w:fldCharType="separate"/>
            </w:r>
            <w:r w:rsidRPr="3BDDEF42">
              <w:rPr>
                <w:rStyle w:val="Hyperlink"/>
              </w:rPr>
              <w:t>8</w:t>
            </w:r>
            <w:r>
              <w:fldChar w:fldCharType="end"/>
            </w:r>
          </w:hyperlink>
        </w:p>
        <w:p w14:paraId="1BFEA41E" w14:textId="182609E8" w:rsidR="3BDDEF42" w:rsidRDefault="3BDDEF42" w:rsidP="3BDDEF42">
          <w:pPr>
            <w:pStyle w:val="TOC3"/>
            <w:tabs>
              <w:tab w:val="right" w:leader="dot" w:pos="9360"/>
            </w:tabs>
            <w:rPr>
              <w:rStyle w:val="Hyperlink"/>
            </w:rPr>
          </w:pPr>
          <w:hyperlink w:anchor="_Toc722176588">
            <w:r w:rsidRPr="3BDDEF42">
              <w:rPr>
                <w:rStyle w:val="Hyperlink"/>
              </w:rPr>
              <w:t>3.2. Recommendations for Reform of Working Capital</w:t>
            </w:r>
            <w:r>
              <w:tab/>
            </w:r>
            <w:r>
              <w:fldChar w:fldCharType="begin"/>
            </w:r>
            <w:r>
              <w:instrText>PAGEREF _Toc722176588 \h</w:instrText>
            </w:r>
            <w:r>
              <w:fldChar w:fldCharType="separate"/>
            </w:r>
            <w:r w:rsidRPr="3BDDEF42">
              <w:rPr>
                <w:rStyle w:val="Hyperlink"/>
              </w:rPr>
              <w:t>8</w:t>
            </w:r>
            <w:r>
              <w:fldChar w:fldCharType="end"/>
            </w:r>
          </w:hyperlink>
        </w:p>
        <w:p w14:paraId="572BAADD" w14:textId="3EC427B0" w:rsidR="3BDDEF42" w:rsidRDefault="3BDDEF42" w:rsidP="3BDDEF42">
          <w:pPr>
            <w:pStyle w:val="TOC3"/>
            <w:tabs>
              <w:tab w:val="right" w:leader="dot" w:pos="9360"/>
            </w:tabs>
            <w:rPr>
              <w:rStyle w:val="Hyperlink"/>
            </w:rPr>
          </w:pPr>
          <w:hyperlink w:anchor="_Toc1170742012">
            <w:r w:rsidRPr="3BDDEF42">
              <w:rPr>
                <w:rStyle w:val="Hyperlink"/>
              </w:rPr>
              <w:t>3.3. Evaluation of Financing Alternative</w:t>
            </w:r>
            <w:r>
              <w:tab/>
            </w:r>
            <w:r>
              <w:fldChar w:fldCharType="begin"/>
            </w:r>
            <w:r>
              <w:instrText>PAGEREF _Toc1170742012 \h</w:instrText>
            </w:r>
            <w:r>
              <w:fldChar w:fldCharType="separate"/>
            </w:r>
            <w:r w:rsidRPr="3BDDEF42">
              <w:rPr>
                <w:rStyle w:val="Hyperlink"/>
              </w:rPr>
              <w:t>10</w:t>
            </w:r>
            <w:r>
              <w:fldChar w:fldCharType="end"/>
            </w:r>
          </w:hyperlink>
        </w:p>
        <w:p w14:paraId="413DC9BD" w14:textId="2B2EC638" w:rsidR="3BDDEF42" w:rsidRDefault="3BDDEF42" w:rsidP="3BDDEF42">
          <w:pPr>
            <w:pStyle w:val="TOC2"/>
            <w:tabs>
              <w:tab w:val="right" w:leader="dot" w:pos="9360"/>
            </w:tabs>
            <w:rPr>
              <w:rStyle w:val="Hyperlink"/>
            </w:rPr>
          </w:pPr>
          <w:hyperlink w:anchor="_Toc1290201273">
            <w:r w:rsidRPr="3BDDEF42">
              <w:rPr>
                <w:rStyle w:val="Hyperlink"/>
              </w:rPr>
              <w:t>4. Strategic Financial Restructuring Plan</w:t>
            </w:r>
            <w:r>
              <w:tab/>
            </w:r>
            <w:r>
              <w:fldChar w:fldCharType="begin"/>
            </w:r>
            <w:r>
              <w:instrText>PAGEREF _Toc1290201273 \h</w:instrText>
            </w:r>
            <w:r>
              <w:fldChar w:fldCharType="separate"/>
            </w:r>
            <w:r w:rsidRPr="3BDDEF42">
              <w:rPr>
                <w:rStyle w:val="Hyperlink"/>
              </w:rPr>
              <w:t>10</w:t>
            </w:r>
            <w:r>
              <w:fldChar w:fldCharType="end"/>
            </w:r>
          </w:hyperlink>
        </w:p>
        <w:p w14:paraId="6E95BEF9" w14:textId="3F359804" w:rsidR="3BDDEF42" w:rsidRDefault="3BDDEF42" w:rsidP="3BDDEF42">
          <w:pPr>
            <w:pStyle w:val="TOC3"/>
            <w:tabs>
              <w:tab w:val="right" w:leader="dot" w:pos="9360"/>
            </w:tabs>
            <w:rPr>
              <w:rStyle w:val="Hyperlink"/>
            </w:rPr>
          </w:pPr>
          <w:hyperlink w:anchor="_Toc271850449">
            <w:r w:rsidRPr="3BDDEF42">
              <w:rPr>
                <w:rStyle w:val="Hyperlink"/>
              </w:rPr>
              <w:t>4.1. Proposed Restructuring Options</w:t>
            </w:r>
            <w:r>
              <w:tab/>
            </w:r>
            <w:r>
              <w:fldChar w:fldCharType="begin"/>
            </w:r>
            <w:r>
              <w:instrText>PAGEREF _Toc271850449 \h</w:instrText>
            </w:r>
            <w:r>
              <w:fldChar w:fldCharType="separate"/>
            </w:r>
            <w:r w:rsidRPr="3BDDEF42">
              <w:rPr>
                <w:rStyle w:val="Hyperlink"/>
              </w:rPr>
              <w:t>10</w:t>
            </w:r>
            <w:r>
              <w:fldChar w:fldCharType="end"/>
            </w:r>
          </w:hyperlink>
        </w:p>
        <w:p w14:paraId="379CCDD7" w14:textId="06E3BFC7" w:rsidR="3BDDEF42" w:rsidRDefault="3BDDEF42" w:rsidP="3BDDEF42">
          <w:pPr>
            <w:pStyle w:val="TOC3"/>
            <w:tabs>
              <w:tab w:val="right" w:leader="dot" w:pos="9360"/>
            </w:tabs>
            <w:rPr>
              <w:rStyle w:val="Hyperlink"/>
            </w:rPr>
          </w:pPr>
          <w:hyperlink w:anchor="_Toc1787522371">
            <w:r w:rsidRPr="3BDDEF42">
              <w:rPr>
                <w:rStyle w:val="Hyperlink"/>
              </w:rPr>
              <w:t>4.2. Impact on Shareholder Value, Debt, and Flexibility</w:t>
            </w:r>
            <w:r>
              <w:tab/>
            </w:r>
            <w:r>
              <w:fldChar w:fldCharType="begin"/>
            </w:r>
            <w:r>
              <w:instrText>PAGEREF _Toc1787522371 \h</w:instrText>
            </w:r>
            <w:r>
              <w:fldChar w:fldCharType="separate"/>
            </w:r>
            <w:r w:rsidRPr="3BDDEF42">
              <w:rPr>
                <w:rStyle w:val="Hyperlink"/>
              </w:rPr>
              <w:t>12</w:t>
            </w:r>
            <w:r>
              <w:fldChar w:fldCharType="end"/>
            </w:r>
          </w:hyperlink>
        </w:p>
        <w:p w14:paraId="2062E069" w14:textId="6C143BE7" w:rsidR="3BDDEF42" w:rsidRDefault="3BDDEF42" w:rsidP="3BDDEF42">
          <w:pPr>
            <w:pStyle w:val="TOC3"/>
            <w:tabs>
              <w:tab w:val="right" w:leader="dot" w:pos="9360"/>
            </w:tabs>
            <w:rPr>
              <w:rStyle w:val="Hyperlink"/>
            </w:rPr>
          </w:pPr>
          <w:hyperlink w:anchor="_Toc2086708465">
            <w:r w:rsidRPr="3BDDEF42">
              <w:rPr>
                <w:rStyle w:val="Hyperlink"/>
              </w:rPr>
              <w:t>4.3. International and Ethical Considerations</w:t>
            </w:r>
            <w:r>
              <w:tab/>
            </w:r>
            <w:r>
              <w:fldChar w:fldCharType="begin"/>
            </w:r>
            <w:r>
              <w:instrText>PAGEREF _Toc2086708465 \h</w:instrText>
            </w:r>
            <w:r>
              <w:fldChar w:fldCharType="separate"/>
            </w:r>
            <w:r w:rsidRPr="3BDDEF42">
              <w:rPr>
                <w:rStyle w:val="Hyperlink"/>
              </w:rPr>
              <w:t>13</w:t>
            </w:r>
            <w:r>
              <w:fldChar w:fldCharType="end"/>
            </w:r>
          </w:hyperlink>
        </w:p>
        <w:p w14:paraId="01FD14C9" w14:textId="3BCE5603" w:rsidR="3BDDEF42" w:rsidRDefault="3BDDEF42" w:rsidP="3BDDEF42">
          <w:pPr>
            <w:pStyle w:val="TOC2"/>
            <w:tabs>
              <w:tab w:val="right" w:leader="dot" w:pos="9360"/>
            </w:tabs>
            <w:rPr>
              <w:rStyle w:val="Hyperlink"/>
            </w:rPr>
          </w:pPr>
          <w:hyperlink w:anchor="_Toc1135653058">
            <w:r w:rsidRPr="3BDDEF42">
              <w:rPr>
                <w:rStyle w:val="Hyperlink"/>
              </w:rPr>
              <w:t>5. Investment Appraisal and Capital Budgeting</w:t>
            </w:r>
            <w:r>
              <w:tab/>
            </w:r>
            <w:r>
              <w:fldChar w:fldCharType="begin"/>
            </w:r>
            <w:r>
              <w:instrText>PAGEREF _Toc1135653058 \h</w:instrText>
            </w:r>
            <w:r>
              <w:fldChar w:fldCharType="separate"/>
            </w:r>
            <w:r w:rsidRPr="3BDDEF42">
              <w:rPr>
                <w:rStyle w:val="Hyperlink"/>
              </w:rPr>
              <w:t>14</w:t>
            </w:r>
            <w:r>
              <w:fldChar w:fldCharType="end"/>
            </w:r>
          </w:hyperlink>
        </w:p>
        <w:p w14:paraId="34245DF2" w14:textId="40811BF6" w:rsidR="3BDDEF42" w:rsidRDefault="3BDDEF42" w:rsidP="3BDDEF42">
          <w:pPr>
            <w:pStyle w:val="TOC3"/>
            <w:tabs>
              <w:tab w:val="right" w:leader="dot" w:pos="9360"/>
            </w:tabs>
            <w:rPr>
              <w:rStyle w:val="Hyperlink"/>
            </w:rPr>
          </w:pPr>
          <w:hyperlink w:anchor="_Toc1795540631">
            <w:r w:rsidRPr="3BDDEF42">
              <w:rPr>
                <w:rStyle w:val="Hyperlink"/>
              </w:rPr>
              <w:t>5.1. Proposed Projects Analysis with Detailed Calculations</w:t>
            </w:r>
            <w:r>
              <w:tab/>
            </w:r>
            <w:r>
              <w:fldChar w:fldCharType="begin"/>
            </w:r>
            <w:r>
              <w:instrText>PAGEREF _Toc1795540631 \h</w:instrText>
            </w:r>
            <w:r>
              <w:fldChar w:fldCharType="separate"/>
            </w:r>
            <w:r w:rsidRPr="3BDDEF42">
              <w:rPr>
                <w:rStyle w:val="Hyperlink"/>
              </w:rPr>
              <w:t>14</w:t>
            </w:r>
            <w:r>
              <w:fldChar w:fldCharType="end"/>
            </w:r>
          </w:hyperlink>
        </w:p>
        <w:p w14:paraId="0808BD47" w14:textId="1EE9BB94" w:rsidR="3BDDEF42" w:rsidRDefault="3BDDEF42" w:rsidP="3BDDEF42">
          <w:pPr>
            <w:pStyle w:val="TOC3"/>
            <w:tabs>
              <w:tab w:val="right" w:leader="dot" w:pos="9360"/>
            </w:tabs>
            <w:rPr>
              <w:rStyle w:val="Hyperlink"/>
            </w:rPr>
          </w:pPr>
          <w:hyperlink w:anchor="_Toc606817505">
            <w:r w:rsidRPr="3BDDEF42">
              <w:rPr>
                <w:rStyle w:val="Hyperlink"/>
              </w:rPr>
              <w:t>5.2. Recommendation under Capital Rationing</w:t>
            </w:r>
            <w:r>
              <w:tab/>
            </w:r>
            <w:r>
              <w:fldChar w:fldCharType="begin"/>
            </w:r>
            <w:r>
              <w:instrText>PAGEREF _Toc606817505 \h</w:instrText>
            </w:r>
            <w:r>
              <w:fldChar w:fldCharType="separate"/>
            </w:r>
            <w:r w:rsidRPr="3BDDEF42">
              <w:rPr>
                <w:rStyle w:val="Hyperlink"/>
              </w:rPr>
              <w:t>16</w:t>
            </w:r>
            <w:r>
              <w:fldChar w:fldCharType="end"/>
            </w:r>
          </w:hyperlink>
        </w:p>
        <w:p w14:paraId="3175F600" w14:textId="57E9F590" w:rsidR="3BDDEF42" w:rsidRDefault="3BDDEF42" w:rsidP="3BDDEF42">
          <w:pPr>
            <w:pStyle w:val="TOC3"/>
            <w:tabs>
              <w:tab w:val="right" w:leader="dot" w:pos="9360"/>
            </w:tabs>
            <w:rPr>
              <w:rStyle w:val="Hyperlink"/>
            </w:rPr>
          </w:pPr>
          <w:hyperlink w:anchor="_Toc1795814057">
            <w:r w:rsidRPr="3BDDEF42">
              <w:rPr>
                <w:rStyle w:val="Hyperlink"/>
              </w:rPr>
              <w:t>5.3. Justification and Risk Analysis</w:t>
            </w:r>
            <w:r>
              <w:tab/>
            </w:r>
            <w:r>
              <w:fldChar w:fldCharType="begin"/>
            </w:r>
            <w:r>
              <w:instrText>PAGEREF _Toc1795814057 \h</w:instrText>
            </w:r>
            <w:r>
              <w:fldChar w:fldCharType="separate"/>
            </w:r>
            <w:r w:rsidRPr="3BDDEF42">
              <w:rPr>
                <w:rStyle w:val="Hyperlink"/>
              </w:rPr>
              <w:t>16</w:t>
            </w:r>
            <w:r>
              <w:fldChar w:fldCharType="end"/>
            </w:r>
          </w:hyperlink>
        </w:p>
        <w:p w14:paraId="74B70C6E" w14:textId="475B9703" w:rsidR="3BDDEF42" w:rsidRDefault="3BDDEF42" w:rsidP="3BDDEF42">
          <w:pPr>
            <w:pStyle w:val="TOC2"/>
            <w:tabs>
              <w:tab w:val="right" w:leader="dot" w:pos="9360"/>
            </w:tabs>
            <w:rPr>
              <w:rStyle w:val="Hyperlink"/>
            </w:rPr>
          </w:pPr>
          <w:hyperlink w:anchor="_Toc1388900632">
            <w:r w:rsidRPr="3BDDEF42">
              <w:rPr>
                <w:rStyle w:val="Hyperlink"/>
              </w:rPr>
              <w:t>Conclusion</w:t>
            </w:r>
            <w:r>
              <w:tab/>
            </w:r>
            <w:r>
              <w:fldChar w:fldCharType="begin"/>
            </w:r>
            <w:r>
              <w:instrText>PAGEREF _Toc1388900632 \h</w:instrText>
            </w:r>
            <w:r>
              <w:fldChar w:fldCharType="separate"/>
            </w:r>
            <w:r w:rsidRPr="3BDDEF42">
              <w:rPr>
                <w:rStyle w:val="Hyperlink"/>
              </w:rPr>
              <w:t>17</w:t>
            </w:r>
            <w:r>
              <w:fldChar w:fldCharType="end"/>
            </w:r>
          </w:hyperlink>
        </w:p>
        <w:p w14:paraId="74294448" w14:textId="39021FC8" w:rsidR="3BDDEF42" w:rsidRDefault="3BDDEF42" w:rsidP="3BDDEF42">
          <w:pPr>
            <w:pStyle w:val="TOC2"/>
            <w:tabs>
              <w:tab w:val="right" w:leader="dot" w:pos="9360"/>
            </w:tabs>
            <w:rPr>
              <w:rStyle w:val="Hyperlink"/>
            </w:rPr>
          </w:pPr>
          <w:hyperlink w:anchor="_Toc1001200756">
            <w:r w:rsidRPr="3BDDEF42">
              <w:rPr>
                <w:rStyle w:val="Hyperlink"/>
              </w:rPr>
              <w:t>References</w:t>
            </w:r>
            <w:r>
              <w:tab/>
            </w:r>
            <w:r>
              <w:fldChar w:fldCharType="begin"/>
            </w:r>
            <w:r>
              <w:instrText>PAGEREF _Toc1001200756 \h</w:instrText>
            </w:r>
            <w:r>
              <w:fldChar w:fldCharType="separate"/>
            </w:r>
            <w:r w:rsidRPr="3BDDEF42">
              <w:rPr>
                <w:rStyle w:val="Hyperlink"/>
              </w:rPr>
              <w:t>18</w:t>
            </w:r>
            <w:r>
              <w:fldChar w:fldCharType="end"/>
            </w:r>
          </w:hyperlink>
        </w:p>
        <w:p w14:paraId="02375E00" w14:textId="3981AD16" w:rsidR="3BDDEF42" w:rsidRDefault="3BDDEF42" w:rsidP="3BDDEF42">
          <w:pPr>
            <w:pStyle w:val="TOC3"/>
            <w:tabs>
              <w:tab w:val="right" w:leader="dot" w:pos="9360"/>
            </w:tabs>
            <w:rPr>
              <w:rStyle w:val="Hyperlink"/>
            </w:rPr>
          </w:pPr>
          <w:hyperlink w:anchor="_Toc1317205579">
            <w:r w:rsidRPr="3BDDEF42">
              <w:rPr>
                <w:rStyle w:val="Hyperlink"/>
              </w:rPr>
              <w:t>Appendix A: Detailed Ratio Analysis (2020-2024)</w:t>
            </w:r>
            <w:r>
              <w:tab/>
            </w:r>
            <w:r>
              <w:fldChar w:fldCharType="begin"/>
            </w:r>
            <w:r>
              <w:instrText>PAGEREF _Toc1317205579 \h</w:instrText>
            </w:r>
            <w:r>
              <w:fldChar w:fldCharType="separate"/>
            </w:r>
            <w:r w:rsidRPr="3BDDEF42">
              <w:rPr>
                <w:rStyle w:val="Hyperlink"/>
              </w:rPr>
              <w:t>20</w:t>
            </w:r>
            <w:r>
              <w:fldChar w:fldCharType="end"/>
            </w:r>
          </w:hyperlink>
        </w:p>
        <w:p w14:paraId="3F9C7027" w14:textId="0790994C" w:rsidR="3BDDEF42" w:rsidRDefault="3BDDEF42" w:rsidP="3BDDEF42">
          <w:pPr>
            <w:pStyle w:val="TOC3"/>
            <w:tabs>
              <w:tab w:val="right" w:leader="dot" w:pos="9360"/>
            </w:tabs>
            <w:rPr>
              <w:rStyle w:val="Hyperlink"/>
            </w:rPr>
          </w:pPr>
          <w:hyperlink w:anchor="_Toc1939143629">
            <w:r w:rsidRPr="3BDDEF42">
              <w:rPr>
                <w:rStyle w:val="Hyperlink"/>
              </w:rPr>
              <w:t>Appendix B: Investment Appraisal Detailed Calculations</w:t>
            </w:r>
            <w:r>
              <w:tab/>
            </w:r>
            <w:r>
              <w:fldChar w:fldCharType="begin"/>
            </w:r>
            <w:r>
              <w:instrText>PAGEREF _Toc1939143629 \h</w:instrText>
            </w:r>
            <w:r>
              <w:fldChar w:fldCharType="separate"/>
            </w:r>
            <w:r w:rsidRPr="3BDDEF42">
              <w:rPr>
                <w:rStyle w:val="Hyperlink"/>
              </w:rPr>
              <w:t>21</w:t>
            </w:r>
            <w:r>
              <w:fldChar w:fldCharType="end"/>
            </w:r>
          </w:hyperlink>
        </w:p>
        <w:p w14:paraId="08F704F7" w14:textId="7D5C1193" w:rsidR="3BDDEF42" w:rsidRDefault="3BDDEF42" w:rsidP="3BDDEF42">
          <w:pPr>
            <w:pStyle w:val="TOC4"/>
            <w:tabs>
              <w:tab w:val="right" w:leader="dot" w:pos="9360"/>
            </w:tabs>
            <w:rPr>
              <w:rStyle w:val="Hyperlink"/>
            </w:rPr>
          </w:pPr>
          <w:hyperlink w:anchor="_Toc1966366294">
            <w:r w:rsidRPr="3BDDEF42">
              <w:rPr>
                <w:rStyle w:val="Hyperlink"/>
              </w:rPr>
              <w:t>Project A: Financial Evaluation (Initial Investment: £40m)</w:t>
            </w:r>
            <w:r>
              <w:tab/>
            </w:r>
            <w:r>
              <w:fldChar w:fldCharType="begin"/>
            </w:r>
            <w:r>
              <w:instrText>PAGEREF _Toc1966366294 \h</w:instrText>
            </w:r>
            <w:r>
              <w:fldChar w:fldCharType="separate"/>
            </w:r>
            <w:r w:rsidRPr="3BDDEF42">
              <w:rPr>
                <w:rStyle w:val="Hyperlink"/>
              </w:rPr>
              <w:t>21</w:t>
            </w:r>
            <w:r>
              <w:fldChar w:fldCharType="end"/>
            </w:r>
          </w:hyperlink>
        </w:p>
        <w:p w14:paraId="715ADADA" w14:textId="373F32BD" w:rsidR="3BDDEF42" w:rsidRDefault="3BDDEF42" w:rsidP="3BDDEF42">
          <w:pPr>
            <w:pStyle w:val="TOC4"/>
            <w:tabs>
              <w:tab w:val="right" w:leader="dot" w:pos="9360"/>
            </w:tabs>
            <w:rPr>
              <w:rStyle w:val="Hyperlink"/>
            </w:rPr>
          </w:pPr>
          <w:hyperlink w:anchor="_Toc820867098">
            <w:r w:rsidRPr="3BDDEF42">
              <w:rPr>
                <w:rStyle w:val="Hyperlink"/>
              </w:rPr>
              <w:t>Project B: Financial Evaluation (Initial Investment: £30m)</w:t>
            </w:r>
            <w:r>
              <w:tab/>
            </w:r>
            <w:r>
              <w:fldChar w:fldCharType="begin"/>
            </w:r>
            <w:r>
              <w:instrText>PAGEREF _Toc820867098 \h</w:instrText>
            </w:r>
            <w:r>
              <w:fldChar w:fldCharType="separate"/>
            </w:r>
            <w:r w:rsidRPr="3BDDEF42">
              <w:rPr>
                <w:rStyle w:val="Hyperlink"/>
              </w:rPr>
              <w:t>23</w:t>
            </w:r>
            <w:r>
              <w:fldChar w:fldCharType="end"/>
            </w:r>
          </w:hyperlink>
        </w:p>
        <w:p w14:paraId="1CD00453" w14:textId="6093BEC3" w:rsidR="3BDDEF42" w:rsidRDefault="3BDDEF42" w:rsidP="3BDDEF42">
          <w:pPr>
            <w:pStyle w:val="TOC4"/>
            <w:tabs>
              <w:tab w:val="right" w:leader="dot" w:pos="9360"/>
            </w:tabs>
            <w:rPr>
              <w:rStyle w:val="Hyperlink"/>
            </w:rPr>
          </w:pPr>
          <w:hyperlink w:anchor="_Toc1259305998">
            <w:r w:rsidRPr="3BDDEF42">
              <w:rPr>
                <w:rStyle w:val="Hyperlink"/>
              </w:rPr>
              <w:t>Project C: Financial Evaluation (Initial Investment: £50m)</w:t>
            </w:r>
            <w:r>
              <w:tab/>
            </w:r>
            <w:r>
              <w:fldChar w:fldCharType="begin"/>
            </w:r>
            <w:r>
              <w:instrText>PAGEREF _Toc1259305998 \h</w:instrText>
            </w:r>
            <w:r>
              <w:fldChar w:fldCharType="separate"/>
            </w:r>
            <w:r w:rsidRPr="3BDDEF42">
              <w:rPr>
                <w:rStyle w:val="Hyperlink"/>
              </w:rPr>
              <w:t>24</w:t>
            </w:r>
            <w:r>
              <w:fldChar w:fldCharType="end"/>
            </w:r>
          </w:hyperlink>
          <w:r>
            <w:fldChar w:fldCharType="end"/>
          </w:r>
        </w:p>
      </w:sdtContent>
    </w:sdt>
    <w:p w14:paraId="54AAB5C9" w14:textId="2A749656" w:rsidR="3BDDEF42" w:rsidRDefault="3BDDEF42" w:rsidP="3BDDEF42">
      <w:pPr>
        <w:pStyle w:val="Heading2"/>
        <w:spacing w:before="299" w:after="299" w:line="360" w:lineRule="auto"/>
        <w:jc w:val="both"/>
        <w:rPr>
          <w:rFonts w:ascii="Arial" w:eastAsia="Arial" w:hAnsi="Arial" w:cs="Arial"/>
          <w:color w:val="auto"/>
          <w:sz w:val="36"/>
          <w:szCs w:val="36"/>
        </w:rPr>
      </w:pPr>
    </w:p>
    <w:p w14:paraId="721CE419" w14:textId="0BC01CA9" w:rsidR="3BDDEF42" w:rsidRDefault="3BDDEF42">
      <w:r>
        <w:br w:type="page"/>
      </w:r>
    </w:p>
    <w:p w14:paraId="355211EC" w14:textId="546BFEC6" w:rsidR="62660140" w:rsidRDefault="62660140" w:rsidP="3BDDEF42">
      <w:pPr>
        <w:pStyle w:val="Heading2"/>
        <w:spacing w:before="299" w:after="299" w:line="360" w:lineRule="auto"/>
        <w:jc w:val="both"/>
        <w:rPr>
          <w:rFonts w:ascii="Arial" w:eastAsia="Arial" w:hAnsi="Arial" w:cs="Arial"/>
          <w:color w:val="auto"/>
          <w:sz w:val="36"/>
          <w:szCs w:val="36"/>
        </w:rPr>
      </w:pPr>
      <w:bookmarkStart w:id="0" w:name="_Toc1742314497"/>
      <w:r w:rsidRPr="3BDDEF42">
        <w:rPr>
          <w:rFonts w:ascii="Arial" w:eastAsia="Arial" w:hAnsi="Arial" w:cs="Arial"/>
          <w:color w:val="auto"/>
          <w:sz w:val="36"/>
          <w:szCs w:val="36"/>
        </w:rPr>
        <w:t>1. Introduction</w:t>
      </w:r>
      <w:bookmarkEnd w:id="0"/>
    </w:p>
    <w:p w14:paraId="6A673FF6" w14:textId="27A86F30"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 xml:space="preserve">I present this report to the Board of Directors of General Electronics in my role as the new Chief Financial Officer. The firm is at a turning point, with severe financial distress emerging after five years of worsening performance. This decline has occurred </w:t>
      </w:r>
      <w:r w:rsidR="2EC8FEA3" w:rsidRPr="3BDDEF42">
        <w:rPr>
          <w:rFonts w:ascii="Arial" w:eastAsia="Arial" w:hAnsi="Arial" w:cs="Arial"/>
        </w:rPr>
        <w:t>during</w:t>
      </w:r>
      <w:r w:rsidRPr="3BDDEF42">
        <w:rPr>
          <w:rFonts w:ascii="Arial" w:eastAsia="Arial" w:hAnsi="Arial" w:cs="Arial"/>
        </w:rPr>
        <w:t xml:space="preserve"> an international consumer electronics market that is not just extremely competitive but also one of ceaseless innovation, rapid product cycles, and extreme price compression (</w:t>
      </w:r>
      <w:proofErr w:type="spellStart"/>
      <w:r w:rsidRPr="3BDDEF42">
        <w:rPr>
          <w:rFonts w:ascii="Arial" w:eastAsia="Arial" w:hAnsi="Arial" w:cs="Arial"/>
        </w:rPr>
        <w:t>Statista</w:t>
      </w:r>
      <w:proofErr w:type="spellEnd"/>
      <w:r w:rsidRPr="3BDDEF42">
        <w:rPr>
          <w:rFonts w:ascii="Arial" w:eastAsia="Arial" w:hAnsi="Arial" w:cs="Arial"/>
        </w:rPr>
        <w:t>, 2023; Deloitte, 2024). In such a dynamic marketplace, even minor operating inefficiencies or strategic mismanagement can have calamitous, and as we have just observed, potentially catastrophic consequences. The following analysis will demonstrate that General Electronics is suffering from an intersection of system failures that threaten its very survival.</w:t>
      </w:r>
    </w:p>
    <w:p w14:paraId="2CAC4A8E" w14:textId="6292F5C8"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The purpose of this report is to provide a comprehensive and fact-based assessment of the company's current financial health, to identify with precision the underlying causes of its deterioration, and to recommend a sound, multi-leveraged turnaround strategy. The findings confirm that General Electronics has witnessed an abrupt fall in profitability, severely constricted liquidity, and severely impaired capital structure, which was at their peak in gigantic and unsustainable losses during the 2023 and 2024 financial years.</w:t>
      </w:r>
    </w:p>
    <w:p w14:paraId="5EBCEB82" w14:textId="74F05436"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 xml:space="preserve">The report is structured to guide the Board through a deductive diagnostic and prescriptive approach. The analysis begins with a detailed Financial Health Check, utilizing rigorous ratio analysis and the </w:t>
      </w:r>
      <w:r w:rsidR="5E301FE8" w:rsidRPr="3BDDEF42">
        <w:rPr>
          <w:rFonts w:ascii="Arial" w:eastAsia="Arial" w:hAnsi="Arial" w:cs="Arial"/>
        </w:rPr>
        <w:t>tried-and-true</w:t>
      </w:r>
      <w:r w:rsidRPr="3BDDEF42">
        <w:rPr>
          <w:rFonts w:ascii="Arial" w:eastAsia="Arial" w:hAnsi="Arial" w:cs="Arial"/>
        </w:rPr>
        <w:t xml:space="preserve"> Altman Z-Score model to give a numeric value to the vulnerable status of the company. This is then followed by Working Capital Management analysis that indicates short-term solutions to release cash and regain some measure of working balance. Building on this, a Strategic Financial Restructuring Plan is proposed to overhaul the balance sheet at its core and regain investor confidence. Finally, a forward-looking Investment Appraisal looks ahead at three feasible capital initiatives so that future growth is achieved in an orderly and value-enhancing way. The end objective of this proposed strategy is to stabilize General Electronics, put it back into profit, and set it up for long-term, sustained success in a financially healthy, internationally scalable, and morally ethical way.</w:t>
      </w:r>
    </w:p>
    <w:p w14:paraId="0DCCC8EB" w14:textId="1D897620" w:rsidR="3BDDEF42" w:rsidRDefault="3BDDEF42" w:rsidP="3BDDEF42">
      <w:pPr>
        <w:spacing w:line="360" w:lineRule="auto"/>
        <w:jc w:val="both"/>
        <w:rPr>
          <w:rFonts w:ascii="Arial" w:eastAsia="Arial" w:hAnsi="Arial" w:cs="Arial"/>
        </w:rPr>
      </w:pPr>
    </w:p>
    <w:p w14:paraId="299217B8" w14:textId="5549D6D2" w:rsidR="62660140" w:rsidRDefault="62660140" w:rsidP="3BDDEF42">
      <w:pPr>
        <w:pStyle w:val="Heading2"/>
        <w:spacing w:before="299" w:after="299" w:line="360" w:lineRule="auto"/>
        <w:jc w:val="both"/>
        <w:rPr>
          <w:rFonts w:ascii="Arial" w:eastAsia="Arial" w:hAnsi="Arial" w:cs="Arial"/>
          <w:color w:val="auto"/>
          <w:sz w:val="36"/>
          <w:szCs w:val="36"/>
        </w:rPr>
      </w:pPr>
      <w:bookmarkStart w:id="1" w:name="_Toc721272962"/>
      <w:r w:rsidRPr="3BDDEF42">
        <w:rPr>
          <w:rFonts w:ascii="Arial" w:eastAsia="Arial" w:hAnsi="Arial" w:cs="Arial"/>
          <w:color w:val="auto"/>
          <w:sz w:val="36"/>
          <w:szCs w:val="36"/>
        </w:rPr>
        <w:t>2. Financial Health Check</w:t>
      </w:r>
      <w:bookmarkEnd w:id="1"/>
    </w:p>
    <w:p w14:paraId="5382D0B4" w14:textId="6B96E2EB"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A careful and unflinching analysis of the financial health of General Electronics is the initial necessary step in creating a workable turnaround plan. Anecdotal or emotional evaluation is not enough; one must be data-driven to understand the full magnitude of the crisis. This section dissects the performance of the company over the last half-decade (2020-2024) using its group financials to provide an unmistakable picture of its financial health. This report goes beyond the level of mere numbers to reveal a story of collapse of structure that urgently calls for strong and quick action.</w:t>
      </w:r>
    </w:p>
    <w:p w14:paraId="3613AD43" w14:textId="43F25147" w:rsidR="62660140" w:rsidRDefault="62660140" w:rsidP="3BDDEF42">
      <w:pPr>
        <w:pStyle w:val="Heading3"/>
        <w:spacing w:before="281" w:after="281" w:line="360" w:lineRule="auto"/>
        <w:jc w:val="both"/>
        <w:rPr>
          <w:rFonts w:ascii="Arial" w:eastAsia="Arial" w:hAnsi="Arial" w:cs="Arial"/>
          <w:color w:val="auto"/>
        </w:rPr>
      </w:pPr>
      <w:bookmarkStart w:id="2" w:name="_Toc709281515"/>
      <w:r w:rsidRPr="3BDDEF42">
        <w:rPr>
          <w:rFonts w:ascii="Arial" w:eastAsia="Arial" w:hAnsi="Arial" w:cs="Arial"/>
          <w:color w:val="auto"/>
        </w:rPr>
        <w:t>2.1. Analysis of Financial Performance</w:t>
      </w:r>
      <w:bookmarkEnd w:id="2"/>
    </w:p>
    <w:p w14:paraId="07F1D6BE" w14:textId="1B6C9E97"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 xml:space="preserve">The Consolidated Income Statement is one of stories of a corporate giant gone astray. Net sales have fallen 35.8% from a peak of £614.7 billion in 2020 to £394.9 billion in 2024. This is not a market decline; this is a catastrophic hemorrhaging of market share, which means a fundamental failure at product strategy, innovation, or competitive positioning. The sales cost of the company has not decreased proportionally with this revenue plunge, a clear sign of operating rigidity and sticky cost structure, where the costs do not decrease as rapidly as they rise, most perilous when there are reducing sales (Anderson, Banker, and </w:t>
      </w:r>
      <w:proofErr w:type="spellStart"/>
      <w:r w:rsidRPr="3BDDEF42">
        <w:rPr>
          <w:rFonts w:ascii="Arial" w:eastAsia="Arial" w:hAnsi="Arial" w:cs="Arial"/>
        </w:rPr>
        <w:t>Janakiraman</w:t>
      </w:r>
      <w:proofErr w:type="spellEnd"/>
      <w:r w:rsidRPr="3BDDEF42">
        <w:rPr>
          <w:rFonts w:ascii="Arial" w:eastAsia="Arial" w:hAnsi="Arial" w:cs="Arial"/>
        </w:rPr>
        <w:t>, 2003). This has led to absolute gross profit decreasing by leaps and bounds.</w:t>
      </w:r>
    </w:p>
    <w:p w14:paraId="4935E444" w14:textId="612E1CA2"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The crisis goes even deeper when considering the company's grip on operations. Costs of operation have exploded, devouring a progressively larger portion of a shrinking revenue stream. This accounts for the complete eradication of operating income, ranging from a healthy £37.3 billion profit in 2020 to a whopping £85.3 billion operating loss in 2023. One of the significant events lost in these figures is the £49 billion impairment of goodwill recorded in 2023. It is not an accounting treatment; it is a formal and public admission by management that earlier acquisitions, for which the company had paid a premium, have not yielded their underlying worth. It is accompanied by a continuous dilution of shareholder capital. The net losses are therefore not just operational; they are compounded by the ghosts of past strategic calamity.</w:t>
      </w:r>
    </w:p>
    <w:p w14:paraId="7FF4A4B8" w14:textId="3AF7403E"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The Consolidated Statement of Cash Flows supports the concern. While the business reported positive net cash from operations in 2024 (£14.8bn), the figure is potentially misleading. It was only with a massive inventory reduction of (£6.2bn) and a massive accounts payable increase of (£15.7bn). The fundamentals gauge of Net Income after excluding non-cash charges was deep in the red, indicating that the underlying business is burning cash rapidly. The company is simply surviving by siphoning profits out of working capital and by deferring payments to suppliers—an unsustainable short-term fix that poisons relationships with suppliers and leverages the future to cover today.</w:t>
      </w:r>
    </w:p>
    <w:p w14:paraId="0E9B9F9E" w14:textId="6A668590"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The Balance Sheet assigns a number to the damage. The 51% drop in shareholders' equity from £313.3 billion to £153.1 billion is the most vivid evidence of value destruction. Reserve funds built up over years, the bedrock of the company's financial stability, have been wiped out in just two years of catastrophic losses. This consumption of the buffer of equity is what has made the company's level of debt so exposed.</w:t>
      </w:r>
    </w:p>
    <w:p w14:paraId="23F9AF13" w14:textId="6C630922" w:rsidR="62660140" w:rsidRDefault="62660140" w:rsidP="3BDDEF42">
      <w:pPr>
        <w:pStyle w:val="Heading3"/>
        <w:spacing w:before="281" w:after="281" w:line="360" w:lineRule="auto"/>
        <w:jc w:val="both"/>
        <w:rPr>
          <w:rFonts w:ascii="Arial" w:eastAsia="Arial" w:hAnsi="Arial" w:cs="Arial"/>
          <w:color w:val="auto"/>
        </w:rPr>
      </w:pPr>
      <w:bookmarkStart w:id="3" w:name="_Toc895294050"/>
      <w:r w:rsidRPr="3BDDEF42">
        <w:rPr>
          <w:rFonts w:ascii="Arial" w:eastAsia="Arial" w:hAnsi="Arial" w:cs="Arial"/>
          <w:color w:val="auto"/>
        </w:rPr>
        <w:t>2.2. Ratio Analysis</w:t>
      </w:r>
      <w:bookmarkEnd w:id="3"/>
      <w:r w:rsidRPr="3BDDEF42">
        <w:rPr>
          <w:rFonts w:ascii="Arial" w:eastAsia="Arial" w:hAnsi="Arial" w:cs="Arial"/>
          <w:color w:val="auto"/>
        </w:rPr>
        <w:t xml:space="preserve"> </w:t>
      </w:r>
    </w:p>
    <w:p w14:paraId="0795280C" w14:textId="1E1A83F3" w:rsidR="07EC9791" w:rsidRDefault="07EC9791" w:rsidP="3BDDEF42">
      <w:pPr>
        <w:spacing w:before="240" w:after="240" w:line="360" w:lineRule="auto"/>
        <w:jc w:val="both"/>
        <w:rPr>
          <w:rFonts w:ascii="Arial" w:eastAsia="Arial" w:hAnsi="Arial" w:cs="Arial"/>
        </w:rPr>
      </w:pPr>
      <w:r w:rsidRPr="3BDDEF42">
        <w:rPr>
          <w:rFonts w:ascii="Arial" w:eastAsia="Arial" w:hAnsi="Arial" w:cs="Arial"/>
        </w:rPr>
        <w:t>Financial ratio analysis provides a more incisive, comparative insight, allowing us to move away from absolute numbers and diagnose the exact causes of failure in the company's financial and performance structure (Arnold, 2013). A yearly year-on-year calculation of these ratios is provided in Appendix A for the purposes of future reference.</w:t>
      </w:r>
    </w:p>
    <w:p w14:paraId="5AD38A95" w14:textId="272E9469" w:rsidR="07EC9791" w:rsidRDefault="07EC9791" w:rsidP="3BDDEF42">
      <w:pPr>
        <w:spacing w:before="240" w:after="240" w:line="360" w:lineRule="auto"/>
        <w:jc w:val="both"/>
        <w:rPr>
          <w:rFonts w:ascii="Arial" w:eastAsia="Arial" w:hAnsi="Arial" w:cs="Arial"/>
        </w:rPr>
      </w:pPr>
      <w:r w:rsidRPr="3BDDEF42">
        <w:rPr>
          <w:rFonts w:ascii="Arial" w:eastAsia="Arial" w:hAnsi="Arial" w:cs="Arial"/>
        </w:rPr>
        <w:t>Profitability Analysis: The company's capacity for generating a profit has not just decreased; it has been effectively annihilated. Return on Capital Employed (ROCE), the most important measure of how well a company is generating a profit from its long-term financing, has fallen from a relatively robust 11.3% in 2020 to a deeply troubling -9.3% in 2024. This dire reversal means that not only is the company's core business no longer generating a return on the capital put into it by shareholders and lenders; it is now destroying that capital. This is the most compelling indication of a failed business model and an unsustainable operational structure. The negative Net Profit Margin and Earnings Per Share outcomes, as detailed in Appendix A, reinforce this narrative of across-the-board value destruction, offering a grim picture to investors whose returns have been erased and converted into massive losses.</w:t>
      </w:r>
    </w:p>
    <w:p w14:paraId="75329CD9" w14:textId="5B03279B" w:rsidR="07EC9791" w:rsidRDefault="07EC9791" w:rsidP="3BDDEF42">
      <w:pPr>
        <w:spacing w:before="240" w:after="240" w:line="360" w:lineRule="auto"/>
        <w:jc w:val="both"/>
        <w:rPr>
          <w:rFonts w:ascii="Arial" w:eastAsia="Arial" w:hAnsi="Arial" w:cs="Arial"/>
        </w:rPr>
      </w:pPr>
      <w:r w:rsidRPr="3BDDEF42">
        <w:rPr>
          <w:rFonts w:ascii="Arial" w:eastAsia="Arial" w:hAnsi="Arial" w:cs="Arial"/>
        </w:rPr>
        <w:t>Liquidity Analysis: The profitability crunch has unleashed a severe and intensifying liquidity squeeze. The Current Ratio has deteriorated, but the Quick Ratio (Acid Test) shows the more alarming story, down from a comfortable 1.15 in 2020 to a risky 1.03 in 2024. A Quick Ratio so near to 1.0 is a very important warning sign that, without recourse to the sale of inventory forthwith, the company has only enough liquid assets to satisfy its immediate liabilities. This leaves no margin for error. The firm is exposed and extremely susceptible to any unexpected shock, e.g., a significant customer not making a payment or a key supplier demanding stricter payment terms (</w:t>
      </w:r>
      <w:proofErr w:type="spellStart"/>
      <w:r w:rsidRPr="3BDDEF42">
        <w:rPr>
          <w:rFonts w:ascii="Arial" w:eastAsia="Arial" w:hAnsi="Arial" w:cs="Arial"/>
        </w:rPr>
        <w:t>Brealey</w:t>
      </w:r>
      <w:proofErr w:type="spellEnd"/>
      <w:r w:rsidRPr="3BDDEF42">
        <w:rPr>
          <w:rFonts w:ascii="Arial" w:eastAsia="Arial" w:hAnsi="Arial" w:cs="Arial"/>
        </w:rPr>
        <w:t>, Myers, and Allen, 2017). The company is balancing on a financial tightrope, where even a slight disturbance will trigger a full-blown liquidity crisis.</w:t>
      </w:r>
    </w:p>
    <w:p w14:paraId="30EF8F81" w14:textId="37C873C0" w:rsidR="07EC9791" w:rsidRDefault="07EC9791" w:rsidP="3BDDEF42">
      <w:pPr>
        <w:spacing w:before="240" w:after="240" w:line="360" w:lineRule="auto"/>
        <w:jc w:val="both"/>
        <w:rPr>
          <w:rFonts w:ascii="Arial" w:eastAsia="Arial" w:hAnsi="Arial" w:cs="Arial"/>
        </w:rPr>
      </w:pPr>
      <w:r w:rsidRPr="3BDDEF42">
        <w:rPr>
          <w:rFonts w:ascii="Arial" w:eastAsia="Arial" w:hAnsi="Arial" w:cs="Arial"/>
        </w:rPr>
        <w:t>Efficiency Analysis: The root cause of the liquidity problem lies squarely in a collapse of operational effectiveness. The Receivables Collection Period has jumped from a manageable 77 days in 2020 to a staggering 106 days in 2024. The increase of 29 days represents a massive, self-inflicted cash leakage that reflects either a breakdown in credit control processes or a desperate attempt to maintain sales by offering excessively lenient credit terms. Simultaneously, the Inventory Holding Period has risen quite sharply, as shown through trend analysis in Appendix A. This twin blow of slower receipt of cash from customers combined with longer retention of unsold inventory is a lethal one, binding billions of pounds of valuable cash in the operating cycle that are desperately needed to fund operations and retire debt.</w:t>
      </w:r>
    </w:p>
    <w:p w14:paraId="12F99BF8" w14:textId="7BD7E3A6" w:rsidR="07EC9791" w:rsidRDefault="07EC9791" w:rsidP="3BDDEF42">
      <w:pPr>
        <w:spacing w:before="240" w:after="240" w:line="360" w:lineRule="auto"/>
        <w:jc w:val="both"/>
        <w:rPr>
          <w:rFonts w:ascii="Arial" w:eastAsia="Arial" w:hAnsi="Arial" w:cs="Arial"/>
        </w:rPr>
      </w:pPr>
      <w:r w:rsidRPr="3BDDEF42">
        <w:rPr>
          <w:rFonts w:ascii="Arial" w:eastAsia="Arial" w:hAnsi="Arial" w:cs="Arial"/>
        </w:rPr>
        <w:t xml:space="preserve">Solvency Analysis: The company's long-term financial health, or solvency, is now seriously at risk. The Gearing Ratio has increased from a relatively modest 38.6% in 2020 to a perilous 52.6% in 2024. Note that this sharp increase is not due to the company's taking on more debt, but total liabilities have decreased. The increased gearing is a direct consequence of the catastrophic depletion of the equity base </w:t>
      </w:r>
      <w:r w:rsidR="4590FD27" w:rsidRPr="3BDDEF42">
        <w:rPr>
          <w:rFonts w:ascii="Arial" w:eastAsia="Arial" w:hAnsi="Arial" w:cs="Arial"/>
        </w:rPr>
        <w:t>because of</w:t>
      </w:r>
      <w:r w:rsidRPr="3BDDEF42">
        <w:rPr>
          <w:rFonts w:ascii="Arial" w:eastAsia="Arial" w:hAnsi="Arial" w:cs="Arial"/>
        </w:rPr>
        <w:t xml:space="preserve"> operating losses. The company's risk profile has completely changed and is far more susceptible now. This heightened gearing leaves the company exposed to financial risk wherein any further loss will have an increasingly more negative impact on the residual equity, pushing the company closer to insolvency where liabilities would exceed assets (Ross, </w:t>
      </w:r>
      <w:proofErr w:type="spellStart"/>
      <w:r w:rsidRPr="3BDDEF42">
        <w:rPr>
          <w:rFonts w:ascii="Arial" w:eastAsia="Arial" w:hAnsi="Arial" w:cs="Arial"/>
        </w:rPr>
        <w:t>Westerfield</w:t>
      </w:r>
      <w:proofErr w:type="spellEnd"/>
      <w:r w:rsidRPr="3BDDEF42">
        <w:rPr>
          <w:rFonts w:ascii="Arial" w:eastAsia="Arial" w:hAnsi="Arial" w:cs="Arial"/>
        </w:rPr>
        <w:t>, and Jaffe, 2013). The negative Interest Cover ratio of the past two years, delineated in Appendix A, is the final, stark confirmation of this distress: the company is not earning enough from its operations even to pay its interest charges, and is thus at the mercy of its lenders.</w:t>
      </w:r>
    </w:p>
    <w:p w14:paraId="63DEA1AE" w14:textId="55D0F03A" w:rsidR="3BDDEF42" w:rsidRDefault="3BDDEF42" w:rsidP="3BDDEF42">
      <w:pPr>
        <w:spacing w:line="360" w:lineRule="auto"/>
        <w:jc w:val="both"/>
        <w:rPr>
          <w:rFonts w:ascii="Arial" w:eastAsia="Arial" w:hAnsi="Arial" w:cs="Arial"/>
        </w:rPr>
      </w:pPr>
    </w:p>
    <w:p w14:paraId="7D7A0E81" w14:textId="46E80C56" w:rsidR="62660140" w:rsidRDefault="62660140" w:rsidP="3BDDEF42">
      <w:pPr>
        <w:pStyle w:val="Heading3"/>
        <w:spacing w:before="281" w:after="281" w:line="360" w:lineRule="auto"/>
        <w:jc w:val="both"/>
        <w:rPr>
          <w:rFonts w:ascii="Arial" w:eastAsia="Arial" w:hAnsi="Arial" w:cs="Arial"/>
          <w:color w:val="auto"/>
        </w:rPr>
      </w:pPr>
      <w:bookmarkStart w:id="4" w:name="_Toc1980134606"/>
      <w:r w:rsidRPr="3BDDEF42">
        <w:rPr>
          <w:rFonts w:ascii="Arial" w:eastAsia="Arial" w:hAnsi="Arial" w:cs="Arial"/>
          <w:color w:val="auto"/>
        </w:rPr>
        <w:t>2.3. Identification of Trends, Strengths, and Threats</w:t>
      </w:r>
      <w:bookmarkEnd w:id="4"/>
    </w:p>
    <w:p w14:paraId="10AA2554" w14:textId="770B90AF"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 xml:space="preserve">The prevailing trends are of a company stuck in a downward spiral. The preeminent and existential risk is bankruptcy, driven by the poisonous synergy of operational deficits and liquidity crisis. The last remaining strength of the company—a huge asset base and lingering brand equity—is being consumed at a rapid pace. Without immediate and drastic corrective measures, the trajectory of the company is relentlessly towards failure, one documented in classic studies of corporate collapse (Beaver, 1966; </w:t>
      </w:r>
      <w:proofErr w:type="spellStart"/>
      <w:r w:rsidRPr="3BDDEF42">
        <w:rPr>
          <w:rFonts w:ascii="Arial" w:eastAsia="Arial" w:hAnsi="Arial" w:cs="Arial"/>
        </w:rPr>
        <w:t>Argenti</w:t>
      </w:r>
      <w:proofErr w:type="spellEnd"/>
      <w:r w:rsidRPr="3BDDEF42">
        <w:rPr>
          <w:rFonts w:ascii="Arial" w:eastAsia="Arial" w:hAnsi="Arial" w:cs="Arial"/>
        </w:rPr>
        <w:t>, 1976).</w:t>
      </w:r>
    </w:p>
    <w:p w14:paraId="16203D12" w14:textId="61F408B9" w:rsidR="62660140" w:rsidRDefault="62660140" w:rsidP="3BDDEF42">
      <w:pPr>
        <w:pStyle w:val="Heading3"/>
        <w:spacing w:before="281" w:after="281" w:line="360" w:lineRule="auto"/>
        <w:jc w:val="both"/>
        <w:rPr>
          <w:rFonts w:ascii="Arial" w:eastAsia="Arial" w:hAnsi="Arial" w:cs="Arial"/>
          <w:color w:val="auto"/>
        </w:rPr>
      </w:pPr>
      <w:bookmarkStart w:id="5" w:name="_Toc1565573473"/>
      <w:r w:rsidRPr="3BDDEF42">
        <w:rPr>
          <w:rFonts w:ascii="Arial" w:eastAsia="Arial" w:hAnsi="Arial" w:cs="Arial"/>
          <w:color w:val="auto"/>
        </w:rPr>
        <w:t>2.4. Corporate Failure Forecasting: Altman Z-Score Analysis</w:t>
      </w:r>
      <w:bookmarkEnd w:id="5"/>
    </w:p>
    <w:p w14:paraId="0875A027" w14:textId="5C4DDC80" w:rsidR="72271916" w:rsidRDefault="72271916" w:rsidP="3BDDEF42">
      <w:pPr>
        <w:spacing w:before="240" w:after="240" w:line="360" w:lineRule="auto"/>
        <w:jc w:val="both"/>
        <w:rPr>
          <w:rFonts w:ascii="Arial" w:eastAsia="Arial" w:hAnsi="Arial" w:cs="Arial"/>
        </w:rPr>
      </w:pPr>
      <w:r w:rsidRPr="3BDDEF42">
        <w:rPr>
          <w:rFonts w:ascii="Arial" w:eastAsia="Arial" w:hAnsi="Arial" w:cs="Arial"/>
        </w:rPr>
        <w:t>To</w:t>
      </w:r>
      <w:r w:rsidR="62660140" w:rsidRPr="3BDDEF42">
        <w:rPr>
          <w:rFonts w:ascii="Arial" w:eastAsia="Arial" w:hAnsi="Arial" w:cs="Arial"/>
        </w:rPr>
        <w:t xml:space="preserve"> provide a conclusive, numerical appraisal of this risk, the Altman Z-Score was employed (Altman, 1968). This proven model, with its established predictability, integrates key ratios into one score. The findings are a resounding vote of confidence in our analysis. The score fell from a comfortable 2.55 in 2020 to 0.81 in 2023, well into the "distress zone." The marginal increase to 1.15 in 2024 is not statistically significant; the firm remains at an unusually high risk of bankruptcy. The primary reason behind this disintegration is the "EBIT / Total Assets" component of the score that cut sharply negative, just like the sheer operating losses at the core of this crisis.</w:t>
      </w:r>
    </w:p>
    <w:p w14:paraId="10D38304" w14:textId="78755F2C" w:rsidR="3BDDEF42" w:rsidRDefault="3BDDEF42" w:rsidP="3BDDEF42">
      <w:pPr>
        <w:spacing w:line="360" w:lineRule="auto"/>
        <w:jc w:val="both"/>
        <w:rPr>
          <w:rFonts w:ascii="Arial" w:eastAsia="Arial" w:hAnsi="Arial" w:cs="Arial"/>
        </w:rPr>
      </w:pPr>
    </w:p>
    <w:p w14:paraId="641019A0" w14:textId="2516911B" w:rsidR="62660140" w:rsidRDefault="62660140" w:rsidP="3BDDEF42">
      <w:pPr>
        <w:pStyle w:val="Heading2"/>
        <w:spacing w:before="299" w:after="299" w:line="360" w:lineRule="auto"/>
        <w:jc w:val="both"/>
        <w:rPr>
          <w:rFonts w:ascii="Arial" w:eastAsia="Arial" w:hAnsi="Arial" w:cs="Arial"/>
          <w:color w:val="auto"/>
          <w:sz w:val="36"/>
          <w:szCs w:val="36"/>
        </w:rPr>
      </w:pPr>
      <w:bookmarkStart w:id="6" w:name="_Toc1619314672"/>
      <w:r w:rsidRPr="3BDDEF42">
        <w:rPr>
          <w:rFonts w:ascii="Arial" w:eastAsia="Arial" w:hAnsi="Arial" w:cs="Arial"/>
          <w:color w:val="auto"/>
          <w:sz w:val="36"/>
          <w:szCs w:val="36"/>
        </w:rPr>
        <w:t>3. Working Capital Management Analysis</w:t>
      </w:r>
      <w:bookmarkEnd w:id="6"/>
    </w:p>
    <w:p w14:paraId="5D0DEB15" w14:textId="039646B2"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Effective management of working capital is the lifeblood of any firm, and for a financially distressed firm, it is the key to instant survival (</w:t>
      </w:r>
      <w:proofErr w:type="spellStart"/>
      <w:r w:rsidRPr="3BDDEF42">
        <w:rPr>
          <w:rFonts w:ascii="Arial" w:eastAsia="Arial" w:hAnsi="Arial" w:cs="Arial"/>
        </w:rPr>
        <w:t>Deloof</w:t>
      </w:r>
      <w:proofErr w:type="spellEnd"/>
      <w:r w:rsidRPr="3BDDEF42">
        <w:rPr>
          <w:rFonts w:ascii="Arial" w:eastAsia="Arial" w:hAnsi="Arial" w:cs="Arial"/>
        </w:rPr>
        <w:t xml:space="preserve">, 2003; </w:t>
      </w:r>
      <w:proofErr w:type="spellStart"/>
      <w:r w:rsidRPr="3BDDEF42">
        <w:rPr>
          <w:rFonts w:ascii="Arial" w:eastAsia="Arial" w:hAnsi="Arial" w:cs="Arial"/>
        </w:rPr>
        <w:t>Lazaridis</w:t>
      </w:r>
      <w:proofErr w:type="spellEnd"/>
      <w:r w:rsidRPr="3BDDEF42">
        <w:rPr>
          <w:rFonts w:ascii="Arial" w:eastAsia="Arial" w:hAnsi="Arial" w:cs="Arial"/>
        </w:rPr>
        <w:t xml:space="preserve"> and </w:t>
      </w:r>
      <w:proofErr w:type="spellStart"/>
      <w:r w:rsidRPr="3BDDEF42">
        <w:rPr>
          <w:rFonts w:ascii="Arial" w:eastAsia="Arial" w:hAnsi="Arial" w:cs="Arial"/>
        </w:rPr>
        <w:t>Tryfonidis</w:t>
      </w:r>
      <w:proofErr w:type="spellEnd"/>
      <w:r w:rsidRPr="3BDDEF42">
        <w:rPr>
          <w:rFonts w:ascii="Arial" w:eastAsia="Arial" w:hAnsi="Arial" w:cs="Arial"/>
        </w:rPr>
        <w:t xml:space="preserve">, 2006). It is the area where the most and fastest impact on cash flow can be achieved with the minimal requirement of deep strategic change. In General Electronics' case, ineffective working capital management is not just </w:t>
      </w:r>
      <w:r w:rsidR="0B71BDF3" w:rsidRPr="3BDDEF42">
        <w:rPr>
          <w:rFonts w:ascii="Arial" w:eastAsia="Arial" w:hAnsi="Arial" w:cs="Arial"/>
        </w:rPr>
        <w:t>an</w:t>
      </w:r>
      <w:r w:rsidRPr="3BDDEF42">
        <w:rPr>
          <w:rFonts w:ascii="Arial" w:eastAsia="Arial" w:hAnsi="Arial" w:cs="Arial"/>
        </w:rPr>
        <w:t xml:space="preserve"> inefficiency; it is a live fuel to the financial crisis.</w:t>
      </w:r>
    </w:p>
    <w:p w14:paraId="3F201B8E" w14:textId="5218BAF9" w:rsidR="62660140" w:rsidRDefault="62660140" w:rsidP="3BDDEF42">
      <w:pPr>
        <w:pStyle w:val="Heading3"/>
        <w:spacing w:before="281" w:after="281" w:line="360" w:lineRule="auto"/>
        <w:jc w:val="both"/>
        <w:rPr>
          <w:rFonts w:ascii="Arial" w:eastAsia="Arial" w:hAnsi="Arial" w:cs="Arial"/>
          <w:color w:val="auto"/>
        </w:rPr>
      </w:pPr>
      <w:bookmarkStart w:id="7" w:name="_Toc2065788320"/>
      <w:r w:rsidRPr="3BDDEF42">
        <w:rPr>
          <w:rFonts w:ascii="Arial" w:eastAsia="Arial" w:hAnsi="Arial" w:cs="Arial"/>
          <w:color w:val="auto"/>
        </w:rPr>
        <w:t>3.1. Analysis of the Operating Cash Cycle</w:t>
      </w:r>
      <w:bookmarkEnd w:id="7"/>
    </w:p>
    <w:p w14:paraId="2F5CCC93" w14:textId="1EA3BEDB"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The company's Cash Conversion Cycle (CCC) has significantly reduced to 116 days. This means that for nearly four months in the year, company cash is tied up funding its operations. The lengthy CCC. This is the result of failure in operations. The increase in inventory days from 75 to 103 is a grim mirror of a disconnection between the company's production/procurement and actual market demand. It speaks volumes about the lapses in demand forecasting, product lifecycle management, and incapability to take bad stock head-on. Each unsold unit on a warehouse shelf represents tied-up money and involves additional warehousing, insurance, and potential write-down costs.</w:t>
      </w:r>
    </w:p>
    <w:p w14:paraId="37DC03EA" w14:textId="21E7C7F7"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The increase in receivables days from 77 to 106 is equally disconcerting. It would signify either a decline in the quality of the firm's customers, an under-staffed and inefficient collections department, or an intentional but not well-thought-out policy to stimulate sales by offering very generous credit terms. This approach effectively brings the company to the level of a free source of financing for its customers, a position it cannot afford to be in. This revenue sacrifice in cash is a classic symptom of a beleaguered company and ultimately self-destructive (</w:t>
      </w:r>
      <w:proofErr w:type="spellStart"/>
      <w:r w:rsidRPr="3BDDEF42">
        <w:rPr>
          <w:rFonts w:ascii="Arial" w:eastAsia="Arial" w:hAnsi="Arial" w:cs="Arial"/>
        </w:rPr>
        <w:t>Preve</w:t>
      </w:r>
      <w:proofErr w:type="spellEnd"/>
      <w:r w:rsidRPr="3BDDEF42">
        <w:rPr>
          <w:rFonts w:ascii="Arial" w:eastAsia="Arial" w:hAnsi="Arial" w:cs="Arial"/>
        </w:rPr>
        <w:t xml:space="preserve"> and </w:t>
      </w:r>
      <w:proofErr w:type="spellStart"/>
      <w:r w:rsidRPr="3BDDEF42">
        <w:rPr>
          <w:rFonts w:ascii="Arial" w:eastAsia="Arial" w:hAnsi="Arial" w:cs="Arial"/>
        </w:rPr>
        <w:t>Sarria</w:t>
      </w:r>
      <w:proofErr w:type="spellEnd"/>
      <w:r w:rsidRPr="3BDDEF42">
        <w:rPr>
          <w:rFonts w:ascii="Arial" w:eastAsia="Arial" w:hAnsi="Arial" w:cs="Arial"/>
        </w:rPr>
        <w:t>-Allende, 2010).</w:t>
      </w:r>
    </w:p>
    <w:p w14:paraId="120A0BD8" w14:textId="7A57CBA6" w:rsidR="62660140" w:rsidRDefault="62660140" w:rsidP="3BDDEF42">
      <w:pPr>
        <w:pStyle w:val="Heading3"/>
        <w:spacing w:before="281" w:after="281" w:line="360" w:lineRule="auto"/>
        <w:jc w:val="both"/>
        <w:rPr>
          <w:rFonts w:ascii="Arial" w:eastAsia="Arial" w:hAnsi="Arial" w:cs="Arial"/>
          <w:color w:val="auto"/>
        </w:rPr>
      </w:pPr>
      <w:bookmarkStart w:id="8" w:name="_Toc722176588"/>
      <w:r w:rsidRPr="3BDDEF42">
        <w:rPr>
          <w:rFonts w:ascii="Arial" w:eastAsia="Arial" w:hAnsi="Arial" w:cs="Arial"/>
          <w:color w:val="auto"/>
        </w:rPr>
        <w:t>3.2. Recommendations for Reform of Working Capital</w:t>
      </w:r>
      <w:bookmarkEnd w:id="8"/>
    </w:p>
    <w:p w14:paraId="522E7788" w14:textId="058CD2E1"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It requires intense and swift action. Not an incremental improvement, but a complete revamping of processes and culture.</w:t>
      </w:r>
    </w:p>
    <w:p w14:paraId="1A93A83A" w14:textId="3DC9E7DF"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 xml:space="preserve">Reengineering of Receivables Management: Close the collection period from 106 days to a more disciplined 80 days. This is not an arbitrary number; it is a return to a performance level just better than the company's </w:t>
      </w:r>
      <w:r w:rsidR="6BCBCBD3" w:rsidRPr="3BDDEF42">
        <w:rPr>
          <w:rFonts w:ascii="Arial" w:eastAsia="Arial" w:hAnsi="Arial" w:cs="Arial"/>
        </w:rPr>
        <w:t>best</w:t>
      </w:r>
      <w:r w:rsidRPr="3BDDEF42">
        <w:rPr>
          <w:rFonts w:ascii="Arial" w:eastAsia="Arial" w:hAnsi="Arial" w:cs="Arial"/>
        </w:rPr>
        <w:t xml:space="preserve">. To achieve this will require a multi-faceted strategy. First, the credit policy must be redesigned. A tiered system of credit levels within the industry, by customer payment history and credit worth, must be implemented immediately. Second, the process of collecting the money must be professionalized and automated to the extent possible, with definite escalation rules for accounts in arrears. Third, and most importantly, sales force incentives </w:t>
      </w:r>
      <w:r w:rsidR="33F231A0" w:rsidRPr="3BDDEF42">
        <w:rPr>
          <w:rFonts w:ascii="Arial" w:eastAsia="Arial" w:hAnsi="Arial" w:cs="Arial"/>
        </w:rPr>
        <w:t>must</w:t>
      </w:r>
      <w:r w:rsidRPr="3BDDEF42">
        <w:rPr>
          <w:rFonts w:ascii="Arial" w:eastAsia="Arial" w:hAnsi="Arial" w:cs="Arial"/>
        </w:rPr>
        <w:t xml:space="preserve"> be redirected. Commissions should be tied not only to sales revenue but to cash collected, converting the sales force from being revenue generators to being cash generators. The available cash release through this step can be numerically rationalized:</w:t>
      </w:r>
    </w:p>
    <w:p w14:paraId="5EE25164" w14:textId="2E8967FB" w:rsidR="62660140" w:rsidRDefault="62660140" w:rsidP="3BDDEF42">
      <w:pPr>
        <w:pStyle w:val="ListParagraph"/>
        <w:numPr>
          <w:ilvl w:val="0"/>
          <w:numId w:val="14"/>
        </w:numPr>
        <w:spacing w:before="240" w:after="240" w:line="360" w:lineRule="auto"/>
        <w:jc w:val="both"/>
        <w:rPr>
          <w:rFonts w:ascii="Arial" w:eastAsia="Arial" w:hAnsi="Arial" w:cs="Arial"/>
          <w:i/>
          <w:iCs/>
        </w:rPr>
      </w:pPr>
      <w:r w:rsidRPr="3BDDEF42">
        <w:rPr>
          <w:rFonts w:ascii="Arial" w:eastAsia="Arial" w:hAnsi="Arial" w:cs="Arial"/>
          <w:i/>
          <w:iCs/>
        </w:rPr>
        <w:t>Cash Released = (((106 - 80) / 365) × £394.9bn = £28.4 billion</w:t>
      </w:r>
    </w:p>
    <w:p w14:paraId="034799AA" w14:textId="303E114C"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Inventory Management Transformation: The reduction of the inventory holding period from 103 days to that of 2020, which is 75 days, will occur. It is a shift from a "just in case" to a "just in time" culture. A one-time comprehensive SKU reduction program, using an ABC analysis to categorize the stock, must be undertaken to identify and sell through slow sellers and obsolescence. This can include the painful one-time write-down but the reward in freeing up cash and simplifying the business is well worth it. At the same time, the company must invest in newer demand planning software and establish a mature Sales and Operations Planning (S&amp;OP) process to get manufacturing, procurement, and sales to align. The financial impact is dramatic:</w:t>
      </w:r>
    </w:p>
    <w:p w14:paraId="7A8281E3" w14:textId="0DA21701" w:rsidR="62660140" w:rsidRDefault="62660140" w:rsidP="3BDDEF42">
      <w:pPr>
        <w:pStyle w:val="ListParagraph"/>
        <w:numPr>
          <w:ilvl w:val="0"/>
          <w:numId w:val="13"/>
        </w:numPr>
        <w:spacing w:before="240" w:after="240" w:line="360" w:lineRule="auto"/>
        <w:jc w:val="both"/>
        <w:rPr>
          <w:rFonts w:ascii="Arial" w:eastAsia="Arial" w:hAnsi="Arial" w:cs="Arial"/>
          <w:i/>
          <w:iCs/>
        </w:rPr>
      </w:pPr>
      <w:r w:rsidRPr="3BDDEF42">
        <w:rPr>
          <w:rFonts w:ascii="Arial" w:eastAsia="Arial" w:hAnsi="Arial" w:cs="Arial"/>
          <w:i/>
          <w:iCs/>
        </w:rPr>
        <w:t>Cash Released = (((103 - 75) / 365) × £280.9bn = £21.6 billion</w:t>
      </w:r>
    </w:p>
    <w:p w14:paraId="234BF61C" w14:textId="29213493"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 xml:space="preserve">Strategic Payables Management: The stretching of payables to 93 days in 2024, while freeing short-term cash, is a dangerous game. It damages supplier confidence and can lead to critical suppliers demanding cash on delivery, which would result in a full-fledged crisis. The objective is to flatten out the payables period to a manageable level, perhaps around 80-85 days. The strategy </w:t>
      </w:r>
      <w:r w:rsidR="6F5CBEA4" w:rsidRPr="3BDDEF42">
        <w:rPr>
          <w:rFonts w:ascii="Arial" w:eastAsia="Arial" w:hAnsi="Arial" w:cs="Arial"/>
        </w:rPr>
        <w:t>must</w:t>
      </w:r>
      <w:r w:rsidRPr="3BDDEF42">
        <w:rPr>
          <w:rFonts w:ascii="Arial" w:eastAsia="Arial" w:hAnsi="Arial" w:cs="Arial"/>
        </w:rPr>
        <w:t xml:space="preserve"> shift from extensions of the one-way variety to proactive negotiation. This entails exploring supply chain financing schemes, whereby the financier pays the supplier upfront (for a small discount) and General Electronics reimburses the financier on the original extended terms. This is a win-win, saving cash for the company without compromising the stability of the supply chain.</w:t>
      </w:r>
    </w:p>
    <w:p w14:paraId="18384559" w14:textId="378F7834" w:rsidR="62660140" w:rsidRDefault="62660140" w:rsidP="3BDDEF42">
      <w:pPr>
        <w:spacing w:before="240" w:after="240" w:line="360" w:lineRule="auto"/>
        <w:jc w:val="both"/>
        <w:rPr>
          <w:rFonts w:ascii="Arial" w:eastAsia="Arial" w:hAnsi="Arial" w:cs="Arial"/>
        </w:rPr>
      </w:pPr>
      <w:r w:rsidRPr="3BDDEF42">
        <w:rPr>
          <w:rFonts w:ascii="Arial" w:eastAsia="Arial" w:hAnsi="Arial" w:cs="Arial"/>
        </w:rPr>
        <w:t xml:space="preserve">Combined, these steps </w:t>
      </w:r>
      <w:r w:rsidR="75895DED" w:rsidRPr="3BDDEF42">
        <w:rPr>
          <w:rFonts w:ascii="Arial" w:eastAsia="Arial" w:hAnsi="Arial" w:cs="Arial"/>
        </w:rPr>
        <w:t>can</w:t>
      </w:r>
      <w:r w:rsidRPr="3BDDEF42">
        <w:rPr>
          <w:rFonts w:ascii="Arial" w:eastAsia="Arial" w:hAnsi="Arial" w:cs="Arial"/>
        </w:rPr>
        <w:t xml:space="preserve"> release some £50 </w:t>
      </w:r>
      <w:r w:rsidR="5B0B24FE" w:rsidRPr="3BDDEF42">
        <w:rPr>
          <w:rFonts w:ascii="Arial" w:eastAsia="Arial" w:hAnsi="Arial" w:cs="Arial"/>
        </w:rPr>
        <w:t>billions</w:t>
      </w:r>
      <w:r w:rsidRPr="3BDDEF42">
        <w:rPr>
          <w:rFonts w:ascii="Arial" w:eastAsia="Arial" w:hAnsi="Arial" w:cs="Arial"/>
        </w:rPr>
        <w:t xml:space="preserve"> of cash. This is not theory; this is a genuine injection of liquidity that provides space for the business, enhances its credibility with financiers, and provides the essential stability necessary to set the stage for the more significant restructuring that follows.</w:t>
      </w:r>
    </w:p>
    <w:p w14:paraId="4CEB8823" w14:textId="749003B7" w:rsidR="62660140" w:rsidRDefault="62660140" w:rsidP="3BDDEF42">
      <w:pPr>
        <w:pStyle w:val="Heading3"/>
        <w:spacing w:before="281" w:after="281" w:line="360" w:lineRule="auto"/>
        <w:jc w:val="both"/>
        <w:rPr>
          <w:rFonts w:ascii="Arial" w:eastAsia="Arial" w:hAnsi="Arial" w:cs="Arial"/>
          <w:color w:val="auto"/>
        </w:rPr>
      </w:pPr>
      <w:bookmarkStart w:id="9" w:name="_Toc1170742012"/>
      <w:r w:rsidRPr="3BDDEF42">
        <w:rPr>
          <w:rFonts w:ascii="Arial" w:eastAsia="Arial" w:hAnsi="Arial" w:cs="Arial"/>
          <w:color w:val="auto"/>
        </w:rPr>
        <w:t>3.3. Evaluation of Financing Alternative</w:t>
      </w:r>
      <w:bookmarkEnd w:id="9"/>
    </w:p>
    <w:p w14:paraId="7735BE23" w14:textId="69CBFCDB" w:rsidR="27BA8563" w:rsidRDefault="27BA8563" w:rsidP="3BDDEF42">
      <w:pPr>
        <w:spacing w:before="240" w:after="240" w:line="360" w:lineRule="auto"/>
        <w:jc w:val="both"/>
        <w:rPr>
          <w:rFonts w:ascii="Arial" w:eastAsia="Arial" w:hAnsi="Arial" w:cs="Arial"/>
        </w:rPr>
      </w:pPr>
      <w:r w:rsidRPr="3BDDEF42">
        <w:rPr>
          <w:rFonts w:ascii="Arial" w:eastAsia="Arial" w:hAnsi="Arial" w:cs="Arial"/>
        </w:rPr>
        <w:t>Despite</w:t>
      </w:r>
      <w:r w:rsidR="62660140" w:rsidRPr="3BDDEF42">
        <w:rPr>
          <w:rFonts w:ascii="Arial" w:eastAsia="Arial" w:hAnsi="Arial" w:cs="Arial"/>
        </w:rPr>
        <w:t xml:space="preserve"> such reforms, financing </w:t>
      </w:r>
      <w:r w:rsidR="710CF63E" w:rsidRPr="3BDDEF42">
        <w:rPr>
          <w:rFonts w:ascii="Arial" w:eastAsia="Arial" w:hAnsi="Arial" w:cs="Arial"/>
        </w:rPr>
        <w:t>must</w:t>
      </w:r>
      <w:r w:rsidR="62660140" w:rsidRPr="3BDDEF42">
        <w:rPr>
          <w:rFonts w:ascii="Arial" w:eastAsia="Arial" w:hAnsi="Arial" w:cs="Arial"/>
        </w:rPr>
        <w:t xml:space="preserve"> be tapped. Short-term borrowing is no longer an option; it is a path to bankruptcy for a company with negative interest cover (Graham, Harvey, and </w:t>
      </w:r>
      <w:proofErr w:type="spellStart"/>
      <w:r w:rsidR="62660140" w:rsidRPr="3BDDEF42">
        <w:rPr>
          <w:rFonts w:ascii="Arial" w:eastAsia="Arial" w:hAnsi="Arial" w:cs="Arial"/>
        </w:rPr>
        <w:t>Rajgopal</w:t>
      </w:r>
      <w:proofErr w:type="spellEnd"/>
      <w:r w:rsidR="62660140" w:rsidRPr="3BDDEF42">
        <w:rPr>
          <w:rFonts w:ascii="Arial" w:eastAsia="Arial" w:hAnsi="Arial" w:cs="Arial"/>
        </w:rPr>
        <w:t>, 2005). The company must resort to long-term funding, with the equity channel assigned a high priority. Equity infusion introduces stable capital without adding any incremental debt service burden, thereby de-risking the balance sheet (</w:t>
      </w:r>
      <w:proofErr w:type="spellStart"/>
      <w:r w:rsidR="62660140" w:rsidRPr="3BDDEF42">
        <w:rPr>
          <w:rFonts w:ascii="Arial" w:eastAsia="Arial" w:hAnsi="Arial" w:cs="Arial"/>
        </w:rPr>
        <w:t>Damodaran</w:t>
      </w:r>
      <w:proofErr w:type="spellEnd"/>
      <w:r w:rsidR="62660140" w:rsidRPr="3BDDEF42">
        <w:rPr>
          <w:rFonts w:ascii="Arial" w:eastAsia="Arial" w:hAnsi="Arial" w:cs="Arial"/>
        </w:rPr>
        <w:t>, 2014). The clear suggestion is to move away from short-term finance and attempt to mobilize a large sum of long-term equity capital.</w:t>
      </w:r>
    </w:p>
    <w:p w14:paraId="1076B9DF" w14:textId="582FFDD2" w:rsidR="6529F6AC" w:rsidRDefault="6529F6AC" w:rsidP="3BDDEF42">
      <w:pPr>
        <w:pStyle w:val="Heading2"/>
        <w:spacing w:before="299" w:after="299" w:line="360" w:lineRule="auto"/>
        <w:jc w:val="both"/>
        <w:rPr>
          <w:rFonts w:ascii="Arial" w:eastAsia="Arial" w:hAnsi="Arial" w:cs="Arial"/>
          <w:color w:val="auto"/>
          <w:sz w:val="36"/>
          <w:szCs w:val="36"/>
        </w:rPr>
      </w:pPr>
      <w:bookmarkStart w:id="10" w:name="_Toc1290201273"/>
      <w:r w:rsidRPr="3BDDEF42">
        <w:rPr>
          <w:rFonts w:ascii="Arial" w:eastAsia="Arial" w:hAnsi="Arial" w:cs="Arial"/>
          <w:color w:val="auto"/>
          <w:sz w:val="36"/>
          <w:szCs w:val="36"/>
        </w:rPr>
        <w:t>4. Strategic Financial Restructuring Plan</w:t>
      </w:r>
      <w:bookmarkEnd w:id="10"/>
    </w:p>
    <w:p w14:paraId="4447F9E7" w14:textId="2758F482"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The working capital operating remedies are necessary to survive but not sufficient to cure the underlying disease. They are the emergency room medication that stabilizes the patient, but serious surgery is required to remove the root causes of the disease. A drastic strategic and financial restructuring is necessary to create a viable foundation to grow in the future. This is beyond ensuring solvency; it's an issue of redefining what General Electronics is, where it can win, and what its future will be. This demands a two-stage strategy executed with boldness and precision: a surgical divestment of non-core assets and a transformative infusion of strategic equity.</w:t>
      </w:r>
    </w:p>
    <w:p w14:paraId="095D2D8A" w14:textId="6353C013" w:rsidR="6529F6AC" w:rsidRDefault="6529F6AC" w:rsidP="3BDDEF42">
      <w:pPr>
        <w:pStyle w:val="Heading3"/>
        <w:spacing w:before="281" w:after="281" w:line="360" w:lineRule="auto"/>
        <w:jc w:val="both"/>
        <w:rPr>
          <w:rFonts w:ascii="Arial" w:eastAsia="Arial" w:hAnsi="Arial" w:cs="Arial"/>
          <w:color w:val="auto"/>
        </w:rPr>
      </w:pPr>
      <w:bookmarkStart w:id="11" w:name="_Toc271850449"/>
      <w:r w:rsidRPr="3BDDEF42">
        <w:rPr>
          <w:rFonts w:ascii="Arial" w:eastAsia="Arial" w:hAnsi="Arial" w:cs="Arial"/>
          <w:color w:val="auto"/>
        </w:rPr>
        <w:t>4.1. Proposed Restructuring Options</w:t>
      </w:r>
      <w:bookmarkEnd w:id="11"/>
    </w:p>
    <w:p w14:paraId="022E7E9B" w14:textId="7018C8D8"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There must be a disciplined and formal review of all business units immediately to identify non-core, underperforming, or loss-incurring assets that must be sold. This cannot be an emotional or historically sentimental exercise; it must be a cold, hard, data-driven assessment of value. The exercise needs to be led by a rigorous portfolio analysis, using a framework like the BCG Matrix in conjunction with a more detailed analysis of each unit's Return on Invested Capital (ROIC) versus its Weighted Average Cost of Capital (WACC). This will pinpoint exactly which units are value-creating and which units are value-destroying.</w:t>
      </w:r>
    </w:p>
    <w:p w14:paraId="7B0137DE" w14:textId="3E7A057E"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Divestiture Candidates: Business units that are "Dogs" (low growth, low market share) and are generating an ROIC below their WCC are prime candidates for divestiture. These units are a drain on cash and, just as valuable, senior management's limited time and attention. They are a distraction that the company can no longer afford. In the same way, Question Mark units (low share, high growth) need a tough strategic choice. The company should realistically assess whether it has the capital, technology, and market position to turn these units into "Stars." If not, it is financially and strategically sounder to divest them to a company better positioned to exploit their potential, realizing value for General Electronics today rather than chasing a future that has little likelihood of occurrence.</w:t>
      </w:r>
    </w:p>
    <w:p w14:paraId="4F743D50" w14:textId="2EE2C41B"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 xml:space="preserve">Rationale and Implementation: The rationale for this strategic pruning is strong. It generates immediate cash to de-leverage the balance sheet. It shuts off the bleeding of loss-generating operations, which will have an immediate and positive impact on the company's consolidated earnings. And most valuably, it allows management to focus its resources on a leaner, more coherent portfolio of "Stars" and "Cash Cows" where the company has a genuine and durable competitive advantage (Kaplan and </w:t>
      </w:r>
      <w:proofErr w:type="spellStart"/>
      <w:r w:rsidRPr="3BDDEF42">
        <w:rPr>
          <w:rFonts w:ascii="Arial" w:eastAsia="Arial" w:hAnsi="Arial" w:cs="Arial"/>
        </w:rPr>
        <w:t>Weisbach</w:t>
      </w:r>
      <w:proofErr w:type="spellEnd"/>
      <w:r w:rsidRPr="3BDDEF42">
        <w:rPr>
          <w:rFonts w:ascii="Arial" w:eastAsia="Arial" w:hAnsi="Arial" w:cs="Arial"/>
        </w:rPr>
        <w:t xml:space="preserve">, 1992; </w:t>
      </w:r>
      <w:proofErr w:type="spellStart"/>
      <w:r w:rsidRPr="3BDDEF42">
        <w:rPr>
          <w:rFonts w:ascii="Arial" w:eastAsia="Arial" w:hAnsi="Arial" w:cs="Arial"/>
        </w:rPr>
        <w:t>Bodie</w:t>
      </w:r>
      <w:proofErr w:type="spellEnd"/>
      <w:r w:rsidRPr="3BDDEF42">
        <w:rPr>
          <w:rFonts w:ascii="Arial" w:eastAsia="Arial" w:hAnsi="Arial" w:cs="Arial"/>
        </w:rPr>
        <w:t>, Kane, and Marcus, 2014). This is not shrinking for the sake of shrinking, but rather strategic focus and the disciplined redeployment of capital to those areas where it can earn the maximum possible return. A dedicated "Project Phoenix" team, comprised of senior management and supported by external M&amp;A advisors, must be established to carry out this divestiture process in a manner that fetches top dollar for the assets and carries out the process with minimal disruption to the remaining core business.</w:t>
      </w:r>
    </w:p>
    <w:p w14:paraId="465E6E73" w14:textId="719303F2"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Simultaneously, the company must actively seek a strategic partner to make a significant equity investment. This is the most critical element of the overall turnaround plan, as this addresses the fundamental weakness of the balance sheet. This is not about finding the highest bidder for a block of stock; this is about finding the appropriate partner to guide the company through the transformation process. We must examine two primary archetypes: the Private Equity (PE) firm and the Corporate (Strategic) partner.</w:t>
      </w:r>
    </w:p>
    <w:p w14:paraId="5E25327C" w14:textId="0C8F9472"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A turnaround PE partner would bring unmatched financial discipline, operating know-how, and a bench of seasoned executives. They would be merciless in driving cost savings, working capital efficiency, and management accountability for performance. They would inject a sense of urgency that is difficult to find in large established companies. But their primary loyalty will be to their own limited partners, and their investment horizon will typically be 3-5 years. Their need to maximize their own IRR will lead them to make decisions (e.g., aggressive asset stripping, underinvestment in long-term R&amp;D) that are not in the best long-term interests of the company's other stakeholders.</w:t>
      </w:r>
    </w:p>
    <w:p w14:paraId="0211873E" w14:textId="04DF9573"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A Corporate partner, perhaps a larger technology company, could contribute compelling synergies in R&amp;D, production, or distribution. They would also be more likely to have a longer-term strategic time frame and a clearer view of the industry's technological directions. The risk here is one of culture clash, more deliberate decision-making spurred by their own corporate bureaucracy, and potential integration problems that could distract from the core turnaround agenda.</w:t>
      </w:r>
    </w:p>
    <w:p w14:paraId="558CB001" w14:textId="4FFE5942" w:rsidR="6529F6AC" w:rsidRDefault="6529F6AC" w:rsidP="3BDDEF42">
      <w:pPr>
        <w:pStyle w:val="Heading3"/>
        <w:spacing w:before="281" w:after="281" w:line="360" w:lineRule="auto"/>
        <w:jc w:val="both"/>
        <w:rPr>
          <w:rFonts w:ascii="Arial" w:eastAsia="Arial" w:hAnsi="Arial" w:cs="Arial"/>
          <w:color w:val="auto"/>
        </w:rPr>
      </w:pPr>
      <w:bookmarkStart w:id="12" w:name="_Toc1787522371"/>
      <w:r w:rsidRPr="3BDDEF42">
        <w:rPr>
          <w:rFonts w:ascii="Arial" w:eastAsia="Arial" w:hAnsi="Arial" w:cs="Arial"/>
          <w:color w:val="auto"/>
        </w:rPr>
        <w:t>4.2. Impact on Shareholder Value, Debt, and Flexibility</w:t>
      </w:r>
      <w:bookmarkEnd w:id="12"/>
    </w:p>
    <w:p w14:paraId="340315D6" w14:textId="2899F012"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This restructuring presents a painful but necessary trade-off for existing shareholders. There is going to be a direct and significant dilution of their ownership stake. But it must be weighed against the alternative, which is the high and increasing risk of a total loss of their investment through bankruptcy. This proposal outlines the only viable path to survival and, ultimately, to the hope of significant value recovery (Jensen, 1989). By recapitalizing the company and setting it on the path to renewed profitability, the value of their diluted interest in a viable, growing company could ultimately be far greater than the value of their undiluted interest in a company spiraling toward insolvency.</w:t>
      </w:r>
    </w:p>
    <w:p w14:paraId="17BBBBD9" w14:textId="7A906701"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The impact on the company's debt structure will be direct and dramatic. The proceeds of divestments and the fresh equity will be used to retire debt aggressively, starting with the most expensive and most restrictive highest-cost short-term credit facilities. This will bring the Gearing Ratio back dramatically to a less risky and more sustainable level. This de-leveraging is imperative. It will reduce the company's interest expense, providing the bottom line with an immediate boost. It will improve the company's credit rating, making future financing cheaper and easier to access. And most valuable of all, it restores not only financial stability but also strategic flexibility. With a healthier balance sheet, the company will no longer need to make decisions based on short-term cash survival. It will be resilient to market shocks, able to fund innovation internally, and capable of attracting and retaining the top talent required to drive the recovery. This shift from a defensive, survival-mode position to an offensive, growth-mode position is the final goal of the restructuring.</w:t>
      </w:r>
    </w:p>
    <w:p w14:paraId="72168EA2" w14:textId="3C6E28FC" w:rsidR="6529F6AC" w:rsidRDefault="6529F6AC" w:rsidP="3BDDEF42">
      <w:pPr>
        <w:pStyle w:val="Heading3"/>
        <w:spacing w:before="281" w:after="281" w:line="360" w:lineRule="auto"/>
        <w:jc w:val="both"/>
        <w:rPr>
          <w:rFonts w:ascii="Arial" w:eastAsia="Arial" w:hAnsi="Arial" w:cs="Arial"/>
          <w:color w:val="auto"/>
        </w:rPr>
      </w:pPr>
      <w:bookmarkStart w:id="13" w:name="_Toc2086708465"/>
      <w:r w:rsidRPr="3BDDEF42">
        <w:rPr>
          <w:rFonts w:ascii="Arial" w:eastAsia="Arial" w:hAnsi="Arial" w:cs="Arial"/>
          <w:color w:val="auto"/>
        </w:rPr>
        <w:t>4.3. International and Ethical Considerations</w:t>
      </w:r>
      <w:bookmarkEnd w:id="13"/>
    </w:p>
    <w:p w14:paraId="18C3A9F7" w14:textId="7E0D14C2"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 xml:space="preserve">The implementation of this plan also carries significant international and ethical implications that must be managed with utmost care and foresight. As an international company, the divestiture of foreign subsidiaries will carry complex cross-border tax and legal implications that must be managed by professionals </w:t>
      </w:r>
      <w:r w:rsidR="232735F6" w:rsidRPr="3BDDEF42">
        <w:rPr>
          <w:rFonts w:ascii="Arial" w:eastAsia="Arial" w:hAnsi="Arial" w:cs="Arial"/>
        </w:rPr>
        <w:t>to</w:t>
      </w:r>
      <w:r w:rsidRPr="3BDDEF42">
        <w:rPr>
          <w:rFonts w:ascii="Arial" w:eastAsia="Arial" w:hAnsi="Arial" w:cs="Arial"/>
        </w:rPr>
        <w:t xml:space="preserve"> achieve maximum value and ensure compliance. Currency risk will also need to be tightly managed throughout the process.</w:t>
      </w:r>
    </w:p>
    <w:p w14:paraId="4B3F44A5" w14:textId="25A79152"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Apart from the financial and legal complexities, the Board has a clear corporate social responsibility (CSR), founded on stakeholder theory, to manage the human cost of this restructuring with integrity (Freeman, 1984). This is not only a moral imperative; it is a strategic one. A restructuring perceived as ruthless and callous will destroy morale among remaining employees, devastate relationships with major suppliers, and cause long-term harm to the company's reputation and brand name (Donaldson and Preston, 1995). A unique communications plan must therefore be developed to manage the message to all stakeholders.</w:t>
      </w:r>
    </w:p>
    <w:p w14:paraId="01BA872C" w14:textId="108A17BD" w:rsidR="6529F6AC" w:rsidRDefault="6529F6AC" w:rsidP="3BDDEF42">
      <w:pPr>
        <w:pStyle w:val="ListParagraph"/>
        <w:numPr>
          <w:ilvl w:val="0"/>
          <w:numId w:val="12"/>
        </w:numPr>
        <w:spacing w:before="240" w:after="240" w:line="360" w:lineRule="auto"/>
        <w:jc w:val="both"/>
        <w:rPr>
          <w:rFonts w:ascii="Arial" w:eastAsia="Arial" w:hAnsi="Arial" w:cs="Arial"/>
        </w:rPr>
      </w:pPr>
      <w:r w:rsidRPr="3BDDEF42">
        <w:rPr>
          <w:rFonts w:ascii="Arial" w:eastAsia="Arial" w:hAnsi="Arial" w:cs="Arial"/>
        </w:rPr>
        <w:t>For employees, it implies honesty about the issues the company faces and why it is making the difficult decisions it is taking. It involves providing big severance packages, outplacement, and retraining to the laid-off workers. For the remaining workers, it involves a brief and compelling vision of the future and their role therein.</w:t>
      </w:r>
    </w:p>
    <w:p w14:paraId="7499AB26" w14:textId="3C09C0B9" w:rsidR="6529F6AC" w:rsidRDefault="6529F6AC" w:rsidP="3BDDEF42">
      <w:pPr>
        <w:pStyle w:val="ListParagraph"/>
        <w:numPr>
          <w:ilvl w:val="0"/>
          <w:numId w:val="12"/>
        </w:numPr>
        <w:spacing w:before="240" w:after="240" w:line="360" w:lineRule="auto"/>
        <w:jc w:val="both"/>
        <w:rPr>
          <w:rFonts w:ascii="Arial" w:eastAsia="Arial" w:hAnsi="Arial" w:cs="Arial"/>
        </w:rPr>
      </w:pPr>
      <w:r w:rsidRPr="3BDDEF42">
        <w:rPr>
          <w:rFonts w:ascii="Arial" w:eastAsia="Arial" w:hAnsi="Arial" w:cs="Arial"/>
        </w:rPr>
        <w:t>For suppliers, it translates to straightforward communication regarding the business's future and a reaffirmed commitment to a consistent and credible partnership.</w:t>
      </w:r>
    </w:p>
    <w:p w14:paraId="1D5439E6" w14:textId="0F6FB45E" w:rsidR="6529F6AC" w:rsidRDefault="6529F6AC" w:rsidP="3BDDEF42">
      <w:pPr>
        <w:pStyle w:val="ListParagraph"/>
        <w:numPr>
          <w:ilvl w:val="0"/>
          <w:numId w:val="12"/>
        </w:numPr>
        <w:spacing w:before="240" w:after="240" w:line="360" w:lineRule="auto"/>
        <w:jc w:val="both"/>
        <w:rPr>
          <w:rFonts w:ascii="Arial" w:eastAsia="Arial" w:hAnsi="Arial" w:cs="Arial"/>
        </w:rPr>
      </w:pPr>
      <w:r w:rsidRPr="3BDDEF42">
        <w:rPr>
          <w:rFonts w:ascii="Arial" w:eastAsia="Arial" w:hAnsi="Arial" w:cs="Arial"/>
        </w:rPr>
        <w:t>For customers, it translates to assurance of stability for the company and an apparent commitment to ongoing product innovation and support.</w:t>
      </w:r>
    </w:p>
    <w:p w14:paraId="67E9E263" w14:textId="0BA15540" w:rsidR="6529F6AC" w:rsidRDefault="6529F6AC" w:rsidP="3BDDEF42">
      <w:pPr>
        <w:pStyle w:val="ListParagraph"/>
        <w:numPr>
          <w:ilvl w:val="0"/>
          <w:numId w:val="12"/>
        </w:numPr>
        <w:spacing w:before="240" w:after="240" w:line="360" w:lineRule="auto"/>
        <w:jc w:val="both"/>
        <w:rPr>
          <w:rFonts w:ascii="Arial" w:eastAsia="Arial" w:hAnsi="Arial" w:cs="Arial"/>
        </w:rPr>
      </w:pPr>
      <w:r w:rsidRPr="3BDDEF42">
        <w:rPr>
          <w:rFonts w:ascii="Arial" w:eastAsia="Arial" w:hAnsi="Arial" w:cs="Arial"/>
        </w:rPr>
        <w:t>For the communities in which facilities are closed, it translates to collaboration with local leaders to reduce the effect wherever it is possible.</w:t>
      </w:r>
    </w:p>
    <w:p w14:paraId="3C607844" w14:textId="30EFDA83" w:rsidR="3BDDEF42" w:rsidRDefault="3BDDEF42" w:rsidP="3BDDEF42">
      <w:pPr>
        <w:spacing w:line="360" w:lineRule="auto"/>
        <w:jc w:val="both"/>
        <w:rPr>
          <w:rFonts w:ascii="Arial" w:eastAsia="Arial" w:hAnsi="Arial" w:cs="Arial"/>
        </w:rPr>
      </w:pPr>
    </w:p>
    <w:p w14:paraId="06E67316" w14:textId="5F0DA39B" w:rsidR="6529F6AC" w:rsidRDefault="6529F6AC" w:rsidP="3BDDEF42">
      <w:pPr>
        <w:pStyle w:val="Heading2"/>
        <w:spacing w:before="299" w:after="299" w:line="360" w:lineRule="auto"/>
        <w:jc w:val="both"/>
        <w:rPr>
          <w:rFonts w:ascii="Arial" w:eastAsia="Arial" w:hAnsi="Arial" w:cs="Arial"/>
          <w:color w:val="auto"/>
          <w:sz w:val="36"/>
          <w:szCs w:val="36"/>
        </w:rPr>
      </w:pPr>
      <w:bookmarkStart w:id="14" w:name="_Toc1135653058"/>
      <w:r w:rsidRPr="3BDDEF42">
        <w:rPr>
          <w:rFonts w:ascii="Arial" w:eastAsia="Arial" w:hAnsi="Arial" w:cs="Arial"/>
          <w:color w:val="auto"/>
          <w:sz w:val="36"/>
          <w:szCs w:val="36"/>
        </w:rPr>
        <w:t>5. Investment Appraisal and Capital Budgeting</w:t>
      </w:r>
      <w:bookmarkEnd w:id="14"/>
    </w:p>
    <w:p w14:paraId="6FD19122" w14:textId="6BCF3B15"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A turnaround success is a two-stage process: first, stabilization and survival, and second, disciplined investment for future growth. The previous parts of this chapter have described the major steps required for stabilization. This section addresses the second, equally critical, stage. Cost reduction and asset divestiture do not suffice for General Electronics; a contraction strategy can only achieve a smaller, weaker company that will eventually be pushed to the sidelines. To recover and thrive, the company must also identify and execute value-creating programs that will form the centerpiece of its future. This requires a capital budgeting process that is not just financially viable but also strategically aligned with the new, more specialized focus of the company.</w:t>
      </w:r>
    </w:p>
    <w:p w14:paraId="1F7CFDEB" w14:textId="3D9B651C"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 xml:space="preserve">General Electronics has three exclusive projects (A, B, and C) and a capital budget that is strictly constrained at no more than £60 million. This capital limitation </w:t>
      </w:r>
      <w:r w:rsidR="6AD18BB9" w:rsidRPr="3BDDEF42">
        <w:rPr>
          <w:rFonts w:ascii="Arial" w:eastAsia="Arial" w:hAnsi="Arial" w:cs="Arial"/>
        </w:rPr>
        <w:t>reflects</w:t>
      </w:r>
      <w:r w:rsidRPr="3BDDEF42">
        <w:rPr>
          <w:rFonts w:ascii="Arial" w:eastAsia="Arial" w:hAnsi="Arial" w:cs="Arial"/>
        </w:rPr>
        <w:t xml:space="preserve"> the firm's present financial situation; capital is scarce and valuable resource that </w:t>
      </w:r>
      <w:r w:rsidR="0A1C3FFB" w:rsidRPr="3BDDEF42">
        <w:rPr>
          <w:rFonts w:ascii="Arial" w:eastAsia="Arial" w:hAnsi="Arial" w:cs="Arial"/>
        </w:rPr>
        <w:t>must</w:t>
      </w:r>
      <w:r w:rsidRPr="3BDDEF42">
        <w:rPr>
          <w:rFonts w:ascii="Arial" w:eastAsia="Arial" w:hAnsi="Arial" w:cs="Arial"/>
        </w:rPr>
        <w:t xml:space="preserve"> be invested with utmost caution. The selection between these two projects is thus a key strategic choice. It is assumed that a discount rate of 10% applies, representing a fair approximation of the cost of capital for a project of this risk category, even for a turnaround company.</w:t>
      </w:r>
    </w:p>
    <w:p w14:paraId="7066AA4B" w14:textId="1C6A9C0A" w:rsidR="6529F6AC" w:rsidRDefault="6529F6AC" w:rsidP="3BDDEF42">
      <w:pPr>
        <w:pStyle w:val="Heading3"/>
        <w:spacing w:before="281" w:after="281" w:line="360" w:lineRule="auto"/>
        <w:jc w:val="both"/>
        <w:rPr>
          <w:rFonts w:ascii="Arial" w:eastAsia="Arial" w:hAnsi="Arial" w:cs="Arial"/>
          <w:color w:val="auto"/>
        </w:rPr>
      </w:pPr>
      <w:bookmarkStart w:id="15" w:name="_Toc1795540631"/>
      <w:r w:rsidRPr="3BDDEF42">
        <w:rPr>
          <w:rFonts w:ascii="Arial" w:eastAsia="Arial" w:hAnsi="Arial" w:cs="Arial"/>
          <w:color w:val="auto"/>
        </w:rPr>
        <w:t>5.1. Proposed Projects Analysis with Detailed Calculations</w:t>
      </w:r>
      <w:bookmarkEnd w:id="15"/>
    </w:p>
    <w:p w14:paraId="7209AFF2" w14:textId="2A5E9336"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More than one investment appraisal technique should be used to reach a sound, defendable decision. While simple measures like the Payback Period and Accounting Rate of Return (ARR) provide some guidance, they are fundamentally flawed and only merit use as secondary, supporting measures. The key decision-making tools ought to be the Net Present Value (NPV) and the Internal Rate of Return (IRR) as these are the only methods that are consistent with the general corporate objective of shareholder wealth maximization (</w:t>
      </w:r>
      <w:proofErr w:type="spellStart"/>
      <w:r w:rsidRPr="3BDDEF42">
        <w:rPr>
          <w:rFonts w:ascii="Arial" w:eastAsia="Arial" w:hAnsi="Arial" w:cs="Arial"/>
        </w:rPr>
        <w:t>Brealey</w:t>
      </w:r>
      <w:proofErr w:type="spellEnd"/>
      <w:r w:rsidRPr="3BDDEF42">
        <w:rPr>
          <w:rFonts w:ascii="Arial" w:eastAsia="Arial" w:hAnsi="Arial" w:cs="Arial"/>
        </w:rPr>
        <w:t>, Myers, and Allen, 2017).</w:t>
      </w:r>
    </w:p>
    <w:p w14:paraId="7127FC16" w14:textId="700E9578" w:rsidR="60A79F36" w:rsidRDefault="60A79F36" w:rsidP="3BDDEF42">
      <w:pPr>
        <w:spacing w:before="240" w:after="240" w:line="360" w:lineRule="auto"/>
        <w:jc w:val="both"/>
        <w:rPr>
          <w:rFonts w:ascii="Arial" w:eastAsia="Arial" w:hAnsi="Arial" w:cs="Arial"/>
        </w:rPr>
      </w:pPr>
      <w:r w:rsidRPr="3BDDEF42">
        <w:rPr>
          <w:rFonts w:ascii="Arial" w:eastAsia="Arial" w:hAnsi="Arial" w:cs="Arial"/>
        </w:rPr>
        <w:t>A complete analysis through multiple investment appraisal techniques was conducted to ensure a reasonable and justifiable decision. While simple measures such as the Payback Period and Accounting Rate of Return (ARR) were considered, the focus of the evaluation rests on the theoretically superior discounted cash flow (DCF) approaches: Net Present Value (NPV) and Internal Rate of Return (IRR). These methods are most vital because they correctly assign a value to the time value of money and care about cash flows rather than accounting profits, and most significantly are directly related to the business objective of maximizing shareholder wealth (</w:t>
      </w:r>
      <w:proofErr w:type="spellStart"/>
      <w:r w:rsidRPr="3BDDEF42">
        <w:rPr>
          <w:rFonts w:ascii="Arial" w:eastAsia="Arial" w:hAnsi="Arial" w:cs="Arial"/>
        </w:rPr>
        <w:t>Brealey</w:t>
      </w:r>
      <w:proofErr w:type="spellEnd"/>
      <w:r w:rsidRPr="3BDDEF42">
        <w:rPr>
          <w:rFonts w:ascii="Arial" w:eastAsia="Arial" w:hAnsi="Arial" w:cs="Arial"/>
        </w:rPr>
        <w:t>, Myers, and Allen, 2017). The precise calculations for each of all the measurements for all three projects are shown in Appendix B for a detailed breakdown.</w:t>
      </w:r>
    </w:p>
    <w:p w14:paraId="4383986C" w14:textId="7D4DE996" w:rsidR="60A79F36" w:rsidRDefault="60A79F36" w:rsidP="3BDDEF42">
      <w:pPr>
        <w:spacing w:before="240" w:after="240" w:line="360" w:lineRule="auto"/>
        <w:jc w:val="both"/>
        <w:rPr>
          <w:rFonts w:ascii="Arial" w:eastAsia="Arial" w:hAnsi="Arial" w:cs="Arial"/>
        </w:rPr>
      </w:pPr>
      <w:r w:rsidRPr="3BDDEF42">
        <w:rPr>
          <w:rFonts w:ascii="Arial" w:eastAsia="Arial" w:hAnsi="Arial" w:cs="Arial"/>
        </w:rPr>
        <w:t xml:space="preserve">Project B is immediately and irretrievably </w:t>
      </w:r>
      <w:proofErr w:type="spellStart"/>
      <w:r w:rsidRPr="3BDDEF42">
        <w:rPr>
          <w:rFonts w:ascii="Arial" w:eastAsia="Arial" w:hAnsi="Arial" w:cs="Arial"/>
        </w:rPr>
        <w:t>rejectable</w:t>
      </w:r>
      <w:proofErr w:type="spellEnd"/>
      <w:r w:rsidRPr="3BDDEF42">
        <w:rPr>
          <w:rFonts w:ascii="Arial" w:eastAsia="Arial" w:hAnsi="Arial" w:cs="Arial"/>
        </w:rPr>
        <w:t xml:space="preserve"> based on the analysis. It falls short on all the important financial criteria. Above all, it is estimated to have a very poor Net Present Value of (£7.25m), which means that taking on the project would destroy shareholder wealth. Its Internal Rate of Return is also negative and well below the company's 10% cost of capital. Besides, with a five-year return on investment—the life of the project—and an ARR of zero, it has no redeeming financial qualities. It is financially not feasible and a waste of scarce capital the company cannot afford.</w:t>
      </w:r>
    </w:p>
    <w:p w14:paraId="665ABDA8" w14:textId="58CCF80F" w:rsidR="60A79F36" w:rsidRDefault="60A79F36" w:rsidP="3BDDEF42">
      <w:pPr>
        <w:spacing w:before="240" w:after="240" w:line="360" w:lineRule="auto"/>
        <w:jc w:val="both"/>
        <w:rPr>
          <w:rFonts w:ascii="Arial" w:eastAsia="Arial" w:hAnsi="Arial" w:cs="Arial"/>
        </w:rPr>
      </w:pPr>
      <w:r w:rsidRPr="3BDDEF42">
        <w:rPr>
          <w:rFonts w:ascii="Arial" w:eastAsia="Arial" w:hAnsi="Arial" w:cs="Arial"/>
        </w:rPr>
        <w:t>Project A is a financially sound, albeit modest, investment. The research shows that it is to return a positive NPV of £1.31 million. That implies that the returns from the project are estimated to be greater than the cost of capital, and therefore value is being generated for the shareholders. This is validated by an IRR of approximately 12.1%, considerably above the 10% threshold level. Though its 3.4-year payback period is reasonable, the overall scale of value creation is small. Project A is the risk-free, conservative option.</w:t>
      </w:r>
    </w:p>
    <w:p w14:paraId="6C83692F" w14:textId="4887CFB3" w:rsidR="60A79F36" w:rsidRDefault="60A79F36" w:rsidP="3BDDEF42">
      <w:pPr>
        <w:spacing w:before="240" w:after="240" w:line="360" w:lineRule="auto"/>
        <w:jc w:val="both"/>
        <w:rPr>
          <w:rFonts w:ascii="Arial" w:eastAsia="Arial" w:hAnsi="Arial" w:cs="Arial"/>
        </w:rPr>
      </w:pPr>
      <w:r w:rsidRPr="3BDDEF42">
        <w:rPr>
          <w:rFonts w:ascii="Arial" w:eastAsia="Arial" w:hAnsi="Arial" w:cs="Arial"/>
        </w:rPr>
        <w:t>Project C emerges from the analysis as not just acceptable but significantly better than Project A. It is estimated to yield a significantly higher NPV of £4.23 million, over three times higher than the value creation potential of Project A. This improved value proposition is also supported by a greater IRR of some 15.2% and a higher ARR of 20.0%, as demonstrated in Appendix B. While it's payback period of 3.6 years is some margin longer than that of Project A, this slight difference is wholly overshadowed by the spectacular additional value it is estimated to create for the shareholders of the firm. Project C is a more intense, greater-gain endeavor.</w:t>
      </w:r>
    </w:p>
    <w:p w14:paraId="2D4767E2" w14:textId="4EA9B486" w:rsidR="6529F6AC" w:rsidRDefault="6529F6AC" w:rsidP="3BDDEF42">
      <w:pPr>
        <w:pStyle w:val="Heading3"/>
        <w:spacing w:before="281" w:after="281" w:line="360" w:lineRule="auto"/>
        <w:jc w:val="both"/>
        <w:rPr>
          <w:rFonts w:ascii="Arial" w:eastAsia="Arial" w:hAnsi="Arial" w:cs="Arial"/>
          <w:color w:val="auto"/>
        </w:rPr>
      </w:pPr>
      <w:bookmarkStart w:id="16" w:name="_Toc606817505"/>
      <w:r w:rsidRPr="3BDDEF42">
        <w:rPr>
          <w:rFonts w:ascii="Arial" w:eastAsia="Arial" w:hAnsi="Arial" w:cs="Arial"/>
          <w:color w:val="auto"/>
        </w:rPr>
        <w:t>5.2. Recommendation under Capital Rationing</w:t>
      </w:r>
      <w:bookmarkEnd w:id="16"/>
    </w:p>
    <w:p w14:paraId="4FF485BD" w14:textId="2A3DD9B8"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In the situation of mutually exclusive projects under a hard capital rationing constraint, the academically and professionally accepted rule is to select the project that maximizes shareholder wealth. This is unequivocally the project with the highest positive NPV.</w:t>
      </w:r>
    </w:p>
    <w:p w14:paraId="329FCAC4" w14:textId="13278AF8"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Decision: Choose Project C, as NPV(C) of £4.23 million &gt; NPV(A) of £1.31 million.</w:t>
      </w:r>
    </w:p>
    <w:p w14:paraId="3C049B16" w14:textId="0FCF8F75"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 xml:space="preserve">This decision highlights the necessity of using a theoretically sound method. The manager who is interested only in the Payback Period would have opted for Project A (3.4 years) compared to Project C (3.6 years), a decision that would have destroyed over £2.9 </w:t>
      </w:r>
      <w:r w:rsidR="1FF7632F" w:rsidRPr="3BDDEF42">
        <w:rPr>
          <w:rFonts w:ascii="Arial" w:eastAsia="Arial" w:hAnsi="Arial" w:cs="Arial"/>
        </w:rPr>
        <w:t>millions</w:t>
      </w:r>
      <w:r w:rsidRPr="3BDDEF42">
        <w:rPr>
          <w:rFonts w:ascii="Arial" w:eastAsia="Arial" w:hAnsi="Arial" w:cs="Arial"/>
        </w:rPr>
        <w:t xml:space="preserve"> of potential shareholder value. Similarly, while both Project A and Project C have acceptable IRRs, the NPV method is superior for comparing projects of different sizes that are mutually exclusive because it provides us with a direct measure of the absolute value a project adds to the firm (</w:t>
      </w:r>
      <w:proofErr w:type="spellStart"/>
      <w:r w:rsidRPr="3BDDEF42">
        <w:rPr>
          <w:rFonts w:ascii="Arial" w:eastAsia="Arial" w:hAnsi="Arial" w:cs="Arial"/>
        </w:rPr>
        <w:t>Berk</w:t>
      </w:r>
      <w:proofErr w:type="spellEnd"/>
      <w:r w:rsidRPr="3BDDEF42">
        <w:rPr>
          <w:rFonts w:ascii="Arial" w:eastAsia="Arial" w:hAnsi="Arial" w:cs="Arial"/>
        </w:rPr>
        <w:t xml:space="preserve"> and </w:t>
      </w:r>
      <w:proofErr w:type="spellStart"/>
      <w:r w:rsidRPr="3BDDEF42">
        <w:rPr>
          <w:rFonts w:ascii="Arial" w:eastAsia="Arial" w:hAnsi="Arial" w:cs="Arial"/>
        </w:rPr>
        <w:t>DeMarzo</w:t>
      </w:r>
      <w:proofErr w:type="spellEnd"/>
      <w:r w:rsidRPr="3BDDEF42">
        <w:rPr>
          <w:rFonts w:ascii="Arial" w:eastAsia="Arial" w:hAnsi="Arial" w:cs="Arial"/>
        </w:rPr>
        <w:t>, 2017). The choice is obvious and straightforward.</w:t>
      </w:r>
    </w:p>
    <w:p w14:paraId="7F037BDE" w14:textId="448C3FE2" w:rsidR="6529F6AC" w:rsidRDefault="6529F6AC" w:rsidP="3BDDEF42">
      <w:pPr>
        <w:pStyle w:val="Heading3"/>
        <w:spacing w:before="281" w:after="281" w:line="360" w:lineRule="auto"/>
        <w:jc w:val="both"/>
        <w:rPr>
          <w:rFonts w:ascii="Arial" w:eastAsia="Arial" w:hAnsi="Arial" w:cs="Arial"/>
          <w:color w:val="auto"/>
        </w:rPr>
      </w:pPr>
      <w:bookmarkStart w:id="17" w:name="_Toc1795814057"/>
      <w:r w:rsidRPr="3BDDEF42">
        <w:rPr>
          <w:rFonts w:ascii="Arial" w:eastAsia="Arial" w:hAnsi="Arial" w:cs="Arial"/>
          <w:color w:val="auto"/>
        </w:rPr>
        <w:t>5.3. Justification and Risk Analysis</w:t>
      </w:r>
      <w:bookmarkEnd w:id="17"/>
    </w:p>
    <w:p w14:paraId="70C73131" w14:textId="4B564AB3"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 xml:space="preserve">The choice of Project C is more than a mathematical calculation; it is a profound strategic statement. For a turnaround firm, every investment decision is scrutinized by investors, employees, and customers. Choosing a </w:t>
      </w:r>
      <w:r w:rsidR="0C254B25" w:rsidRPr="3BDDEF42">
        <w:rPr>
          <w:rFonts w:ascii="Arial" w:eastAsia="Arial" w:hAnsi="Arial" w:cs="Arial"/>
        </w:rPr>
        <w:t>low return</w:t>
      </w:r>
      <w:r w:rsidRPr="3BDDEF42">
        <w:rPr>
          <w:rFonts w:ascii="Arial" w:eastAsia="Arial" w:hAnsi="Arial" w:cs="Arial"/>
        </w:rPr>
        <w:t>, "safe" project like A would be a signal of a lack of ambition and a return to a defensive position. Choosing the more valuable Project C is a "beacon project"—a sign of confidence in the future, of dedication to innovation, and of a return to growth of ambitious, value-creating. It sends the message that General Electronics is not just fighting to live; it is going to thrive.</w:t>
      </w:r>
    </w:p>
    <w:p w14:paraId="42A82693" w14:textId="22B0E925"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 xml:space="preserve">But this excitement must be tempered by a sober risk assessment. The biggest risk to Project C is that its cash flow profile is </w:t>
      </w:r>
      <w:proofErr w:type="spellStart"/>
      <w:r w:rsidR="11C1D528" w:rsidRPr="3BDDEF42">
        <w:rPr>
          <w:rFonts w:ascii="Arial" w:eastAsia="Arial" w:hAnsi="Arial" w:cs="Arial"/>
        </w:rPr>
        <w:t>backloaded</w:t>
      </w:r>
      <w:proofErr w:type="spellEnd"/>
      <w:r w:rsidRPr="3BDDEF42">
        <w:rPr>
          <w:rFonts w:ascii="Arial" w:eastAsia="Arial" w:hAnsi="Arial" w:cs="Arial"/>
        </w:rPr>
        <w:t xml:space="preserve">. Its highest cash inflows come in years 4 and 5, and so the company must survive the most difficult phases of its turnaround </w:t>
      </w:r>
      <w:r w:rsidR="3949BA53" w:rsidRPr="3BDDEF42">
        <w:rPr>
          <w:rFonts w:ascii="Arial" w:eastAsia="Arial" w:hAnsi="Arial" w:cs="Arial"/>
        </w:rPr>
        <w:t>to</w:t>
      </w:r>
      <w:r w:rsidRPr="3BDDEF42">
        <w:rPr>
          <w:rFonts w:ascii="Arial" w:eastAsia="Arial" w:hAnsi="Arial" w:cs="Arial"/>
        </w:rPr>
        <w:t xml:space="preserve"> capture the payoff. This creates a dependency: the success of the investment project depends on the success of the corporate restructuring overall.</w:t>
      </w:r>
    </w:p>
    <w:p w14:paraId="0F316DE7" w14:textId="54FCB684"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To deal with this risk, an aggressive risk analysis model must be applied. It is recommended that scenario analysis is conducted, projecting pessimistic, base, and optimistic outcomes for the most critical project variables such as sales volume, unit price, and variable costs. This will provide a range of potential NPV outcomes and a better understanding of the project's risk-return profile. For instance, what will happen to the NPV if, in Year 3, a new competitor enters the market, lowering prices by 15%? What will be the effect if a major raw material price rises by 20%? Knowing the project's sensitivity to these inputs will enable management to make contingency plans and to closely watch the most sensitive assumptions as the project progresses.</w:t>
      </w:r>
    </w:p>
    <w:p w14:paraId="574FF9A1" w14:textId="11C909DC"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Also, the strategic and non-financial benefits of the project must be considered. Does Project C provide opportunities for potential future growth opportunities? Does it involve the creation of a new technology or new market that could be a source of future competitive advantage? These "real options" have value that will not be captured in a traditional NPV analysis but should be a qualitative factor in the final decision (Myers, 1977).</w:t>
      </w:r>
    </w:p>
    <w:p w14:paraId="076A8110" w14:textId="78D99262" w:rsidR="6529F6AC" w:rsidRDefault="6529F6AC" w:rsidP="3BDDEF42">
      <w:pPr>
        <w:spacing w:before="240" w:after="240" w:line="360" w:lineRule="auto"/>
        <w:jc w:val="both"/>
        <w:rPr>
          <w:rFonts w:ascii="Arial" w:eastAsia="Arial" w:hAnsi="Arial" w:cs="Arial"/>
        </w:rPr>
      </w:pPr>
      <w:r w:rsidRPr="3BDDEF42">
        <w:rPr>
          <w:rFonts w:ascii="Arial" w:eastAsia="Arial" w:hAnsi="Arial" w:cs="Arial"/>
        </w:rPr>
        <w:t>Choosing Project C is risky, yet it is the right risk for General Electronics to take. It is a bet on the turnaround plan's success, and it is an investment that offers the best hope to create the high level of shareholder value that is required to secure the company's long-term future.</w:t>
      </w:r>
    </w:p>
    <w:p w14:paraId="26000A13" w14:textId="57425745" w:rsidR="43A6881E" w:rsidRDefault="43A6881E" w:rsidP="3BDDEF42">
      <w:pPr>
        <w:pStyle w:val="Heading2"/>
        <w:spacing w:line="360" w:lineRule="auto"/>
        <w:jc w:val="both"/>
        <w:rPr>
          <w:rFonts w:ascii="Arial" w:eastAsia="Arial" w:hAnsi="Arial" w:cs="Arial"/>
          <w:color w:val="auto"/>
        </w:rPr>
      </w:pPr>
      <w:bookmarkStart w:id="18" w:name="_Toc1388900632"/>
      <w:r w:rsidRPr="3BDDEF42">
        <w:rPr>
          <w:rFonts w:ascii="Arial" w:eastAsia="Arial" w:hAnsi="Arial" w:cs="Arial"/>
          <w:color w:val="auto"/>
        </w:rPr>
        <w:t>Conclusion</w:t>
      </w:r>
      <w:bookmarkEnd w:id="18"/>
      <w:r w:rsidRPr="3BDDEF42">
        <w:rPr>
          <w:rFonts w:ascii="Arial" w:eastAsia="Arial" w:hAnsi="Arial" w:cs="Arial"/>
          <w:color w:val="auto"/>
        </w:rPr>
        <w:t xml:space="preserve"> </w:t>
      </w:r>
    </w:p>
    <w:p w14:paraId="678AA84A" w14:textId="533FD4DC" w:rsidR="43A6881E" w:rsidRDefault="43A6881E" w:rsidP="3BDDEF42">
      <w:pPr>
        <w:spacing w:before="240" w:after="240" w:line="360" w:lineRule="auto"/>
        <w:jc w:val="both"/>
        <w:rPr>
          <w:rFonts w:ascii="Arial" w:eastAsia="Arial" w:hAnsi="Arial" w:cs="Arial"/>
        </w:rPr>
      </w:pPr>
      <w:r w:rsidRPr="3BDDEF42">
        <w:rPr>
          <w:rFonts w:ascii="Arial" w:eastAsia="Arial" w:hAnsi="Arial" w:cs="Arial"/>
        </w:rPr>
        <w:t>General Electronics is on the brink of corporate failure, suffering a systemic crisis with its roots in strategic misdirection and radical operational inefficiencies. The detailed financial analysis has ratified the state of accelerating distress, and prompt as well as decisive action has become a survival imperative. This report has laid out an integrated, three-pillar turnaround plan: first, near-term stabilization through aggressive working capital programs to generate necessary liquidity; second, thorough strategic and financial restructuring through asset divestitures and a necessary equity infusion to repair the balance sheet; and third, disciplined reinvestment in the future by selecting the most value-creating capital project. This is a plan, not a list of alternatives. Putting it into action with unwavering resolve will be difficult, but it is the only credible means of pulling the company back from the edge, restoring it to profitability, and remolding it into a viable and valuable business.</w:t>
      </w:r>
    </w:p>
    <w:p w14:paraId="17B581B3" w14:textId="6C7EA8A7" w:rsidR="3BDDEF42" w:rsidRDefault="3BDDEF42" w:rsidP="3BDDEF42">
      <w:pPr>
        <w:spacing w:before="240" w:after="240" w:line="360" w:lineRule="auto"/>
        <w:jc w:val="both"/>
        <w:rPr>
          <w:rFonts w:ascii="Arial" w:eastAsia="Arial" w:hAnsi="Arial" w:cs="Arial"/>
        </w:rPr>
      </w:pPr>
    </w:p>
    <w:p w14:paraId="337DF80C" w14:textId="7BC110F8" w:rsidR="3BDDEF42" w:rsidRDefault="3BDDEF42" w:rsidP="3BDDEF42">
      <w:pPr>
        <w:spacing w:before="240" w:after="240" w:line="360" w:lineRule="auto"/>
        <w:jc w:val="both"/>
        <w:rPr>
          <w:rFonts w:ascii="Arial" w:eastAsia="Arial" w:hAnsi="Arial" w:cs="Arial"/>
        </w:rPr>
      </w:pPr>
    </w:p>
    <w:p w14:paraId="322DF2B4" w14:textId="739CCF44" w:rsidR="3BDDEF42" w:rsidRDefault="3BDDEF42" w:rsidP="3BDDEF42">
      <w:pPr>
        <w:spacing w:line="360" w:lineRule="auto"/>
        <w:jc w:val="both"/>
        <w:rPr>
          <w:rFonts w:ascii="Arial" w:eastAsia="Arial" w:hAnsi="Arial" w:cs="Arial"/>
        </w:rPr>
      </w:pPr>
      <w:r w:rsidRPr="3BDDEF42">
        <w:rPr>
          <w:rFonts w:ascii="Arial" w:eastAsia="Arial" w:hAnsi="Arial" w:cs="Arial"/>
        </w:rPr>
        <w:br w:type="page"/>
      </w:r>
    </w:p>
    <w:p w14:paraId="1D67E0B2" w14:textId="477967BC" w:rsidR="69D2176D" w:rsidRDefault="69D2176D" w:rsidP="3BDDEF42">
      <w:pPr>
        <w:pStyle w:val="Heading2"/>
        <w:spacing w:line="360" w:lineRule="auto"/>
        <w:jc w:val="both"/>
        <w:rPr>
          <w:rFonts w:ascii="Arial" w:eastAsia="Arial" w:hAnsi="Arial" w:cs="Arial"/>
          <w:color w:val="auto"/>
        </w:rPr>
      </w:pPr>
      <w:bookmarkStart w:id="19" w:name="_Toc1001200756"/>
      <w:r w:rsidRPr="3BDDEF42">
        <w:rPr>
          <w:rFonts w:ascii="Arial" w:eastAsia="Arial" w:hAnsi="Arial" w:cs="Arial"/>
          <w:color w:val="auto"/>
        </w:rPr>
        <w:t>References</w:t>
      </w:r>
      <w:bookmarkEnd w:id="19"/>
    </w:p>
    <w:p w14:paraId="3A071B22" w14:textId="6857AA0C" w:rsidR="3CF603E1" w:rsidRDefault="3CF603E1" w:rsidP="3BDDEF42">
      <w:pPr>
        <w:spacing w:before="120" w:after="120" w:line="360" w:lineRule="auto"/>
        <w:jc w:val="both"/>
        <w:rPr>
          <w:rFonts w:ascii="Arial" w:eastAsia="Arial" w:hAnsi="Arial" w:cs="Arial"/>
        </w:rPr>
      </w:pPr>
      <w:r w:rsidRPr="3BDDEF42">
        <w:rPr>
          <w:rFonts w:ascii="Arial" w:eastAsia="Arial" w:hAnsi="Arial" w:cs="Arial"/>
        </w:rPr>
        <w:t xml:space="preserve">Altman, E.I. (1968) 'Financial Ratios, Discriminant Analysis and the Prediction of Corporate Bankruptcy', </w:t>
      </w:r>
      <w:r w:rsidRPr="3BDDEF42">
        <w:rPr>
          <w:rFonts w:ascii="Arial" w:eastAsia="Arial" w:hAnsi="Arial" w:cs="Arial"/>
          <w:i/>
          <w:iCs/>
        </w:rPr>
        <w:t>The Journal of Finance</w:t>
      </w:r>
      <w:r w:rsidRPr="3BDDEF42">
        <w:rPr>
          <w:rFonts w:ascii="Arial" w:eastAsia="Arial" w:hAnsi="Arial" w:cs="Arial"/>
        </w:rPr>
        <w:t>, 23(4), pp. 589-609.</w:t>
      </w:r>
    </w:p>
    <w:p w14:paraId="6781B998" w14:textId="04580FA2"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Anderson, M.C., Banker, R.D. and </w:t>
      </w:r>
      <w:proofErr w:type="spellStart"/>
      <w:r w:rsidRPr="3BDDEF42">
        <w:rPr>
          <w:rFonts w:ascii="Arial" w:eastAsia="Arial" w:hAnsi="Arial" w:cs="Arial"/>
        </w:rPr>
        <w:t>Janakiraman</w:t>
      </w:r>
      <w:proofErr w:type="spellEnd"/>
      <w:r w:rsidRPr="3BDDEF42">
        <w:rPr>
          <w:rFonts w:ascii="Arial" w:eastAsia="Arial" w:hAnsi="Arial" w:cs="Arial"/>
        </w:rPr>
        <w:t xml:space="preserve">, S.N. (2003) 'Are Selling, General, and Administrative Costs "Sticky"?', </w:t>
      </w:r>
      <w:r w:rsidRPr="3BDDEF42">
        <w:rPr>
          <w:rFonts w:ascii="Arial" w:eastAsia="Arial" w:hAnsi="Arial" w:cs="Arial"/>
          <w:i/>
          <w:iCs/>
        </w:rPr>
        <w:t>Journal of Accounting Research</w:t>
      </w:r>
      <w:r w:rsidRPr="3BDDEF42">
        <w:rPr>
          <w:rFonts w:ascii="Arial" w:eastAsia="Arial" w:hAnsi="Arial" w:cs="Arial"/>
        </w:rPr>
        <w:t>, 41(1), pp. 47-63.</w:t>
      </w:r>
    </w:p>
    <w:p w14:paraId="656545F1" w14:textId="0192B5D8"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Argenti</w:t>
      </w:r>
      <w:proofErr w:type="spellEnd"/>
      <w:r w:rsidRPr="3BDDEF42">
        <w:rPr>
          <w:rFonts w:ascii="Arial" w:eastAsia="Arial" w:hAnsi="Arial" w:cs="Arial"/>
        </w:rPr>
        <w:t xml:space="preserve">, J. (1976) </w:t>
      </w:r>
      <w:r w:rsidRPr="3BDDEF42">
        <w:rPr>
          <w:rFonts w:ascii="Arial" w:eastAsia="Arial" w:hAnsi="Arial" w:cs="Arial"/>
          <w:i/>
          <w:iCs/>
        </w:rPr>
        <w:t>Corporate Collapse: The Causes and Symptoms</w:t>
      </w:r>
      <w:r w:rsidRPr="3BDDEF42">
        <w:rPr>
          <w:rFonts w:ascii="Arial" w:eastAsia="Arial" w:hAnsi="Arial" w:cs="Arial"/>
        </w:rPr>
        <w:t>. London: McGraw-Hill.</w:t>
      </w:r>
    </w:p>
    <w:p w14:paraId="75D9DFD7" w14:textId="7DD198AD"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Arnold, G. (2013) </w:t>
      </w:r>
      <w:r w:rsidRPr="3BDDEF42">
        <w:rPr>
          <w:rFonts w:ascii="Arial" w:eastAsia="Arial" w:hAnsi="Arial" w:cs="Arial"/>
          <w:i/>
          <w:iCs/>
        </w:rPr>
        <w:t>Corporate financial management</w:t>
      </w:r>
      <w:r w:rsidRPr="3BDDEF42">
        <w:rPr>
          <w:rFonts w:ascii="Arial" w:eastAsia="Arial" w:hAnsi="Arial" w:cs="Arial"/>
        </w:rPr>
        <w:t xml:space="preserve">. 5th </w:t>
      </w:r>
      <w:proofErr w:type="spellStart"/>
      <w:r w:rsidRPr="3BDDEF42">
        <w:rPr>
          <w:rFonts w:ascii="Arial" w:eastAsia="Arial" w:hAnsi="Arial" w:cs="Arial"/>
        </w:rPr>
        <w:t>edn</w:t>
      </w:r>
      <w:proofErr w:type="spellEnd"/>
      <w:r w:rsidRPr="3BDDEF42">
        <w:rPr>
          <w:rFonts w:ascii="Arial" w:eastAsia="Arial" w:hAnsi="Arial" w:cs="Arial"/>
        </w:rPr>
        <w:t>. Harlow: Pearson Education.</w:t>
      </w:r>
    </w:p>
    <w:p w14:paraId="7D19E417" w14:textId="1117B510"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Beaver, W.H. (1966) 'Financial Ratios as Predictors of Failure', </w:t>
      </w:r>
      <w:r w:rsidRPr="3BDDEF42">
        <w:rPr>
          <w:rFonts w:ascii="Arial" w:eastAsia="Arial" w:hAnsi="Arial" w:cs="Arial"/>
          <w:i/>
          <w:iCs/>
        </w:rPr>
        <w:t>Journal of Accounting Research</w:t>
      </w:r>
      <w:r w:rsidRPr="3BDDEF42">
        <w:rPr>
          <w:rFonts w:ascii="Arial" w:eastAsia="Arial" w:hAnsi="Arial" w:cs="Arial"/>
        </w:rPr>
        <w:t>, 4, pp. 71-111.</w:t>
      </w:r>
    </w:p>
    <w:p w14:paraId="637A3D7E" w14:textId="791BDC11"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Berk</w:t>
      </w:r>
      <w:proofErr w:type="spellEnd"/>
      <w:r w:rsidRPr="3BDDEF42">
        <w:rPr>
          <w:rFonts w:ascii="Arial" w:eastAsia="Arial" w:hAnsi="Arial" w:cs="Arial"/>
        </w:rPr>
        <w:t xml:space="preserve">, J. and </w:t>
      </w:r>
      <w:proofErr w:type="spellStart"/>
      <w:r w:rsidRPr="3BDDEF42">
        <w:rPr>
          <w:rFonts w:ascii="Arial" w:eastAsia="Arial" w:hAnsi="Arial" w:cs="Arial"/>
        </w:rPr>
        <w:t>DeMarzo</w:t>
      </w:r>
      <w:proofErr w:type="spellEnd"/>
      <w:r w:rsidRPr="3BDDEF42">
        <w:rPr>
          <w:rFonts w:ascii="Arial" w:eastAsia="Arial" w:hAnsi="Arial" w:cs="Arial"/>
        </w:rPr>
        <w:t xml:space="preserve">, P. (2017) </w:t>
      </w:r>
      <w:r w:rsidRPr="3BDDEF42">
        <w:rPr>
          <w:rFonts w:ascii="Arial" w:eastAsia="Arial" w:hAnsi="Arial" w:cs="Arial"/>
          <w:i/>
          <w:iCs/>
        </w:rPr>
        <w:t>Corporate Finance</w:t>
      </w:r>
      <w:r w:rsidRPr="3BDDEF42">
        <w:rPr>
          <w:rFonts w:ascii="Arial" w:eastAsia="Arial" w:hAnsi="Arial" w:cs="Arial"/>
        </w:rPr>
        <w:t xml:space="preserve">. 4th </w:t>
      </w:r>
      <w:proofErr w:type="spellStart"/>
      <w:r w:rsidRPr="3BDDEF42">
        <w:rPr>
          <w:rFonts w:ascii="Arial" w:eastAsia="Arial" w:hAnsi="Arial" w:cs="Arial"/>
        </w:rPr>
        <w:t>edn</w:t>
      </w:r>
      <w:proofErr w:type="spellEnd"/>
      <w:r w:rsidRPr="3BDDEF42">
        <w:rPr>
          <w:rFonts w:ascii="Arial" w:eastAsia="Arial" w:hAnsi="Arial" w:cs="Arial"/>
        </w:rPr>
        <w:t>. Harlow: Pearson Education.</w:t>
      </w:r>
    </w:p>
    <w:p w14:paraId="3C8659AD" w14:textId="24F4B39B"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Bodie</w:t>
      </w:r>
      <w:proofErr w:type="spellEnd"/>
      <w:r w:rsidRPr="3BDDEF42">
        <w:rPr>
          <w:rFonts w:ascii="Arial" w:eastAsia="Arial" w:hAnsi="Arial" w:cs="Arial"/>
        </w:rPr>
        <w:t xml:space="preserve">, Z., Kane, A. and Marcus, A.J. (2014) </w:t>
      </w:r>
      <w:r w:rsidRPr="3BDDEF42">
        <w:rPr>
          <w:rFonts w:ascii="Arial" w:eastAsia="Arial" w:hAnsi="Arial" w:cs="Arial"/>
          <w:i/>
          <w:iCs/>
        </w:rPr>
        <w:t>Investments</w:t>
      </w:r>
      <w:r w:rsidRPr="3BDDEF42">
        <w:rPr>
          <w:rFonts w:ascii="Arial" w:eastAsia="Arial" w:hAnsi="Arial" w:cs="Arial"/>
        </w:rPr>
        <w:t xml:space="preserve">. 10th </w:t>
      </w:r>
      <w:proofErr w:type="spellStart"/>
      <w:r w:rsidRPr="3BDDEF42">
        <w:rPr>
          <w:rFonts w:ascii="Arial" w:eastAsia="Arial" w:hAnsi="Arial" w:cs="Arial"/>
        </w:rPr>
        <w:t>edn</w:t>
      </w:r>
      <w:proofErr w:type="spellEnd"/>
      <w:r w:rsidRPr="3BDDEF42">
        <w:rPr>
          <w:rFonts w:ascii="Arial" w:eastAsia="Arial" w:hAnsi="Arial" w:cs="Arial"/>
        </w:rPr>
        <w:t>. New York: McGraw-Hill Education.</w:t>
      </w:r>
    </w:p>
    <w:p w14:paraId="2645B647" w14:textId="7D8AEE41"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Brealey</w:t>
      </w:r>
      <w:proofErr w:type="spellEnd"/>
      <w:r w:rsidRPr="3BDDEF42">
        <w:rPr>
          <w:rFonts w:ascii="Arial" w:eastAsia="Arial" w:hAnsi="Arial" w:cs="Arial"/>
        </w:rPr>
        <w:t xml:space="preserve">, R.A., Myers, S.C. and Allen, F. (2017) </w:t>
      </w:r>
      <w:r w:rsidRPr="3BDDEF42">
        <w:rPr>
          <w:rFonts w:ascii="Arial" w:eastAsia="Arial" w:hAnsi="Arial" w:cs="Arial"/>
          <w:i/>
          <w:iCs/>
        </w:rPr>
        <w:t>Principles of corporate finance</w:t>
      </w:r>
      <w:r w:rsidRPr="3BDDEF42">
        <w:rPr>
          <w:rFonts w:ascii="Arial" w:eastAsia="Arial" w:hAnsi="Arial" w:cs="Arial"/>
        </w:rPr>
        <w:t xml:space="preserve">. 12th </w:t>
      </w:r>
      <w:proofErr w:type="spellStart"/>
      <w:r w:rsidRPr="3BDDEF42">
        <w:rPr>
          <w:rFonts w:ascii="Arial" w:eastAsia="Arial" w:hAnsi="Arial" w:cs="Arial"/>
        </w:rPr>
        <w:t>edn</w:t>
      </w:r>
      <w:proofErr w:type="spellEnd"/>
      <w:r w:rsidRPr="3BDDEF42">
        <w:rPr>
          <w:rFonts w:ascii="Arial" w:eastAsia="Arial" w:hAnsi="Arial" w:cs="Arial"/>
        </w:rPr>
        <w:t>. New York: McGraw-Hill Education.</w:t>
      </w:r>
    </w:p>
    <w:p w14:paraId="2A9FF4F8" w14:textId="74735FC1"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Damodaran</w:t>
      </w:r>
      <w:proofErr w:type="spellEnd"/>
      <w:r w:rsidRPr="3BDDEF42">
        <w:rPr>
          <w:rFonts w:ascii="Arial" w:eastAsia="Arial" w:hAnsi="Arial" w:cs="Arial"/>
        </w:rPr>
        <w:t xml:space="preserve">, A. (2014) </w:t>
      </w:r>
      <w:r w:rsidRPr="3BDDEF42">
        <w:rPr>
          <w:rFonts w:ascii="Arial" w:eastAsia="Arial" w:hAnsi="Arial" w:cs="Arial"/>
          <w:i/>
          <w:iCs/>
        </w:rPr>
        <w:t>Applied corporate finance</w:t>
      </w:r>
      <w:r w:rsidRPr="3BDDEF42">
        <w:rPr>
          <w:rFonts w:ascii="Arial" w:eastAsia="Arial" w:hAnsi="Arial" w:cs="Arial"/>
        </w:rPr>
        <w:t xml:space="preserve">. 4th </w:t>
      </w:r>
      <w:proofErr w:type="spellStart"/>
      <w:r w:rsidRPr="3BDDEF42">
        <w:rPr>
          <w:rFonts w:ascii="Arial" w:eastAsia="Arial" w:hAnsi="Arial" w:cs="Arial"/>
        </w:rPr>
        <w:t>edn</w:t>
      </w:r>
      <w:proofErr w:type="spellEnd"/>
      <w:r w:rsidRPr="3BDDEF42">
        <w:rPr>
          <w:rFonts w:ascii="Arial" w:eastAsia="Arial" w:hAnsi="Arial" w:cs="Arial"/>
        </w:rPr>
        <w:t>. Hoboken, NJ: Wiley.</w:t>
      </w:r>
    </w:p>
    <w:p w14:paraId="225F4916" w14:textId="7AE75C1F"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Deloitte (2024) </w:t>
      </w:r>
      <w:r w:rsidRPr="3BDDEF42">
        <w:rPr>
          <w:rFonts w:ascii="Arial" w:eastAsia="Arial" w:hAnsi="Arial" w:cs="Arial"/>
          <w:i/>
          <w:iCs/>
        </w:rPr>
        <w:t>2024 Technology Industry Outlook</w:t>
      </w:r>
      <w:r w:rsidRPr="3BDDEF42">
        <w:rPr>
          <w:rFonts w:ascii="Arial" w:eastAsia="Arial" w:hAnsi="Arial" w:cs="Arial"/>
        </w:rPr>
        <w:t xml:space="preserve">. Available at: </w:t>
      </w:r>
      <w:hyperlink r:id="rId7">
        <w:r w:rsidRPr="3BDDEF42">
          <w:rPr>
            <w:rStyle w:val="Hyperlink"/>
            <w:rFonts w:ascii="Arial" w:eastAsia="Arial" w:hAnsi="Arial" w:cs="Arial"/>
            <w:color w:val="auto"/>
          </w:rPr>
          <w:t>https://www2.deloitte.com/us/en/pages/technology-media-and-telecommunications/articles/technology-industry-outlook.html</w:t>
        </w:r>
      </w:hyperlink>
      <w:r w:rsidRPr="3BDDEF42">
        <w:rPr>
          <w:rFonts w:ascii="Arial" w:eastAsia="Arial" w:hAnsi="Arial" w:cs="Arial"/>
        </w:rPr>
        <w:t xml:space="preserve"> (Accessed: 19 September 2025).</w:t>
      </w:r>
    </w:p>
    <w:p w14:paraId="05B122DA" w14:textId="10E8BF88"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Deloof</w:t>
      </w:r>
      <w:proofErr w:type="spellEnd"/>
      <w:r w:rsidRPr="3BDDEF42">
        <w:rPr>
          <w:rFonts w:ascii="Arial" w:eastAsia="Arial" w:hAnsi="Arial" w:cs="Arial"/>
        </w:rPr>
        <w:t xml:space="preserve">, M. (2003) 'Does Working Capital Management Affect Profitability of Belgian Firms?', </w:t>
      </w:r>
      <w:r w:rsidRPr="3BDDEF42">
        <w:rPr>
          <w:rFonts w:ascii="Arial" w:eastAsia="Arial" w:hAnsi="Arial" w:cs="Arial"/>
          <w:i/>
          <w:iCs/>
        </w:rPr>
        <w:t>Journal of Business Finance &amp; Accounting</w:t>
      </w:r>
      <w:r w:rsidRPr="3BDDEF42">
        <w:rPr>
          <w:rFonts w:ascii="Arial" w:eastAsia="Arial" w:hAnsi="Arial" w:cs="Arial"/>
        </w:rPr>
        <w:t>, 30(3-4), pp. 573-588.</w:t>
      </w:r>
    </w:p>
    <w:p w14:paraId="1ED89DAB" w14:textId="3A47EC5F"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Donaldson, T. and Preston, L.E. (1995) 'The Stakeholder Theory of the Corporation: Concepts, Evidence, and Implications', </w:t>
      </w:r>
      <w:r w:rsidRPr="3BDDEF42">
        <w:rPr>
          <w:rFonts w:ascii="Arial" w:eastAsia="Arial" w:hAnsi="Arial" w:cs="Arial"/>
          <w:i/>
          <w:iCs/>
        </w:rPr>
        <w:t>Academy of Management Review</w:t>
      </w:r>
      <w:r w:rsidRPr="3BDDEF42">
        <w:rPr>
          <w:rFonts w:ascii="Arial" w:eastAsia="Arial" w:hAnsi="Arial" w:cs="Arial"/>
        </w:rPr>
        <w:t>, 20(1), pp. 65-91.</w:t>
      </w:r>
    </w:p>
    <w:p w14:paraId="7A8BA94B" w14:textId="31FEB7E2"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Drury, C. (2018) </w:t>
      </w:r>
      <w:r w:rsidRPr="3BDDEF42">
        <w:rPr>
          <w:rFonts w:ascii="Arial" w:eastAsia="Arial" w:hAnsi="Arial" w:cs="Arial"/>
          <w:i/>
          <w:iCs/>
        </w:rPr>
        <w:t>Management and cost accounting</w:t>
      </w:r>
      <w:r w:rsidRPr="3BDDEF42">
        <w:rPr>
          <w:rFonts w:ascii="Arial" w:eastAsia="Arial" w:hAnsi="Arial" w:cs="Arial"/>
        </w:rPr>
        <w:t xml:space="preserve">. 10th </w:t>
      </w:r>
      <w:proofErr w:type="spellStart"/>
      <w:r w:rsidRPr="3BDDEF42">
        <w:rPr>
          <w:rFonts w:ascii="Arial" w:eastAsia="Arial" w:hAnsi="Arial" w:cs="Arial"/>
        </w:rPr>
        <w:t>edn</w:t>
      </w:r>
      <w:proofErr w:type="spellEnd"/>
      <w:r w:rsidRPr="3BDDEF42">
        <w:rPr>
          <w:rFonts w:ascii="Arial" w:eastAsia="Arial" w:hAnsi="Arial" w:cs="Arial"/>
        </w:rPr>
        <w:t>. Andover: Cengage Learning.</w:t>
      </w:r>
    </w:p>
    <w:p w14:paraId="0BF38235" w14:textId="1778CE93"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Freeman, R.E. (1984) </w:t>
      </w:r>
      <w:r w:rsidRPr="3BDDEF42">
        <w:rPr>
          <w:rFonts w:ascii="Arial" w:eastAsia="Arial" w:hAnsi="Arial" w:cs="Arial"/>
          <w:i/>
          <w:iCs/>
        </w:rPr>
        <w:t>Strategic management: a stakeholder approach</w:t>
      </w:r>
      <w:r w:rsidRPr="3BDDEF42">
        <w:rPr>
          <w:rFonts w:ascii="Arial" w:eastAsia="Arial" w:hAnsi="Arial" w:cs="Arial"/>
        </w:rPr>
        <w:t>. Boston: Pitman.</w:t>
      </w:r>
    </w:p>
    <w:p w14:paraId="5237059C" w14:textId="780D9416"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Graham, J.R., Harvey, C.R. and </w:t>
      </w:r>
      <w:proofErr w:type="spellStart"/>
      <w:r w:rsidRPr="3BDDEF42">
        <w:rPr>
          <w:rFonts w:ascii="Arial" w:eastAsia="Arial" w:hAnsi="Arial" w:cs="Arial"/>
        </w:rPr>
        <w:t>Rajgopal</w:t>
      </w:r>
      <w:proofErr w:type="spellEnd"/>
      <w:r w:rsidRPr="3BDDEF42">
        <w:rPr>
          <w:rFonts w:ascii="Arial" w:eastAsia="Arial" w:hAnsi="Arial" w:cs="Arial"/>
        </w:rPr>
        <w:t xml:space="preserve">, S. (2005) 'The Economic Implications of Corporate Financial Reporting', </w:t>
      </w:r>
      <w:r w:rsidRPr="3BDDEF42">
        <w:rPr>
          <w:rFonts w:ascii="Arial" w:eastAsia="Arial" w:hAnsi="Arial" w:cs="Arial"/>
          <w:i/>
          <w:iCs/>
        </w:rPr>
        <w:t>Journal of Accounting and Economics</w:t>
      </w:r>
      <w:r w:rsidRPr="3BDDEF42">
        <w:rPr>
          <w:rFonts w:ascii="Arial" w:eastAsia="Arial" w:hAnsi="Arial" w:cs="Arial"/>
        </w:rPr>
        <w:t>, 40(1-3), pp. 3-73.</w:t>
      </w:r>
    </w:p>
    <w:p w14:paraId="287CE31D" w14:textId="6A3B782C"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Hines, P. (2013) </w:t>
      </w:r>
      <w:r w:rsidRPr="3BDDEF42">
        <w:rPr>
          <w:rFonts w:ascii="Arial" w:eastAsia="Arial" w:hAnsi="Arial" w:cs="Arial"/>
          <w:i/>
          <w:iCs/>
        </w:rPr>
        <w:t>Creating a lean and green business system</w:t>
      </w:r>
      <w:r w:rsidRPr="3BDDEF42">
        <w:rPr>
          <w:rFonts w:ascii="Arial" w:eastAsia="Arial" w:hAnsi="Arial" w:cs="Arial"/>
        </w:rPr>
        <w:t>. London: Routledge.</w:t>
      </w:r>
    </w:p>
    <w:p w14:paraId="13266931" w14:textId="5E5A7BD6"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Hitt</w:t>
      </w:r>
      <w:proofErr w:type="spellEnd"/>
      <w:r w:rsidRPr="3BDDEF42">
        <w:rPr>
          <w:rFonts w:ascii="Arial" w:eastAsia="Arial" w:hAnsi="Arial" w:cs="Arial"/>
        </w:rPr>
        <w:t xml:space="preserve">, M.A., Harrison, J.S. and Ireland, R.D. (2001) </w:t>
      </w:r>
      <w:r w:rsidRPr="3BDDEF42">
        <w:rPr>
          <w:rFonts w:ascii="Arial" w:eastAsia="Arial" w:hAnsi="Arial" w:cs="Arial"/>
          <w:i/>
          <w:iCs/>
        </w:rPr>
        <w:t>Mergers and acquisitions: a guide to creating value for stakeholders</w:t>
      </w:r>
      <w:r w:rsidRPr="3BDDEF42">
        <w:rPr>
          <w:rFonts w:ascii="Arial" w:eastAsia="Arial" w:hAnsi="Arial" w:cs="Arial"/>
        </w:rPr>
        <w:t>. Oxford: Oxford University Press.</w:t>
      </w:r>
    </w:p>
    <w:p w14:paraId="45932192" w14:textId="4340CF33"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Jensen, M.C. (1989) 'Eclipse of the Public Corporation', </w:t>
      </w:r>
      <w:r w:rsidRPr="3BDDEF42">
        <w:rPr>
          <w:rFonts w:ascii="Arial" w:eastAsia="Arial" w:hAnsi="Arial" w:cs="Arial"/>
          <w:i/>
          <w:iCs/>
        </w:rPr>
        <w:t>Harvard Business Review</w:t>
      </w:r>
      <w:r w:rsidRPr="3BDDEF42">
        <w:rPr>
          <w:rFonts w:ascii="Arial" w:eastAsia="Arial" w:hAnsi="Arial" w:cs="Arial"/>
        </w:rPr>
        <w:t>, 67(5), pp. 61-74.</w:t>
      </w:r>
    </w:p>
    <w:p w14:paraId="1957C7ED" w14:textId="1ED949F9"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Kaplan, S.N. and </w:t>
      </w:r>
      <w:proofErr w:type="spellStart"/>
      <w:r w:rsidRPr="3BDDEF42">
        <w:rPr>
          <w:rFonts w:ascii="Arial" w:eastAsia="Arial" w:hAnsi="Arial" w:cs="Arial"/>
        </w:rPr>
        <w:t>Weisbach</w:t>
      </w:r>
      <w:proofErr w:type="spellEnd"/>
      <w:r w:rsidRPr="3BDDEF42">
        <w:rPr>
          <w:rFonts w:ascii="Arial" w:eastAsia="Arial" w:hAnsi="Arial" w:cs="Arial"/>
        </w:rPr>
        <w:t xml:space="preserve">, M.S. (1992) 'The Success of Acquisitions: Evidence from Divestitures', </w:t>
      </w:r>
      <w:r w:rsidRPr="3BDDEF42">
        <w:rPr>
          <w:rFonts w:ascii="Arial" w:eastAsia="Arial" w:hAnsi="Arial" w:cs="Arial"/>
          <w:i/>
          <w:iCs/>
        </w:rPr>
        <w:t>The Journal of Finance</w:t>
      </w:r>
      <w:r w:rsidRPr="3BDDEF42">
        <w:rPr>
          <w:rFonts w:ascii="Arial" w:eastAsia="Arial" w:hAnsi="Arial" w:cs="Arial"/>
        </w:rPr>
        <w:t>, 47(1), pp. 107-138.</w:t>
      </w:r>
    </w:p>
    <w:p w14:paraId="4EEE90D9" w14:textId="1793820F"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Lazaridis</w:t>
      </w:r>
      <w:proofErr w:type="spellEnd"/>
      <w:r w:rsidRPr="3BDDEF42">
        <w:rPr>
          <w:rFonts w:ascii="Arial" w:eastAsia="Arial" w:hAnsi="Arial" w:cs="Arial"/>
        </w:rPr>
        <w:t xml:space="preserve">, I. and </w:t>
      </w:r>
      <w:proofErr w:type="spellStart"/>
      <w:r w:rsidRPr="3BDDEF42">
        <w:rPr>
          <w:rFonts w:ascii="Arial" w:eastAsia="Arial" w:hAnsi="Arial" w:cs="Arial"/>
        </w:rPr>
        <w:t>Tryfonidis</w:t>
      </w:r>
      <w:proofErr w:type="spellEnd"/>
      <w:r w:rsidRPr="3BDDEF42">
        <w:rPr>
          <w:rFonts w:ascii="Arial" w:eastAsia="Arial" w:hAnsi="Arial" w:cs="Arial"/>
        </w:rPr>
        <w:t xml:space="preserve">, D. (2006) 'Relationship between Working Capital Management and Profitability of Listed Companies in the Athens Stock Exchange', </w:t>
      </w:r>
      <w:r w:rsidRPr="3BDDEF42">
        <w:rPr>
          <w:rFonts w:ascii="Arial" w:eastAsia="Arial" w:hAnsi="Arial" w:cs="Arial"/>
          <w:i/>
          <w:iCs/>
        </w:rPr>
        <w:t>Journal of Financial Management and Analysis</w:t>
      </w:r>
      <w:r w:rsidRPr="3BDDEF42">
        <w:rPr>
          <w:rFonts w:ascii="Arial" w:eastAsia="Arial" w:hAnsi="Arial" w:cs="Arial"/>
        </w:rPr>
        <w:t>, 19(1), pp. 26-35.</w:t>
      </w:r>
    </w:p>
    <w:p w14:paraId="78A9C9D9" w14:textId="159F50A6"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Myers, S.C. (1977) 'Determinants of corporate borrowing', </w:t>
      </w:r>
      <w:r w:rsidRPr="3BDDEF42">
        <w:rPr>
          <w:rFonts w:ascii="Arial" w:eastAsia="Arial" w:hAnsi="Arial" w:cs="Arial"/>
          <w:i/>
          <w:iCs/>
        </w:rPr>
        <w:t>Journal of Financial Economics</w:t>
      </w:r>
      <w:r w:rsidRPr="3BDDEF42">
        <w:rPr>
          <w:rFonts w:ascii="Arial" w:eastAsia="Arial" w:hAnsi="Arial" w:cs="Arial"/>
        </w:rPr>
        <w:t>, 5(2), pp. 147-175.</w:t>
      </w:r>
    </w:p>
    <w:p w14:paraId="7E6EE834" w14:textId="6C787738"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Preve</w:t>
      </w:r>
      <w:proofErr w:type="spellEnd"/>
      <w:r w:rsidRPr="3BDDEF42">
        <w:rPr>
          <w:rFonts w:ascii="Arial" w:eastAsia="Arial" w:hAnsi="Arial" w:cs="Arial"/>
        </w:rPr>
        <w:t xml:space="preserve">, L.A. and </w:t>
      </w:r>
      <w:proofErr w:type="spellStart"/>
      <w:r w:rsidRPr="3BDDEF42">
        <w:rPr>
          <w:rFonts w:ascii="Arial" w:eastAsia="Arial" w:hAnsi="Arial" w:cs="Arial"/>
        </w:rPr>
        <w:t>Sarria</w:t>
      </w:r>
      <w:proofErr w:type="spellEnd"/>
      <w:r w:rsidRPr="3BDDEF42">
        <w:rPr>
          <w:rFonts w:ascii="Arial" w:eastAsia="Arial" w:hAnsi="Arial" w:cs="Arial"/>
        </w:rPr>
        <w:t xml:space="preserve">-Allende, V. (2010) </w:t>
      </w:r>
      <w:r w:rsidRPr="3BDDEF42">
        <w:rPr>
          <w:rFonts w:ascii="Arial" w:eastAsia="Arial" w:hAnsi="Arial" w:cs="Arial"/>
          <w:i/>
          <w:iCs/>
        </w:rPr>
        <w:t>Working capital management</w:t>
      </w:r>
      <w:r w:rsidRPr="3BDDEF42">
        <w:rPr>
          <w:rFonts w:ascii="Arial" w:eastAsia="Arial" w:hAnsi="Arial" w:cs="Arial"/>
        </w:rPr>
        <w:t>. Oxford: Oxford University Press.</w:t>
      </w:r>
    </w:p>
    <w:p w14:paraId="17358912" w14:textId="7B605812" w:rsidR="3CF603E1" w:rsidRDefault="3CF603E1" w:rsidP="3BDDEF42">
      <w:pPr>
        <w:spacing w:before="240" w:after="120" w:line="360" w:lineRule="auto"/>
        <w:jc w:val="both"/>
        <w:rPr>
          <w:rFonts w:ascii="Arial" w:eastAsia="Arial" w:hAnsi="Arial" w:cs="Arial"/>
        </w:rPr>
      </w:pPr>
      <w:r w:rsidRPr="3BDDEF42">
        <w:rPr>
          <w:rFonts w:ascii="Arial" w:eastAsia="Arial" w:hAnsi="Arial" w:cs="Arial"/>
        </w:rPr>
        <w:t xml:space="preserve">Ross, S.A., </w:t>
      </w:r>
      <w:proofErr w:type="spellStart"/>
      <w:r w:rsidRPr="3BDDEF42">
        <w:rPr>
          <w:rFonts w:ascii="Arial" w:eastAsia="Arial" w:hAnsi="Arial" w:cs="Arial"/>
        </w:rPr>
        <w:t>Westerfield</w:t>
      </w:r>
      <w:proofErr w:type="spellEnd"/>
      <w:r w:rsidRPr="3BDDEF42">
        <w:rPr>
          <w:rFonts w:ascii="Arial" w:eastAsia="Arial" w:hAnsi="Arial" w:cs="Arial"/>
        </w:rPr>
        <w:t xml:space="preserve">, R.W. and Jaffe, J. (2013) </w:t>
      </w:r>
      <w:r w:rsidRPr="3BDDEF42">
        <w:rPr>
          <w:rFonts w:ascii="Arial" w:eastAsia="Arial" w:hAnsi="Arial" w:cs="Arial"/>
          <w:i/>
          <w:iCs/>
        </w:rPr>
        <w:t>Corporate Finance</w:t>
      </w:r>
      <w:r w:rsidRPr="3BDDEF42">
        <w:rPr>
          <w:rFonts w:ascii="Arial" w:eastAsia="Arial" w:hAnsi="Arial" w:cs="Arial"/>
        </w:rPr>
        <w:t xml:space="preserve">. 10th </w:t>
      </w:r>
      <w:proofErr w:type="spellStart"/>
      <w:r w:rsidRPr="3BDDEF42">
        <w:rPr>
          <w:rFonts w:ascii="Arial" w:eastAsia="Arial" w:hAnsi="Arial" w:cs="Arial"/>
        </w:rPr>
        <w:t>edn</w:t>
      </w:r>
      <w:proofErr w:type="spellEnd"/>
      <w:r w:rsidRPr="3BDDEF42">
        <w:rPr>
          <w:rFonts w:ascii="Arial" w:eastAsia="Arial" w:hAnsi="Arial" w:cs="Arial"/>
        </w:rPr>
        <w:t>. New York: McGraw-Hill/Irwin.</w:t>
      </w:r>
    </w:p>
    <w:p w14:paraId="1387EA01" w14:textId="32A21BB4" w:rsidR="3CF603E1" w:rsidRDefault="3CF603E1" w:rsidP="3BDDEF42">
      <w:pPr>
        <w:spacing w:before="240" w:after="120" w:line="360" w:lineRule="auto"/>
        <w:jc w:val="both"/>
        <w:rPr>
          <w:rFonts w:ascii="Arial" w:eastAsia="Arial" w:hAnsi="Arial" w:cs="Arial"/>
        </w:rPr>
      </w:pPr>
      <w:proofErr w:type="spellStart"/>
      <w:r w:rsidRPr="3BDDEF42">
        <w:rPr>
          <w:rFonts w:ascii="Arial" w:eastAsia="Arial" w:hAnsi="Arial" w:cs="Arial"/>
        </w:rPr>
        <w:t>Statista</w:t>
      </w:r>
      <w:proofErr w:type="spellEnd"/>
      <w:r w:rsidRPr="3BDDEF42">
        <w:rPr>
          <w:rFonts w:ascii="Arial" w:eastAsia="Arial" w:hAnsi="Arial" w:cs="Arial"/>
        </w:rPr>
        <w:t xml:space="preserve"> (2023) </w:t>
      </w:r>
      <w:r w:rsidRPr="3BDDEF42">
        <w:rPr>
          <w:rFonts w:ascii="Arial" w:eastAsia="Arial" w:hAnsi="Arial" w:cs="Arial"/>
          <w:i/>
          <w:iCs/>
        </w:rPr>
        <w:t>Consumer Electronics - Worldwide</w:t>
      </w:r>
      <w:r w:rsidRPr="3BDDEF42">
        <w:rPr>
          <w:rFonts w:ascii="Arial" w:eastAsia="Arial" w:hAnsi="Arial" w:cs="Arial"/>
        </w:rPr>
        <w:t xml:space="preserve">. Available at: </w:t>
      </w:r>
      <w:hyperlink r:id="rId8">
        <w:r w:rsidRPr="3BDDEF42">
          <w:rPr>
            <w:rStyle w:val="Hyperlink"/>
            <w:rFonts w:ascii="Arial" w:eastAsia="Arial" w:hAnsi="Arial" w:cs="Arial"/>
            <w:color w:val="auto"/>
          </w:rPr>
          <w:t>https://www.statista.com/outlook/dmo/ecommerce/electronics/consumer-electronics/worldwide</w:t>
        </w:r>
      </w:hyperlink>
      <w:r w:rsidRPr="3BDDEF42">
        <w:rPr>
          <w:rFonts w:ascii="Arial" w:eastAsia="Arial" w:hAnsi="Arial" w:cs="Arial"/>
        </w:rPr>
        <w:t xml:space="preserve"> (Accessed: 23 September 2025).</w:t>
      </w:r>
    </w:p>
    <w:p w14:paraId="6BA532DE" w14:textId="6424154E" w:rsidR="3BDDEF42" w:rsidRDefault="3BDDEF42" w:rsidP="3BDDEF42">
      <w:pPr>
        <w:spacing w:before="240" w:after="240" w:line="360" w:lineRule="auto"/>
        <w:jc w:val="both"/>
        <w:rPr>
          <w:rFonts w:ascii="Arial" w:eastAsia="Arial" w:hAnsi="Arial" w:cs="Arial"/>
        </w:rPr>
      </w:pPr>
    </w:p>
    <w:p w14:paraId="0D12AC62" w14:textId="5F31738F" w:rsidR="69D2176D" w:rsidRDefault="69D2176D" w:rsidP="3BDDEF42">
      <w:pPr>
        <w:pStyle w:val="Heading3"/>
        <w:spacing w:before="281" w:after="281" w:line="360" w:lineRule="auto"/>
        <w:jc w:val="both"/>
        <w:rPr>
          <w:rFonts w:ascii="Arial" w:eastAsia="Arial" w:hAnsi="Arial" w:cs="Arial"/>
          <w:color w:val="auto"/>
        </w:rPr>
      </w:pPr>
      <w:bookmarkStart w:id="20" w:name="_Toc1317205579"/>
      <w:r w:rsidRPr="3BDDEF42">
        <w:rPr>
          <w:rFonts w:ascii="Arial" w:eastAsia="Arial" w:hAnsi="Arial" w:cs="Arial"/>
          <w:color w:val="auto"/>
        </w:rPr>
        <w:t>Appendix A: Detailed Ratio Analysis (2020-2024)</w:t>
      </w:r>
      <w:bookmarkEnd w:id="20"/>
    </w:p>
    <w:p w14:paraId="334D8DDA" w14:textId="781EF780" w:rsidR="69D2176D" w:rsidRDefault="69D2176D" w:rsidP="3BDDEF42">
      <w:pPr>
        <w:spacing w:before="240" w:after="240" w:line="360" w:lineRule="auto"/>
        <w:jc w:val="both"/>
        <w:rPr>
          <w:rFonts w:ascii="Arial" w:eastAsia="Arial" w:hAnsi="Arial" w:cs="Arial"/>
          <w:i/>
          <w:iCs/>
        </w:rPr>
      </w:pPr>
      <w:r w:rsidRPr="3BDDEF42">
        <w:rPr>
          <w:rFonts w:ascii="Arial" w:eastAsia="Arial" w:hAnsi="Arial" w:cs="Arial"/>
          <w:i/>
          <w:iCs/>
        </w:rPr>
        <w:t>Note: All figures in millions of pounds (£m) unless otherwise stated. Financial data is sourced from the provided Consolidated Statements.</w:t>
      </w:r>
    </w:p>
    <w:tbl>
      <w:tblPr>
        <w:tblStyle w:val="TableGrid"/>
        <w:tblW w:w="0" w:type="auto"/>
        <w:tblInd w:w="-1350" w:type="dxa"/>
        <w:tblLayout w:type="fixed"/>
        <w:tblLook w:val="06A0" w:firstRow="1" w:lastRow="0" w:firstColumn="1" w:lastColumn="0" w:noHBand="1" w:noVBand="1"/>
      </w:tblPr>
      <w:tblGrid>
        <w:gridCol w:w="1566"/>
        <w:gridCol w:w="2559"/>
        <w:gridCol w:w="4833"/>
        <w:gridCol w:w="620"/>
        <w:gridCol w:w="700"/>
        <w:gridCol w:w="620"/>
        <w:gridCol w:w="620"/>
        <w:gridCol w:w="620"/>
      </w:tblGrid>
      <w:tr w:rsidR="3BDDEF42" w14:paraId="4BD2BAA8" w14:textId="77777777" w:rsidTr="3BDDEF42">
        <w:trPr>
          <w:trHeight w:val="300"/>
        </w:trPr>
        <w:tc>
          <w:tcPr>
            <w:tcW w:w="1566" w:type="dxa"/>
          </w:tcPr>
          <w:p w14:paraId="4CBB2D45" w14:textId="38BF9C99" w:rsidR="3BDDEF42" w:rsidRDefault="3BDDEF42" w:rsidP="3BDDEF42">
            <w:pPr>
              <w:spacing w:line="360" w:lineRule="auto"/>
              <w:jc w:val="both"/>
              <w:rPr>
                <w:rFonts w:ascii="Arial" w:eastAsia="Arial" w:hAnsi="Arial" w:cs="Arial"/>
              </w:rPr>
            </w:pPr>
            <w:r w:rsidRPr="3BDDEF42">
              <w:rPr>
                <w:rFonts w:ascii="Arial" w:eastAsia="Arial" w:hAnsi="Arial" w:cs="Arial"/>
              </w:rPr>
              <w:t>Ratio Category</w:t>
            </w:r>
          </w:p>
        </w:tc>
        <w:tc>
          <w:tcPr>
            <w:tcW w:w="2559" w:type="dxa"/>
          </w:tcPr>
          <w:p w14:paraId="7C64718A" w14:textId="3CC5D6F1" w:rsidR="3BDDEF42" w:rsidRDefault="3BDDEF42" w:rsidP="3BDDEF42">
            <w:pPr>
              <w:spacing w:line="360" w:lineRule="auto"/>
              <w:jc w:val="both"/>
              <w:rPr>
                <w:rFonts w:ascii="Arial" w:eastAsia="Arial" w:hAnsi="Arial" w:cs="Arial"/>
              </w:rPr>
            </w:pPr>
            <w:r w:rsidRPr="3BDDEF42">
              <w:rPr>
                <w:rFonts w:ascii="Arial" w:eastAsia="Arial" w:hAnsi="Arial" w:cs="Arial"/>
              </w:rPr>
              <w:t>Ratio Metric</w:t>
            </w:r>
          </w:p>
        </w:tc>
        <w:tc>
          <w:tcPr>
            <w:tcW w:w="4833" w:type="dxa"/>
          </w:tcPr>
          <w:p w14:paraId="0B49E791" w14:textId="68727D7C" w:rsidR="3BDDEF42" w:rsidRDefault="3BDDEF42" w:rsidP="3BDDEF42">
            <w:pPr>
              <w:spacing w:line="360" w:lineRule="auto"/>
              <w:jc w:val="both"/>
              <w:rPr>
                <w:rFonts w:ascii="Arial" w:eastAsia="Arial" w:hAnsi="Arial" w:cs="Arial"/>
              </w:rPr>
            </w:pPr>
            <w:r w:rsidRPr="3BDDEF42">
              <w:rPr>
                <w:rFonts w:ascii="Arial" w:eastAsia="Arial" w:hAnsi="Arial" w:cs="Arial"/>
              </w:rPr>
              <w:t>Formula</w:t>
            </w:r>
          </w:p>
        </w:tc>
        <w:tc>
          <w:tcPr>
            <w:tcW w:w="620" w:type="dxa"/>
          </w:tcPr>
          <w:p w14:paraId="7F22EF33" w14:textId="5A6797BE" w:rsidR="3BDDEF42" w:rsidRDefault="3BDDEF42" w:rsidP="3BDDEF42">
            <w:pPr>
              <w:spacing w:line="360" w:lineRule="auto"/>
              <w:jc w:val="both"/>
              <w:rPr>
                <w:rFonts w:ascii="Arial" w:eastAsia="Arial" w:hAnsi="Arial" w:cs="Arial"/>
              </w:rPr>
            </w:pPr>
            <w:r w:rsidRPr="3BDDEF42">
              <w:rPr>
                <w:rFonts w:ascii="Arial" w:eastAsia="Arial" w:hAnsi="Arial" w:cs="Arial"/>
              </w:rPr>
              <w:t>2024</w:t>
            </w:r>
          </w:p>
        </w:tc>
        <w:tc>
          <w:tcPr>
            <w:tcW w:w="700" w:type="dxa"/>
          </w:tcPr>
          <w:p w14:paraId="1A574608" w14:textId="4EBB3DA2" w:rsidR="3BDDEF42" w:rsidRDefault="3BDDEF42" w:rsidP="3BDDEF42">
            <w:pPr>
              <w:spacing w:line="360" w:lineRule="auto"/>
              <w:jc w:val="both"/>
              <w:rPr>
                <w:rFonts w:ascii="Arial" w:eastAsia="Arial" w:hAnsi="Arial" w:cs="Arial"/>
              </w:rPr>
            </w:pPr>
            <w:r w:rsidRPr="3BDDEF42">
              <w:rPr>
                <w:rFonts w:ascii="Arial" w:eastAsia="Arial" w:hAnsi="Arial" w:cs="Arial"/>
              </w:rPr>
              <w:t>2023</w:t>
            </w:r>
          </w:p>
        </w:tc>
        <w:tc>
          <w:tcPr>
            <w:tcW w:w="620" w:type="dxa"/>
          </w:tcPr>
          <w:p w14:paraId="77B8BEA8" w14:textId="299F3BEA" w:rsidR="3BDDEF42" w:rsidRDefault="3BDDEF42" w:rsidP="3BDDEF42">
            <w:pPr>
              <w:spacing w:line="360" w:lineRule="auto"/>
              <w:jc w:val="both"/>
              <w:rPr>
                <w:rFonts w:ascii="Arial" w:eastAsia="Arial" w:hAnsi="Arial" w:cs="Arial"/>
              </w:rPr>
            </w:pPr>
            <w:r w:rsidRPr="3BDDEF42">
              <w:rPr>
                <w:rFonts w:ascii="Arial" w:eastAsia="Arial" w:hAnsi="Arial" w:cs="Arial"/>
              </w:rPr>
              <w:t>2022</w:t>
            </w:r>
          </w:p>
        </w:tc>
        <w:tc>
          <w:tcPr>
            <w:tcW w:w="620" w:type="dxa"/>
          </w:tcPr>
          <w:p w14:paraId="3B4BE812" w14:textId="6DC41B3C" w:rsidR="3BDDEF42" w:rsidRDefault="3BDDEF42" w:rsidP="3BDDEF42">
            <w:pPr>
              <w:spacing w:line="360" w:lineRule="auto"/>
              <w:jc w:val="both"/>
              <w:rPr>
                <w:rFonts w:ascii="Arial" w:eastAsia="Arial" w:hAnsi="Arial" w:cs="Arial"/>
              </w:rPr>
            </w:pPr>
            <w:r w:rsidRPr="3BDDEF42">
              <w:rPr>
                <w:rFonts w:ascii="Arial" w:eastAsia="Arial" w:hAnsi="Arial" w:cs="Arial"/>
              </w:rPr>
              <w:t>2021</w:t>
            </w:r>
          </w:p>
        </w:tc>
        <w:tc>
          <w:tcPr>
            <w:tcW w:w="620" w:type="dxa"/>
          </w:tcPr>
          <w:p w14:paraId="7A983EF8" w14:textId="45E9ECD6" w:rsidR="3BDDEF42" w:rsidRDefault="3BDDEF42" w:rsidP="3BDDEF42">
            <w:pPr>
              <w:spacing w:line="360" w:lineRule="auto"/>
              <w:jc w:val="both"/>
              <w:rPr>
                <w:rFonts w:ascii="Arial" w:eastAsia="Arial" w:hAnsi="Arial" w:cs="Arial"/>
              </w:rPr>
            </w:pPr>
            <w:r w:rsidRPr="3BDDEF42">
              <w:rPr>
                <w:rFonts w:ascii="Arial" w:eastAsia="Arial" w:hAnsi="Arial" w:cs="Arial"/>
              </w:rPr>
              <w:t>2020</w:t>
            </w:r>
          </w:p>
        </w:tc>
      </w:tr>
      <w:tr w:rsidR="3BDDEF42" w14:paraId="7B96C790" w14:textId="77777777" w:rsidTr="3BDDEF42">
        <w:trPr>
          <w:trHeight w:val="300"/>
        </w:trPr>
        <w:tc>
          <w:tcPr>
            <w:tcW w:w="1566" w:type="dxa"/>
          </w:tcPr>
          <w:p w14:paraId="34AF1E55" w14:textId="1A02FB1D" w:rsidR="3BDDEF42" w:rsidRDefault="3BDDEF42" w:rsidP="3BDDEF42">
            <w:pPr>
              <w:spacing w:line="360" w:lineRule="auto"/>
              <w:jc w:val="both"/>
              <w:rPr>
                <w:rFonts w:ascii="Arial" w:eastAsia="Arial" w:hAnsi="Arial" w:cs="Arial"/>
              </w:rPr>
            </w:pPr>
            <w:r w:rsidRPr="3BDDEF42">
              <w:rPr>
                <w:rFonts w:ascii="Arial" w:eastAsia="Arial" w:hAnsi="Arial" w:cs="Arial"/>
              </w:rPr>
              <w:t>Profitability</w:t>
            </w:r>
          </w:p>
        </w:tc>
        <w:tc>
          <w:tcPr>
            <w:tcW w:w="2559" w:type="dxa"/>
          </w:tcPr>
          <w:p w14:paraId="4228FE3B" w14:textId="7DFD0200" w:rsidR="3BDDEF42" w:rsidRDefault="3BDDEF42" w:rsidP="3BDDEF42">
            <w:pPr>
              <w:spacing w:line="360" w:lineRule="auto"/>
              <w:jc w:val="both"/>
              <w:rPr>
                <w:rFonts w:ascii="Arial" w:eastAsia="Arial" w:hAnsi="Arial" w:cs="Arial"/>
              </w:rPr>
            </w:pPr>
            <w:r w:rsidRPr="3BDDEF42">
              <w:rPr>
                <w:rFonts w:ascii="Arial" w:eastAsia="Arial" w:hAnsi="Arial" w:cs="Arial"/>
              </w:rPr>
              <w:t>Net Profit Margin (%)</w:t>
            </w:r>
          </w:p>
        </w:tc>
        <w:tc>
          <w:tcPr>
            <w:tcW w:w="4833" w:type="dxa"/>
          </w:tcPr>
          <w:p w14:paraId="3A6FAD3E" w14:textId="794736B1" w:rsidR="3BDDEF42" w:rsidRDefault="3BDDEF42" w:rsidP="3BDDEF42">
            <w:pPr>
              <w:spacing w:line="360" w:lineRule="auto"/>
              <w:jc w:val="both"/>
              <w:rPr>
                <w:rFonts w:ascii="Arial" w:eastAsia="Arial" w:hAnsi="Arial" w:cs="Arial"/>
              </w:rPr>
            </w:pPr>
            <w:r w:rsidRPr="3BDDEF42">
              <w:rPr>
                <w:rFonts w:ascii="Arial" w:eastAsia="Arial" w:hAnsi="Arial" w:cs="Arial"/>
              </w:rPr>
              <w:t>Net Income / Net Sales</w:t>
            </w:r>
          </w:p>
        </w:tc>
        <w:tc>
          <w:tcPr>
            <w:tcW w:w="620" w:type="dxa"/>
          </w:tcPr>
          <w:p w14:paraId="4653121F" w14:textId="594C0204" w:rsidR="3BDDEF42" w:rsidRDefault="3BDDEF42" w:rsidP="3BDDEF42">
            <w:pPr>
              <w:spacing w:line="360" w:lineRule="auto"/>
              <w:jc w:val="both"/>
              <w:rPr>
                <w:rFonts w:ascii="Arial" w:eastAsia="Arial" w:hAnsi="Arial" w:cs="Arial"/>
              </w:rPr>
            </w:pPr>
            <w:r w:rsidRPr="3BDDEF42">
              <w:rPr>
                <w:rFonts w:ascii="Arial" w:eastAsia="Arial" w:hAnsi="Arial" w:cs="Arial"/>
              </w:rPr>
              <w:t>-6.1%</w:t>
            </w:r>
          </w:p>
        </w:tc>
        <w:tc>
          <w:tcPr>
            <w:tcW w:w="700" w:type="dxa"/>
          </w:tcPr>
          <w:p w14:paraId="2F98D79B" w14:textId="4C73DE05" w:rsidR="3BDDEF42" w:rsidRDefault="3BDDEF42" w:rsidP="3BDDEF42">
            <w:pPr>
              <w:spacing w:line="360" w:lineRule="auto"/>
              <w:jc w:val="both"/>
              <w:rPr>
                <w:rFonts w:ascii="Arial" w:eastAsia="Arial" w:hAnsi="Arial" w:cs="Arial"/>
              </w:rPr>
            </w:pPr>
            <w:r w:rsidRPr="3BDDEF42">
              <w:rPr>
                <w:rFonts w:ascii="Arial" w:eastAsia="Arial" w:hAnsi="Arial" w:cs="Arial"/>
              </w:rPr>
              <w:t>-23.4%</w:t>
            </w:r>
          </w:p>
        </w:tc>
        <w:tc>
          <w:tcPr>
            <w:tcW w:w="620" w:type="dxa"/>
          </w:tcPr>
          <w:p w14:paraId="4966C746" w14:textId="372DFEAC" w:rsidR="3BDDEF42" w:rsidRDefault="3BDDEF42" w:rsidP="3BDDEF42">
            <w:pPr>
              <w:spacing w:line="360" w:lineRule="auto"/>
              <w:jc w:val="both"/>
              <w:rPr>
                <w:rFonts w:ascii="Arial" w:eastAsia="Arial" w:hAnsi="Arial" w:cs="Arial"/>
              </w:rPr>
            </w:pPr>
            <w:r w:rsidRPr="3BDDEF42">
              <w:rPr>
                <w:rFonts w:ascii="Arial" w:eastAsia="Arial" w:hAnsi="Arial" w:cs="Arial"/>
              </w:rPr>
              <w:t>0.1%</w:t>
            </w:r>
          </w:p>
        </w:tc>
        <w:tc>
          <w:tcPr>
            <w:tcW w:w="620" w:type="dxa"/>
          </w:tcPr>
          <w:p w14:paraId="790A53BC" w14:textId="49260E9C" w:rsidR="3BDDEF42" w:rsidRDefault="3BDDEF42" w:rsidP="3BDDEF42">
            <w:pPr>
              <w:spacing w:line="360" w:lineRule="auto"/>
              <w:jc w:val="both"/>
              <w:rPr>
                <w:rFonts w:ascii="Arial" w:eastAsia="Arial" w:hAnsi="Arial" w:cs="Arial"/>
              </w:rPr>
            </w:pPr>
            <w:r w:rsidRPr="3BDDEF42">
              <w:rPr>
                <w:rFonts w:ascii="Arial" w:eastAsia="Arial" w:hAnsi="Arial" w:cs="Arial"/>
              </w:rPr>
              <w:t>0.9%</w:t>
            </w:r>
          </w:p>
        </w:tc>
        <w:tc>
          <w:tcPr>
            <w:tcW w:w="620" w:type="dxa"/>
          </w:tcPr>
          <w:p w14:paraId="3B352634" w14:textId="3ECC1CD6" w:rsidR="3BDDEF42" w:rsidRDefault="3BDDEF42" w:rsidP="3BDDEF42">
            <w:pPr>
              <w:spacing w:line="360" w:lineRule="auto"/>
              <w:jc w:val="both"/>
              <w:rPr>
                <w:rFonts w:ascii="Arial" w:eastAsia="Arial" w:hAnsi="Arial" w:cs="Arial"/>
              </w:rPr>
            </w:pPr>
            <w:r w:rsidRPr="3BDDEF42">
              <w:rPr>
                <w:rFonts w:ascii="Arial" w:eastAsia="Arial" w:hAnsi="Arial" w:cs="Arial"/>
              </w:rPr>
              <w:t>6.3%</w:t>
            </w:r>
          </w:p>
        </w:tc>
      </w:tr>
      <w:tr w:rsidR="3BDDEF42" w14:paraId="05D29C6C" w14:textId="77777777" w:rsidTr="3BDDEF42">
        <w:trPr>
          <w:trHeight w:val="300"/>
        </w:trPr>
        <w:tc>
          <w:tcPr>
            <w:tcW w:w="1566" w:type="dxa"/>
          </w:tcPr>
          <w:p w14:paraId="2C27397F" w14:textId="755E9F2C" w:rsidR="3BDDEF42" w:rsidRDefault="3BDDEF42" w:rsidP="3BDDEF42">
            <w:pPr>
              <w:spacing w:line="360" w:lineRule="auto"/>
              <w:jc w:val="both"/>
              <w:rPr>
                <w:rFonts w:ascii="Arial" w:eastAsia="Arial" w:hAnsi="Arial" w:cs="Arial"/>
              </w:rPr>
            </w:pPr>
          </w:p>
        </w:tc>
        <w:tc>
          <w:tcPr>
            <w:tcW w:w="2559" w:type="dxa"/>
          </w:tcPr>
          <w:p w14:paraId="78DF1E0D" w14:textId="055BBC9D" w:rsidR="3BDDEF42" w:rsidRDefault="3BDDEF42" w:rsidP="3BDDEF42">
            <w:pPr>
              <w:spacing w:line="360" w:lineRule="auto"/>
              <w:jc w:val="both"/>
              <w:rPr>
                <w:rFonts w:ascii="Arial" w:eastAsia="Arial" w:hAnsi="Arial" w:cs="Arial"/>
              </w:rPr>
            </w:pPr>
            <w:r w:rsidRPr="3BDDEF42">
              <w:rPr>
                <w:rFonts w:ascii="Arial" w:eastAsia="Arial" w:hAnsi="Arial" w:cs="Arial"/>
              </w:rPr>
              <w:t>ROCE (%)</w:t>
            </w:r>
          </w:p>
        </w:tc>
        <w:tc>
          <w:tcPr>
            <w:tcW w:w="4833" w:type="dxa"/>
          </w:tcPr>
          <w:p w14:paraId="09461B33" w14:textId="59EF9A84" w:rsidR="3BDDEF42" w:rsidRDefault="3BDDEF42" w:rsidP="3BDDEF42">
            <w:pPr>
              <w:spacing w:line="360" w:lineRule="auto"/>
              <w:jc w:val="both"/>
              <w:rPr>
                <w:rFonts w:ascii="Arial" w:eastAsia="Arial" w:hAnsi="Arial" w:cs="Arial"/>
              </w:rPr>
            </w:pPr>
            <w:r w:rsidRPr="3BDDEF42">
              <w:rPr>
                <w:rFonts w:ascii="Arial" w:eastAsia="Arial" w:hAnsi="Arial" w:cs="Arial"/>
              </w:rPr>
              <w:t>EBIT / (Total Assets - Current Liabilities)</w:t>
            </w:r>
          </w:p>
        </w:tc>
        <w:tc>
          <w:tcPr>
            <w:tcW w:w="620" w:type="dxa"/>
          </w:tcPr>
          <w:p w14:paraId="2BBA7928" w14:textId="46AC1226" w:rsidR="3BDDEF42" w:rsidRDefault="3BDDEF42" w:rsidP="3BDDEF42">
            <w:pPr>
              <w:spacing w:line="360" w:lineRule="auto"/>
              <w:jc w:val="both"/>
              <w:rPr>
                <w:rFonts w:ascii="Arial" w:eastAsia="Arial" w:hAnsi="Arial" w:cs="Arial"/>
              </w:rPr>
            </w:pPr>
            <w:r w:rsidRPr="3BDDEF42">
              <w:rPr>
                <w:rFonts w:ascii="Arial" w:eastAsia="Arial" w:hAnsi="Arial" w:cs="Arial"/>
              </w:rPr>
              <w:t>-9.3%</w:t>
            </w:r>
          </w:p>
        </w:tc>
        <w:tc>
          <w:tcPr>
            <w:tcW w:w="700" w:type="dxa"/>
          </w:tcPr>
          <w:p w14:paraId="4003090A" w14:textId="35FCF4C1" w:rsidR="3BDDEF42" w:rsidRDefault="3BDDEF42" w:rsidP="3BDDEF42">
            <w:pPr>
              <w:spacing w:line="360" w:lineRule="auto"/>
              <w:jc w:val="both"/>
              <w:rPr>
                <w:rFonts w:ascii="Arial" w:eastAsia="Arial" w:hAnsi="Arial" w:cs="Arial"/>
              </w:rPr>
            </w:pPr>
            <w:r w:rsidRPr="3BDDEF42">
              <w:rPr>
                <w:rFonts w:ascii="Arial" w:eastAsia="Arial" w:hAnsi="Arial" w:cs="Arial"/>
              </w:rPr>
              <w:t>-43.9%</w:t>
            </w:r>
          </w:p>
        </w:tc>
        <w:tc>
          <w:tcPr>
            <w:tcW w:w="620" w:type="dxa"/>
          </w:tcPr>
          <w:p w14:paraId="24A9DD2B" w14:textId="43FE9960" w:rsidR="3BDDEF42" w:rsidRDefault="3BDDEF42" w:rsidP="3BDDEF42">
            <w:pPr>
              <w:spacing w:line="360" w:lineRule="auto"/>
              <w:jc w:val="both"/>
              <w:rPr>
                <w:rFonts w:ascii="Arial" w:eastAsia="Arial" w:hAnsi="Arial" w:cs="Arial"/>
              </w:rPr>
            </w:pPr>
            <w:r w:rsidRPr="3BDDEF42">
              <w:rPr>
                <w:rFonts w:ascii="Arial" w:eastAsia="Arial" w:hAnsi="Arial" w:cs="Arial"/>
              </w:rPr>
              <w:t>5.0%</w:t>
            </w:r>
          </w:p>
        </w:tc>
        <w:tc>
          <w:tcPr>
            <w:tcW w:w="620" w:type="dxa"/>
          </w:tcPr>
          <w:p w14:paraId="4CE430C5" w14:textId="33E21A18" w:rsidR="3BDDEF42" w:rsidRDefault="3BDDEF42" w:rsidP="3BDDEF42">
            <w:pPr>
              <w:spacing w:line="360" w:lineRule="auto"/>
              <w:jc w:val="both"/>
              <w:rPr>
                <w:rFonts w:ascii="Arial" w:eastAsia="Arial" w:hAnsi="Arial" w:cs="Arial"/>
              </w:rPr>
            </w:pPr>
            <w:r w:rsidRPr="3BDDEF42">
              <w:rPr>
                <w:rFonts w:ascii="Arial" w:eastAsia="Arial" w:hAnsi="Arial" w:cs="Arial"/>
              </w:rPr>
              <w:t>7.9%</w:t>
            </w:r>
          </w:p>
        </w:tc>
        <w:tc>
          <w:tcPr>
            <w:tcW w:w="620" w:type="dxa"/>
          </w:tcPr>
          <w:p w14:paraId="1F5E1699" w14:textId="18A55EAC" w:rsidR="3BDDEF42" w:rsidRDefault="3BDDEF42" w:rsidP="3BDDEF42">
            <w:pPr>
              <w:spacing w:line="360" w:lineRule="auto"/>
              <w:jc w:val="both"/>
              <w:rPr>
                <w:rFonts w:ascii="Arial" w:eastAsia="Arial" w:hAnsi="Arial" w:cs="Arial"/>
              </w:rPr>
            </w:pPr>
            <w:r w:rsidRPr="3BDDEF42">
              <w:rPr>
                <w:rFonts w:ascii="Arial" w:eastAsia="Arial" w:hAnsi="Arial" w:cs="Arial"/>
              </w:rPr>
              <w:t>11.3%</w:t>
            </w:r>
          </w:p>
        </w:tc>
      </w:tr>
      <w:tr w:rsidR="3BDDEF42" w14:paraId="5EC70B41" w14:textId="77777777" w:rsidTr="3BDDEF42">
        <w:trPr>
          <w:trHeight w:val="300"/>
        </w:trPr>
        <w:tc>
          <w:tcPr>
            <w:tcW w:w="1566" w:type="dxa"/>
          </w:tcPr>
          <w:p w14:paraId="264355E6" w14:textId="045C53AA" w:rsidR="3BDDEF42" w:rsidRDefault="3BDDEF42" w:rsidP="3BDDEF42">
            <w:pPr>
              <w:spacing w:line="360" w:lineRule="auto"/>
              <w:jc w:val="both"/>
              <w:rPr>
                <w:rFonts w:ascii="Arial" w:eastAsia="Arial" w:hAnsi="Arial" w:cs="Arial"/>
              </w:rPr>
            </w:pPr>
            <w:r w:rsidRPr="3BDDEF42">
              <w:rPr>
                <w:rFonts w:ascii="Arial" w:eastAsia="Arial" w:hAnsi="Arial" w:cs="Arial"/>
              </w:rPr>
              <w:t>Liquidity</w:t>
            </w:r>
          </w:p>
        </w:tc>
        <w:tc>
          <w:tcPr>
            <w:tcW w:w="2559" w:type="dxa"/>
          </w:tcPr>
          <w:p w14:paraId="5EC7BE9F" w14:textId="18978D3A" w:rsidR="3BDDEF42" w:rsidRDefault="3BDDEF42" w:rsidP="3BDDEF42">
            <w:pPr>
              <w:spacing w:line="360" w:lineRule="auto"/>
              <w:jc w:val="both"/>
              <w:rPr>
                <w:rFonts w:ascii="Arial" w:eastAsia="Arial" w:hAnsi="Arial" w:cs="Arial"/>
              </w:rPr>
            </w:pPr>
            <w:r w:rsidRPr="3BDDEF42">
              <w:rPr>
                <w:rFonts w:ascii="Arial" w:eastAsia="Arial" w:hAnsi="Arial" w:cs="Arial"/>
              </w:rPr>
              <w:t>Current Ratio</w:t>
            </w:r>
          </w:p>
        </w:tc>
        <w:tc>
          <w:tcPr>
            <w:tcW w:w="4833" w:type="dxa"/>
          </w:tcPr>
          <w:p w14:paraId="3C3A35FF" w14:textId="6572B018" w:rsidR="3BDDEF42" w:rsidRDefault="3BDDEF42" w:rsidP="3BDDEF42">
            <w:pPr>
              <w:spacing w:line="360" w:lineRule="auto"/>
              <w:jc w:val="both"/>
              <w:rPr>
                <w:rFonts w:ascii="Arial" w:eastAsia="Arial" w:hAnsi="Arial" w:cs="Arial"/>
              </w:rPr>
            </w:pPr>
            <w:r w:rsidRPr="3BDDEF42">
              <w:rPr>
                <w:rFonts w:ascii="Arial" w:eastAsia="Arial" w:hAnsi="Arial" w:cs="Arial"/>
              </w:rPr>
              <w:t>Current Assets / Current Liabilities</w:t>
            </w:r>
          </w:p>
        </w:tc>
        <w:tc>
          <w:tcPr>
            <w:tcW w:w="620" w:type="dxa"/>
          </w:tcPr>
          <w:p w14:paraId="3AF83CC1" w14:textId="2954BB09" w:rsidR="3BDDEF42" w:rsidRDefault="3BDDEF42" w:rsidP="3BDDEF42">
            <w:pPr>
              <w:spacing w:line="360" w:lineRule="auto"/>
              <w:jc w:val="both"/>
              <w:rPr>
                <w:rFonts w:ascii="Arial" w:eastAsia="Arial" w:hAnsi="Arial" w:cs="Arial"/>
              </w:rPr>
            </w:pPr>
            <w:r w:rsidRPr="3BDDEF42">
              <w:rPr>
                <w:rFonts w:ascii="Arial" w:eastAsia="Arial" w:hAnsi="Arial" w:cs="Arial"/>
              </w:rPr>
              <w:t>1.53</w:t>
            </w:r>
          </w:p>
        </w:tc>
        <w:tc>
          <w:tcPr>
            <w:tcW w:w="700" w:type="dxa"/>
          </w:tcPr>
          <w:p w14:paraId="6C0C2EE8" w14:textId="1A91C8B4" w:rsidR="3BDDEF42" w:rsidRDefault="3BDDEF42" w:rsidP="3BDDEF42">
            <w:pPr>
              <w:spacing w:line="360" w:lineRule="auto"/>
              <w:jc w:val="both"/>
              <w:rPr>
                <w:rFonts w:ascii="Arial" w:eastAsia="Arial" w:hAnsi="Arial" w:cs="Arial"/>
              </w:rPr>
            </w:pPr>
            <w:r w:rsidRPr="3BDDEF42">
              <w:rPr>
                <w:rFonts w:ascii="Arial" w:eastAsia="Arial" w:hAnsi="Arial" w:cs="Arial"/>
              </w:rPr>
              <w:t>1.61</w:t>
            </w:r>
          </w:p>
        </w:tc>
        <w:tc>
          <w:tcPr>
            <w:tcW w:w="620" w:type="dxa"/>
          </w:tcPr>
          <w:p w14:paraId="76B6CD4D" w14:textId="243DCD4A" w:rsidR="3BDDEF42" w:rsidRDefault="3BDDEF42" w:rsidP="3BDDEF42">
            <w:pPr>
              <w:spacing w:line="360" w:lineRule="auto"/>
              <w:jc w:val="both"/>
              <w:rPr>
                <w:rFonts w:ascii="Arial" w:eastAsia="Arial" w:hAnsi="Arial" w:cs="Arial"/>
              </w:rPr>
            </w:pPr>
            <w:r w:rsidRPr="3BDDEF42">
              <w:rPr>
                <w:rFonts w:ascii="Arial" w:eastAsia="Arial" w:hAnsi="Arial" w:cs="Arial"/>
              </w:rPr>
              <w:t>1.56</w:t>
            </w:r>
          </w:p>
        </w:tc>
        <w:tc>
          <w:tcPr>
            <w:tcW w:w="620" w:type="dxa"/>
          </w:tcPr>
          <w:p w14:paraId="60EF2355" w14:textId="1700522E" w:rsidR="3BDDEF42" w:rsidRDefault="3BDDEF42" w:rsidP="3BDDEF42">
            <w:pPr>
              <w:spacing w:line="360" w:lineRule="auto"/>
              <w:jc w:val="both"/>
              <w:rPr>
                <w:rFonts w:ascii="Arial" w:eastAsia="Arial" w:hAnsi="Arial" w:cs="Arial"/>
              </w:rPr>
            </w:pPr>
            <w:r w:rsidRPr="3BDDEF42">
              <w:rPr>
                <w:rFonts w:ascii="Arial" w:eastAsia="Arial" w:hAnsi="Arial" w:cs="Arial"/>
              </w:rPr>
              <w:t>1.56</w:t>
            </w:r>
          </w:p>
        </w:tc>
        <w:tc>
          <w:tcPr>
            <w:tcW w:w="620" w:type="dxa"/>
          </w:tcPr>
          <w:p w14:paraId="2A65F48A" w14:textId="198DAA92" w:rsidR="3BDDEF42" w:rsidRDefault="3BDDEF42" w:rsidP="3BDDEF42">
            <w:pPr>
              <w:spacing w:line="360" w:lineRule="auto"/>
              <w:jc w:val="both"/>
              <w:rPr>
                <w:rFonts w:ascii="Arial" w:eastAsia="Arial" w:hAnsi="Arial" w:cs="Arial"/>
              </w:rPr>
            </w:pPr>
            <w:r w:rsidRPr="3BDDEF42">
              <w:rPr>
                <w:rFonts w:ascii="Arial" w:eastAsia="Arial" w:hAnsi="Arial" w:cs="Arial"/>
              </w:rPr>
              <w:t>1.82</w:t>
            </w:r>
          </w:p>
        </w:tc>
      </w:tr>
      <w:tr w:rsidR="3BDDEF42" w14:paraId="273180F8" w14:textId="77777777" w:rsidTr="3BDDEF42">
        <w:trPr>
          <w:trHeight w:val="300"/>
        </w:trPr>
        <w:tc>
          <w:tcPr>
            <w:tcW w:w="1566" w:type="dxa"/>
          </w:tcPr>
          <w:p w14:paraId="2DEA2ED3" w14:textId="3FEE5B89" w:rsidR="3BDDEF42" w:rsidRDefault="3BDDEF42" w:rsidP="3BDDEF42">
            <w:pPr>
              <w:spacing w:line="360" w:lineRule="auto"/>
              <w:jc w:val="both"/>
              <w:rPr>
                <w:rFonts w:ascii="Arial" w:eastAsia="Arial" w:hAnsi="Arial" w:cs="Arial"/>
              </w:rPr>
            </w:pPr>
          </w:p>
        </w:tc>
        <w:tc>
          <w:tcPr>
            <w:tcW w:w="2559" w:type="dxa"/>
          </w:tcPr>
          <w:p w14:paraId="39733F5D" w14:textId="33D10836" w:rsidR="3BDDEF42" w:rsidRDefault="3BDDEF42" w:rsidP="3BDDEF42">
            <w:pPr>
              <w:spacing w:line="360" w:lineRule="auto"/>
              <w:jc w:val="both"/>
              <w:rPr>
                <w:rFonts w:ascii="Arial" w:eastAsia="Arial" w:hAnsi="Arial" w:cs="Arial"/>
              </w:rPr>
            </w:pPr>
            <w:r w:rsidRPr="3BDDEF42">
              <w:rPr>
                <w:rFonts w:ascii="Arial" w:eastAsia="Arial" w:hAnsi="Arial" w:cs="Arial"/>
              </w:rPr>
              <w:t>Quick Ratio</w:t>
            </w:r>
          </w:p>
        </w:tc>
        <w:tc>
          <w:tcPr>
            <w:tcW w:w="4833" w:type="dxa"/>
          </w:tcPr>
          <w:p w14:paraId="2640B4CC" w14:textId="22DBF419" w:rsidR="3BDDEF42" w:rsidRDefault="3BDDEF42" w:rsidP="3BDDEF42">
            <w:pPr>
              <w:spacing w:line="360" w:lineRule="auto"/>
              <w:jc w:val="both"/>
              <w:rPr>
                <w:rFonts w:ascii="Arial" w:eastAsia="Arial" w:hAnsi="Arial" w:cs="Arial"/>
              </w:rPr>
            </w:pPr>
            <w:r w:rsidRPr="3BDDEF42">
              <w:rPr>
                <w:rFonts w:ascii="Arial" w:eastAsia="Arial" w:hAnsi="Arial" w:cs="Arial"/>
              </w:rPr>
              <w:t>(Current Assets - Inventory) / Current Liabilities</w:t>
            </w:r>
          </w:p>
        </w:tc>
        <w:tc>
          <w:tcPr>
            <w:tcW w:w="620" w:type="dxa"/>
          </w:tcPr>
          <w:p w14:paraId="6FC46FFA" w14:textId="19D50BF6" w:rsidR="3BDDEF42" w:rsidRDefault="3BDDEF42" w:rsidP="3BDDEF42">
            <w:pPr>
              <w:spacing w:line="360" w:lineRule="auto"/>
              <w:jc w:val="both"/>
              <w:rPr>
                <w:rFonts w:ascii="Arial" w:eastAsia="Arial" w:hAnsi="Arial" w:cs="Arial"/>
              </w:rPr>
            </w:pPr>
            <w:r w:rsidRPr="3BDDEF42">
              <w:rPr>
                <w:rFonts w:ascii="Arial" w:eastAsia="Arial" w:hAnsi="Arial" w:cs="Arial"/>
              </w:rPr>
              <w:t>1.03</w:t>
            </w:r>
          </w:p>
        </w:tc>
        <w:tc>
          <w:tcPr>
            <w:tcW w:w="700" w:type="dxa"/>
          </w:tcPr>
          <w:p w14:paraId="24B226C4" w14:textId="334798CB" w:rsidR="3BDDEF42" w:rsidRDefault="3BDDEF42" w:rsidP="3BDDEF42">
            <w:pPr>
              <w:spacing w:line="360" w:lineRule="auto"/>
              <w:jc w:val="both"/>
              <w:rPr>
                <w:rFonts w:ascii="Arial" w:eastAsia="Arial" w:hAnsi="Arial" w:cs="Arial"/>
              </w:rPr>
            </w:pPr>
            <w:r w:rsidRPr="3BDDEF42">
              <w:rPr>
                <w:rFonts w:ascii="Arial" w:eastAsia="Arial" w:hAnsi="Arial" w:cs="Arial"/>
              </w:rPr>
              <w:t>1.06</w:t>
            </w:r>
          </w:p>
        </w:tc>
        <w:tc>
          <w:tcPr>
            <w:tcW w:w="620" w:type="dxa"/>
          </w:tcPr>
          <w:p w14:paraId="1D1213F7" w14:textId="1D95ED4B" w:rsidR="3BDDEF42" w:rsidRDefault="3BDDEF42" w:rsidP="3BDDEF42">
            <w:pPr>
              <w:spacing w:line="360" w:lineRule="auto"/>
              <w:jc w:val="both"/>
              <w:rPr>
                <w:rFonts w:ascii="Arial" w:eastAsia="Arial" w:hAnsi="Arial" w:cs="Arial"/>
              </w:rPr>
            </w:pPr>
            <w:r w:rsidRPr="3BDDEF42">
              <w:rPr>
                <w:rFonts w:ascii="Arial" w:eastAsia="Arial" w:hAnsi="Arial" w:cs="Arial"/>
              </w:rPr>
              <w:t>0.91</w:t>
            </w:r>
          </w:p>
        </w:tc>
        <w:tc>
          <w:tcPr>
            <w:tcW w:w="620" w:type="dxa"/>
          </w:tcPr>
          <w:p w14:paraId="6D6F4C78" w14:textId="32B0500C" w:rsidR="3BDDEF42" w:rsidRDefault="3BDDEF42" w:rsidP="3BDDEF42">
            <w:pPr>
              <w:spacing w:line="360" w:lineRule="auto"/>
              <w:jc w:val="both"/>
              <w:rPr>
                <w:rFonts w:ascii="Arial" w:eastAsia="Arial" w:hAnsi="Arial" w:cs="Arial"/>
              </w:rPr>
            </w:pPr>
            <w:r w:rsidRPr="3BDDEF42">
              <w:rPr>
                <w:rFonts w:ascii="Arial" w:eastAsia="Arial" w:hAnsi="Arial" w:cs="Arial"/>
              </w:rPr>
              <w:t>0.93</w:t>
            </w:r>
          </w:p>
        </w:tc>
        <w:tc>
          <w:tcPr>
            <w:tcW w:w="620" w:type="dxa"/>
          </w:tcPr>
          <w:p w14:paraId="1D63E42C" w14:textId="265E9603" w:rsidR="3BDDEF42" w:rsidRDefault="3BDDEF42" w:rsidP="3BDDEF42">
            <w:pPr>
              <w:spacing w:line="360" w:lineRule="auto"/>
              <w:jc w:val="both"/>
              <w:rPr>
                <w:rFonts w:ascii="Arial" w:eastAsia="Arial" w:hAnsi="Arial" w:cs="Arial"/>
              </w:rPr>
            </w:pPr>
            <w:r w:rsidRPr="3BDDEF42">
              <w:rPr>
                <w:rFonts w:ascii="Arial" w:eastAsia="Arial" w:hAnsi="Arial" w:cs="Arial"/>
              </w:rPr>
              <w:t>1.15</w:t>
            </w:r>
          </w:p>
        </w:tc>
      </w:tr>
      <w:tr w:rsidR="3BDDEF42" w14:paraId="43D8C074" w14:textId="77777777" w:rsidTr="3BDDEF42">
        <w:trPr>
          <w:trHeight w:val="300"/>
        </w:trPr>
        <w:tc>
          <w:tcPr>
            <w:tcW w:w="1566" w:type="dxa"/>
          </w:tcPr>
          <w:p w14:paraId="3C78710B" w14:textId="149AC088" w:rsidR="3BDDEF42" w:rsidRDefault="3BDDEF42" w:rsidP="3BDDEF42">
            <w:pPr>
              <w:spacing w:line="360" w:lineRule="auto"/>
              <w:jc w:val="both"/>
              <w:rPr>
                <w:rFonts w:ascii="Arial" w:eastAsia="Arial" w:hAnsi="Arial" w:cs="Arial"/>
              </w:rPr>
            </w:pPr>
            <w:r w:rsidRPr="3BDDEF42">
              <w:rPr>
                <w:rFonts w:ascii="Arial" w:eastAsia="Arial" w:hAnsi="Arial" w:cs="Arial"/>
              </w:rPr>
              <w:t>Efficiency</w:t>
            </w:r>
          </w:p>
        </w:tc>
        <w:tc>
          <w:tcPr>
            <w:tcW w:w="2559" w:type="dxa"/>
          </w:tcPr>
          <w:p w14:paraId="09212398" w14:textId="7CC384ED" w:rsidR="3BDDEF42" w:rsidRDefault="3BDDEF42" w:rsidP="3BDDEF42">
            <w:pPr>
              <w:spacing w:line="360" w:lineRule="auto"/>
              <w:jc w:val="both"/>
              <w:rPr>
                <w:rFonts w:ascii="Arial" w:eastAsia="Arial" w:hAnsi="Arial" w:cs="Arial"/>
              </w:rPr>
            </w:pPr>
            <w:r w:rsidRPr="3BDDEF42">
              <w:rPr>
                <w:rFonts w:ascii="Arial" w:eastAsia="Arial" w:hAnsi="Arial" w:cs="Arial"/>
              </w:rPr>
              <w:t>Inventory Period (Days)</w:t>
            </w:r>
          </w:p>
        </w:tc>
        <w:tc>
          <w:tcPr>
            <w:tcW w:w="4833" w:type="dxa"/>
          </w:tcPr>
          <w:p w14:paraId="19941EDC" w14:textId="7C22EFA9" w:rsidR="3BDDEF42" w:rsidRDefault="3BDDEF42" w:rsidP="3BDDEF42">
            <w:pPr>
              <w:spacing w:line="360" w:lineRule="auto"/>
              <w:jc w:val="both"/>
              <w:rPr>
                <w:rFonts w:ascii="Arial" w:eastAsia="Arial" w:hAnsi="Arial" w:cs="Arial"/>
              </w:rPr>
            </w:pPr>
            <w:r w:rsidRPr="3BDDEF42">
              <w:rPr>
                <w:rFonts w:ascii="Arial" w:eastAsia="Arial" w:hAnsi="Arial" w:cs="Arial"/>
              </w:rPr>
              <w:t>(Inventory / Cost of Sales) * 365</w:t>
            </w:r>
          </w:p>
        </w:tc>
        <w:tc>
          <w:tcPr>
            <w:tcW w:w="620" w:type="dxa"/>
          </w:tcPr>
          <w:p w14:paraId="39B2C170" w14:textId="1ADBB29D" w:rsidR="3BDDEF42" w:rsidRDefault="3BDDEF42" w:rsidP="3BDDEF42">
            <w:pPr>
              <w:spacing w:line="360" w:lineRule="auto"/>
              <w:jc w:val="both"/>
              <w:rPr>
                <w:rFonts w:ascii="Arial" w:eastAsia="Arial" w:hAnsi="Arial" w:cs="Arial"/>
              </w:rPr>
            </w:pPr>
            <w:r w:rsidRPr="3BDDEF42">
              <w:rPr>
                <w:rFonts w:ascii="Arial" w:eastAsia="Arial" w:hAnsi="Arial" w:cs="Arial"/>
              </w:rPr>
              <w:t>103</w:t>
            </w:r>
          </w:p>
        </w:tc>
        <w:tc>
          <w:tcPr>
            <w:tcW w:w="700" w:type="dxa"/>
          </w:tcPr>
          <w:p w14:paraId="545055D3" w14:textId="61C083AD" w:rsidR="3BDDEF42" w:rsidRDefault="3BDDEF42" w:rsidP="3BDDEF42">
            <w:pPr>
              <w:spacing w:line="360" w:lineRule="auto"/>
              <w:jc w:val="both"/>
              <w:rPr>
                <w:rFonts w:ascii="Arial" w:eastAsia="Arial" w:hAnsi="Arial" w:cs="Arial"/>
              </w:rPr>
            </w:pPr>
            <w:r w:rsidRPr="3BDDEF42">
              <w:rPr>
                <w:rFonts w:ascii="Arial" w:eastAsia="Arial" w:hAnsi="Arial" w:cs="Arial"/>
              </w:rPr>
              <w:t>100</w:t>
            </w:r>
          </w:p>
        </w:tc>
        <w:tc>
          <w:tcPr>
            <w:tcW w:w="620" w:type="dxa"/>
          </w:tcPr>
          <w:p w14:paraId="77F1B7B2" w14:textId="729474D1" w:rsidR="3BDDEF42" w:rsidRDefault="3BDDEF42" w:rsidP="3BDDEF42">
            <w:pPr>
              <w:spacing w:line="360" w:lineRule="auto"/>
              <w:jc w:val="both"/>
              <w:rPr>
                <w:rFonts w:ascii="Arial" w:eastAsia="Arial" w:hAnsi="Arial" w:cs="Arial"/>
              </w:rPr>
            </w:pPr>
            <w:r w:rsidRPr="3BDDEF42">
              <w:rPr>
                <w:rFonts w:ascii="Arial" w:eastAsia="Arial" w:hAnsi="Arial" w:cs="Arial"/>
              </w:rPr>
              <w:t>131</w:t>
            </w:r>
          </w:p>
        </w:tc>
        <w:tc>
          <w:tcPr>
            <w:tcW w:w="620" w:type="dxa"/>
          </w:tcPr>
          <w:p w14:paraId="6A0FF051" w14:textId="21A071D6" w:rsidR="3BDDEF42" w:rsidRDefault="3BDDEF42" w:rsidP="3BDDEF42">
            <w:pPr>
              <w:spacing w:line="360" w:lineRule="auto"/>
              <w:jc w:val="both"/>
              <w:rPr>
                <w:rFonts w:ascii="Arial" w:eastAsia="Arial" w:hAnsi="Arial" w:cs="Arial"/>
              </w:rPr>
            </w:pPr>
            <w:r w:rsidRPr="3BDDEF42">
              <w:rPr>
                <w:rFonts w:ascii="Arial" w:eastAsia="Arial" w:hAnsi="Arial" w:cs="Arial"/>
              </w:rPr>
              <w:t>115</w:t>
            </w:r>
          </w:p>
        </w:tc>
        <w:tc>
          <w:tcPr>
            <w:tcW w:w="620" w:type="dxa"/>
          </w:tcPr>
          <w:p w14:paraId="6F17C942" w14:textId="395BDBEE" w:rsidR="3BDDEF42" w:rsidRDefault="3BDDEF42" w:rsidP="3BDDEF42">
            <w:pPr>
              <w:spacing w:line="360" w:lineRule="auto"/>
              <w:jc w:val="both"/>
              <w:rPr>
                <w:rFonts w:ascii="Arial" w:eastAsia="Arial" w:hAnsi="Arial" w:cs="Arial"/>
              </w:rPr>
            </w:pPr>
            <w:r w:rsidRPr="3BDDEF42">
              <w:rPr>
                <w:rFonts w:ascii="Arial" w:eastAsia="Arial" w:hAnsi="Arial" w:cs="Arial"/>
              </w:rPr>
              <w:t>100</w:t>
            </w:r>
          </w:p>
        </w:tc>
      </w:tr>
      <w:tr w:rsidR="3BDDEF42" w14:paraId="24BFBD81" w14:textId="77777777" w:rsidTr="3BDDEF42">
        <w:trPr>
          <w:trHeight w:val="300"/>
        </w:trPr>
        <w:tc>
          <w:tcPr>
            <w:tcW w:w="1566" w:type="dxa"/>
          </w:tcPr>
          <w:p w14:paraId="7F1B0319" w14:textId="2AB4B2EC" w:rsidR="3BDDEF42" w:rsidRDefault="3BDDEF42" w:rsidP="3BDDEF42">
            <w:pPr>
              <w:spacing w:line="360" w:lineRule="auto"/>
              <w:jc w:val="both"/>
              <w:rPr>
                <w:rFonts w:ascii="Arial" w:eastAsia="Arial" w:hAnsi="Arial" w:cs="Arial"/>
              </w:rPr>
            </w:pPr>
          </w:p>
        </w:tc>
        <w:tc>
          <w:tcPr>
            <w:tcW w:w="2559" w:type="dxa"/>
          </w:tcPr>
          <w:p w14:paraId="7EDA0602" w14:textId="59C41CF2" w:rsidR="3BDDEF42" w:rsidRDefault="3BDDEF42" w:rsidP="3BDDEF42">
            <w:pPr>
              <w:spacing w:line="360" w:lineRule="auto"/>
              <w:jc w:val="both"/>
              <w:rPr>
                <w:rFonts w:ascii="Arial" w:eastAsia="Arial" w:hAnsi="Arial" w:cs="Arial"/>
              </w:rPr>
            </w:pPr>
            <w:r w:rsidRPr="3BDDEF42">
              <w:rPr>
                <w:rFonts w:ascii="Arial" w:eastAsia="Arial" w:hAnsi="Arial" w:cs="Arial"/>
              </w:rPr>
              <w:t>Receivables Period (Days)</w:t>
            </w:r>
          </w:p>
        </w:tc>
        <w:tc>
          <w:tcPr>
            <w:tcW w:w="4833" w:type="dxa"/>
          </w:tcPr>
          <w:p w14:paraId="7899BEFC" w14:textId="0D3B8113" w:rsidR="3BDDEF42" w:rsidRDefault="3BDDEF42" w:rsidP="3BDDEF42">
            <w:pPr>
              <w:spacing w:line="360" w:lineRule="auto"/>
              <w:jc w:val="both"/>
              <w:rPr>
                <w:rFonts w:ascii="Arial" w:eastAsia="Arial" w:hAnsi="Arial" w:cs="Arial"/>
              </w:rPr>
            </w:pPr>
            <w:r w:rsidRPr="3BDDEF42">
              <w:rPr>
                <w:rFonts w:ascii="Arial" w:eastAsia="Arial" w:hAnsi="Arial" w:cs="Arial"/>
              </w:rPr>
              <w:t>(Accounts Receivable / Net Sales) * 365</w:t>
            </w:r>
          </w:p>
        </w:tc>
        <w:tc>
          <w:tcPr>
            <w:tcW w:w="620" w:type="dxa"/>
          </w:tcPr>
          <w:p w14:paraId="5D22D697" w14:textId="6052FBCB" w:rsidR="3BDDEF42" w:rsidRDefault="3BDDEF42" w:rsidP="3BDDEF42">
            <w:pPr>
              <w:spacing w:line="360" w:lineRule="auto"/>
              <w:jc w:val="both"/>
              <w:rPr>
                <w:rFonts w:ascii="Arial" w:eastAsia="Arial" w:hAnsi="Arial" w:cs="Arial"/>
              </w:rPr>
            </w:pPr>
            <w:r w:rsidRPr="3BDDEF42">
              <w:rPr>
                <w:rFonts w:ascii="Arial" w:eastAsia="Arial" w:hAnsi="Arial" w:cs="Arial"/>
              </w:rPr>
              <w:t>106</w:t>
            </w:r>
          </w:p>
        </w:tc>
        <w:tc>
          <w:tcPr>
            <w:tcW w:w="700" w:type="dxa"/>
          </w:tcPr>
          <w:p w14:paraId="38955448" w14:textId="334F5BF4" w:rsidR="3BDDEF42" w:rsidRDefault="3BDDEF42" w:rsidP="3BDDEF42">
            <w:pPr>
              <w:spacing w:line="360" w:lineRule="auto"/>
              <w:jc w:val="both"/>
              <w:rPr>
                <w:rFonts w:ascii="Arial" w:eastAsia="Arial" w:hAnsi="Arial" w:cs="Arial"/>
              </w:rPr>
            </w:pPr>
            <w:r w:rsidRPr="3BDDEF42">
              <w:rPr>
                <w:rFonts w:ascii="Arial" w:eastAsia="Arial" w:hAnsi="Arial" w:cs="Arial"/>
              </w:rPr>
              <w:t>98</w:t>
            </w:r>
          </w:p>
        </w:tc>
        <w:tc>
          <w:tcPr>
            <w:tcW w:w="620" w:type="dxa"/>
          </w:tcPr>
          <w:p w14:paraId="6A9E56F7" w14:textId="4E3AEC5A" w:rsidR="3BDDEF42" w:rsidRDefault="3BDDEF42" w:rsidP="3BDDEF42">
            <w:pPr>
              <w:spacing w:line="360" w:lineRule="auto"/>
              <w:jc w:val="both"/>
              <w:rPr>
                <w:rFonts w:ascii="Arial" w:eastAsia="Arial" w:hAnsi="Arial" w:cs="Arial"/>
              </w:rPr>
            </w:pPr>
            <w:r w:rsidRPr="3BDDEF42">
              <w:rPr>
                <w:rFonts w:ascii="Arial" w:eastAsia="Arial" w:hAnsi="Arial" w:cs="Arial"/>
              </w:rPr>
              <w:t>76</w:t>
            </w:r>
          </w:p>
        </w:tc>
        <w:tc>
          <w:tcPr>
            <w:tcW w:w="620" w:type="dxa"/>
          </w:tcPr>
          <w:p w14:paraId="7114C1D5" w14:textId="0D08B029" w:rsidR="3BDDEF42" w:rsidRDefault="3BDDEF42" w:rsidP="3BDDEF42">
            <w:pPr>
              <w:spacing w:line="360" w:lineRule="auto"/>
              <w:jc w:val="both"/>
              <w:rPr>
                <w:rFonts w:ascii="Arial" w:eastAsia="Arial" w:hAnsi="Arial" w:cs="Arial"/>
              </w:rPr>
            </w:pPr>
            <w:r w:rsidRPr="3BDDEF42">
              <w:rPr>
                <w:rFonts w:ascii="Arial" w:eastAsia="Arial" w:hAnsi="Arial" w:cs="Arial"/>
              </w:rPr>
              <w:t>78</w:t>
            </w:r>
          </w:p>
        </w:tc>
        <w:tc>
          <w:tcPr>
            <w:tcW w:w="620" w:type="dxa"/>
          </w:tcPr>
          <w:p w14:paraId="7D98AFDE" w14:textId="7B754EAF" w:rsidR="3BDDEF42" w:rsidRDefault="3BDDEF42" w:rsidP="3BDDEF42">
            <w:pPr>
              <w:spacing w:line="360" w:lineRule="auto"/>
              <w:jc w:val="both"/>
              <w:rPr>
                <w:rFonts w:ascii="Arial" w:eastAsia="Arial" w:hAnsi="Arial" w:cs="Arial"/>
              </w:rPr>
            </w:pPr>
            <w:r w:rsidRPr="3BDDEF42">
              <w:rPr>
                <w:rFonts w:ascii="Arial" w:eastAsia="Arial" w:hAnsi="Arial" w:cs="Arial"/>
              </w:rPr>
              <w:t>77</w:t>
            </w:r>
          </w:p>
        </w:tc>
      </w:tr>
      <w:tr w:rsidR="3BDDEF42" w14:paraId="7CDFB237" w14:textId="77777777" w:rsidTr="3BDDEF42">
        <w:trPr>
          <w:trHeight w:val="300"/>
        </w:trPr>
        <w:tc>
          <w:tcPr>
            <w:tcW w:w="1566" w:type="dxa"/>
          </w:tcPr>
          <w:p w14:paraId="5DF20093" w14:textId="41083FE1" w:rsidR="3BDDEF42" w:rsidRDefault="3BDDEF42" w:rsidP="3BDDEF42">
            <w:pPr>
              <w:spacing w:line="360" w:lineRule="auto"/>
              <w:jc w:val="both"/>
              <w:rPr>
                <w:rFonts w:ascii="Arial" w:eastAsia="Arial" w:hAnsi="Arial" w:cs="Arial"/>
              </w:rPr>
            </w:pPr>
            <w:r w:rsidRPr="3BDDEF42">
              <w:rPr>
                <w:rFonts w:ascii="Arial" w:eastAsia="Arial" w:hAnsi="Arial" w:cs="Arial"/>
              </w:rPr>
              <w:t>Solvency</w:t>
            </w:r>
          </w:p>
        </w:tc>
        <w:tc>
          <w:tcPr>
            <w:tcW w:w="2559" w:type="dxa"/>
          </w:tcPr>
          <w:p w14:paraId="6102B020" w14:textId="3B884388" w:rsidR="3BDDEF42" w:rsidRDefault="3BDDEF42" w:rsidP="3BDDEF42">
            <w:pPr>
              <w:spacing w:line="360" w:lineRule="auto"/>
              <w:jc w:val="both"/>
              <w:rPr>
                <w:rFonts w:ascii="Arial" w:eastAsia="Arial" w:hAnsi="Arial" w:cs="Arial"/>
              </w:rPr>
            </w:pPr>
            <w:r w:rsidRPr="3BDDEF42">
              <w:rPr>
                <w:rFonts w:ascii="Arial" w:eastAsia="Arial" w:hAnsi="Arial" w:cs="Arial"/>
              </w:rPr>
              <w:t>Gearing (%)</w:t>
            </w:r>
          </w:p>
        </w:tc>
        <w:tc>
          <w:tcPr>
            <w:tcW w:w="4833" w:type="dxa"/>
          </w:tcPr>
          <w:p w14:paraId="205091E7" w14:textId="54A14A21" w:rsidR="3BDDEF42" w:rsidRDefault="3BDDEF42" w:rsidP="3BDDEF42">
            <w:pPr>
              <w:spacing w:line="360" w:lineRule="auto"/>
              <w:jc w:val="both"/>
              <w:rPr>
                <w:rFonts w:ascii="Arial" w:eastAsia="Arial" w:hAnsi="Arial" w:cs="Arial"/>
              </w:rPr>
            </w:pPr>
            <w:r w:rsidRPr="3BDDEF42">
              <w:rPr>
                <w:rFonts w:ascii="Arial" w:eastAsia="Arial" w:hAnsi="Arial" w:cs="Arial"/>
              </w:rPr>
              <w:t>Total Liabilities / (Total Liabilities + Total Equity)</w:t>
            </w:r>
          </w:p>
        </w:tc>
        <w:tc>
          <w:tcPr>
            <w:tcW w:w="620" w:type="dxa"/>
          </w:tcPr>
          <w:p w14:paraId="0B9D2ED9" w14:textId="277B8A45" w:rsidR="3BDDEF42" w:rsidRDefault="3BDDEF42" w:rsidP="3BDDEF42">
            <w:pPr>
              <w:spacing w:line="360" w:lineRule="auto"/>
              <w:jc w:val="both"/>
              <w:rPr>
                <w:rFonts w:ascii="Arial" w:eastAsia="Arial" w:hAnsi="Arial" w:cs="Arial"/>
              </w:rPr>
            </w:pPr>
            <w:r w:rsidRPr="3BDDEF42">
              <w:rPr>
                <w:rFonts w:ascii="Arial" w:eastAsia="Arial" w:hAnsi="Arial" w:cs="Arial"/>
              </w:rPr>
              <w:t>52.6%</w:t>
            </w:r>
          </w:p>
        </w:tc>
        <w:tc>
          <w:tcPr>
            <w:tcW w:w="700" w:type="dxa"/>
          </w:tcPr>
          <w:p w14:paraId="33C3EF94" w14:textId="3F30DB9C" w:rsidR="3BDDEF42" w:rsidRDefault="3BDDEF42" w:rsidP="3BDDEF42">
            <w:pPr>
              <w:spacing w:line="360" w:lineRule="auto"/>
              <w:jc w:val="both"/>
              <w:rPr>
                <w:rFonts w:ascii="Arial" w:eastAsia="Arial" w:hAnsi="Arial" w:cs="Arial"/>
              </w:rPr>
            </w:pPr>
            <w:r w:rsidRPr="3BDDEF42">
              <w:rPr>
                <w:rFonts w:ascii="Arial" w:eastAsia="Arial" w:hAnsi="Arial" w:cs="Arial"/>
              </w:rPr>
              <w:t>49.7%</w:t>
            </w:r>
          </w:p>
        </w:tc>
        <w:tc>
          <w:tcPr>
            <w:tcW w:w="620" w:type="dxa"/>
          </w:tcPr>
          <w:p w14:paraId="75BFCFC5" w14:textId="23AD7929" w:rsidR="3BDDEF42" w:rsidRDefault="3BDDEF42" w:rsidP="3BDDEF42">
            <w:pPr>
              <w:spacing w:line="360" w:lineRule="auto"/>
              <w:jc w:val="both"/>
              <w:rPr>
                <w:rFonts w:ascii="Arial" w:eastAsia="Arial" w:hAnsi="Arial" w:cs="Arial"/>
              </w:rPr>
            </w:pPr>
            <w:r w:rsidRPr="3BDDEF42">
              <w:rPr>
                <w:rFonts w:ascii="Arial" w:eastAsia="Arial" w:hAnsi="Arial" w:cs="Arial"/>
              </w:rPr>
              <w:t>46.8%</w:t>
            </w:r>
          </w:p>
        </w:tc>
        <w:tc>
          <w:tcPr>
            <w:tcW w:w="620" w:type="dxa"/>
          </w:tcPr>
          <w:p w14:paraId="1BDBDBD2" w14:textId="7CCEB203" w:rsidR="3BDDEF42" w:rsidRDefault="3BDDEF42" w:rsidP="3BDDEF42">
            <w:pPr>
              <w:spacing w:line="360" w:lineRule="auto"/>
              <w:jc w:val="both"/>
              <w:rPr>
                <w:rFonts w:ascii="Arial" w:eastAsia="Arial" w:hAnsi="Arial" w:cs="Arial"/>
              </w:rPr>
            </w:pPr>
            <w:r w:rsidRPr="3BDDEF42">
              <w:rPr>
                <w:rFonts w:ascii="Arial" w:eastAsia="Arial" w:hAnsi="Arial" w:cs="Arial"/>
              </w:rPr>
              <w:t>46.0%</w:t>
            </w:r>
          </w:p>
        </w:tc>
        <w:tc>
          <w:tcPr>
            <w:tcW w:w="620" w:type="dxa"/>
          </w:tcPr>
          <w:p w14:paraId="14A2C624" w14:textId="1149E230" w:rsidR="3BDDEF42" w:rsidRDefault="3BDDEF42" w:rsidP="3BDDEF42">
            <w:pPr>
              <w:spacing w:line="360" w:lineRule="auto"/>
              <w:jc w:val="both"/>
              <w:rPr>
                <w:rFonts w:ascii="Arial" w:eastAsia="Arial" w:hAnsi="Arial" w:cs="Arial"/>
              </w:rPr>
            </w:pPr>
            <w:r w:rsidRPr="3BDDEF42">
              <w:rPr>
                <w:rFonts w:ascii="Arial" w:eastAsia="Arial" w:hAnsi="Arial" w:cs="Arial"/>
              </w:rPr>
              <w:t>38.6%</w:t>
            </w:r>
          </w:p>
        </w:tc>
      </w:tr>
    </w:tbl>
    <w:p w14:paraId="4D6548CF" w14:textId="02CEA7E0" w:rsidR="5381FB82" w:rsidRDefault="5381FB82" w:rsidP="3BDDEF42">
      <w:pPr>
        <w:spacing w:line="360" w:lineRule="auto"/>
        <w:jc w:val="both"/>
      </w:pPr>
      <w:r>
        <w:rPr>
          <w:noProof/>
        </w:rPr>
        <w:drawing>
          <wp:inline distT="0" distB="0" distL="0" distR="0" wp14:anchorId="296DB205" wp14:editId="02EB3A13">
            <wp:extent cx="5934075" cy="5943600"/>
            <wp:effectExtent l="0" t="0" r="0" b="0"/>
            <wp:docPr id="17000123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01239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34075" cy="5943600"/>
                    </a:xfrm>
                    <a:prstGeom prst="rect">
                      <a:avLst/>
                    </a:prstGeom>
                  </pic:spPr>
                </pic:pic>
              </a:graphicData>
            </a:graphic>
          </wp:inline>
        </w:drawing>
      </w:r>
    </w:p>
    <w:p w14:paraId="24AAAB88" w14:textId="76BA0F0C" w:rsidR="793C14F7" w:rsidRDefault="793C14F7" w:rsidP="3BDDEF42">
      <w:pPr>
        <w:pStyle w:val="Heading3"/>
        <w:spacing w:before="281" w:after="281" w:line="360" w:lineRule="auto"/>
        <w:jc w:val="both"/>
        <w:rPr>
          <w:rFonts w:ascii="Arial" w:eastAsia="Arial" w:hAnsi="Arial" w:cs="Arial"/>
          <w:color w:val="auto"/>
        </w:rPr>
      </w:pPr>
      <w:bookmarkStart w:id="21" w:name="_Toc1939143629"/>
      <w:r w:rsidRPr="3BDDEF42">
        <w:rPr>
          <w:rFonts w:ascii="Arial" w:eastAsia="Arial" w:hAnsi="Arial" w:cs="Arial"/>
          <w:color w:val="auto"/>
        </w:rPr>
        <w:t>Appendix B: Investment Appraisal Detailed Calculations</w:t>
      </w:r>
      <w:bookmarkEnd w:id="21"/>
    </w:p>
    <w:p w14:paraId="5C54730D" w14:textId="6D1E0FCB" w:rsidR="793C14F7" w:rsidRDefault="793C14F7" w:rsidP="3BDDEF42">
      <w:pPr>
        <w:pStyle w:val="Heading4"/>
        <w:spacing w:before="319" w:after="319" w:line="360" w:lineRule="auto"/>
        <w:jc w:val="both"/>
        <w:rPr>
          <w:rFonts w:ascii="Arial" w:eastAsia="Arial" w:hAnsi="Arial" w:cs="Arial"/>
          <w:color w:val="auto"/>
        </w:rPr>
      </w:pPr>
      <w:bookmarkStart w:id="22" w:name="_Toc1966366294"/>
      <w:r w:rsidRPr="3BDDEF42">
        <w:rPr>
          <w:rFonts w:ascii="Arial" w:eastAsia="Arial" w:hAnsi="Arial" w:cs="Arial"/>
          <w:color w:val="auto"/>
        </w:rPr>
        <w:t>Project A: Financial Evaluation (Initial Investment: £40m)</w:t>
      </w:r>
      <w:bookmarkEnd w:id="22"/>
    </w:p>
    <w:p w14:paraId="4005D05F" w14:textId="4A1C5D1E"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1. Payback Period</w:t>
      </w:r>
    </w:p>
    <w:p w14:paraId="5DE67B42" w14:textId="71260771" w:rsidR="793C14F7" w:rsidRDefault="793C14F7" w:rsidP="3BDDEF42">
      <w:pPr>
        <w:pStyle w:val="ListParagraph"/>
        <w:numPr>
          <w:ilvl w:val="0"/>
          <w:numId w:val="7"/>
        </w:numPr>
        <w:spacing w:before="240" w:after="240" w:line="360" w:lineRule="auto"/>
        <w:jc w:val="both"/>
        <w:rPr>
          <w:rFonts w:ascii="Arial" w:eastAsia="Arial" w:hAnsi="Arial" w:cs="Arial"/>
        </w:rPr>
      </w:pPr>
      <w:r w:rsidRPr="3BDDEF42">
        <w:rPr>
          <w:rFonts w:ascii="Arial" w:eastAsia="Arial" w:hAnsi="Arial" w:cs="Arial"/>
          <w:i/>
          <w:iCs/>
        </w:rPr>
        <w:t>Purpose:</w:t>
      </w:r>
      <w:r w:rsidRPr="3BDDEF42">
        <w:rPr>
          <w:rFonts w:ascii="Arial" w:eastAsia="Arial" w:hAnsi="Arial" w:cs="Arial"/>
        </w:rPr>
        <w:t xml:space="preserve"> To determine the time required to recoup the initial cash outlay. This is a measure of risk and liquidity.</w:t>
      </w:r>
    </w:p>
    <w:tbl>
      <w:tblPr>
        <w:tblW w:w="0" w:type="auto"/>
        <w:tblLayout w:type="fixed"/>
        <w:tblLook w:val="06A0" w:firstRow="1" w:lastRow="0" w:firstColumn="1" w:lastColumn="0" w:noHBand="1" w:noVBand="1"/>
      </w:tblPr>
      <w:tblGrid>
        <w:gridCol w:w="742"/>
        <w:gridCol w:w="1860"/>
        <w:gridCol w:w="3040"/>
      </w:tblGrid>
      <w:tr w:rsidR="3BDDEF42" w14:paraId="2A0DCED8" w14:textId="77777777" w:rsidTr="3BDDEF42">
        <w:trPr>
          <w:trHeight w:val="300"/>
        </w:trPr>
        <w:tc>
          <w:tcPr>
            <w:tcW w:w="742" w:type="dxa"/>
            <w:vAlign w:val="center"/>
          </w:tcPr>
          <w:p w14:paraId="0F697F8C" w14:textId="7CFC68B2" w:rsidR="3BDDEF42" w:rsidRDefault="3BDDEF42" w:rsidP="3BDDEF42">
            <w:pPr>
              <w:spacing w:after="0" w:line="360" w:lineRule="auto"/>
              <w:jc w:val="both"/>
              <w:rPr>
                <w:rFonts w:ascii="Arial" w:eastAsia="Arial" w:hAnsi="Arial" w:cs="Arial"/>
              </w:rPr>
            </w:pPr>
            <w:r w:rsidRPr="3BDDEF42">
              <w:rPr>
                <w:rFonts w:ascii="Arial" w:eastAsia="Arial" w:hAnsi="Arial" w:cs="Arial"/>
              </w:rPr>
              <w:t>Year</w:t>
            </w:r>
          </w:p>
        </w:tc>
        <w:tc>
          <w:tcPr>
            <w:tcW w:w="1860" w:type="dxa"/>
            <w:vAlign w:val="center"/>
          </w:tcPr>
          <w:p w14:paraId="3744AD7F" w14:textId="5A5A482F" w:rsidR="3BDDEF42" w:rsidRDefault="3BDDEF42" w:rsidP="3BDDEF42">
            <w:pPr>
              <w:spacing w:after="0" w:line="360" w:lineRule="auto"/>
              <w:jc w:val="both"/>
              <w:rPr>
                <w:rFonts w:ascii="Arial" w:eastAsia="Arial" w:hAnsi="Arial" w:cs="Arial"/>
              </w:rPr>
            </w:pPr>
            <w:r w:rsidRPr="3BDDEF42">
              <w:rPr>
                <w:rFonts w:ascii="Arial" w:eastAsia="Arial" w:hAnsi="Arial" w:cs="Arial"/>
              </w:rPr>
              <w:t>Cash Flow (£m)</w:t>
            </w:r>
          </w:p>
        </w:tc>
        <w:tc>
          <w:tcPr>
            <w:tcW w:w="3040" w:type="dxa"/>
            <w:vAlign w:val="center"/>
          </w:tcPr>
          <w:p w14:paraId="1763AABC" w14:textId="29B911D0" w:rsidR="3BDDEF42" w:rsidRDefault="3BDDEF42" w:rsidP="3BDDEF42">
            <w:pPr>
              <w:spacing w:after="0" w:line="360" w:lineRule="auto"/>
              <w:jc w:val="both"/>
              <w:rPr>
                <w:rFonts w:ascii="Arial" w:eastAsia="Arial" w:hAnsi="Arial" w:cs="Arial"/>
              </w:rPr>
            </w:pPr>
            <w:r w:rsidRPr="3BDDEF42">
              <w:rPr>
                <w:rFonts w:ascii="Arial" w:eastAsia="Arial" w:hAnsi="Arial" w:cs="Arial"/>
              </w:rPr>
              <w:t>Cumulative Cash Flow (£m)</w:t>
            </w:r>
          </w:p>
        </w:tc>
      </w:tr>
      <w:tr w:rsidR="3BDDEF42" w14:paraId="3624B9DA" w14:textId="77777777" w:rsidTr="3BDDEF42">
        <w:trPr>
          <w:trHeight w:val="300"/>
        </w:trPr>
        <w:tc>
          <w:tcPr>
            <w:tcW w:w="742" w:type="dxa"/>
            <w:vAlign w:val="center"/>
          </w:tcPr>
          <w:p w14:paraId="30C55B1D" w14:textId="64DD7D9E" w:rsidR="3BDDEF42" w:rsidRDefault="3BDDEF42" w:rsidP="3BDDEF42">
            <w:pPr>
              <w:spacing w:after="0" w:line="360" w:lineRule="auto"/>
              <w:jc w:val="both"/>
              <w:rPr>
                <w:rFonts w:ascii="Arial" w:eastAsia="Arial" w:hAnsi="Arial" w:cs="Arial"/>
              </w:rPr>
            </w:pPr>
            <w:r w:rsidRPr="3BDDEF42">
              <w:rPr>
                <w:rFonts w:ascii="Arial" w:eastAsia="Arial" w:hAnsi="Arial" w:cs="Arial"/>
              </w:rPr>
              <w:t>0</w:t>
            </w:r>
          </w:p>
        </w:tc>
        <w:tc>
          <w:tcPr>
            <w:tcW w:w="1860" w:type="dxa"/>
            <w:vAlign w:val="center"/>
          </w:tcPr>
          <w:p w14:paraId="402FA82D" w14:textId="790EFD67" w:rsidR="3BDDEF42" w:rsidRDefault="3BDDEF42" w:rsidP="3BDDEF42">
            <w:pPr>
              <w:spacing w:after="0" w:line="360" w:lineRule="auto"/>
              <w:jc w:val="both"/>
              <w:rPr>
                <w:rFonts w:ascii="Arial" w:eastAsia="Arial" w:hAnsi="Arial" w:cs="Arial"/>
              </w:rPr>
            </w:pPr>
            <w:r w:rsidRPr="3BDDEF42">
              <w:rPr>
                <w:rFonts w:ascii="Arial" w:eastAsia="Arial" w:hAnsi="Arial" w:cs="Arial"/>
              </w:rPr>
              <w:t>(40.00)</w:t>
            </w:r>
          </w:p>
        </w:tc>
        <w:tc>
          <w:tcPr>
            <w:tcW w:w="3040" w:type="dxa"/>
            <w:vAlign w:val="center"/>
          </w:tcPr>
          <w:p w14:paraId="68D02B3B" w14:textId="4826A7D5" w:rsidR="3BDDEF42" w:rsidRDefault="3BDDEF42" w:rsidP="3BDDEF42">
            <w:pPr>
              <w:spacing w:after="0" w:line="360" w:lineRule="auto"/>
              <w:jc w:val="both"/>
              <w:rPr>
                <w:rFonts w:ascii="Arial" w:eastAsia="Arial" w:hAnsi="Arial" w:cs="Arial"/>
              </w:rPr>
            </w:pPr>
            <w:r w:rsidRPr="3BDDEF42">
              <w:rPr>
                <w:rFonts w:ascii="Arial" w:eastAsia="Arial" w:hAnsi="Arial" w:cs="Arial"/>
              </w:rPr>
              <w:t>(40.00)</w:t>
            </w:r>
          </w:p>
        </w:tc>
      </w:tr>
      <w:tr w:rsidR="3BDDEF42" w14:paraId="11B9EB1B" w14:textId="77777777" w:rsidTr="3BDDEF42">
        <w:trPr>
          <w:trHeight w:val="300"/>
        </w:trPr>
        <w:tc>
          <w:tcPr>
            <w:tcW w:w="742" w:type="dxa"/>
            <w:vAlign w:val="center"/>
          </w:tcPr>
          <w:p w14:paraId="2429C12C" w14:textId="6BEA73DE" w:rsidR="3BDDEF42" w:rsidRDefault="3BDDEF42" w:rsidP="3BDDEF42">
            <w:pPr>
              <w:spacing w:after="0" w:line="360" w:lineRule="auto"/>
              <w:jc w:val="both"/>
              <w:rPr>
                <w:rFonts w:ascii="Arial" w:eastAsia="Arial" w:hAnsi="Arial" w:cs="Arial"/>
              </w:rPr>
            </w:pPr>
            <w:r w:rsidRPr="3BDDEF42">
              <w:rPr>
                <w:rFonts w:ascii="Arial" w:eastAsia="Arial" w:hAnsi="Arial" w:cs="Arial"/>
              </w:rPr>
              <w:t>1</w:t>
            </w:r>
          </w:p>
        </w:tc>
        <w:tc>
          <w:tcPr>
            <w:tcW w:w="1860" w:type="dxa"/>
            <w:vAlign w:val="center"/>
          </w:tcPr>
          <w:p w14:paraId="2DB82196" w14:textId="7841A68B" w:rsidR="3BDDEF42" w:rsidRDefault="3BDDEF42" w:rsidP="3BDDEF42">
            <w:pPr>
              <w:spacing w:after="0" w:line="360" w:lineRule="auto"/>
              <w:jc w:val="both"/>
              <w:rPr>
                <w:rFonts w:ascii="Arial" w:eastAsia="Arial" w:hAnsi="Arial" w:cs="Arial"/>
              </w:rPr>
            </w:pPr>
            <w:r w:rsidRPr="3BDDEF42">
              <w:rPr>
                <w:rFonts w:ascii="Arial" w:eastAsia="Arial" w:hAnsi="Arial" w:cs="Arial"/>
              </w:rPr>
              <w:t>10.00</w:t>
            </w:r>
          </w:p>
        </w:tc>
        <w:tc>
          <w:tcPr>
            <w:tcW w:w="3040" w:type="dxa"/>
            <w:vAlign w:val="center"/>
          </w:tcPr>
          <w:p w14:paraId="6C7C9B7C" w14:textId="1FA7540B" w:rsidR="3BDDEF42" w:rsidRDefault="3BDDEF42" w:rsidP="3BDDEF42">
            <w:pPr>
              <w:spacing w:after="0" w:line="360" w:lineRule="auto"/>
              <w:jc w:val="both"/>
              <w:rPr>
                <w:rFonts w:ascii="Arial" w:eastAsia="Arial" w:hAnsi="Arial" w:cs="Arial"/>
              </w:rPr>
            </w:pPr>
            <w:r w:rsidRPr="3BDDEF42">
              <w:rPr>
                <w:rFonts w:ascii="Arial" w:eastAsia="Arial" w:hAnsi="Arial" w:cs="Arial"/>
              </w:rPr>
              <w:t>(30.00)</w:t>
            </w:r>
          </w:p>
        </w:tc>
      </w:tr>
      <w:tr w:rsidR="3BDDEF42" w14:paraId="1B979178" w14:textId="77777777" w:rsidTr="3BDDEF42">
        <w:trPr>
          <w:trHeight w:val="300"/>
        </w:trPr>
        <w:tc>
          <w:tcPr>
            <w:tcW w:w="742" w:type="dxa"/>
            <w:vAlign w:val="center"/>
          </w:tcPr>
          <w:p w14:paraId="45EAE080" w14:textId="134C4B02" w:rsidR="3BDDEF42" w:rsidRDefault="3BDDEF42" w:rsidP="3BDDEF42">
            <w:pPr>
              <w:spacing w:after="0" w:line="360" w:lineRule="auto"/>
              <w:jc w:val="both"/>
              <w:rPr>
                <w:rFonts w:ascii="Arial" w:eastAsia="Arial" w:hAnsi="Arial" w:cs="Arial"/>
              </w:rPr>
            </w:pPr>
            <w:r w:rsidRPr="3BDDEF42">
              <w:rPr>
                <w:rFonts w:ascii="Arial" w:eastAsia="Arial" w:hAnsi="Arial" w:cs="Arial"/>
              </w:rPr>
              <w:t>2</w:t>
            </w:r>
          </w:p>
        </w:tc>
        <w:tc>
          <w:tcPr>
            <w:tcW w:w="1860" w:type="dxa"/>
            <w:vAlign w:val="center"/>
          </w:tcPr>
          <w:p w14:paraId="499635EC" w14:textId="2BFB028D" w:rsidR="3BDDEF42" w:rsidRDefault="3BDDEF42" w:rsidP="3BDDEF42">
            <w:pPr>
              <w:spacing w:after="0" w:line="360" w:lineRule="auto"/>
              <w:jc w:val="both"/>
              <w:rPr>
                <w:rFonts w:ascii="Arial" w:eastAsia="Arial" w:hAnsi="Arial" w:cs="Arial"/>
              </w:rPr>
            </w:pPr>
            <w:r w:rsidRPr="3BDDEF42">
              <w:rPr>
                <w:rFonts w:ascii="Arial" w:eastAsia="Arial" w:hAnsi="Arial" w:cs="Arial"/>
              </w:rPr>
              <w:t>12.00</w:t>
            </w:r>
          </w:p>
        </w:tc>
        <w:tc>
          <w:tcPr>
            <w:tcW w:w="3040" w:type="dxa"/>
            <w:vAlign w:val="center"/>
          </w:tcPr>
          <w:p w14:paraId="3F3A72F8" w14:textId="515C86A6" w:rsidR="3BDDEF42" w:rsidRDefault="3BDDEF42" w:rsidP="3BDDEF42">
            <w:pPr>
              <w:spacing w:after="0" w:line="360" w:lineRule="auto"/>
              <w:jc w:val="both"/>
              <w:rPr>
                <w:rFonts w:ascii="Arial" w:eastAsia="Arial" w:hAnsi="Arial" w:cs="Arial"/>
              </w:rPr>
            </w:pPr>
            <w:r w:rsidRPr="3BDDEF42">
              <w:rPr>
                <w:rFonts w:ascii="Arial" w:eastAsia="Arial" w:hAnsi="Arial" w:cs="Arial"/>
              </w:rPr>
              <w:t>(18.00)</w:t>
            </w:r>
          </w:p>
        </w:tc>
      </w:tr>
      <w:tr w:rsidR="3BDDEF42" w14:paraId="471A139A" w14:textId="77777777" w:rsidTr="3BDDEF42">
        <w:trPr>
          <w:trHeight w:val="300"/>
        </w:trPr>
        <w:tc>
          <w:tcPr>
            <w:tcW w:w="742" w:type="dxa"/>
            <w:vAlign w:val="center"/>
          </w:tcPr>
          <w:p w14:paraId="1DF03D19" w14:textId="4E5ED5DC" w:rsidR="3BDDEF42" w:rsidRDefault="3BDDEF42" w:rsidP="3BDDEF42">
            <w:pPr>
              <w:spacing w:after="0" w:line="360" w:lineRule="auto"/>
              <w:jc w:val="both"/>
              <w:rPr>
                <w:rFonts w:ascii="Arial" w:eastAsia="Arial" w:hAnsi="Arial" w:cs="Arial"/>
              </w:rPr>
            </w:pPr>
            <w:r w:rsidRPr="3BDDEF42">
              <w:rPr>
                <w:rFonts w:ascii="Arial" w:eastAsia="Arial" w:hAnsi="Arial" w:cs="Arial"/>
              </w:rPr>
              <w:t>3</w:t>
            </w:r>
          </w:p>
        </w:tc>
        <w:tc>
          <w:tcPr>
            <w:tcW w:w="1860" w:type="dxa"/>
            <w:vAlign w:val="center"/>
          </w:tcPr>
          <w:p w14:paraId="2EEE08FF" w14:textId="5E031F1F" w:rsidR="3BDDEF42" w:rsidRDefault="3BDDEF42" w:rsidP="3BDDEF42">
            <w:pPr>
              <w:spacing w:after="0" w:line="360" w:lineRule="auto"/>
              <w:jc w:val="both"/>
              <w:rPr>
                <w:rFonts w:ascii="Arial" w:eastAsia="Arial" w:hAnsi="Arial" w:cs="Arial"/>
              </w:rPr>
            </w:pPr>
            <w:r w:rsidRPr="3BDDEF42">
              <w:rPr>
                <w:rFonts w:ascii="Arial" w:eastAsia="Arial" w:hAnsi="Arial" w:cs="Arial"/>
              </w:rPr>
              <w:t>14.00</w:t>
            </w:r>
          </w:p>
        </w:tc>
        <w:tc>
          <w:tcPr>
            <w:tcW w:w="3040" w:type="dxa"/>
            <w:vAlign w:val="center"/>
          </w:tcPr>
          <w:p w14:paraId="3F3DE16A" w14:textId="4FB6CA1D" w:rsidR="3BDDEF42" w:rsidRDefault="3BDDEF42" w:rsidP="3BDDEF42">
            <w:pPr>
              <w:spacing w:after="0" w:line="360" w:lineRule="auto"/>
              <w:jc w:val="both"/>
              <w:rPr>
                <w:rFonts w:ascii="Arial" w:eastAsia="Arial" w:hAnsi="Arial" w:cs="Arial"/>
              </w:rPr>
            </w:pPr>
            <w:r w:rsidRPr="3BDDEF42">
              <w:rPr>
                <w:rFonts w:ascii="Arial" w:eastAsia="Arial" w:hAnsi="Arial" w:cs="Arial"/>
              </w:rPr>
              <w:t>(4.00)</w:t>
            </w:r>
          </w:p>
        </w:tc>
      </w:tr>
      <w:tr w:rsidR="3BDDEF42" w14:paraId="5F987F06" w14:textId="77777777" w:rsidTr="3BDDEF42">
        <w:trPr>
          <w:trHeight w:val="300"/>
        </w:trPr>
        <w:tc>
          <w:tcPr>
            <w:tcW w:w="742" w:type="dxa"/>
            <w:vAlign w:val="center"/>
          </w:tcPr>
          <w:p w14:paraId="4384A785" w14:textId="39D2DA5C" w:rsidR="3BDDEF42" w:rsidRDefault="3BDDEF42" w:rsidP="3BDDEF42">
            <w:pPr>
              <w:spacing w:after="0" w:line="360" w:lineRule="auto"/>
              <w:jc w:val="both"/>
              <w:rPr>
                <w:rFonts w:ascii="Arial" w:eastAsia="Arial" w:hAnsi="Arial" w:cs="Arial"/>
              </w:rPr>
            </w:pPr>
            <w:r w:rsidRPr="3BDDEF42">
              <w:rPr>
                <w:rFonts w:ascii="Arial" w:eastAsia="Arial" w:hAnsi="Arial" w:cs="Arial"/>
              </w:rPr>
              <w:t>4</w:t>
            </w:r>
          </w:p>
        </w:tc>
        <w:tc>
          <w:tcPr>
            <w:tcW w:w="1860" w:type="dxa"/>
            <w:vAlign w:val="center"/>
          </w:tcPr>
          <w:p w14:paraId="0621A61B" w14:textId="1700421C" w:rsidR="3BDDEF42" w:rsidRDefault="3BDDEF42" w:rsidP="3BDDEF42">
            <w:pPr>
              <w:spacing w:after="0" w:line="360" w:lineRule="auto"/>
              <w:jc w:val="both"/>
              <w:rPr>
                <w:rFonts w:ascii="Arial" w:eastAsia="Arial" w:hAnsi="Arial" w:cs="Arial"/>
              </w:rPr>
            </w:pPr>
            <w:r w:rsidRPr="3BDDEF42">
              <w:rPr>
                <w:rFonts w:ascii="Arial" w:eastAsia="Arial" w:hAnsi="Arial" w:cs="Arial"/>
              </w:rPr>
              <w:t>10.00</w:t>
            </w:r>
          </w:p>
        </w:tc>
        <w:tc>
          <w:tcPr>
            <w:tcW w:w="3040" w:type="dxa"/>
            <w:vAlign w:val="center"/>
          </w:tcPr>
          <w:p w14:paraId="252987EF" w14:textId="1BB9C706" w:rsidR="3BDDEF42" w:rsidRDefault="3BDDEF42" w:rsidP="3BDDEF42">
            <w:pPr>
              <w:spacing w:after="0" w:line="360" w:lineRule="auto"/>
              <w:jc w:val="both"/>
              <w:rPr>
                <w:rFonts w:ascii="Arial" w:eastAsia="Arial" w:hAnsi="Arial" w:cs="Arial"/>
              </w:rPr>
            </w:pPr>
            <w:r w:rsidRPr="3BDDEF42">
              <w:rPr>
                <w:rFonts w:ascii="Arial" w:eastAsia="Arial" w:hAnsi="Arial" w:cs="Arial"/>
              </w:rPr>
              <w:t>6.00</w:t>
            </w:r>
          </w:p>
        </w:tc>
      </w:tr>
      <w:tr w:rsidR="3BDDEF42" w14:paraId="72EAC2D4" w14:textId="77777777" w:rsidTr="3BDDEF42">
        <w:trPr>
          <w:trHeight w:val="300"/>
        </w:trPr>
        <w:tc>
          <w:tcPr>
            <w:tcW w:w="742" w:type="dxa"/>
            <w:vAlign w:val="center"/>
          </w:tcPr>
          <w:p w14:paraId="127F2B8E" w14:textId="205C274F" w:rsidR="3BDDEF42" w:rsidRDefault="3BDDEF42" w:rsidP="3BDDEF42">
            <w:pPr>
              <w:spacing w:after="0" w:line="360" w:lineRule="auto"/>
              <w:jc w:val="both"/>
              <w:rPr>
                <w:rFonts w:ascii="Arial" w:eastAsia="Arial" w:hAnsi="Arial" w:cs="Arial"/>
              </w:rPr>
            </w:pPr>
            <w:r w:rsidRPr="3BDDEF42">
              <w:rPr>
                <w:rFonts w:ascii="Arial" w:eastAsia="Arial" w:hAnsi="Arial" w:cs="Arial"/>
              </w:rPr>
              <w:t>5</w:t>
            </w:r>
          </w:p>
        </w:tc>
        <w:tc>
          <w:tcPr>
            <w:tcW w:w="1860" w:type="dxa"/>
            <w:vAlign w:val="center"/>
          </w:tcPr>
          <w:p w14:paraId="6D013244" w14:textId="62CA7D9F" w:rsidR="3BDDEF42" w:rsidRDefault="3BDDEF42" w:rsidP="3BDDEF42">
            <w:pPr>
              <w:spacing w:after="0" w:line="360" w:lineRule="auto"/>
              <w:jc w:val="both"/>
              <w:rPr>
                <w:rFonts w:ascii="Arial" w:eastAsia="Arial" w:hAnsi="Arial" w:cs="Arial"/>
              </w:rPr>
            </w:pPr>
            <w:r w:rsidRPr="3BDDEF42">
              <w:rPr>
                <w:rFonts w:ascii="Arial" w:eastAsia="Arial" w:hAnsi="Arial" w:cs="Arial"/>
              </w:rPr>
              <w:t>8.00</w:t>
            </w:r>
          </w:p>
        </w:tc>
        <w:tc>
          <w:tcPr>
            <w:tcW w:w="3040" w:type="dxa"/>
            <w:vAlign w:val="center"/>
          </w:tcPr>
          <w:p w14:paraId="158B4796" w14:textId="495E018A" w:rsidR="3BDDEF42" w:rsidRDefault="3BDDEF42" w:rsidP="3BDDEF42">
            <w:pPr>
              <w:spacing w:after="0" w:line="360" w:lineRule="auto"/>
              <w:jc w:val="both"/>
              <w:rPr>
                <w:rFonts w:ascii="Arial" w:eastAsia="Arial" w:hAnsi="Arial" w:cs="Arial"/>
              </w:rPr>
            </w:pPr>
            <w:r w:rsidRPr="3BDDEF42">
              <w:rPr>
                <w:rFonts w:ascii="Arial" w:eastAsia="Arial" w:hAnsi="Arial" w:cs="Arial"/>
              </w:rPr>
              <w:t>14.00</w:t>
            </w:r>
          </w:p>
        </w:tc>
      </w:tr>
    </w:tbl>
    <w:p w14:paraId="67724CB9" w14:textId="762887C4" w:rsidR="793C14F7" w:rsidRDefault="793C14F7" w:rsidP="3BDDEF42">
      <w:pPr>
        <w:pStyle w:val="ListParagraph"/>
        <w:numPr>
          <w:ilvl w:val="0"/>
          <w:numId w:val="6"/>
        </w:numPr>
        <w:spacing w:before="240" w:after="240" w:line="360" w:lineRule="auto"/>
        <w:jc w:val="both"/>
        <w:rPr>
          <w:rFonts w:ascii="Arial" w:eastAsia="Arial" w:hAnsi="Arial" w:cs="Arial"/>
        </w:rPr>
      </w:pPr>
      <w:r w:rsidRPr="3BDDEF42">
        <w:rPr>
          <w:rFonts w:ascii="Arial" w:eastAsia="Arial" w:hAnsi="Arial" w:cs="Arial"/>
        </w:rPr>
        <w:t>Calculation:</w:t>
      </w:r>
    </w:p>
    <w:p w14:paraId="22D7A51C" w14:textId="52B10221" w:rsidR="793C14F7" w:rsidRDefault="793C14F7" w:rsidP="3BDDEF42">
      <w:pPr>
        <w:pStyle w:val="ListParagraph"/>
        <w:numPr>
          <w:ilvl w:val="1"/>
          <w:numId w:val="6"/>
        </w:numPr>
        <w:spacing w:before="240" w:after="240" w:line="360" w:lineRule="auto"/>
        <w:jc w:val="both"/>
        <w:rPr>
          <w:rFonts w:ascii="Arial" w:eastAsia="Arial" w:hAnsi="Arial" w:cs="Arial"/>
        </w:rPr>
      </w:pPr>
      <w:r w:rsidRPr="3BDDEF42">
        <w:rPr>
          <w:rFonts w:ascii="Arial" w:eastAsia="Arial" w:hAnsi="Arial" w:cs="Arial"/>
        </w:rPr>
        <w:t>After Year 3, £4.00m is still unrecovered.</w:t>
      </w:r>
    </w:p>
    <w:p w14:paraId="36C27CCC" w14:textId="75073D95" w:rsidR="793C14F7" w:rsidRDefault="793C14F7" w:rsidP="3BDDEF42">
      <w:pPr>
        <w:pStyle w:val="ListParagraph"/>
        <w:numPr>
          <w:ilvl w:val="1"/>
          <w:numId w:val="6"/>
        </w:numPr>
        <w:spacing w:before="240" w:after="240" w:line="360" w:lineRule="auto"/>
        <w:jc w:val="both"/>
        <w:rPr>
          <w:rFonts w:ascii="Arial" w:eastAsia="Arial" w:hAnsi="Arial" w:cs="Arial"/>
        </w:rPr>
      </w:pPr>
      <w:r w:rsidRPr="3BDDEF42">
        <w:rPr>
          <w:rFonts w:ascii="Arial" w:eastAsia="Arial" w:hAnsi="Arial" w:cs="Arial"/>
        </w:rPr>
        <w:t>The cash flow in Year 4 is £10.00m.</w:t>
      </w:r>
    </w:p>
    <w:p w14:paraId="16CAD6FA" w14:textId="6FC3477B" w:rsidR="793C14F7" w:rsidRDefault="793C14F7" w:rsidP="3BDDEF42">
      <w:pPr>
        <w:pStyle w:val="ListParagraph"/>
        <w:numPr>
          <w:ilvl w:val="1"/>
          <w:numId w:val="6"/>
        </w:numPr>
        <w:spacing w:before="240" w:after="240" w:line="360" w:lineRule="auto"/>
        <w:jc w:val="both"/>
        <w:rPr>
          <w:rFonts w:ascii="Arial" w:eastAsia="Arial" w:hAnsi="Arial" w:cs="Arial"/>
        </w:rPr>
      </w:pPr>
      <w:r w:rsidRPr="3BDDEF42">
        <w:rPr>
          <w:rFonts w:ascii="Arial" w:eastAsia="Arial" w:hAnsi="Arial" w:cs="Arial"/>
        </w:rPr>
        <w:t>Fraction of Year 4 needed = Unrecovered Amount / Year 4 Cash Flow = £4.00m / £10.00m = 0.4 years.</w:t>
      </w:r>
    </w:p>
    <w:p w14:paraId="45D35B3F" w14:textId="1ABAFB5D" w:rsidR="793C14F7" w:rsidRDefault="793C14F7" w:rsidP="3BDDEF42">
      <w:pPr>
        <w:pStyle w:val="ListParagraph"/>
        <w:numPr>
          <w:ilvl w:val="1"/>
          <w:numId w:val="6"/>
        </w:numPr>
        <w:spacing w:before="240" w:after="240" w:line="360" w:lineRule="auto"/>
        <w:jc w:val="both"/>
        <w:rPr>
          <w:rFonts w:ascii="Arial" w:eastAsia="Arial" w:hAnsi="Arial" w:cs="Arial"/>
        </w:rPr>
      </w:pPr>
      <w:r w:rsidRPr="3BDDEF42">
        <w:rPr>
          <w:rFonts w:ascii="Arial" w:eastAsia="Arial" w:hAnsi="Arial" w:cs="Arial"/>
        </w:rPr>
        <w:t>Payback Period = 3 years + 0.4 years = 3.4 years</w:t>
      </w:r>
    </w:p>
    <w:p w14:paraId="3F8CFA39" w14:textId="26A6E261"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2. Accounting Rate of Return (ARR)</w:t>
      </w:r>
    </w:p>
    <w:p w14:paraId="79743FB0" w14:textId="2850DACE" w:rsidR="793C14F7" w:rsidRDefault="793C14F7" w:rsidP="3BDDEF42">
      <w:pPr>
        <w:pStyle w:val="ListParagraph"/>
        <w:numPr>
          <w:ilvl w:val="0"/>
          <w:numId w:val="5"/>
        </w:numPr>
        <w:spacing w:before="240" w:after="240" w:line="360" w:lineRule="auto"/>
        <w:jc w:val="both"/>
        <w:rPr>
          <w:rFonts w:ascii="Arial" w:eastAsia="Arial" w:hAnsi="Arial" w:cs="Arial"/>
        </w:rPr>
      </w:pPr>
      <w:r w:rsidRPr="3BDDEF42">
        <w:rPr>
          <w:rFonts w:ascii="Arial" w:eastAsia="Arial" w:hAnsi="Arial" w:cs="Arial"/>
          <w:i/>
          <w:iCs/>
        </w:rPr>
        <w:t>Purpose:</w:t>
      </w:r>
      <w:r w:rsidRPr="3BDDEF42">
        <w:rPr>
          <w:rFonts w:ascii="Arial" w:eastAsia="Arial" w:hAnsi="Arial" w:cs="Arial"/>
        </w:rPr>
        <w:t xml:space="preserve"> To measure the project's profitability based on accounting profits, not cash flows.</w:t>
      </w:r>
    </w:p>
    <w:tbl>
      <w:tblPr>
        <w:tblW w:w="0" w:type="auto"/>
        <w:tblLayout w:type="fixed"/>
        <w:tblLook w:val="06A0" w:firstRow="1" w:lastRow="0" w:firstColumn="1" w:lastColumn="0" w:noHBand="1" w:noVBand="1"/>
      </w:tblPr>
      <w:tblGrid>
        <w:gridCol w:w="453"/>
        <w:gridCol w:w="3108"/>
        <w:gridCol w:w="4518"/>
        <w:gridCol w:w="1193"/>
      </w:tblGrid>
      <w:tr w:rsidR="3BDDEF42" w14:paraId="187BBE00" w14:textId="77777777" w:rsidTr="3BDDEF42">
        <w:trPr>
          <w:trHeight w:val="300"/>
        </w:trPr>
        <w:tc>
          <w:tcPr>
            <w:tcW w:w="453" w:type="dxa"/>
            <w:vAlign w:val="center"/>
          </w:tcPr>
          <w:p w14:paraId="6F45AB95" w14:textId="541870BF" w:rsidR="3BDDEF42" w:rsidRDefault="3BDDEF42" w:rsidP="3BDDEF42">
            <w:pPr>
              <w:spacing w:after="0" w:line="360" w:lineRule="auto"/>
              <w:jc w:val="both"/>
              <w:rPr>
                <w:rFonts w:ascii="Arial" w:eastAsia="Arial" w:hAnsi="Arial" w:cs="Arial"/>
              </w:rPr>
            </w:pPr>
            <w:r w:rsidRPr="3BDDEF42">
              <w:rPr>
                <w:rFonts w:ascii="Arial" w:eastAsia="Arial" w:hAnsi="Arial" w:cs="Arial"/>
              </w:rPr>
              <w:t>Step</w:t>
            </w:r>
          </w:p>
        </w:tc>
        <w:tc>
          <w:tcPr>
            <w:tcW w:w="3108" w:type="dxa"/>
            <w:vAlign w:val="center"/>
          </w:tcPr>
          <w:p w14:paraId="0DEF7300" w14:textId="5221CDE4" w:rsidR="3BDDEF42" w:rsidRDefault="3BDDEF42" w:rsidP="3BDDEF42">
            <w:pPr>
              <w:spacing w:after="0" w:line="360" w:lineRule="auto"/>
              <w:jc w:val="both"/>
              <w:rPr>
                <w:rFonts w:ascii="Arial" w:eastAsia="Arial" w:hAnsi="Arial" w:cs="Arial"/>
              </w:rPr>
            </w:pPr>
            <w:r w:rsidRPr="3BDDEF42">
              <w:rPr>
                <w:rFonts w:ascii="Arial" w:eastAsia="Arial" w:hAnsi="Arial" w:cs="Arial"/>
              </w:rPr>
              <w:t>Description</w:t>
            </w:r>
          </w:p>
        </w:tc>
        <w:tc>
          <w:tcPr>
            <w:tcW w:w="4518" w:type="dxa"/>
            <w:vAlign w:val="center"/>
          </w:tcPr>
          <w:p w14:paraId="043C9671" w14:textId="2C130C91" w:rsidR="3BDDEF42" w:rsidRDefault="3BDDEF42" w:rsidP="3BDDEF42">
            <w:pPr>
              <w:spacing w:after="0" w:line="360" w:lineRule="auto"/>
              <w:jc w:val="both"/>
              <w:rPr>
                <w:rFonts w:ascii="Arial" w:eastAsia="Arial" w:hAnsi="Arial" w:cs="Arial"/>
              </w:rPr>
            </w:pPr>
            <w:r w:rsidRPr="3BDDEF42">
              <w:rPr>
                <w:rFonts w:ascii="Arial" w:eastAsia="Arial" w:hAnsi="Arial" w:cs="Arial"/>
              </w:rPr>
              <w:t>Calculation</w:t>
            </w:r>
          </w:p>
        </w:tc>
        <w:tc>
          <w:tcPr>
            <w:tcW w:w="1193" w:type="dxa"/>
            <w:vAlign w:val="center"/>
          </w:tcPr>
          <w:p w14:paraId="54624274" w14:textId="5B8F9A1D" w:rsidR="3BDDEF42" w:rsidRDefault="3BDDEF42" w:rsidP="3BDDEF42">
            <w:pPr>
              <w:spacing w:after="0" w:line="360" w:lineRule="auto"/>
              <w:jc w:val="both"/>
              <w:rPr>
                <w:rFonts w:ascii="Arial" w:eastAsia="Arial" w:hAnsi="Arial" w:cs="Arial"/>
              </w:rPr>
            </w:pPr>
            <w:r w:rsidRPr="3BDDEF42">
              <w:rPr>
                <w:rFonts w:ascii="Arial" w:eastAsia="Arial" w:hAnsi="Arial" w:cs="Arial"/>
              </w:rPr>
              <w:t>Result (£m)</w:t>
            </w:r>
          </w:p>
        </w:tc>
      </w:tr>
      <w:tr w:rsidR="3BDDEF42" w14:paraId="43C347E8" w14:textId="77777777" w:rsidTr="3BDDEF42">
        <w:trPr>
          <w:trHeight w:val="300"/>
        </w:trPr>
        <w:tc>
          <w:tcPr>
            <w:tcW w:w="453" w:type="dxa"/>
            <w:vAlign w:val="center"/>
          </w:tcPr>
          <w:p w14:paraId="2B14D942" w14:textId="659BF13A" w:rsidR="3BDDEF42" w:rsidRDefault="3BDDEF42" w:rsidP="3BDDEF42">
            <w:pPr>
              <w:spacing w:after="0" w:line="360" w:lineRule="auto"/>
              <w:jc w:val="both"/>
              <w:rPr>
                <w:rFonts w:ascii="Arial" w:eastAsia="Arial" w:hAnsi="Arial" w:cs="Arial"/>
              </w:rPr>
            </w:pPr>
            <w:r w:rsidRPr="3BDDEF42">
              <w:rPr>
                <w:rFonts w:ascii="Arial" w:eastAsia="Arial" w:hAnsi="Arial" w:cs="Arial"/>
              </w:rPr>
              <w:t>1</w:t>
            </w:r>
          </w:p>
        </w:tc>
        <w:tc>
          <w:tcPr>
            <w:tcW w:w="3108" w:type="dxa"/>
            <w:vAlign w:val="center"/>
          </w:tcPr>
          <w:p w14:paraId="674AF5C0" w14:textId="51BAD9FA"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Annual Depreciation</w:t>
            </w:r>
          </w:p>
        </w:tc>
        <w:tc>
          <w:tcPr>
            <w:tcW w:w="4518" w:type="dxa"/>
            <w:vAlign w:val="center"/>
          </w:tcPr>
          <w:p w14:paraId="27E23CAC" w14:textId="7FBDE13A" w:rsidR="3BDDEF42" w:rsidRDefault="3BDDEF42" w:rsidP="3BDDEF42">
            <w:pPr>
              <w:spacing w:after="0" w:line="360" w:lineRule="auto"/>
              <w:jc w:val="both"/>
              <w:rPr>
                <w:rFonts w:ascii="Arial" w:eastAsia="Arial" w:hAnsi="Arial" w:cs="Arial"/>
              </w:rPr>
            </w:pPr>
            <w:r w:rsidRPr="3BDDEF42">
              <w:rPr>
                <w:rFonts w:ascii="Arial" w:eastAsia="Arial" w:hAnsi="Arial" w:cs="Arial"/>
              </w:rPr>
              <w:t>£40m (Initial Cost) ÷ 5 years (Life)</w:t>
            </w:r>
          </w:p>
        </w:tc>
        <w:tc>
          <w:tcPr>
            <w:tcW w:w="1193" w:type="dxa"/>
            <w:vAlign w:val="center"/>
          </w:tcPr>
          <w:p w14:paraId="67FD8B1D" w14:textId="0E6EFCBE" w:rsidR="3BDDEF42" w:rsidRDefault="3BDDEF42" w:rsidP="3BDDEF42">
            <w:pPr>
              <w:spacing w:after="0" w:line="360" w:lineRule="auto"/>
              <w:jc w:val="both"/>
              <w:rPr>
                <w:rFonts w:ascii="Arial" w:eastAsia="Arial" w:hAnsi="Arial" w:cs="Arial"/>
              </w:rPr>
            </w:pPr>
            <w:r w:rsidRPr="3BDDEF42">
              <w:rPr>
                <w:rFonts w:ascii="Arial" w:eastAsia="Arial" w:hAnsi="Arial" w:cs="Arial"/>
              </w:rPr>
              <w:t>£8.00</w:t>
            </w:r>
          </w:p>
        </w:tc>
      </w:tr>
      <w:tr w:rsidR="3BDDEF42" w14:paraId="76AB335A" w14:textId="77777777" w:rsidTr="3BDDEF42">
        <w:trPr>
          <w:trHeight w:val="300"/>
        </w:trPr>
        <w:tc>
          <w:tcPr>
            <w:tcW w:w="453" w:type="dxa"/>
            <w:vAlign w:val="center"/>
          </w:tcPr>
          <w:p w14:paraId="71389942" w14:textId="65FFA006" w:rsidR="3BDDEF42" w:rsidRDefault="3BDDEF42" w:rsidP="3BDDEF42">
            <w:pPr>
              <w:spacing w:after="0" w:line="360" w:lineRule="auto"/>
              <w:jc w:val="both"/>
              <w:rPr>
                <w:rFonts w:ascii="Arial" w:eastAsia="Arial" w:hAnsi="Arial" w:cs="Arial"/>
              </w:rPr>
            </w:pPr>
            <w:r w:rsidRPr="3BDDEF42">
              <w:rPr>
                <w:rFonts w:ascii="Arial" w:eastAsia="Arial" w:hAnsi="Arial" w:cs="Arial"/>
              </w:rPr>
              <w:t>2</w:t>
            </w:r>
          </w:p>
        </w:tc>
        <w:tc>
          <w:tcPr>
            <w:tcW w:w="3108" w:type="dxa"/>
            <w:vAlign w:val="center"/>
          </w:tcPr>
          <w:p w14:paraId="4CE35F09" w14:textId="15349375"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Average Annual Profit</w:t>
            </w:r>
          </w:p>
        </w:tc>
        <w:tc>
          <w:tcPr>
            <w:tcW w:w="4518" w:type="dxa"/>
            <w:vAlign w:val="center"/>
          </w:tcPr>
          <w:p w14:paraId="6244003F" w14:textId="0B4E0A7E" w:rsidR="3BDDEF42" w:rsidRDefault="3BDDEF42" w:rsidP="3BDDEF42">
            <w:pPr>
              <w:spacing w:after="0" w:line="360" w:lineRule="auto"/>
              <w:jc w:val="both"/>
              <w:rPr>
                <w:rFonts w:ascii="Arial" w:eastAsia="Arial" w:hAnsi="Arial" w:cs="Arial"/>
              </w:rPr>
            </w:pPr>
            <w:r w:rsidRPr="3BDDEF42">
              <w:rPr>
                <w:rFonts w:ascii="Arial" w:eastAsia="Arial" w:hAnsi="Arial" w:cs="Arial"/>
              </w:rPr>
              <w:t>((10-8)+(12-8)+(14-8)+(10-8)+(8-8)) ÷ 5 years</w:t>
            </w:r>
          </w:p>
        </w:tc>
        <w:tc>
          <w:tcPr>
            <w:tcW w:w="1193" w:type="dxa"/>
            <w:vAlign w:val="center"/>
          </w:tcPr>
          <w:p w14:paraId="58E085BA" w14:textId="5649A567" w:rsidR="3BDDEF42" w:rsidRDefault="3BDDEF42" w:rsidP="3BDDEF42">
            <w:pPr>
              <w:spacing w:after="0" w:line="360" w:lineRule="auto"/>
              <w:jc w:val="both"/>
              <w:rPr>
                <w:rFonts w:ascii="Arial" w:eastAsia="Arial" w:hAnsi="Arial" w:cs="Arial"/>
              </w:rPr>
            </w:pPr>
            <w:r w:rsidRPr="3BDDEF42">
              <w:rPr>
                <w:rFonts w:ascii="Arial" w:eastAsia="Arial" w:hAnsi="Arial" w:cs="Arial"/>
              </w:rPr>
              <w:t>£2.80</w:t>
            </w:r>
          </w:p>
        </w:tc>
      </w:tr>
      <w:tr w:rsidR="3BDDEF42" w14:paraId="23C0712E" w14:textId="77777777" w:rsidTr="3BDDEF42">
        <w:trPr>
          <w:trHeight w:val="300"/>
        </w:trPr>
        <w:tc>
          <w:tcPr>
            <w:tcW w:w="453" w:type="dxa"/>
            <w:vAlign w:val="center"/>
          </w:tcPr>
          <w:p w14:paraId="15D61FF5" w14:textId="53CA43DD" w:rsidR="3BDDEF42" w:rsidRDefault="3BDDEF42" w:rsidP="3BDDEF42">
            <w:pPr>
              <w:spacing w:after="0" w:line="360" w:lineRule="auto"/>
              <w:jc w:val="both"/>
              <w:rPr>
                <w:rFonts w:ascii="Arial" w:eastAsia="Arial" w:hAnsi="Arial" w:cs="Arial"/>
              </w:rPr>
            </w:pPr>
            <w:r w:rsidRPr="3BDDEF42">
              <w:rPr>
                <w:rFonts w:ascii="Arial" w:eastAsia="Arial" w:hAnsi="Arial" w:cs="Arial"/>
              </w:rPr>
              <w:t>3</w:t>
            </w:r>
          </w:p>
        </w:tc>
        <w:tc>
          <w:tcPr>
            <w:tcW w:w="3108" w:type="dxa"/>
            <w:vAlign w:val="center"/>
          </w:tcPr>
          <w:p w14:paraId="3CAB6B15" w14:textId="2F197C29"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Average Investment</w:t>
            </w:r>
          </w:p>
        </w:tc>
        <w:tc>
          <w:tcPr>
            <w:tcW w:w="4518" w:type="dxa"/>
            <w:vAlign w:val="center"/>
          </w:tcPr>
          <w:p w14:paraId="5CC0902C" w14:textId="7487F68E" w:rsidR="3BDDEF42" w:rsidRDefault="3BDDEF42" w:rsidP="3BDDEF42">
            <w:pPr>
              <w:spacing w:after="0" w:line="360" w:lineRule="auto"/>
              <w:jc w:val="both"/>
              <w:rPr>
                <w:rFonts w:ascii="Arial" w:eastAsia="Arial" w:hAnsi="Arial" w:cs="Arial"/>
              </w:rPr>
            </w:pPr>
            <w:r w:rsidRPr="3BDDEF42">
              <w:rPr>
                <w:rFonts w:ascii="Arial" w:eastAsia="Arial" w:hAnsi="Arial" w:cs="Arial"/>
              </w:rPr>
              <w:t>(£40m (Initial Cost) + £0 (Scrap Value)) ÷ 2</w:t>
            </w:r>
          </w:p>
        </w:tc>
        <w:tc>
          <w:tcPr>
            <w:tcW w:w="1193" w:type="dxa"/>
            <w:vAlign w:val="center"/>
          </w:tcPr>
          <w:p w14:paraId="1EDC12EA" w14:textId="78C23E0B" w:rsidR="3BDDEF42" w:rsidRDefault="3BDDEF42" w:rsidP="3BDDEF42">
            <w:pPr>
              <w:spacing w:after="0" w:line="360" w:lineRule="auto"/>
              <w:jc w:val="both"/>
              <w:rPr>
                <w:rFonts w:ascii="Arial" w:eastAsia="Arial" w:hAnsi="Arial" w:cs="Arial"/>
              </w:rPr>
            </w:pPr>
            <w:r w:rsidRPr="3BDDEF42">
              <w:rPr>
                <w:rFonts w:ascii="Arial" w:eastAsia="Arial" w:hAnsi="Arial" w:cs="Arial"/>
              </w:rPr>
              <w:t>£20.00</w:t>
            </w:r>
          </w:p>
        </w:tc>
      </w:tr>
      <w:tr w:rsidR="3BDDEF42" w14:paraId="3F00EFD5" w14:textId="77777777" w:rsidTr="3BDDEF42">
        <w:trPr>
          <w:trHeight w:val="300"/>
        </w:trPr>
        <w:tc>
          <w:tcPr>
            <w:tcW w:w="453" w:type="dxa"/>
            <w:vAlign w:val="center"/>
          </w:tcPr>
          <w:p w14:paraId="7D3B4FC1" w14:textId="39F3AA31" w:rsidR="3BDDEF42" w:rsidRDefault="3BDDEF42" w:rsidP="3BDDEF42">
            <w:pPr>
              <w:spacing w:after="0" w:line="360" w:lineRule="auto"/>
              <w:jc w:val="both"/>
              <w:rPr>
                <w:rFonts w:ascii="Arial" w:eastAsia="Arial" w:hAnsi="Arial" w:cs="Arial"/>
              </w:rPr>
            </w:pPr>
            <w:r w:rsidRPr="3BDDEF42">
              <w:rPr>
                <w:rFonts w:ascii="Arial" w:eastAsia="Arial" w:hAnsi="Arial" w:cs="Arial"/>
              </w:rPr>
              <w:t>4</w:t>
            </w:r>
          </w:p>
        </w:tc>
        <w:tc>
          <w:tcPr>
            <w:tcW w:w="3108" w:type="dxa"/>
            <w:vAlign w:val="center"/>
          </w:tcPr>
          <w:p w14:paraId="4C948B50" w14:textId="6296A651"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ARR</w:t>
            </w:r>
          </w:p>
        </w:tc>
        <w:tc>
          <w:tcPr>
            <w:tcW w:w="4518" w:type="dxa"/>
            <w:vAlign w:val="center"/>
          </w:tcPr>
          <w:p w14:paraId="46B0F0BE" w14:textId="031D95B0" w:rsidR="3BDDEF42" w:rsidRDefault="3BDDEF42" w:rsidP="3BDDEF42">
            <w:pPr>
              <w:spacing w:after="0" w:line="360" w:lineRule="auto"/>
              <w:jc w:val="both"/>
              <w:rPr>
                <w:rFonts w:ascii="Arial" w:eastAsia="Arial" w:hAnsi="Arial" w:cs="Arial"/>
              </w:rPr>
            </w:pPr>
            <w:r w:rsidRPr="3BDDEF42">
              <w:rPr>
                <w:rFonts w:ascii="Arial" w:eastAsia="Arial" w:hAnsi="Arial" w:cs="Arial"/>
              </w:rPr>
              <w:t>(£2.80m ÷ £20.00m) × 100</w:t>
            </w:r>
          </w:p>
        </w:tc>
        <w:tc>
          <w:tcPr>
            <w:tcW w:w="1193" w:type="dxa"/>
            <w:vAlign w:val="center"/>
          </w:tcPr>
          <w:p w14:paraId="507A3B3D" w14:textId="326A4C56" w:rsidR="3BDDEF42" w:rsidRDefault="3BDDEF42" w:rsidP="3BDDEF42">
            <w:pPr>
              <w:spacing w:after="0" w:line="360" w:lineRule="auto"/>
              <w:jc w:val="both"/>
              <w:rPr>
                <w:rFonts w:ascii="Arial" w:eastAsia="Arial" w:hAnsi="Arial" w:cs="Arial"/>
              </w:rPr>
            </w:pPr>
            <w:r w:rsidRPr="3BDDEF42">
              <w:rPr>
                <w:rFonts w:ascii="Arial" w:eastAsia="Arial" w:hAnsi="Arial" w:cs="Arial"/>
              </w:rPr>
              <w:t>14.0%</w:t>
            </w:r>
          </w:p>
        </w:tc>
      </w:tr>
    </w:tbl>
    <w:p w14:paraId="4E5B3AA0" w14:textId="743EF28D"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3. Net Present Value (NPV) at a 10% Discount Rate</w:t>
      </w:r>
    </w:p>
    <w:p w14:paraId="22D5949F" w14:textId="05E68892" w:rsidR="793C14F7" w:rsidRDefault="793C14F7" w:rsidP="3BDDEF42">
      <w:pPr>
        <w:pStyle w:val="ListParagraph"/>
        <w:numPr>
          <w:ilvl w:val="0"/>
          <w:numId w:val="4"/>
        </w:numPr>
        <w:spacing w:before="240" w:after="240" w:line="360" w:lineRule="auto"/>
        <w:jc w:val="both"/>
        <w:rPr>
          <w:rFonts w:ascii="Arial" w:eastAsia="Arial" w:hAnsi="Arial" w:cs="Arial"/>
        </w:rPr>
      </w:pPr>
      <w:r w:rsidRPr="3BDDEF42">
        <w:rPr>
          <w:rFonts w:ascii="Arial" w:eastAsia="Arial" w:hAnsi="Arial" w:cs="Arial"/>
          <w:i/>
          <w:iCs/>
        </w:rPr>
        <w:t>Purpose:</w:t>
      </w:r>
      <w:r w:rsidRPr="3BDDEF42">
        <w:rPr>
          <w:rFonts w:ascii="Arial" w:eastAsia="Arial" w:hAnsi="Arial" w:cs="Arial"/>
        </w:rPr>
        <w:t xml:space="preserve"> To determine the absolute value the project adds to the firm in today's terms. This is the primary decision criterion.</w:t>
      </w:r>
    </w:p>
    <w:tbl>
      <w:tblPr>
        <w:tblW w:w="0" w:type="auto"/>
        <w:tblLayout w:type="fixed"/>
        <w:tblLook w:val="06A0" w:firstRow="1" w:lastRow="0" w:firstColumn="1" w:lastColumn="0" w:noHBand="1" w:noVBand="1"/>
      </w:tblPr>
      <w:tblGrid>
        <w:gridCol w:w="780"/>
        <w:gridCol w:w="2280"/>
        <w:gridCol w:w="3012"/>
        <w:gridCol w:w="2242"/>
      </w:tblGrid>
      <w:tr w:rsidR="3BDDEF42" w14:paraId="25140E21" w14:textId="77777777" w:rsidTr="3BDDEF42">
        <w:trPr>
          <w:trHeight w:val="300"/>
        </w:trPr>
        <w:tc>
          <w:tcPr>
            <w:tcW w:w="780" w:type="dxa"/>
            <w:vAlign w:val="center"/>
          </w:tcPr>
          <w:p w14:paraId="2DB9813F" w14:textId="3E6B4031" w:rsidR="3BDDEF42" w:rsidRDefault="3BDDEF42" w:rsidP="3BDDEF42">
            <w:pPr>
              <w:spacing w:after="0" w:line="360" w:lineRule="auto"/>
              <w:jc w:val="both"/>
              <w:rPr>
                <w:rFonts w:ascii="Arial" w:eastAsia="Arial" w:hAnsi="Arial" w:cs="Arial"/>
              </w:rPr>
            </w:pPr>
            <w:r w:rsidRPr="3BDDEF42">
              <w:rPr>
                <w:rFonts w:ascii="Arial" w:eastAsia="Arial" w:hAnsi="Arial" w:cs="Arial"/>
              </w:rPr>
              <w:t>Year</w:t>
            </w:r>
          </w:p>
        </w:tc>
        <w:tc>
          <w:tcPr>
            <w:tcW w:w="2280" w:type="dxa"/>
            <w:vAlign w:val="center"/>
          </w:tcPr>
          <w:p w14:paraId="655C1B31" w14:textId="3348043A" w:rsidR="3BDDEF42" w:rsidRDefault="3BDDEF42" w:rsidP="3BDDEF42">
            <w:pPr>
              <w:spacing w:after="0" w:line="360" w:lineRule="auto"/>
              <w:jc w:val="both"/>
              <w:rPr>
                <w:rFonts w:ascii="Arial" w:eastAsia="Arial" w:hAnsi="Arial" w:cs="Arial"/>
              </w:rPr>
            </w:pPr>
            <w:r w:rsidRPr="3BDDEF42">
              <w:rPr>
                <w:rFonts w:ascii="Arial" w:eastAsia="Arial" w:hAnsi="Arial" w:cs="Arial"/>
              </w:rPr>
              <w:t>Cash Flow (£m)</w:t>
            </w:r>
          </w:p>
        </w:tc>
        <w:tc>
          <w:tcPr>
            <w:tcW w:w="3012" w:type="dxa"/>
            <w:vAlign w:val="center"/>
          </w:tcPr>
          <w:p w14:paraId="4C1253CB" w14:textId="39F18460" w:rsidR="3BDDEF42" w:rsidRDefault="3BDDEF42" w:rsidP="3BDDEF42">
            <w:pPr>
              <w:spacing w:after="0" w:line="360" w:lineRule="auto"/>
              <w:jc w:val="both"/>
              <w:rPr>
                <w:rFonts w:ascii="Arial" w:eastAsia="Arial" w:hAnsi="Arial" w:cs="Arial"/>
              </w:rPr>
            </w:pPr>
            <w:r w:rsidRPr="3BDDEF42">
              <w:rPr>
                <w:rFonts w:ascii="Arial" w:eastAsia="Arial" w:hAnsi="Arial" w:cs="Arial"/>
              </w:rPr>
              <w:t>Discount Factor (1/(1.10)ⁿ)</w:t>
            </w:r>
          </w:p>
        </w:tc>
        <w:tc>
          <w:tcPr>
            <w:tcW w:w="2242" w:type="dxa"/>
            <w:vAlign w:val="center"/>
          </w:tcPr>
          <w:p w14:paraId="07F63E9A" w14:textId="0CDB7373" w:rsidR="3BDDEF42" w:rsidRDefault="3BDDEF42" w:rsidP="3BDDEF42">
            <w:pPr>
              <w:spacing w:after="0" w:line="360" w:lineRule="auto"/>
              <w:jc w:val="both"/>
              <w:rPr>
                <w:rFonts w:ascii="Arial" w:eastAsia="Arial" w:hAnsi="Arial" w:cs="Arial"/>
              </w:rPr>
            </w:pPr>
            <w:r w:rsidRPr="3BDDEF42">
              <w:rPr>
                <w:rFonts w:ascii="Arial" w:eastAsia="Arial" w:hAnsi="Arial" w:cs="Arial"/>
              </w:rPr>
              <w:t>Present Value (£m)</w:t>
            </w:r>
          </w:p>
        </w:tc>
      </w:tr>
      <w:tr w:rsidR="3BDDEF42" w14:paraId="2DD0561A" w14:textId="77777777" w:rsidTr="3BDDEF42">
        <w:trPr>
          <w:trHeight w:val="300"/>
        </w:trPr>
        <w:tc>
          <w:tcPr>
            <w:tcW w:w="780" w:type="dxa"/>
            <w:vAlign w:val="center"/>
          </w:tcPr>
          <w:p w14:paraId="5306F48A" w14:textId="71791555" w:rsidR="3BDDEF42" w:rsidRDefault="3BDDEF42" w:rsidP="3BDDEF42">
            <w:pPr>
              <w:spacing w:after="0" w:line="360" w:lineRule="auto"/>
              <w:jc w:val="both"/>
              <w:rPr>
                <w:rFonts w:ascii="Arial" w:eastAsia="Arial" w:hAnsi="Arial" w:cs="Arial"/>
              </w:rPr>
            </w:pPr>
            <w:r w:rsidRPr="3BDDEF42">
              <w:rPr>
                <w:rFonts w:ascii="Arial" w:eastAsia="Arial" w:hAnsi="Arial" w:cs="Arial"/>
              </w:rPr>
              <w:t>0</w:t>
            </w:r>
          </w:p>
        </w:tc>
        <w:tc>
          <w:tcPr>
            <w:tcW w:w="2280" w:type="dxa"/>
            <w:vAlign w:val="center"/>
          </w:tcPr>
          <w:p w14:paraId="5CB40B06" w14:textId="2C0D535F" w:rsidR="3BDDEF42" w:rsidRDefault="3BDDEF42" w:rsidP="3BDDEF42">
            <w:pPr>
              <w:spacing w:after="0" w:line="360" w:lineRule="auto"/>
              <w:jc w:val="both"/>
              <w:rPr>
                <w:rFonts w:ascii="Arial" w:eastAsia="Arial" w:hAnsi="Arial" w:cs="Arial"/>
              </w:rPr>
            </w:pPr>
            <w:r w:rsidRPr="3BDDEF42">
              <w:rPr>
                <w:rFonts w:ascii="Arial" w:eastAsia="Arial" w:hAnsi="Arial" w:cs="Arial"/>
              </w:rPr>
              <w:t>(40.00)</w:t>
            </w:r>
          </w:p>
        </w:tc>
        <w:tc>
          <w:tcPr>
            <w:tcW w:w="3012" w:type="dxa"/>
            <w:vAlign w:val="center"/>
          </w:tcPr>
          <w:p w14:paraId="2219184C" w14:textId="30AC2FE2" w:rsidR="3BDDEF42" w:rsidRDefault="3BDDEF42" w:rsidP="3BDDEF42">
            <w:pPr>
              <w:spacing w:after="0" w:line="360" w:lineRule="auto"/>
              <w:jc w:val="both"/>
              <w:rPr>
                <w:rFonts w:ascii="Arial" w:eastAsia="Arial" w:hAnsi="Arial" w:cs="Arial"/>
              </w:rPr>
            </w:pPr>
            <w:r w:rsidRPr="3BDDEF42">
              <w:rPr>
                <w:rFonts w:ascii="Arial" w:eastAsia="Arial" w:hAnsi="Arial" w:cs="Arial"/>
              </w:rPr>
              <w:t>1.0000</w:t>
            </w:r>
          </w:p>
        </w:tc>
        <w:tc>
          <w:tcPr>
            <w:tcW w:w="2242" w:type="dxa"/>
            <w:vAlign w:val="center"/>
          </w:tcPr>
          <w:p w14:paraId="7A78AEF5" w14:textId="04529F49" w:rsidR="3BDDEF42" w:rsidRDefault="3BDDEF42" w:rsidP="3BDDEF42">
            <w:pPr>
              <w:spacing w:after="0" w:line="360" w:lineRule="auto"/>
              <w:jc w:val="both"/>
              <w:rPr>
                <w:rFonts w:ascii="Arial" w:eastAsia="Arial" w:hAnsi="Arial" w:cs="Arial"/>
              </w:rPr>
            </w:pPr>
            <w:r w:rsidRPr="3BDDEF42">
              <w:rPr>
                <w:rFonts w:ascii="Arial" w:eastAsia="Arial" w:hAnsi="Arial" w:cs="Arial"/>
              </w:rPr>
              <w:t>(40.00)</w:t>
            </w:r>
          </w:p>
        </w:tc>
      </w:tr>
      <w:tr w:rsidR="3BDDEF42" w14:paraId="2301E158" w14:textId="77777777" w:rsidTr="3BDDEF42">
        <w:trPr>
          <w:trHeight w:val="300"/>
        </w:trPr>
        <w:tc>
          <w:tcPr>
            <w:tcW w:w="780" w:type="dxa"/>
            <w:vAlign w:val="center"/>
          </w:tcPr>
          <w:p w14:paraId="1BCF3705" w14:textId="26FA38C6" w:rsidR="3BDDEF42" w:rsidRDefault="3BDDEF42" w:rsidP="3BDDEF42">
            <w:pPr>
              <w:spacing w:after="0" w:line="360" w:lineRule="auto"/>
              <w:jc w:val="both"/>
              <w:rPr>
                <w:rFonts w:ascii="Arial" w:eastAsia="Arial" w:hAnsi="Arial" w:cs="Arial"/>
              </w:rPr>
            </w:pPr>
            <w:r w:rsidRPr="3BDDEF42">
              <w:rPr>
                <w:rFonts w:ascii="Arial" w:eastAsia="Arial" w:hAnsi="Arial" w:cs="Arial"/>
              </w:rPr>
              <w:t>1</w:t>
            </w:r>
          </w:p>
        </w:tc>
        <w:tc>
          <w:tcPr>
            <w:tcW w:w="2280" w:type="dxa"/>
            <w:vAlign w:val="center"/>
          </w:tcPr>
          <w:p w14:paraId="27CEF4FB" w14:textId="2C307AE5" w:rsidR="3BDDEF42" w:rsidRDefault="3BDDEF42" w:rsidP="3BDDEF42">
            <w:pPr>
              <w:spacing w:after="0" w:line="360" w:lineRule="auto"/>
              <w:jc w:val="both"/>
              <w:rPr>
                <w:rFonts w:ascii="Arial" w:eastAsia="Arial" w:hAnsi="Arial" w:cs="Arial"/>
              </w:rPr>
            </w:pPr>
            <w:r w:rsidRPr="3BDDEF42">
              <w:rPr>
                <w:rFonts w:ascii="Arial" w:eastAsia="Arial" w:hAnsi="Arial" w:cs="Arial"/>
              </w:rPr>
              <w:t>10.00</w:t>
            </w:r>
          </w:p>
        </w:tc>
        <w:tc>
          <w:tcPr>
            <w:tcW w:w="3012" w:type="dxa"/>
            <w:vAlign w:val="center"/>
          </w:tcPr>
          <w:p w14:paraId="4656FE85" w14:textId="4FD22F42" w:rsidR="3BDDEF42" w:rsidRDefault="3BDDEF42" w:rsidP="3BDDEF42">
            <w:pPr>
              <w:spacing w:after="0" w:line="360" w:lineRule="auto"/>
              <w:jc w:val="both"/>
              <w:rPr>
                <w:rFonts w:ascii="Arial" w:eastAsia="Arial" w:hAnsi="Arial" w:cs="Arial"/>
              </w:rPr>
            </w:pPr>
            <w:r w:rsidRPr="3BDDEF42">
              <w:rPr>
                <w:rFonts w:ascii="Arial" w:eastAsia="Arial" w:hAnsi="Arial" w:cs="Arial"/>
              </w:rPr>
              <w:t>0.9091</w:t>
            </w:r>
          </w:p>
        </w:tc>
        <w:tc>
          <w:tcPr>
            <w:tcW w:w="2242" w:type="dxa"/>
            <w:vAlign w:val="center"/>
          </w:tcPr>
          <w:p w14:paraId="0B2162FB" w14:textId="417CB1BD" w:rsidR="3BDDEF42" w:rsidRDefault="3BDDEF42" w:rsidP="3BDDEF42">
            <w:pPr>
              <w:spacing w:after="0" w:line="360" w:lineRule="auto"/>
              <w:jc w:val="both"/>
              <w:rPr>
                <w:rFonts w:ascii="Arial" w:eastAsia="Arial" w:hAnsi="Arial" w:cs="Arial"/>
              </w:rPr>
            </w:pPr>
            <w:r w:rsidRPr="3BDDEF42">
              <w:rPr>
                <w:rFonts w:ascii="Arial" w:eastAsia="Arial" w:hAnsi="Arial" w:cs="Arial"/>
              </w:rPr>
              <w:t>9.09</w:t>
            </w:r>
          </w:p>
        </w:tc>
      </w:tr>
      <w:tr w:rsidR="3BDDEF42" w14:paraId="58635AAD" w14:textId="77777777" w:rsidTr="3BDDEF42">
        <w:trPr>
          <w:trHeight w:val="300"/>
        </w:trPr>
        <w:tc>
          <w:tcPr>
            <w:tcW w:w="780" w:type="dxa"/>
            <w:vAlign w:val="center"/>
          </w:tcPr>
          <w:p w14:paraId="606B1852" w14:textId="2E464FEC" w:rsidR="3BDDEF42" w:rsidRDefault="3BDDEF42" w:rsidP="3BDDEF42">
            <w:pPr>
              <w:spacing w:after="0" w:line="360" w:lineRule="auto"/>
              <w:jc w:val="both"/>
              <w:rPr>
                <w:rFonts w:ascii="Arial" w:eastAsia="Arial" w:hAnsi="Arial" w:cs="Arial"/>
              </w:rPr>
            </w:pPr>
            <w:r w:rsidRPr="3BDDEF42">
              <w:rPr>
                <w:rFonts w:ascii="Arial" w:eastAsia="Arial" w:hAnsi="Arial" w:cs="Arial"/>
              </w:rPr>
              <w:t>2</w:t>
            </w:r>
          </w:p>
        </w:tc>
        <w:tc>
          <w:tcPr>
            <w:tcW w:w="2280" w:type="dxa"/>
            <w:vAlign w:val="center"/>
          </w:tcPr>
          <w:p w14:paraId="51AB15E0" w14:textId="00CDD577" w:rsidR="3BDDEF42" w:rsidRDefault="3BDDEF42" w:rsidP="3BDDEF42">
            <w:pPr>
              <w:spacing w:after="0" w:line="360" w:lineRule="auto"/>
              <w:jc w:val="both"/>
              <w:rPr>
                <w:rFonts w:ascii="Arial" w:eastAsia="Arial" w:hAnsi="Arial" w:cs="Arial"/>
              </w:rPr>
            </w:pPr>
            <w:r w:rsidRPr="3BDDEF42">
              <w:rPr>
                <w:rFonts w:ascii="Arial" w:eastAsia="Arial" w:hAnsi="Arial" w:cs="Arial"/>
              </w:rPr>
              <w:t>12.00</w:t>
            </w:r>
          </w:p>
        </w:tc>
        <w:tc>
          <w:tcPr>
            <w:tcW w:w="3012" w:type="dxa"/>
            <w:vAlign w:val="center"/>
          </w:tcPr>
          <w:p w14:paraId="35FB35F6" w14:textId="5AA0B096" w:rsidR="3BDDEF42" w:rsidRDefault="3BDDEF42" w:rsidP="3BDDEF42">
            <w:pPr>
              <w:spacing w:after="0" w:line="360" w:lineRule="auto"/>
              <w:jc w:val="both"/>
              <w:rPr>
                <w:rFonts w:ascii="Arial" w:eastAsia="Arial" w:hAnsi="Arial" w:cs="Arial"/>
              </w:rPr>
            </w:pPr>
            <w:r w:rsidRPr="3BDDEF42">
              <w:rPr>
                <w:rFonts w:ascii="Arial" w:eastAsia="Arial" w:hAnsi="Arial" w:cs="Arial"/>
              </w:rPr>
              <w:t>0.8264</w:t>
            </w:r>
          </w:p>
        </w:tc>
        <w:tc>
          <w:tcPr>
            <w:tcW w:w="2242" w:type="dxa"/>
            <w:vAlign w:val="center"/>
          </w:tcPr>
          <w:p w14:paraId="545C2B9E" w14:textId="78BA9A50" w:rsidR="3BDDEF42" w:rsidRDefault="3BDDEF42" w:rsidP="3BDDEF42">
            <w:pPr>
              <w:spacing w:after="0" w:line="360" w:lineRule="auto"/>
              <w:jc w:val="both"/>
              <w:rPr>
                <w:rFonts w:ascii="Arial" w:eastAsia="Arial" w:hAnsi="Arial" w:cs="Arial"/>
              </w:rPr>
            </w:pPr>
            <w:r w:rsidRPr="3BDDEF42">
              <w:rPr>
                <w:rFonts w:ascii="Arial" w:eastAsia="Arial" w:hAnsi="Arial" w:cs="Arial"/>
              </w:rPr>
              <w:t>9.92</w:t>
            </w:r>
          </w:p>
        </w:tc>
      </w:tr>
      <w:tr w:rsidR="3BDDEF42" w14:paraId="0B900DE2" w14:textId="77777777" w:rsidTr="3BDDEF42">
        <w:trPr>
          <w:trHeight w:val="300"/>
        </w:trPr>
        <w:tc>
          <w:tcPr>
            <w:tcW w:w="780" w:type="dxa"/>
            <w:vAlign w:val="center"/>
          </w:tcPr>
          <w:p w14:paraId="385712E3" w14:textId="683F3206" w:rsidR="3BDDEF42" w:rsidRDefault="3BDDEF42" w:rsidP="3BDDEF42">
            <w:pPr>
              <w:spacing w:after="0" w:line="360" w:lineRule="auto"/>
              <w:jc w:val="both"/>
              <w:rPr>
                <w:rFonts w:ascii="Arial" w:eastAsia="Arial" w:hAnsi="Arial" w:cs="Arial"/>
              </w:rPr>
            </w:pPr>
            <w:r w:rsidRPr="3BDDEF42">
              <w:rPr>
                <w:rFonts w:ascii="Arial" w:eastAsia="Arial" w:hAnsi="Arial" w:cs="Arial"/>
              </w:rPr>
              <w:t>3</w:t>
            </w:r>
          </w:p>
        </w:tc>
        <w:tc>
          <w:tcPr>
            <w:tcW w:w="2280" w:type="dxa"/>
            <w:vAlign w:val="center"/>
          </w:tcPr>
          <w:p w14:paraId="3BE9040D" w14:textId="36A834DB" w:rsidR="3BDDEF42" w:rsidRDefault="3BDDEF42" w:rsidP="3BDDEF42">
            <w:pPr>
              <w:spacing w:after="0" w:line="360" w:lineRule="auto"/>
              <w:jc w:val="both"/>
              <w:rPr>
                <w:rFonts w:ascii="Arial" w:eastAsia="Arial" w:hAnsi="Arial" w:cs="Arial"/>
              </w:rPr>
            </w:pPr>
            <w:r w:rsidRPr="3BDDEF42">
              <w:rPr>
                <w:rFonts w:ascii="Arial" w:eastAsia="Arial" w:hAnsi="Arial" w:cs="Arial"/>
              </w:rPr>
              <w:t>14.00</w:t>
            </w:r>
          </w:p>
        </w:tc>
        <w:tc>
          <w:tcPr>
            <w:tcW w:w="3012" w:type="dxa"/>
            <w:vAlign w:val="center"/>
          </w:tcPr>
          <w:p w14:paraId="2BC1F72E" w14:textId="50857050" w:rsidR="3BDDEF42" w:rsidRDefault="3BDDEF42" w:rsidP="3BDDEF42">
            <w:pPr>
              <w:spacing w:after="0" w:line="360" w:lineRule="auto"/>
              <w:jc w:val="both"/>
              <w:rPr>
                <w:rFonts w:ascii="Arial" w:eastAsia="Arial" w:hAnsi="Arial" w:cs="Arial"/>
              </w:rPr>
            </w:pPr>
            <w:r w:rsidRPr="3BDDEF42">
              <w:rPr>
                <w:rFonts w:ascii="Arial" w:eastAsia="Arial" w:hAnsi="Arial" w:cs="Arial"/>
              </w:rPr>
              <w:t>0.7513</w:t>
            </w:r>
          </w:p>
        </w:tc>
        <w:tc>
          <w:tcPr>
            <w:tcW w:w="2242" w:type="dxa"/>
            <w:vAlign w:val="center"/>
          </w:tcPr>
          <w:p w14:paraId="29F24882" w14:textId="20CDF5C5" w:rsidR="3BDDEF42" w:rsidRDefault="3BDDEF42" w:rsidP="3BDDEF42">
            <w:pPr>
              <w:spacing w:after="0" w:line="360" w:lineRule="auto"/>
              <w:jc w:val="both"/>
              <w:rPr>
                <w:rFonts w:ascii="Arial" w:eastAsia="Arial" w:hAnsi="Arial" w:cs="Arial"/>
              </w:rPr>
            </w:pPr>
            <w:r w:rsidRPr="3BDDEF42">
              <w:rPr>
                <w:rFonts w:ascii="Arial" w:eastAsia="Arial" w:hAnsi="Arial" w:cs="Arial"/>
              </w:rPr>
              <w:t>10.52</w:t>
            </w:r>
          </w:p>
        </w:tc>
      </w:tr>
      <w:tr w:rsidR="3BDDEF42" w14:paraId="330233C2" w14:textId="77777777" w:rsidTr="3BDDEF42">
        <w:trPr>
          <w:trHeight w:val="300"/>
        </w:trPr>
        <w:tc>
          <w:tcPr>
            <w:tcW w:w="780" w:type="dxa"/>
            <w:vAlign w:val="center"/>
          </w:tcPr>
          <w:p w14:paraId="7A694D55" w14:textId="455411C8" w:rsidR="3BDDEF42" w:rsidRDefault="3BDDEF42" w:rsidP="3BDDEF42">
            <w:pPr>
              <w:spacing w:after="0" w:line="360" w:lineRule="auto"/>
              <w:jc w:val="both"/>
              <w:rPr>
                <w:rFonts w:ascii="Arial" w:eastAsia="Arial" w:hAnsi="Arial" w:cs="Arial"/>
              </w:rPr>
            </w:pPr>
            <w:r w:rsidRPr="3BDDEF42">
              <w:rPr>
                <w:rFonts w:ascii="Arial" w:eastAsia="Arial" w:hAnsi="Arial" w:cs="Arial"/>
              </w:rPr>
              <w:t>4</w:t>
            </w:r>
          </w:p>
        </w:tc>
        <w:tc>
          <w:tcPr>
            <w:tcW w:w="2280" w:type="dxa"/>
            <w:vAlign w:val="center"/>
          </w:tcPr>
          <w:p w14:paraId="49D37D27" w14:textId="072DD94D" w:rsidR="3BDDEF42" w:rsidRDefault="3BDDEF42" w:rsidP="3BDDEF42">
            <w:pPr>
              <w:spacing w:after="0" w:line="360" w:lineRule="auto"/>
              <w:jc w:val="both"/>
              <w:rPr>
                <w:rFonts w:ascii="Arial" w:eastAsia="Arial" w:hAnsi="Arial" w:cs="Arial"/>
              </w:rPr>
            </w:pPr>
            <w:r w:rsidRPr="3BDDEF42">
              <w:rPr>
                <w:rFonts w:ascii="Arial" w:eastAsia="Arial" w:hAnsi="Arial" w:cs="Arial"/>
              </w:rPr>
              <w:t>10.00</w:t>
            </w:r>
          </w:p>
        </w:tc>
        <w:tc>
          <w:tcPr>
            <w:tcW w:w="3012" w:type="dxa"/>
            <w:vAlign w:val="center"/>
          </w:tcPr>
          <w:p w14:paraId="6A042B51" w14:textId="383BF5AA" w:rsidR="3BDDEF42" w:rsidRDefault="3BDDEF42" w:rsidP="3BDDEF42">
            <w:pPr>
              <w:spacing w:after="0" w:line="360" w:lineRule="auto"/>
              <w:jc w:val="both"/>
              <w:rPr>
                <w:rFonts w:ascii="Arial" w:eastAsia="Arial" w:hAnsi="Arial" w:cs="Arial"/>
              </w:rPr>
            </w:pPr>
            <w:r w:rsidRPr="3BDDEF42">
              <w:rPr>
                <w:rFonts w:ascii="Arial" w:eastAsia="Arial" w:hAnsi="Arial" w:cs="Arial"/>
              </w:rPr>
              <w:t>0.6830</w:t>
            </w:r>
          </w:p>
        </w:tc>
        <w:tc>
          <w:tcPr>
            <w:tcW w:w="2242" w:type="dxa"/>
            <w:vAlign w:val="center"/>
          </w:tcPr>
          <w:p w14:paraId="497B6D85" w14:textId="6DA40069" w:rsidR="3BDDEF42" w:rsidRDefault="3BDDEF42" w:rsidP="3BDDEF42">
            <w:pPr>
              <w:spacing w:after="0" w:line="360" w:lineRule="auto"/>
              <w:jc w:val="both"/>
              <w:rPr>
                <w:rFonts w:ascii="Arial" w:eastAsia="Arial" w:hAnsi="Arial" w:cs="Arial"/>
              </w:rPr>
            </w:pPr>
            <w:r w:rsidRPr="3BDDEF42">
              <w:rPr>
                <w:rFonts w:ascii="Arial" w:eastAsia="Arial" w:hAnsi="Arial" w:cs="Arial"/>
              </w:rPr>
              <w:t>6.83</w:t>
            </w:r>
          </w:p>
        </w:tc>
      </w:tr>
      <w:tr w:rsidR="3BDDEF42" w14:paraId="6995DBA2" w14:textId="77777777" w:rsidTr="3BDDEF42">
        <w:trPr>
          <w:trHeight w:val="300"/>
        </w:trPr>
        <w:tc>
          <w:tcPr>
            <w:tcW w:w="780" w:type="dxa"/>
            <w:vAlign w:val="center"/>
          </w:tcPr>
          <w:p w14:paraId="20043B26" w14:textId="1808A5A1" w:rsidR="3BDDEF42" w:rsidRDefault="3BDDEF42" w:rsidP="3BDDEF42">
            <w:pPr>
              <w:spacing w:after="0" w:line="360" w:lineRule="auto"/>
              <w:jc w:val="both"/>
              <w:rPr>
                <w:rFonts w:ascii="Arial" w:eastAsia="Arial" w:hAnsi="Arial" w:cs="Arial"/>
              </w:rPr>
            </w:pPr>
            <w:r w:rsidRPr="3BDDEF42">
              <w:rPr>
                <w:rFonts w:ascii="Arial" w:eastAsia="Arial" w:hAnsi="Arial" w:cs="Arial"/>
              </w:rPr>
              <w:t>5</w:t>
            </w:r>
          </w:p>
        </w:tc>
        <w:tc>
          <w:tcPr>
            <w:tcW w:w="2280" w:type="dxa"/>
            <w:vAlign w:val="center"/>
          </w:tcPr>
          <w:p w14:paraId="4029F660" w14:textId="252B11DE" w:rsidR="3BDDEF42" w:rsidRDefault="3BDDEF42" w:rsidP="3BDDEF42">
            <w:pPr>
              <w:spacing w:after="0" w:line="360" w:lineRule="auto"/>
              <w:jc w:val="both"/>
              <w:rPr>
                <w:rFonts w:ascii="Arial" w:eastAsia="Arial" w:hAnsi="Arial" w:cs="Arial"/>
              </w:rPr>
            </w:pPr>
            <w:r w:rsidRPr="3BDDEF42">
              <w:rPr>
                <w:rFonts w:ascii="Arial" w:eastAsia="Arial" w:hAnsi="Arial" w:cs="Arial"/>
              </w:rPr>
              <w:t>8.00</w:t>
            </w:r>
          </w:p>
        </w:tc>
        <w:tc>
          <w:tcPr>
            <w:tcW w:w="3012" w:type="dxa"/>
            <w:vAlign w:val="center"/>
          </w:tcPr>
          <w:p w14:paraId="75476C2D" w14:textId="6FD7D5E4" w:rsidR="3BDDEF42" w:rsidRDefault="3BDDEF42" w:rsidP="3BDDEF42">
            <w:pPr>
              <w:spacing w:after="0" w:line="360" w:lineRule="auto"/>
              <w:jc w:val="both"/>
              <w:rPr>
                <w:rFonts w:ascii="Arial" w:eastAsia="Arial" w:hAnsi="Arial" w:cs="Arial"/>
              </w:rPr>
            </w:pPr>
            <w:r w:rsidRPr="3BDDEF42">
              <w:rPr>
                <w:rFonts w:ascii="Arial" w:eastAsia="Arial" w:hAnsi="Arial" w:cs="Arial"/>
              </w:rPr>
              <w:t>0.6209</w:t>
            </w:r>
          </w:p>
        </w:tc>
        <w:tc>
          <w:tcPr>
            <w:tcW w:w="2242" w:type="dxa"/>
            <w:vAlign w:val="center"/>
          </w:tcPr>
          <w:p w14:paraId="51B4E0C9" w14:textId="78DF7F74" w:rsidR="3BDDEF42" w:rsidRDefault="3BDDEF42" w:rsidP="3BDDEF42">
            <w:pPr>
              <w:spacing w:after="0" w:line="360" w:lineRule="auto"/>
              <w:jc w:val="both"/>
              <w:rPr>
                <w:rFonts w:ascii="Arial" w:eastAsia="Arial" w:hAnsi="Arial" w:cs="Arial"/>
              </w:rPr>
            </w:pPr>
            <w:r w:rsidRPr="3BDDEF42">
              <w:rPr>
                <w:rFonts w:ascii="Arial" w:eastAsia="Arial" w:hAnsi="Arial" w:cs="Arial"/>
              </w:rPr>
              <w:t>4.97</w:t>
            </w:r>
          </w:p>
        </w:tc>
      </w:tr>
      <w:tr w:rsidR="3BDDEF42" w14:paraId="6C22C66D" w14:textId="77777777" w:rsidTr="3BDDEF42">
        <w:trPr>
          <w:trHeight w:val="300"/>
        </w:trPr>
        <w:tc>
          <w:tcPr>
            <w:tcW w:w="780" w:type="dxa"/>
            <w:vAlign w:val="center"/>
          </w:tcPr>
          <w:p w14:paraId="3879D229" w14:textId="692E6F78" w:rsidR="3BDDEF42" w:rsidRDefault="3BDDEF42" w:rsidP="3BDDEF42">
            <w:pPr>
              <w:spacing w:line="360" w:lineRule="auto"/>
              <w:jc w:val="both"/>
              <w:rPr>
                <w:rFonts w:ascii="Arial" w:eastAsia="Arial" w:hAnsi="Arial" w:cs="Arial"/>
              </w:rPr>
            </w:pPr>
          </w:p>
        </w:tc>
        <w:tc>
          <w:tcPr>
            <w:tcW w:w="2280" w:type="dxa"/>
            <w:vAlign w:val="center"/>
          </w:tcPr>
          <w:p w14:paraId="7E568640" w14:textId="7CFAD290" w:rsidR="3BDDEF42" w:rsidRDefault="3BDDEF42" w:rsidP="3BDDEF42">
            <w:pPr>
              <w:spacing w:after="0" w:line="360" w:lineRule="auto"/>
              <w:jc w:val="both"/>
              <w:rPr>
                <w:rFonts w:ascii="Arial" w:eastAsia="Arial" w:hAnsi="Arial" w:cs="Arial"/>
              </w:rPr>
            </w:pPr>
            <w:r w:rsidRPr="3BDDEF42">
              <w:rPr>
                <w:rFonts w:ascii="Arial" w:eastAsia="Arial" w:hAnsi="Arial" w:cs="Arial"/>
              </w:rPr>
              <w:t>Total PV of Inflows</w:t>
            </w:r>
          </w:p>
        </w:tc>
        <w:tc>
          <w:tcPr>
            <w:tcW w:w="3012" w:type="dxa"/>
            <w:vAlign w:val="center"/>
          </w:tcPr>
          <w:p w14:paraId="0CDF279E" w14:textId="3F4CF957" w:rsidR="3BDDEF42" w:rsidRDefault="3BDDEF42" w:rsidP="3BDDEF42">
            <w:pPr>
              <w:spacing w:line="360" w:lineRule="auto"/>
              <w:jc w:val="both"/>
              <w:rPr>
                <w:rFonts w:ascii="Arial" w:eastAsia="Arial" w:hAnsi="Arial" w:cs="Arial"/>
              </w:rPr>
            </w:pPr>
          </w:p>
        </w:tc>
        <w:tc>
          <w:tcPr>
            <w:tcW w:w="2242" w:type="dxa"/>
            <w:vAlign w:val="center"/>
          </w:tcPr>
          <w:p w14:paraId="08CE8657" w14:textId="2047F0C9" w:rsidR="3BDDEF42" w:rsidRDefault="3BDDEF42" w:rsidP="3BDDEF42">
            <w:pPr>
              <w:spacing w:after="0" w:line="360" w:lineRule="auto"/>
              <w:jc w:val="both"/>
              <w:rPr>
                <w:rFonts w:ascii="Arial" w:eastAsia="Arial" w:hAnsi="Arial" w:cs="Arial"/>
              </w:rPr>
            </w:pPr>
            <w:r w:rsidRPr="3BDDEF42">
              <w:rPr>
                <w:rFonts w:ascii="Arial" w:eastAsia="Arial" w:hAnsi="Arial" w:cs="Arial"/>
              </w:rPr>
              <w:t>£41.33</w:t>
            </w:r>
          </w:p>
        </w:tc>
      </w:tr>
      <w:tr w:rsidR="3BDDEF42" w14:paraId="54A41EA2" w14:textId="77777777" w:rsidTr="3BDDEF42">
        <w:trPr>
          <w:trHeight w:val="300"/>
        </w:trPr>
        <w:tc>
          <w:tcPr>
            <w:tcW w:w="780" w:type="dxa"/>
            <w:vAlign w:val="center"/>
          </w:tcPr>
          <w:p w14:paraId="0D40B1C2" w14:textId="6E2AF4FE" w:rsidR="3BDDEF42" w:rsidRDefault="3BDDEF42" w:rsidP="3BDDEF42">
            <w:pPr>
              <w:spacing w:line="360" w:lineRule="auto"/>
              <w:jc w:val="both"/>
              <w:rPr>
                <w:rFonts w:ascii="Arial" w:eastAsia="Arial" w:hAnsi="Arial" w:cs="Arial"/>
              </w:rPr>
            </w:pPr>
          </w:p>
        </w:tc>
        <w:tc>
          <w:tcPr>
            <w:tcW w:w="2280" w:type="dxa"/>
            <w:vAlign w:val="center"/>
          </w:tcPr>
          <w:p w14:paraId="34E760C4" w14:textId="249A3113" w:rsidR="3BDDEF42" w:rsidRDefault="3BDDEF42" w:rsidP="3BDDEF42">
            <w:pPr>
              <w:spacing w:after="0" w:line="360" w:lineRule="auto"/>
              <w:jc w:val="both"/>
              <w:rPr>
                <w:rFonts w:ascii="Arial" w:eastAsia="Arial" w:hAnsi="Arial" w:cs="Arial"/>
              </w:rPr>
            </w:pPr>
            <w:r w:rsidRPr="3BDDEF42">
              <w:rPr>
                <w:rFonts w:ascii="Arial" w:eastAsia="Arial" w:hAnsi="Arial" w:cs="Arial"/>
              </w:rPr>
              <w:t>NPV</w:t>
            </w:r>
          </w:p>
        </w:tc>
        <w:tc>
          <w:tcPr>
            <w:tcW w:w="3012" w:type="dxa"/>
            <w:vAlign w:val="center"/>
          </w:tcPr>
          <w:p w14:paraId="57DF1F37" w14:textId="7754202F" w:rsidR="3BDDEF42" w:rsidRDefault="3BDDEF42" w:rsidP="3BDDEF42">
            <w:pPr>
              <w:spacing w:line="360" w:lineRule="auto"/>
              <w:jc w:val="both"/>
              <w:rPr>
                <w:rFonts w:ascii="Arial" w:eastAsia="Arial" w:hAnsi="Arial" w:cs="Arial"/>
              </w:rPr>
            </w:pPr>
          </w:p>
        </w:tc>
        <w:tc>
          <w:tcPr>
            <w:tcW w:w="2242" w:type="dxa"/>
            <w:vAlign w:val="center"/>
          </w:tcPr>
          <w:p w14:paraId="763EDFF8" w14:textId="679D56E6" w:rsidR="3BDDEF42" w:rsidRDefault="3BDDEF42" w:rsidP="3BDDEF42">
            <w:pPr>
              <w:spacing w:after="0" w:line="360" w:lineRule="auto"/>
              <w:jc w:val="both"/>
              <w:rPr>
                <w:rFonts w:ascii="Arial" w:eastAsia="Arial" w:hAnsi="Arial" w:cs="Arial"/>
              </w:rPr>
            </w:pPr>
            <w:r w:rsidRPr="3BDDEF42">
              <w:rPr>
                <w:rFonts w:ascii="Arial" w:eastAsia="Arial" w:hAnsi="Arial" w:cs="Arial"/>
              </w:rPr>
              <w:t>£1.33</w:t>
            </w:r>
          </w:p>
        </w:tc>
      </w:tr>
    </w:tbl>
    <w:p w14:paraId="2901C514" w14:textId="66E30E1F" w:rsidR="793C14F7" w:rsidRDefault="793C14F7" w:rsidP="3BDDEF42">
      <w:pPr>
        <w:pStyle w:val="Heading4"/>
        <w:spacing w:before="319" w:after="319" w:line="360" w:lineRule="auto"/>
        <w:jc w:val="both"/>
        <w:rPr>
          <w:rFonts w:ascii="Arial" w:eastAsia="Arial" w:hAnsi="Arial" w:cs="Arial"/>
          <w:color w:val="auto"/>
        </w:rPr>
      </w:pPr>
      <w:bookmarkStart w:id="23" w:name="_Toc820867098"/>
      <w:r w:rsidRPr="3BDDEF42">
        <w:rPr>
          <w:rFonts w:ascii="Arial" w:eastAsia="Arial" w:hAnsi="Arial" w:cs="Arial"/>
          <w:color w:val="auto"/>
        </w:rPr>
        <w:t>Project B: Financial Evaluation (Initial Investment: £30m)</w:t>
      </w:r>
      <w:bookmarkEnd w:id="23"/>
    </w:p>
    <w:p w14:paraId="0B6E4D12" w14:textId="542809BB"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1. Payback Period</w:t>
      </w:r>
    </w:p>
    <w:p w14:paraId="5813E6EC" w14:textId="107C44E4" w:rsidR="793C14F7" w:rsidRDefault="793C14F7" w:rsidP="3BDDEF42">
      <w:pPr>
        <w:pStyle w:val="ListParagraph"/>
        <w:numPr>
          <w:ilvl w:val="0"/>
          <w:numId w:val="3"/>
        </w:numPr>
        <w:spacing w:before="240" w:after="240" w:line="360" w:lineRule="auto"/>
        <w:jc w:val="both"/>
        <w:rPr>
          <w:rFonts w:ascii="Arial" w:eastAsia="Arial" w:hAnsi="Arial" w:cs="Arial"/>
        </w:rPr>
      </w:pPr>
      <w:r w:rsidRPr="3BDDEF42">
        <w:rPr>
          <w:rFonts w:ascii="Arial" w:eastAsia="Arial" w:hAnsi="Arial" w:cs="Arial"/>
          <w:i/>
          <w:iCs/>
        </w:rPr>
        <w:t>Calculation:</w:t>
      </w:r>
      <w:r w:rsidRPr="3BDDEF42">
        <w:rPr>
          <w:rFonts w:ascii="Arial" w:eastAsia="Arial" w:hAnsi="Arial" w:cs="Arial"/>
        </w:rPr>
        <w:t xml:space="preserve"> The project generates a constant annual cash inflow.</w:t>
      </w:r>
    </w:p>
    <w:p w14:paraId="0B7206AB" w14:textId="6F2F5FCA" w:rsidR="793C14F7" w:rsidRDefault="793C14F7" w:rsidP="3BDDEF42">
      <w:pPr>
        <w:pStyle w:val="ListParagraph"/>
        <w:numPr>
          <w:ilvl w:val="1"/>
          <w:numId w:val="3"/>
        </w:numPr>
        <w:spacing w:before="240" w:after="240" w:line="360" w:lineRule="auto"/>
        <w:jc w:val="both"/>
        <w:rPr>
          <w:rFonts w:ascii="Arial" w:eastAsia="Arial" w:hAnsi="Arial" w:cs="Arial"/>
        </w:rPr>
      </w:pPr>
      <w:r w:rsidRPr="3BDDEF42">
        <w:rPr>
          <w:rFonts w:ascii="Arial" w:eastAsia="Arial" w:hAnsi="Arial" w:cs="Arial"/>
        </w:rPr>
        <w:t>Payback Period = Initial Investment / Annual Cash Inflow = £30.00m / £6.00m = 5.0 years</w:t>
      </w:r>
    </w:p>
    <w:p w14:paraId="08B841F5" w14:textId="1224D6CD"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2. Accounting Rate of Return (ARR)</w:t>
      </w:r>
    </w:p>
    <w:tbl>
      <w:tblPr>
        <w:tblW w:w="0" w:type="auto"/>
        <w:tblLayout w:type="fixed"/>
        <w:tblLook w:val="06A0" w:firstRow="1" w:lastRow="0" w:firstColumn="1" w:lastColumn="0" w:noHBand="1" w:noVBand="1"/>
      </w:tblPr>
      <w:tblGrid>
        <w:gridCol w:w="453"/>
        <w:gridCol w:w="3108"/>
        <w:gridCol w:w="4299"/>
        <w:gridCol w:w="1193"/>
      </w:tblGrid>
      <w:tr w:rsidR="3BDDEF42" w14:paraId="781B4E6F" w14:textId="77777777" w:rsidTr="3BDDEF42">
        <w:trPr>
          <w:trHeight w:val="300"/>
        </w:trPr>
        <w:tc>
          <w:tcPr>
            <w:tcW w:w="453" w:type="dxa"/>
            <w:vAlign w:val="center"/>
          </w:tcPr>
          <w:p w14:paraId="14EE5C52" w14:textId="58DBEFF8" w:rsidR="3BDDEF42" w:rsidRDefault="3BDDEF42" w:rsidP="3BDDEF42">
            <w:pPr>
              <w:spacing w:after="0" w:line="360" w:lineRule="auto"/>
              <w:jc w:val="both"/>
              <w:rPr>
                <w:rFonts w:ascii="Arial" w:eastAsia="Arial" w:hAnsi="Arial" w:cs="Arial"/>
              </w:rPr>
            </w:pPr>
            <w:r w:rsidRPr="3BDDEF42">
              <w:rPr>
                <w:rFonts w:ascii="Arial" w:eastAsia="Arial" w:hAnsi="Arial" w:cs="Arial"/>
              </w:rPr>
              <w:t>Step</w:t>
            </w:r>
          </w:p>
        </w:tc>
        <w:tc>
          <w:tcPr>
            <w:tcW w:w="3108" w:type="dxa"/>
            <w:vAlign w:val="center"/>
          </w:tcPr>
          <w:p w14:paraId="636A0D35" w14:textId="15F65ED7" w:rsidR="3BDDEF42" w:rsidRDefault="3BDDEF42" w:rsidP="3BDDEF42">
            <w:pPr>
              <w:spacing w:after="0" w:line="360" w:lineRule="auto"/>
              <w:jc w:val="both"/>
              <w:rPr>
                <w:rFonts w:ascii="Arial" w:eastAsia="Arial" w:hAnsi="Arial" w:cs="Arial"/>
              </w:rPr>
            </w:pPr>
            <w:r w:rsidRPr="3BDDEF42">
              <w:rPr>
                <w:rFonts w:ascii="Arial" w:eastAsia="Arial" w:hAnsi="Arial" w:cs="Arial"/>
              </w:rPr>
              <w:t>Description</w:t>
            </w:r>
          </w:p>
        </w:tc>
        <w:tc>
          <w:tcPr>
            <w:tcW w:w="4299" w:type="dxa"/>
            <w:vAlign w:val="center"/>
          </w:tcPr>
          <w:p w14:paraId="0A91AA6E" w14:textId="6CC57970" w:rsidR="3BDDEF42" w:rsidRDefault="3BDDEF42" w:rsidP="3BDDEF42">
            <w:pPr>
              <w:spacing w:after="0" w:line="360" w:lineRule="auto"/>
              <w:jc w:val="both"/>
              <w:rPr>
                <w:rFonts w:ascii="Arial" w:eastAsia="Arial" w:hAnsi="Arial" w:cs="Arial"/>
              </w:rPr>
            </w:pPr>
            <w:r w:rsidRPr="3BDDEF42">
              <w:rPr>
                <w:rFonts w:ascii="Arial" w:eastAsia="Arial" w:hAnsi="Arial" w:cs="Arial"/>
              </w:rPr>
              <w:t>Calculation</w:t>
            </w:r>
          </w:p>
        </w:tc>
        <w:tc>
          <w:tcPr>
            <w:tcW w:w="1193" w:type="dxa"/>
            <w:vAlign w:val="center"/>
          </w:tcPr>
          <w:p w14:paraId="388DFA3A" w14:textId="55CC7BC4" w:rsidR="3BDDEF42" w:rsidRDefault="3BDDEF42" w:rsidP="3BDDEF42">
            <w:pPr>
              <w:spacing w:after="0" w:line="360" w:lineRule="auto"/>
              <w:jc w:val="both"/>
              <w:rPr>
                <w:rFonts w:ascii="Arial" w:eastAsia="Arial" w:hAnsi="Arial" w:cs="Arial"/>
              </w:rPr>
            </w:pPr>
            <w:r w:rsidRPr="3BDDEF42">
              <w:rPr>
                <w:rFonts w:ascii="Arial" w:eastAsia="Arial" w:hAnsi="Arial" w:cs="Arial"/>
              </w:rPr>
              <w:t>Result (£m)</w:t>
            </w:r>
          </w:p>
        </w:tc>
      </w:tr>
      <w:tr w:rsidR="3BDDEF42" w14:paraId="18C181E6" w14:textId="77777777" w:rsidTr="3BDDEF42">
        <w:trPr>
          <w:trHeight w:val="300"/>
        </w:trPr>
        <w:tc>
          <w:tcPr>
            <w:tcW w:w="453" w:type="dxa"/>
            <w:vAlign w:val="center"/>
          </w:tcPr>
          <w:p w14:paraId="3621B2AD" w14:textId="112E8AB2" w:rsidR="3BDDEF42" w:rsidRDefault="3BDDEF42" w:rsidP="3BDDEF42">
            <w:pPr>
              <w:spacing w:after="0" w:line="360" w:lineRule="auto"/>
              <w:jc w:val="both"/>
              <w:rPr>
                <w:rFonts w:ascii="Arial" w:eastAsia="Arial" w:hAnsi="Arial" w:cs="Arial"/>
              </w:rPr>
            </w:pPr>
            <w:r w:rsidRPr="3BDDEF42">
              <w:rPr>
                <w:rFonts w:ascii="Arial" w:eastAsia="Arial" w:hAnsi="Arial" w:cs="Arial"/>
              </w:rPr>
              <w:t>1</w:t>
            </w:r>
          </w:p>
        </w:tc>
        <w:tc>
          <w:tcPr>
            <w:tcW w:w="3108" w:type="dxa"/>
            <w:vAlign w:val="center"/>
          </w:tcPr>
          <w:p w14:paraId="74499368" w14:textId="2F423229"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Annual Depreciation</w:t>
            </w:r>
          </w:p>
        </w:tc>
        <w:tc>
          <w:tcPr>
            <w:tcW w:w="4299" w:type="dxa"/>
            <w:vAlign w:val="center"/>
          </w:tcPr>
          <w:p w14:paraId="2E06FB39" w14:textId="1E78E058" w:rsidR="3BDDEF42" w:rsidRDefault="3BDDEF42" w:rsidP="3BDDEF42">
            <w:pPr>
              <w:spacing w:after="0" w:line="360" w:lineRule="auto"/>
              <w:jc w:val="both"/>
              <w:rPr>
                <w:rFonts w:ascii="Arial" w:eastAsia="Arial" w:hAnsi="Arial" w:cs="Arial"/>
              </w:rPr>
            </w:pPr>
            <w:r w:rsidRPr="3BDDEF42">
              <w:rPr>
                <w:rFonts w:ascii="Arial" w:eastAsia="Arial" w:hAnsi="Arial" w:cs="Arial"/>
              </w:rPr>
              <w:t>£30m (Initial Cost) ÷ 5 years (Life)</w:t>
            </w:r>
          </w:p>
        </w:tc>
        <w:tc>
          <w:tcPr>
            <w:tcW w:w="1193" w:type="dxa"/>
            <w:vAlign w:val="center"/>
          </w:tcPr>
          <w:p w14:paraId="5437534C" w14:textId="69584685" w:rsidR="3BDDEF42" w:rsidRDefault="3BDDEF42" w:rsidP="3BDDEF42">
            <w:pPr>
              <w:spacing w:after="0" w:line="360" w:lineRule="auto"/>
              <w:jc w:val="both"/>
              <w:rPr>
                <w:rFonts w:ascii="Arial" w:eastAsia="Arial" w:hAnsi="Arial" w:cs="Arial"/>
              </w:rPr>
            </w:pPr>
            <w:r w:rsidRPr="3BDDEF42">
              <w:rPr>
                <w:rFonts w:ascii="Arial" w:eastAsia="Arial" w:hAnsi="Arial" w:cs="Arial"/>
              </w:rPr>
              <w:t>£6.00</w:t>
            </w:r>
          </w:p>
        </w:tc>
      </w:tr>
      <w:tr w:rsidR="3BDDEF42" w14:paraId="5289BC65" w14:textId="77777777" w:rsidTr="3BDDEF42">
        <w:trPr>
          <w:trHeight w:val="300"/>
        </w:trPr>
        <w:tc>
          <w:tcPr>
            <w:tcW w:w="453" w:type="dxa"/>
            <w:vAlign w:val="center"/>
          </w:tcPr>
          <w:p w14:paraId="79F6E3D3" w14:textId="288B7E87" w:rsidR="3BDDEF42" w:rsidRDefault="3BDDEF42" w:rsidP="3BDDEF42">
            <w:pPr>
              <w:spacing w:after="0" w:line="360" w:lineRule="auto"/>
              <w:jc w:val="both"/>
              <w:rPr>
                <w:rFonts w:ascii="Arial" w:eastAsia="Arial" w:hAnsi="Arial" w:cs="Arial"/>
              </w:rPr>
            </w:pPr>
            <w:r w:rsidRPr="3BDDEF42">
              <w:rPr>
                <w:rFonts w:ascii="Arial" w:eastAsia="Arial" w:hAnsi="Arial" w:cs="Arial"/>
              </w:rPr>
              <w:t>2</w:t>
            </w:r>
          </w:p>
        </w:tc>
        <w:tc>
          <w:tcPr>
            <w:tcW w:w="3108" w:type="dxa"/>
            <w:vAlign w:val="center"/>
          </w:tcPr>
          <w:p w14:paraId="1D99A503" w14:textId="1B782F53"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Average Annual Profit</w:t>
            </w:r>
          </w:p>
        </w:tc>
        <w:tc>
          <w:tcPr>
            <w:tcW w:w="4299" w:type="dxa"/>
            <w:vAlign w:val="center"/>
          </w:tcPr>
          <w:p w14:paraId="05299D0C" w14:textId="032493D6" w:rsidR="3BDDEF42" w:rsidRDefault="3BDDEF42" w:rsidP="3BDDEF42">
            <w:pPr>
              <w:spacing w:after="0" w:line="360" w:lineRule="auto"/>
              <w:jc w:val="both"/>
              <w:rPr>
                <w:rFonts w:ascii="Arial" w:eastAsia="Arial" w:hAnsi="Arial" w:cs="Arial"/>
              </w:rPr>
            </w:pPr>
            <w:r w:rsidRPr="3BDDEF42">
              <w:rPr>
                <w:rFonts w:ascii="Arial" w:eastAsia="Arial" w:hAnsi="Arial" w:cs="Arial"/>
              </w:rPr>
              <w:t>(£6m (Annual Inflow) - £6m (Depreciation))</w:t>
            </w:r>
          </w:p>
        </w:tc>
        <w:tc>
          <w:tcPr>
            <w:tcW w:w="1193" w:type="dxa"/>
            <w:vAlign w:val="center"/>
          </w:tcPr>
          <w:p w14:paraId="2ED0A01B" w14:textId="34A1549F" w:rsidR="3BDDEF42" w:rsidRDefault="3BDDEF42" w:rsidP="3BDDEF42">
            <w:pPr>
              <w:spacing w:after="0" w:line="360" w:lineRule="auto"/>
              <w:jc w:val="both"/>
              <w:rPr>
                <w:rFonts w:ascii="Arial" w:eastAsia="Arial" w:hAnsi="Arial" w:cs="Arial"/>
              </w:rPr>
            </w:pPr>
            <w:r w:rsidRPr="3BDDEF42">
              <w:rPr>
                <w:rFonts w:ascii="Arial" w:eastAsia="Arial" w:hAnsi="Arial" w:cs="Arial"/>
              </w:rPr>
              <w:t>£0.00</w:t>
            </w:r>
          </w:p>
        </w:tc>
      </w:tr>
      <w:tr w:rsidR="3BDDEF42" w14:paraId="0B372C83" w14:textId="77777777" w:rsidTr="3BDDEF42">
        <w:trPr>
          <w:trHeight w:val="300"/>
        </w:trPr>
        <w:tc>
          <w:tcPr>
            <w:tcW w:w="453" w:type="dxa"/>
            <w:vAlign w:val="center"/>
          </w:tcPr>
          <w:p w14:paraId="53F1C414" w14:textId="3E1B0EB7" w:rsidR="3BDDEF42" w:rsidRDefault="3BDDEF42" w:rsidP="3BDDEF42">
            <w:pPr>
              <w:spacing w:after="0" w:line="360" w:lineRule="auto"/>
              <w:jc w:val="both"/>
              <w:rPr>
                <w:rFonts w:ascii="Arial" w:eastAsia="Arial" w:hAnsi="Arial" w:cs="Arial"/>
              </w:rPr>
            </w:pPr>
            <w:r w:rsidRPr="3BDDEF42">
              <w:rPr>
                <w:rFonts w:ascii="Arial" w:eastAsia="Arial" w:hAnsi="Arial" w:cs="Arial"/>
              </w:rPr>
              <w:t>3</w:t>
            </w:r>
          </w:p>
        </w:tc>
        <w:tc>
          <w:tcPr>
            <w:tcW w:w="3108" w:type="dxa"/>
            <w:vAlign w:val="center"/>
          </w:tcPr>
          <w:p w14:paraId="6A5BE2BA" w14:textId="523AD142"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ARR</w:t>
            </w:r>
          </w:p>
        </w:tc>
        <w:tc>
          <w:tcPr>
            <w:tcW w:w="4299" w:type="dxa"/>
            <w:vAlign w:val="center"/>
          </w:tcPr>
          <w:p w14:paraId="310A63D6" w14:textId="7CE11041" w:rsidR="3BDDEF42" w:rsidRDefault="3BDDEF42" w:rsidP="3BDDEF42">
            <w:pPr>
              <w:spacing w:after="0" w:line="360" w:lineRule="auto"/>
              <w:jc w:val="both"/>
              <w:rPr>
                <w:rFonts w:ascii="Arial" w:eastAsia="Arial" w:hAnsi="Arial" w:cs="Arial"/>
              </w:rPr>
            </w:pPr>
            <w:r w:rsidRPr="3BDDEF42">
              <w:rPr>
                <w:rFonts w:ascii="Arial" w:eastAsia="Arial" w:hAnsi="Arial" w:cs="Arial"/>
              </w:rPr>
              <w:t>(£0.00m ÷ Average Investment) × 100</w:t>
            </w:r>
          </w:p>
        </w:tc>
        <w:tc>
          <w:tcPr>
            <w:tcW w:w="1193" w:type="dxa"/>
            <w:vAlign w:val="center"/>
          </w:tcPr>
          <w:p w14:paraId="18624DC8" w14:textId="71768B5A" w:rsidR="3BDDEF42" w:rsidRDefault="3BDDEF42" w:rsidP="3BDDEF42">
            <w:pPr>
              <w:spacing w:after="0" w:line="360" w:lineRule="auto"/>
              <w:jc w:val="both"/>
              <w:rPr>
                <w:rFonts w:ascii="Arial" w:eastAsia="Arial" w:hAnsi="Arial" w:cs="Arial"/>
              </w:rPr>
            </w:pPr>
            <w:r w:rsidRPr="3BDDEF42">
              <w:rPr>
                <w:rFonts w:ascii="Arial" w:eastAsia="Arial" w:hAnsi="Arial" w:cs="Arial"/>
              </w:rPr>
              <w:t>0.0%</w:t>
            </w:r>
          </w:p>
        </w:tc>
      </w:tr>
    </w:tbl>
    <w:p w14:paraId="6498CC08" w14:textId="4D17AD56"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3. Net Present Value (NPV) at a 10% Discount Rate</w:t>
      </w:r>
    </w:p>
    <w:p w14:paraId="762A8E37" w14:textId="6F5D7EEE" w:rsidR="793C14F7" w:rsidRDefault="793C14F7" w:rsidP="3BDDEF42">
      <w:pPr>
        <w:pStyle w:val="ListParagraph"/>
        <w:numPr>
          <w:ilvl w:val="0"/>
          <w:numId w:val="2"/>
        </w:numPr>
        <w:spacing w:before="240" w:after="240" w:line="360" w:lineRule="auto"/>
        <w:jc w:val="both"/>
        <w:rPr>
          <w:rFonts w:ascii="Arial" w:eastAsia="Arial" w:hAnsi="Arial" w:cs="Arial"/>
        </w:rPr>
      </w:pPr>
      <w:r w:rsidRPr="3BDDEF42">
        <w:rPr>
          <w:rFonts w:ascii="Arial" w:eastAsia="Arial" w:hAnsi="Arial" w:cs="Arial"/>
          <w:i/>
          <w:iCs/>
        </w:rPr>
        <w:t>Method:</w:t>
      </w:r>
      <w:r w:rsidRPr="3BDDEF42">
        <w:rPr>
          <w:rFonts w:ascii="Arial" w:eastAsia="Arial" w:hAnsi="Arial" w:cs="Arial"/>
        </w:rPr>
        <w:t xml:space="preserve"> Since the cash flows are an annuity, the annuity formula can be used for efficiency.</w:t>
      </w:r>
    </w:p>
    <w:tbl>
      <w:tblPr>
        <w:tblW w:w="0" w:type="auto"/>
        <w:tblLayout w:type="fixed"/>
        <w:tblLook w:val="06A0" w:firstRow="1" w:lastRow="0" w:firstColumn="1" w:lastColumn="0" w:noHBand="1" w:noVBand="1"/>
      </w:tblPr>
      <w:tblGrid>
        <w:gridCol w:w="453"/>
        <w:gridCol w:w="3896"/>
        <w:gridCol w:w="4256"/>
        <w:gridCol w:w="1193"/>
      </w:tblGrid>
      <w:tr w:rsidR="3BDDEF42" w14:paraId="709A113C" w14:textId="77777777" w:rsidTr="3BDDEF42">
        <w:trPr>
          <w:trHeight w:val="300"/>
        </w:trPr>
        <w:tc>
          <w:tcPr>
            <w:tcW w:w="453" w:type="dxa"/>
            <w:vAlign w:val="center"/>
          </w:tcPr>
          <w:p w14:paraId="372DA112" w14:textId="1C113FE6" w:rsidR="3BDDEF42" w:rsidRDefault="3BDDEF42" w:rsidP="3BDDEF42">
            <w:pPr>
              <w:spacing w:after="0" w:line="360" w:lineRule="auto"/>
              <w:jc w:val="both"/>
              <w:rPr>
                <w:rFonts w:ascii="Arial" w:eastAsia="Arial" w:hAnsi="Arial" w:cs="Arial"/>
              </w:rPr>
            </w:pPr>
            <w:r w:rsidRPr="3BDDEF42">
              <w:rPr>
                <w:rFonts w:ascii="Arial" w:eastAsia="Arial" w:hAnsi="Arial" w:cs="Arial"/>
              </w:rPr>
              <w:t>Step</w:t>
            </w:r>
          </w:p>
        </w:tc>
        <w:tc>
          <w:tcPr>
            <w:tcW w:w="3896" w:type="dxa"/>
            <w:vAlign w:val="center"/>
          </w:tcPr>
          <w:p w14:paraId="786671FB" w14:textId="14B66A1D" w:rsidR="3BDDEF42" w:rsidRDefault="3BDDEF42" w:rsidP="3BDDEF42">
            <w:pPr>
              <w:spacing w:after="0" w:line="360" w:lineRule="auto"/>
              <w:jc w:val="both"/>
              <w:rPr>
                <w:rFonts w:ascii="Arial" w:eastAsia="Arial" w:hAnsi="Arial" w:cs="Arial"/>
              </w:rPr>
            </w:pPr>
            <w:r w:rsidRPr="3BDDEF42">
              <w:rPr>
                <w:rFonts w:ascii="Arial" w:eastAsia="Arial" w:hAnsi="Arial" w:cs="Arial"/>
              </w:rPr>
              <w:t>Description</w:t>
            </w:r>
          </w:p>
        </w:tc>
        <w:tc>
          <w:tcPr>
            <w:tcW w:w="4256" w:type="dxa"/>
            <w:vAlign w:val="center"/>
          </w:tcPr>
          <w:p w14:paraId="3C991FF6" w14:textId="04F3F58A" w:rsidR="3BDDEF42" w:rsidRDefault="3BDDEF42" w:rsidP="3BDDEF42">
            <w:pPr>
              <w:spacing w:after="0" w:line="360" w:lineRule="auto"/>
              <w:jc w:val="both"/>
              <w:rPr>
                <w:rFonts w:ascii="Arial" w:eastAsia="Arial" w:hAnsi="Arial" w:cs="Arial"/>
              </w:rPr>
            </w:pPr>
            <w:r w:rsidRPr="3BDDEF42">
              <w:rPr>
                <w:rFonts w:ascii="Arial" w:eastAsia="Arial" w:hAnsi="Arial" w:cs="Arial"/>
              </w:rPr>
              <w:t>Calculation</w:t>
            </w:r>
          </w:p>
        </w:tc>
        <w:tc>
          <w:tcPr>
            <w:tcW w:w="1193" w:type="dxa"/>
            <w:vAlign w:val="center"/>
          </w:tcPr>
          <w:p w14:paraId="3D8A5D21" w14:textId="3B072D17" w:rsidR="3BDDEF42" w:rsidRDefault="3BDDEF42" w:rsidP="3BDDEF42">
            <w:pPr>
              <w:spacing w:after="0" w:line="360" w:lineRule="auto"/>
              <w:jc w:val="both"/>
              <w:rPr>
                <w:rFonts w:ascii="Arial" w:eastAsia="Arial" w:hAnsi="Arial" w:cs="Arial"/>
              </w:rPr>
            </w:pPr>
            <w:r w:rsidRPr="3BDDEF42">
              <w:rPr>
                <w:rFonts w:ascii="Arial" w:eastAsia="Arial" w:hAnsi="Arial" w:cs="Arial"/>
              </w:rPr>
              <w:t>Result (£m)</w:t>
            </w:r>
          </w:p>
        </w:tc>
      </w:tr>
      <w:tr w:rsidR="3BDDEF42" w14:paraId="27374172" w14:textId="77777777" w:rsidTr="3BDDEF42">
        <w:trPr>
          <w:trHeight w:val="300"/>
        </w:trPr>
        <w:tc>
          <w:tcPr>
            <w:tcW w:w="453" w:type="dxa"/>
            <w:vAlign w:val="center"/>
          </w:tcPr>
          <w:p w14:paraId="3B9F3757" w14:textId="3150F84C" w:rsidR="3BDDEF42" w:rsidRDefault="3BDDEF42" w:rsidP="3BDDEF42">
            <w:pPr>
              <w:spacing w:after="0" w:line="360" w:lineRule="auto"/>
              <w:jc w:val="both"/>
              <w:rPr>
                <w:rFonts w:ascii="Arial" w:eastAsia="Arial" w:hAnsi="Arial" w:cs="Arial"/>
              </w:rPr>
            </w:pPr>
            <w:r w:rsidRPr="3BDDEF42">
              <w:rPr>
                <w:rFonts w:ascii="Arial" w:eastAsia="Arial" w:hAnsi="Arial" w:cs="Arial"/>
              </w:rPr>
              <w:t>1</w:t>
            </w:r>
          </w:p>
        </w:tc>
        <w:tc>
          <w:tcPr>
            <w:tcW w:w="3896" w:type="dxa"/>
            <w:vAlign w:val="center"/>
          </w:tcPr>
          <w:p w14:paraId="4B9FF9D2" w14:textId="5BA26340"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5-Year Annuity Factor @ 10%</w:t>
            </w:r>
          </w:p>
        </w:tc>
        <w:tc>
          <w:tcPr>
            <w:tcW w:w="4256" w:type="dxa"/>
            <w:vAlign w:val="center"/>
          </w:tcPr>
          <w:p w14:paraId="484CD51F" w14:textId="45A944A1" w:rsidR="3BDDEF42" w:rsidRDefault="3BDDEF42" w:rsidP="3BDDEF42">
            <w:pPr>
              <w:spacing w:after="0" w:line="360" w:lineRule="auto"/>
              <w:jc w:val="both"/>
              <w:rPr>
                <w:rFonts w:ascii="Arial" w:eastAsia="Arial" w:hAnsi="Arial" w:cs="Arial"/>
              </w:rPr>
            </w:pPr>
            <w:r w:rsidRPr="3BDDEF42">
              <w:rPr>
                <w:rFonts w:ascii="Arial" w:eastAsia="Arial" w:hAnsi="Arial" w:cs="Arial"/>
              </w:rPr>
              <w:t>[1 - (1.10)⁻⁵] / 0.10</w:t>
            </w:r>
          </w:p>
        </w:tc>
        <w:tc>
          <w:tcPr>
            <w:tcW w:w="1193" w:type="dxa"/>
            <w:vAlign w:val="center"/>
          </w:tcPr>
          <w:p w14:paraId="4835B99E" w14:textId="4DFDCB0A" w:rsidR="3BDDEF42" w:rsidRDefault="3BDDEF42" w:rsidP="3BDDEF42">
            <w:pPr>
              <w:spacing w:after="0" w:line="360" w:lineRule="auto"/>
              <w:jc w:val="both"/>
              <w:rPr>
                <w:rFonts w:ascii="Arial" w:eastAsia="Arial" w:hAnsi="Arial" w:cs="Arial"/>
              </w:rPr>
            </w:pPr>
            <w:r w:rsidRPr="3BDDEF42">
              <w:rPr>
                <w:rFonts w:ascii="Arial" w:eastAsia="Arial" w:hAnsi="Arial" w:cs="Arial"/>
              </w:rPr>
              <w:t>3.7908</w:t>
            </w:r>
          </w:p>
        </w:tc>
      </w:tr>
      <w:tr w:rsidR="3BDDEF42" w14:paraId="4E7F3E34" w14:textId="77777777" w:rsidTr="3BDDEF42">
        <w:trPr>
          <w:trHeight w:val="300"/>
        </w:trPr>
        <w:tc>
          <w:tcPr>
            <w:tcW w:w="453" w:type="dxa"/>
            <w:vAlign w:val="center"/>
          </w:tcPr>
          <w:p w14:paraId="01CF8205" w14:textId="7B4F9B67" w:rsidR="3BDDEF42" w:rsidRDefault="3BDDEF42" w:rsidP="3BDDEF42">
            <w:pPr>
              <w:spacing w:after="0" w:line="360" w:lineRule="auto"/>
              <w:jc w:val="both"/>
              <w:rPr>
                <w:rFonts w:ascii="Arial" w:eastAsia="Arial" w:hAnsi="Arial" w:cs="Arial"/>
              </w:rPr>
            </w:pPr>
            <w:r w:rsidRPr="3BDDEF42">
              <w:rPr>
                <w:rFonts w:ascii="Arial" w:eastAsia="Arial" w:hAnsi="Arial" w:cs="Arial"/>
              </w:rPr>
              <w:t>2</w:t>
            </w:r>
          </w:p>
        </w:tc>
        <w:tc>
          <w:tcPr>
            <w:tcW w:w="3896" w:type="dxa"/>
            <w:vAlign w:val="center"/>
          </w:tcPr>
          <w:p w14:paraId="6532AB39" w14:textId="4F21F94D"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Total PV of Inflows</w:t>
            </w:r>
          </w:p>
        </w:tc>
        <w:tc>
          <w:tcPr>
            <w:tcW w:w="4256" w:type="dxa"/>
            <w:vAlign w:val="center"/>
          </w:tcPr>
          <w:p w14:paraId="7384B369" w14:textId="08DCC227" w:rsidR="3BDDEF42" w:rsidRDefault="3BDDEF42" w:rsidP="3BDDEF42">
            <w:pPr>
              <w:spacing w:after="0" w:line="360" w:lineRule="auto"/>
              <w:jc w:val="both"/>
              <w:rPr>
                <w:rFonts w:ascii="Arial" w:eastAsia="Arial" w:hAnsi="Arial" w:cs="Arial"/>
              </w:rPr>
            </w:pPr>
            <w:r w:rsidRPr="3BDDEF42">
              <w:rPr>
                <w:rFonts w:ascii="Arial" w:eastAsia="Arial" w:hAnsi="Arial" w:cs="Arial"/>
              </w:rPr>
              <w:t>£6.00m (Annuity) × 3.7908</w:t>
            </w:r>
          </w:p>
        </w:tc>
        <w:tc>
          <w:tcPr>
            <w:tcW w:w="1193" w:type="dxa"/>
            <w:vAlign w:val="center"/>
          </w:tcPr>
          <w:p w14:paraId="1AF51913" w14:textId="2B10B8D7" w:rsidR="3BDDEF42" w:rsidRDefault="3BDDEF42" w:rsidP="3BDDEF42">
            <w:pPr>
              <w:spacing w:after="0" w:line="360" w:lineRule="auto"/>
              <w:jc w:val="both"/>
              <w:rPr>
                <w:rFonts w:ascii="Arial" w:eastAsia="Arial" w:hAnsi="Arial" w:cs="Arial"/>
              </w:rPr>
            </w:pPr>
            <w:r w:rsidRPr="3BDDEF42">
              <w:rPr>
                <w:rFonts w:ascii="Arial" w:eastAsia="Arial" w:hAnsi="Arial" w:cs="Arial"/>
              </w:rPr>
              <w:t>£22.74</w:t>
            </w:r>
          </w:p>
        </w:tc>
      </w:tr>
      <w:tr w:rsidR="3BDDEF42" w14:paraId="31CD35B1" w14:textId="77777777" w:rsidTr="3BDDEF42">
        <w:trPr>
          <w:trHeight w:val="300"/>
        </w:trPr>
        <w:tc>
          <w:tcPr>
            <w:tcW w:w="453" w:type="dxa"/>
            <w:vAlign w:val="center"/>
          </w:tcPr>
          <w:p w14:paraId="4DF7F631" w14:textId="43B6B1E7" w:rsidR="3BDDEF42" w:rsidRDefault="3BDDEF42" w:rsidP="3BDDEF42">
            <w:pPr>
              <w:spacing w:after="0" w:line="360" w:lineRule="auto"/>
              <w:jc w:val="both"/>
              <w:rPr>
                <w:rFonts w:ascii="Arial" w:eastAsia="Arial" w:hAnsi="Arial" w:cs="Arial"/>
              </w:rPr>
            </w:pPr>
            <w:r w:rsidRPr="3BDDEF42">
              <w:rPr>
                <w:rFonts w:ascii="Arial" w:eastAsia="Arial" w:hAnsi="Arial" w:cs="Arial"/>
              </w:rPr>
              <w:t>3</w:t>
            </w:r>
          </w:p>
        </w:tc>
        <w:tc>
          <w:tcPr>
            <w:tcW w:w="3896" w:type="dxa"/>
            <w:vAlign w:val="center"/>
          </w:tcPr>
          <w:p w14:paraId="3FD7A52B" w14:textId="349B89B1"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NPV</w:t>
            </w:r>
          </w:p>
        </w:tc>
        <w:tc>
          <w:tcPr>
            <w:tcW w:w="4256" w:type="dxa"/>
            <w:vAlign w:val="center"/>
          </w:tcPr>
          <w:p w14:paraId="4423E821" w14:textId="636F8D23" w:rsidR="3BDDEF42" w:rsidRDefault="3BDDEF42" w:rsidP="3BDDEF42">
            <w:pPr>
              <w:spacing w:after="0" w:line="360" w:lineRule="auto"/>
              <w:jc w:val="both"/>
              <w:rPr>
                <w:rFonts w:ascii="Arial" w:eastAsia="Arial" w:hAnsi="Arial" w:cs="Arial"/>
              </w:rPr>
            </w:pPr>
            <w:r w:rsidRPr="3BDDEF42">
              <w:rPr>
                <w:rFonts w:ascii="Arial" w:eastAsia="Arial" w:hAnsi="Arial" w:cs="Arial"/>
              </w:rPr>
              <w:t>£22.74m (Total PV) - £30.00m (Investment)</w:t>
            </w:r>
          </w:p>
        </w:tc>
        <w:tc>
          <w:tcPr>
            <w:tcW w:w="1193" w:type="dxa"/>
            <w:vAlign w:val="center"/>
          </w:tcPr>
          <w:p w14:paraId="0185B5DA" w14:textId="04114DB9" w:rsidR="3BDDEF42" w:rsidRDefault="3BDDEF42" w:rsidP="3BDDEF42">
            <w:pPr>
              <w:spacing w:after="0" w:line="360" w:lineRule="auto"/>
              <w:jc w:val="both"/>
              <w:rPr>
                <w:rFonts w:ascii="Arial" w:eastAsia="Arial" w:hAnsi="Arial" w:cs="Arial"/>
              </w:rPr>
            </w:pPr>
            <w:r w:rsidRPr="3BDDEF42">
              <w:rPr>
                <w:rFonts w:ascii="Arial" w:eastAsia="Arial" w:hAnsi="Arial" w:cs="Arial"/>
              </w:rPr>
              <w:t>(£7.26)</w:t>
            </w:r>
          </w:p>
        </w:tc>
      </w:tr>
    </w:tbl>
    <w:p w14:paraId="30BE1962" w14:textId="143930C9" w:rsidR="793C14F7" w:rsidRDefault="793C14F7" w:rsidP="3BDDEF42">
      <w:pPr>
        <w:pStyle w:val="Heading4"/>
        <w:spacing w:before="319" w:after="319" w:line="360" w:lineRule="auto"/>
        <w:jc w:val="both"/>
        <w:rPr>
          <w:rFonts w:ascii="Arial" w:eastAsia="Arial" w:hAnsi="Arial" w:cs="Arial"/>
          <w:color w:val="auto"/>
        </w:rPr>
      </w:pPr>
      <w:bookmarkStart w:id="24" w:name="_Toc1259305998"/>
      <w:r w:rsidRPr="3BDDEF42">
        <w:rPr>
          <w:rFonts w:ascii="Arial" w:eastAsia="Arial" w:hAnsi="Arial" w:cs="Arial"/>
          <w:color w:val="auto"/>
        </w:rPr>
        <w:t>Project C: Financial Evaluation (Initial Investment: £50m)</w:t>
      </w:r>
      <w:bookmarkEnd w:id="24"/>
    </w:p>
    <w:p w14:paraId="2CA22F5F" w14:textId="797352E4"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1. Payback Period</w:t>
      </w:r>
    </w:p>
    <w:tbl>
      <w:tblPr>
        <w:tblW w:w="0" w:type="auto"/>
        <w:tblLayout w:type="fixed"/>
        <w:tblLook w:val="06A0" w:firstRow="1" w:lastRow="0" w:firstColumn="1" w:lastColumn="0" w:noHBand="1" w:noVBand="1"/>
      </w:tblPr>
      <w:tblGrid>
        <w:gridCol w:w="780"/>
        <w:gridCol w:w="1927"/>
        <w:gridCol w:w="3187"/>
      </w:tblGrid>
      <w:tr w:rsidR="3BDDEF42" w14:paraId="4B3B879B" w14:textId="77777777" w:rsidTr="3BDDEF42">
        <w:trPr>
          <w:trHeight w:val="300"/>
        </w:trPr>
        <w:tc>
          <w:tcPr>
            <w:tcW w:w="780" w:type="dxa"/>
            <w:vAlign w:val="center"/>
          </w:tcPr>
          <w:p w14:paraId="76F96CF7" w14:textId="0915D29B" w:rsidR="3BDDEF42" w:rsidRDefault="3BDDEF42" w:rsidP="3BDDEF42">
            <w:pPr>
              <w:spacing w:after="0" w:line="360" w:lineRule="auto"/>
              <w:jc w:val="both"/>
              <w:rPr>
                <w:rFonts w:ascii="Arial" w:eastAsia="Arial" w:hAnsi="Arial" w:cs="Arial"/>
              </w:rPr>
            </w:pPr>
            <w:r w:rsidRPr="3BDDEF42">
              <w:rPr>
                <w:rFonts w:ascii="Arial" w:eastAsia="Arial" w:hAnsi="Arial" w:cs="Arial"/>
              </w:rPr>
              <w:t>Year</w:t>
            </w:r>
          </w:p>
        </w:tc>
        <w:tc>
          <w:tcPr>
            <w:tcW w:w="1927" w:type="dxa"/>
            <w:vAlign w:val="center"/>
          </w:tcPr>
          <w:p w14:paraId="17F276F8" w14:textId="03D66E01" w:rsidR="3BDDEF42" w:rsidRDefault="3BDDEF42" w:rsidP="3BDDEF42">
            <w:pPr>
              <w:spacing w:after="0" w:line="360" w:lineRule="auto"/>
              <w:jc w:val="both"/>
              <w:rPr>
                <w:rFonts w:ascii="Arial" w:eastAsia="Arial" w:hAnsi="Arial" w:cs="Arial"/>
              </w:rPr>
            </w:pPr>
            <w:r w:rsidRPr="3BDDEF42">
              <w:rPr>
                <w:rFonts w:ascii="Arial" w:eastAsia="Arial" w:hAnsi="Arial" w:cs="Arial"/>
              </w:rPr>
              <w:t>Cash Flow (£m)</w:t>
            </w:r>
          </w:p>
        </w:tc>
        <w:tc>
          <w:tcPr>
            <w:tcW w:w="3187" w:type="dxa"/>
            <w:vAlign w:val="center"/>
          </w:tcPr>
          <w:p w14:paraId="41F1C995" w14:textId="774625F6" w:rsidR="3BDDEF42" w:rsidRDefault="3BDDEF42" w:rsidP="3BDDEF42">
            <w:pPr>
              <w:spacing w:after="0" w:line="360" w:lineRule="auto"/>
              <w:jc w:val="both"/>
              <w:rPr>
                <w:rFonts w:ascii="Arial" w:eastAsia="Arial" w:hAnsi="Arial" w:cs="Arial"/>
              </w:rPr>
            </w:pPr>
            <w:r w:rsidRPr="3BDDEF42">
              <w:rPr>
                <w:rFonts w:ascii="Arial" w:eastAsia="Arial" w:hAnsi="Arial" w:cs="Arial"/>
              </w:rPr>
              <w:t>Cumulative Cash Flow (£m)</w:t>
            </w:r>
          </w:p>
        </w:tc>
      </w:tr>
      <w:tr w:rsidR="3BDDEF42" w14:paraId="2937DA37" w14:textId="77777777" w:rsidTr="3BDDEF42">
        <w:trPr>
          <w:trHeight w:val="300"/>
        </w:trPr>
        <w:tc>
          <w:tcPr>
            <w:tcW w:w="780" w:type="dxa"/>
            <w:vAlign w:val="center"/>
          </w:tcPr>
          <w:p w14:paraId="3368A3F2" w14:textId="3311C892" w:rsidR="3BDDEF42" w:rsidRDefault="3BDDEF42" w:rsidP="3BDDEF42">
            <w:pPr>
              <w:spacing w:after="0" w:line="360" w:lineRule="auto"/>
              <w:jc w:val="both"/>
              <w:rPr>
                <w:rFonts w:ascii="Arial" w:eastAsia="Arial" w:hAnsi="Arial" w:cs="Arial"/>
              </w:rPr>
            </w:pPr>
            <w:r w:rsidRPr="3BDDEF42">
              <w:rPr>
                <w:rFonts w:ascii="Arial" w:eastAsia="Arial" w:hAnsi="Arial" w:cs="Arial"/>
              </w:rPr>
              <w:t>0</w:t>
            </w:r>
          </w:p>
        </w:tc>
        <w:tc>
          <w:tcPr>
            <w:tcW w:w="1927" w:type="dxa"/>
            <w:vAlign w:val="center"/>
          </w:tcPr>
          <w:p w14:paraId="2C6C67D4" w14:textId="5142A7DD" w:rsidR="3BDDEF42" w:rsidRDefault="3BDDEF42" w:rsidP="3BDDEF42">
            <w:pPr>
              <w:spacing w:after="0" w:line="360" w:lineRule="auto"/>
              <w:jc w:val="both"/>
              <w:rPr>
                <w:rFonts w:ascii="Arial" w:eastAsia="Arial" w:hAnsi="Arial" w:cs="Arial"/>
              </w:rPr>
            </w:pPr>
            <w:r w:rsidRPr="3BDDEF42">
              <w:rPr>
                <w:rFonts w:ascii="Arial" w:eastAsia="Arial" w:hAnsi="Arial" w:cs="Arial"/>
              </w:rPr>
              <w:t>(50.00)</w:t>
            </w:r>
          </w:p>
        </w:tc>
        <w:tc>
          <w:tcPr>
            <w:tcW w:w="3187" w:type="dxa"/>
            <w:vAlign w:val="center"/>
          </w:tcPr>
          <w:p w14:paraId="64899EBB" w14:textId="00815FCC" w:rsidR="3BDDEF42" w:rsidRDefault="3BDDEF42" w:rsidP="3BDDEF42">
            <w:pPr>
              <w:spacing w:after="0" w:line="360" w:lineRule="auto"/>
              <w:jc w:val="both"/>
              <w:rPr>
                <w:rFonts w:ascii="Arial" w:eastAsia="Arial" w:hAnsi="Arial" w:cs="Arial"/>
              </w:rPr>
            </w:pPr>
            <w:r w:rsidRPr="3BDDEF42">
              <w:rPr>
                <w:rFonts w:ascii="Arial" w:eastAsia="Arial" w:hAnsi="Arial" w:cs="Arial"/>
              </w:rPr>
              <w:t>(50.00)</w:t>
            </w:r>
          </w:p>
        </w:tc>
      </w:tr>
      <w:tr w:rsidR="3BDDEF42" w14:paraId="272FE58A" w14:textId="77777777" w:rsidTr="3BDDEF42">
        <w:trPr>
          <w:trHeight w:val="300"/>
        </w:trPr>
        <w:tc>
          <w:tcPr>
            <w:tcW w:w="780" w:type="dxa"/>
            <w:vAlign w:val="center"/>
          </w:tcPr>
          <w:p w14:paraId="1B439D37" w14:textId="12FD91CF" w:rsidR="3BDDEF42" w:rsidRDefault="3BDDEF42" w:rsidP="3BDDEF42">
            <w:pPr>
              <w:spacing w:after="0" w:line="360" w:lineRule="auto"/>
              <w:jc w:val="both"/>
              <w:rPr>
                <w:rFonts w:ascii="Arial" w:eastAsia="Arial" w:hAnsi="Arial" w:cs="Arial"/>
              </w:rPr>
            </w:pPr>
            <w:r w:rsidRPr="3BDDEF42">
              <w:rPr>
                <w:rFonts w:ascii="Arial" w:eastAsia="Arial" w:hAnsi="Arial" w:cs="Arial"/>
              </w:rPr>
              <w:t>1</w:t>
            </w:r>
          </w:p>
        </w:tc>
        <w:tc>
          <w:tcPr>
            <w:tcW w:w="1927" w:type="dxa"/>
            <w:vAlign w:val="center"/>
          </w:tcPr>
          <w:p w14:paraId="73F424EA" w14:textId="25A8023D" w:rsidR="3BDDEF42" w:rsidRDefault="3BDDEF42" w:rsidP="3BDDEF42">
            <w:pPr>
              <w:spacing w:after="0" w:line="360" w:lineRule="auto"/>
              <w:jc w:val="both"/>
              <w:rPr>
                <w:rFonts w:ascii="Arial" w:eastAsia="Arial" w:hAnsi="Arial" w:cs="Arial"/>
              </w:rPr>
            </w:pPr>
            <w:r w:rsidRPr="3BDDEF42">
              <w:rPr>
                <w:rFonts w:ascii="Arial" w:eastAsia="Arial" w:hAnsi="Arial" w:cs="Arial"/>
              </w:rPr>
              <w:t>5.00</w:t>
            </w:r>
          </w:p>
        </w:tc>
        <w:tc>
          <w:tcPr>
            <w:tcW w:w="3187" w:type="dxa"/>
            <w:vAlign w:val="center"/>
          </w:tcPr>
          <w:p w14:paraId="0CCCEBC1" w14:textId="452C3894" w:rsidR="3BDDEF42" w:rsidRDefault="3BDDEF42" w:rsidP="3BDDEF42">
            <w:pPr>
              <w:spacing w:after="0" w:line="360" w:lineRule="auto"/>
              <w:jc w:val="both"/>
              <w:rPr>
                <w:rFonts w:ascii="Arial" w:eastAsia="Arial" w:hAnsi="Arial" w:cs="Arial"/>
              </w:rPr>
            </w:pPr>
            <w:r w:rsidRPr="3BDDEF42">
              <w:rPr>
                <w:rFonts w:ascii="Arial" w:eastAsia="Arial" w:hAnsi="Arial" w:cs="Arial"/>
              </w:rPr>
              <w:t>(45.00)</w:t>
            </w:r>
          </w:p>
        </w:tc>
      </w:tr>
      <w:tr w:rsidR="3BDDEF42" w14:paraId="0DD97508" w14:textId="77777777" w:rsidTr="3BDDEF42">
        <w:trPr>
          <w:trHeight w:val="300"/>
        </w:trPr>
        <w:tc>
          <w:tcPr>
            <w:tcW w:w="780" w:type="dxa"/>
            <w:vAlign w:val="center"/>
          </w:tcPr>
          <w:p w14:paraId="701A9A0E" w14:textId="3938D3E8" w:rsidR="3BDDEF42" w:rsidRDefault="3BDDEF42" w:rsidP="3BDDEF42">
            <w:pPr>
              <w:spacing w:after="0" w:line="360" w:lineRule="auto"/>
              <w:jc w:val="both"/>
              <w:rPr>
                <w:rFonts w:ascii="Arial" w:eastAsia="Arial" w:hAnsi="Arial" w:cs="Arial"/>
              </w:rPr>
            </w:pPr>
            <w:r w:rsidRPr="3BDDEF42">
              <w:rPr>
                <w:rFonts w:ascii="Arial" w:eastAsia="Arial" w:hAnsi="Arial" w:cs="Arial"/>
              </w:rPr>
              <w:t>2</w:t>
            </w:r>
          </w:p>
        </w:tc>
        <w:tc>
          <w:tcPr>
            <w:tcW w:w="1927" w:type="dxa"/>
            <w:vAlign w:val="center"/>
          </w:tcPr>
          <w:p w14:paraId="0AEE41BE" w14:textId="14C95B8B" w:rsidR="3BDDEF42" w:rsidRDefault="3BDDEF42" w:rsidP="3BDDEF42">
            <w:pPr>
              <w:spacing w:after="0" w:line="360" w:lineRule="auto"/>
              <w:jc w:val="both"/>
              <w:rPr>
                <w:rFonts w:ascii="Arial" w:eastAsia="Arial" w:hAnsi="Arial" w:cs="Arial"/>
              </w:rPr>
            </w:pPr>
            <w:r w:rsidRPr="3BDDEF42">
              <w:rPr>
                <w:rFonts w:ascii="Arial" w:eastAsia="Arial" w:hAnsi="Arial" w:cs="Arial"/>
              </w:rPr>
              <w:t>10.00</w:t>
            </w:r>
          </w:p>
        </w:tc>
        <w:tc>
          <w:tcPr>
            <w:tcW w:w="3187" w:type="dxa"/>
            <w:vAlign w:val="center"/>
          </w:tcPr>
          <w:p w14:paraId="128A7556" w14:textId="7A162BB4" w:rsidR="3BDDEF42" w:rsidRDefault="3BDDEF42" w:rsidP="3BDDEF42">
            <w:pPr>
              <w:spacing w:after="0" w:line="360" w:lineRule="auto"/>
              <w:jc w:val="both"/>
              <w:rPr>
                <w:rFonts w:ascii="Arial" w:eastAsia="Arial" w:hAnsi="Arial" w:cs="Arial"/>
              </w:rPr>
            </w:pPr>
            <w:r w:rsidRPr="3BDDEF42">
              <w:rPr>
                <w:rFonts w:ascii="Arial" w:eastAsia="Arial" w:hAnsi="Arial" w:cs="Arial"/>
              </w:rPr>
              <w:t>(35.00)</w:t>
            </w:r>
          </w:p>
        </w:tc>
      </w:tr>
      <w:tr w:rsidR="3BDDEF42" w14:paraId="7485D2BC" w14:textId="77777777" w:rsidTr="3BDDEF42">
        <w:trPr>
          <w:trHeight w:val="300"/>
        </w:trPr>
        <w:tc>
          <w:tcPr>
            <w:tcW w:w="780" w:type="dxa"/>
            <w:vAlign w:val="center"/>
          </w:tcPr>
          <w:p w14:paraId="6C4E519A" w14:textId="7372D8D4" w:rsidR="3BDDEF42" w:rsidRDefault="3BDDEF42" w:rsidP="3BDDEF42">
            <w:pPr>
              <w:spacing w:after="0" w:line="360" w:lineRule="auto"/>
              <w:jc w:val="both"/>
              <w:rPr>
                <w:rFonts w:ascii="Arial" w:eastAsia="Arial" w:hAnsi="Arial" w:cs="Arial"/>
              </w:rPr>
            </w:pPr>
            <w:r w:rsidRPr="3BDDEF42">
              <w:rPr>
                <w:rFonts w:ascii="Arial" w:eastAsia="Arial" w:hAnsi="Arial" w:cs="Arial"/>
              </w:rPr>
              <w:t>3</w:t>
            </w:r>
          </w:p>
        </w:tc>
        <w:tc>
          <w:tcPr>
            <w:tcW w:w="1927" w:type="dxa"/>
            <w:vAlign w:val="center"/>
          </w:tcPr>
          <w:p w14:paraId="558902F7" w14:textId="75D029B6" w:rsidR="3BDDEF42" w:rsidRDefault="3BDDEF42" w:rsidP="3BDDEF42">
            <w:pPr>
              <w:spacing w:after="0" w:line="360" w:lineRule="auto"/>
              <w:jc w:val="both"/>
              <w:rPr>
                <w:rFonts w:ascii="Arial" w:eastAsia="Arial" w:hAnsi="Arial" w:cs="Arial"/>
              </w:rPr>
            </w:pPr>
            <w:r w:rsidRPr="3BDDEF42">
              <w:rPr>
                <w:rFonts w:ascii="Arial" w:eastAsia="Arial" w:hAnsi="Arial" w:cs="Arial"/>
              </w:rPr>
              <w:t>20.00</w:t>
            </w:r>
          </w:p>
        </w:tc>
        <w:tc>
          <w:tcPr>
            <w:tcW w:w="3187" w:type="dxa"/>
            <w:vAlign w:val="center"/>
          </w:tcPr>
          <w:p w14:paraId="33BBB38E" w14:textId="21A14F86" w:rsidR="3BDDEF42" w:rsidRDefault="3BDDEF42" w:rsidP="3BDDEF42">
            <w:pPr>
              <w:spacing w:after="0" w:line="360" w:lineRule="auto"/>
              <w:jc w:val="both"/>
              <w:rPr>
                <w:rFonts w:ascii="Arial" w:eastAsia="Arial" w:hAnsi="Arial" w:cs="Arial"/>
              </w:rPr>
            </w:pPr>
            <w:r w:rsidRPr="3BDDEF42">
              <w:rPr>
                <w:rFonts w:ascii="Arial" w:eastAsia="Arial" w:hAnsi="Arial" w:cs="Arial"/>
              </w:rPr>
              <w:t>(15.00)</w:t>
            </w:r>
          </w:p>
        </w:tc>
      </w:tr>
      <w:tr w:rsidR="3BDDEF42" w14:paraId="2C73F9AB" w14:textId="77777777" w:rsidTr="3BDDEF42">
        <w:trPr>
          <w:trHeight w:val="300"/>
        </w:trPr>
        <w:tc>
          <w:tcPr>
            <w:tcW w:w="780" w:type="dxa"/>
            <w:vAlign w:val="center"/>
          </w:tcPr>
          <w:p w14:paraId="41005203" w14:textId="327D6A3C" w:rsidR="3BDDEF42" w:rsidRDefault="3BDDEF42" w:rsidP="3BDDEF42">
            <w:pPr>
              <w:spacing w:after="0" w:line="360" w:lineRule="auto"/>
              <w:jc w:val="both"/>
              <w:rPr>
                <w:rFonts w:ascii="Arial" w:eastAsia="Arial" w:hAnsi="Arial" w:cs="Arial"/>
              </w:rPr>
            </w:pPr>
            <w:r w:rsidRPr="3BDDEF42">
              <w:rPr>
                <w:rFonts w:ascii="Arial" w:eastAsia="Arial" w:hAnsi="Arial" w:cs="Arial"/>
              </w:rPr>
              <w:t>4</w:t>
            </w:r>
          </w:p>
        </w:tc>
        <w:tc>
          <w:tcPr>
            <w:tcW w:w="1927" w:type="dxa"/>
            <w:vAlign w:val="center"/>
          </w:tcPr>
          <w:p w14:paraId="4D333219" w14:textId="1536F8E9" w:rsidR="3BDDEF42" w:rsidRDefault="3BDDEF42" w:rsidP="3BDDEF42">
            <w:pPr>
              <w:spacing w:after="0" w:line="360" w:lineRule="auto"/>
              <w:jc w:val="both"/>
              <w:rPr>
                <w:rFonts w:ascii="Arial" w:eastAsia="Arial" w:hAnsi="Arial" w:cs="Arial"/>
              </w:rPr>
            </w:pPr>
            <w:r w:rsidRPr="3BDDEF42">
              <w:rPr>
                <w:rFonts w:ascii="Arial" w:eastAsia="Arial" w:hAnsi="Arial" w:cs="Arial"/>
              </w:rPr>
              <w:t>25.00</w:t>
            </w:r>
          </w:p>
        </w:tc>
        <w:tc>
          <w:tcPr>
            <w:tcW w:w="3187" w:type="dxa"/>
            <w:vAlign w:val="center"/>
          </w:tcPr>
          <w:p w14:paraId="700318EA" w14:textId="39EC896A" w:rsidR="3BDDEF42" w:rsidRDefault="3BDDEF42" w:rsidP="3BDDEF42">
            <w:pPr>
              <w:spacing w:after="0" w:line="360" w:lineRule="auto"/>
              <w:jc w:val="both"/>
              <w:rPr>
                <w:rFonts w:ascii="Arial" w:eastAsia="Arial" w:hAnsi="Arial" w:cs="Arial"/>
              </w:rPr>
            </w:pPr>
            <w:r w:rsidRPr="3BDDEF42">
              <w:rPr>
                <w:rFonts w:ascii="Arial" w:eastAsia="Arial" w:hAnsi="Arial" w:cs="Arial"/>
              </w:rPr>
              <w:t>10.00</w:t>
            </w:r>
          </w:p>
        </w:tc>
      </w:tr>
      <w:tr w:rsidR="3BDDEF42" w14:paraId="50447411" w14:textId="77777777" w:rsidTr="3BDDEF42">
        <w:trPr>
          <w:trHeight w:val="300"/>
        </w:trPr>
        <w:tc>
          <w:tcPr>
            <w:tcW w:w="780" w:type="dxa"/>
            <w:vAlign w:val="center"/>
          </w:tcPr>
          <w:p w14:paraId="3E23A993" w14:textId="2AC9F56E" w:rsidR="3BDDEF42" w:rsidRDefault="3BDDEF42" w:rsidP="3BDDEF42">
            <w:pPr>
              <w:spacing w:after="0" w:line="360" w:lineRule="auto"/>
              <w:jc w:val="both"/>
              <w:rPr>
                <w:rFonts w:ascii="Arial" w:eastAsia="Arial" w:hAnsi="Arial" w:cs="Arial"/>
              </w:rPr>
            </w:pPr>
            <w:r w:rsidRPr="3BDDEF42">
              <w:rPr>
                <w:rFonts w:ascii="Arial" w:eastAsia="Arial" w:hAnsi="Arial" w:cs="Arial"/>
              </w:rPr>
              <w:t>5</w:t>
            </w:r>
          </w:p>
        </w:tc>
        <w:tc>
          <w:tcPr>
            <w:tcW w:w="1927" w:type="dxa"/>
            <w:vAlign w:val="center"/>
          </w:tcPr>
          <w:p w14:paraId="23C9C625" w14:textId="3F02CA19" w:rsidR="3BDDEF42" w:rsidRDefault="3BDDEF42" w:rsidP="3BDDEF42">
            <w:pPr>
              <w:spacing w:after="0" w:line="360" w:lineRule="auto"/>
              <w:jc w:val="both"/>
              <w:rPr>
                <w:rFonts w:ascii="Arial" w:eastAsia="Arial" w:hAnsi="Arial" w:cs="Arial"/>
              </w:rPr>
            </w:pPr>
            <w:r w:rsidRPr="3BDDEF42">
              <w:rPr>
                <w:rFonts w:ascii="Arial" w:eastAsia="Arial" w:hAnsi="Arial" w:cs="Arial"/>
              </w:rPr>
              <w:t>15.00</w:t>
            </w:r>
          </w:p>
        </w:tc>
        <w:tc>
          <w:tcPr>
            <w:tcW w:w="3187" w:type="dxa"/>
            <w:vAlign w:val="center"/>
          </w:tcPr>
          <w:p w14:paraId="18D50EAD" w14:textId="527AC1E8" w:rsidR="3BDDEF42" w:rsidRDefault="3BDDEF42" w:rsidP="3BDDEF42">
            <w:pPr>
              <w:spacing w:after="0" w:line="360" w:lineRule="auto"/>
              <w:jc w:val="both"/>
              <w:rPr>
                <w:rFonts w:ascii="Arial" w:eastAsia="Arial" w:hAnsi="Arial" w:cs="Arial"/>
              </w:rPr>
            </w:pPr>
            <w:r w:rsidRPr="3BDDEF42">
              <w:rPr>
                <w:rFonts w:ascii="Arial" w:eastAsia="Arial" w:hAnsi="Arial" w:cs="Arial"/>
              </w:rPr>
              <w:t>25.00</w:t>
            </w:r>
          </w:p>
        </w:tc>
      </w:tr>
    </w:tbl>
    <w:p w14:paraId="2A8375C5" w14:textId="5C0A4344" w:rsidR="3BDDEF42" w:rsidRDefault="3BDDEF42" w:rsidP="3BDDEF42">
      <w:pPr>
        <w:spacing w:after="0" w:line="360" w:lineRule="auto"/>
        <w:jc w:val="both"/>
        <w:rPr>
          <w:rFonts w:ascii="Arial" w:eastAsia="Arial" w:hAnsi="Arial" w:cs="Arial"/>
        </w:rPr>
      </w:pPr>
    </w:p>
    <w:p w14:paraId="74B2B207" w14:textId="1CBE2C13" w:rsidR="793C14F7" w:rsidRDefault="793C14F7" w:rsidP="3BDDEF42">
      <w:pPr>
        <w:pStyle w:val="ListParagraph"/>
        <w:numPr>
          <w:ilvl w:val="0"/>
          <w:numId w:val="1"/>
        </w:numPr>
        <w:spacing w:before="240" w:after="240" w:line="360" w:lineRule="auto"/>
        <w:jc w:val="both"/>
        <w:rPr>
          <w:rFonts w:ascii="Arial" w:eastAsia="Arial" w:hAnsi="Arial" w:cs="Arial"/>
        </w:rPr>
      </w:pPr>
      <w:r w:rsidRPr="3BDDEF42">
        <w:rPr>
          <w:rFonts w:ascii="Arial" w:eastAsia="Arial" w:hAnsi="Arial" w:cs="Arial"/>
        </w:rPr>
        <w:t>Calculation:</w:t>
      </w:r>
    </w:p>
    <w:p w14:paraId="41E4B3E2" w14:textId="33CE8267" w:rsidR="793C14F7" w:rsidRDefault="793C14F7" w:rsidP="3BDDEF42">
      <w:pPr>
        <w:pStyle w:val="ListParagraph"/>
        <w:numPr>
          <w:ilvl w:val="1"/>
          <w:numId w:val="1"/>
        </w:numPr>
        <w:spacing w:before="240" w:after="240" w:line="360" w:lineRule="auto"/>
        <w:jc w:val="both"/>
        <w:rPr>
          <w:rFonts w:ascii="Arial" w:eastAsia="Arial" w:hAnsi="Arial" w:cs="Arial"/>
        </w:rPr>
      </w:pPr>
      <w:r w:rsidRPr="3BDDEF42">
        <w:rPr>
          <w:rFonts w:ascii="Arial" w:eastAsia="Arial" w:hAnsi="Arial" w:cs="Arial"/>
        </w:rPr>
        <w:t>After Year 3, £15.00m is still unrecovered.</w:t>
      </w:r>
    </w:p>
    <w:p w14:paraId="7CE4AEF8" w14:textId="27E8D084" w:rsidR="793C14F7" w:rsidRDefault="793C14F7" w:rsidP="3BDDEF42">
      <w:pPr>
        <w:pStyle w:val="ListParagraph"/>
        <w:numPr>
          <w:ilvl w:val="1"/>
          <w:numId w:val="1"/>
        </w:numPr>
        <w:spacing w:before="240" w:after="240" w:line="360" w:lineRule="auto"/>
        <w:jc w:val="both"/>
        <w:rPr>
          <w:rFonts w:ascii="Arial" w:eastAsia="Arial" w:hAnsi="Arial" w:cs="Arial"/>
        </w:rPr>
      </w:pPr>
      <w:r w:rsidRPr="3BDDEF42">
        <w:rPr>
          <w:rFonts w:ascii="Arial" w:eastAsia="Arial" w:hAnsi="Arial" w:cs="Arial"/>
        </w:rPr>
        <w:t>The cash flow in Year 4 is £25.00m.</w:t>
      </w:r>
    </w:p>
    <w:p w14:paraId="077388E8" w14:textId="28AFCA1A" w:rsidR="793C14F7" w:rsidRDefault="793C14F7" w:rsidP="3BDDEF42">
      <w:pPr>
        <w:pStyle w:val="ListParagraph"/>
        <w:numPr>
          <w:ilvl w:val="1"/>
          <w:numId w:val="1"/>
        </w:numPr>
        <w:spacing w:before="240" w:after="240" w:line="360" w:lineRule="auto"/>
        <w:jc w:val="both"/>
        <w:rPr>
          <w:rFonts w:ascii="Arial" w:eastAsia="Arial" w:hAnsi="Arial" w:cs="Arial"/>
        </w:rPr>
      </w:pPr>
      <w:r w:rsidRPr="3BDDEF42">
        <w:rPr>
          <w:rFonts w:ascii="Arial" w:eastAsia="Arial" w:hAnsi="Arial" w:cs="Arial"/>
        </w:rPr>
        <w:t>Fraction of Year 4 needed = Unrecovered Amount / Year 4 Cash Flow = £15.00m / £25.00m = 0.6 years.</w:t>
      </w:r>
    </w:p>
    <w:p w14:paraId="2B898D67" w14:textId="104ED792" w:rsidR="793C14F7" w:rsidRDefault="793C14F7" w:rsidP="3BDDEF42">
      <w:pPr>
        <w:pStyle w:val="ListParagraph"/>
        <w:numPr>
          <w:ilvl w:val="1"/>
          <w:numId w:val="1"/>
        </w:numPr>
        <w:spacing w:before="240" w:after="240" w:line="360" w:lineRule="auto"/>
        <w:jc w:val="both"/>
        <w:rPr>
          <w:rFonts w:ascii="Arial" w:eastAsia="Arial" w:hAnsi="Arial" w:cs="Arial"/>
        </w:rPr>
      </w:pPr>
      <w:r w:rsidRPr="3BDDEF42">
        <w:rPr>
          <w:rFonts w:ascii="Arial" w:eastAsia="Arial" w:hAnsi="Arial" w:cs="Arial"/>
        </w:rPr>
        <w:t>Payback Period = 3 years + 0.6 years = 3.6 years</w:t>
      </w:r>
    </w:p>
    <w:p w14:paraId="1D6FB30E" w14:textId="774F8FFB"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2. Accounting Rate of Return (ARR)</w:t>
      </w:r>
    </w:p>
    <w:tbl>
      <w:tblPr>
        <w:tblW w:w="0" w:type="auto"/>
        <w:tblLayout w:type="fixed"/>
        <w:tblLook w:val="06A0" w:firstRow="1" w:lastRow="0" w:firstColumn="1" w:lastColumn="0" w:noHBand="1" w:noVBand="1"/>
      </w:tblPr>
      <w:tblGrid>
        <w:gridCol w:w="453"/>
        <w:gridCol w:w="3108"/>
        <w:gridCol w:w="5118"/>
        <w:gridCol w:w="1193"/>
      </w:tblGrid>
      <w:tr w:rsidR="3BDDEF42" w14:paraId="09494E59" w14:textId="77777777" w:rsidTr="3BDDEF42">
        <w:trPr>
          <w:trHeight w:val="300"/>
        </w:trPr>
        <w:tc>
          <w:tcPr>
            <w:tcW w:w="453" w:type="dxa"/>
            <w:vAlign w:val="center"/>
          </w:tcPr>
          <w:p w14:paraId="08E984EE" w14:textId="70291EF4" w:rsidR="3BDDEF42" w:rsidRDefault="3BDDEF42" w:rsidP="3BDDEF42">
            <w:pPr>
              <w:spacing w:after="0" w:line="360" w:lineRule="auto"/>
              <w:jc w:val="both"/>
              <w:rPr>
                <w:rFonts w:ascii="Arial" w:eastAsia="Arial" w:hAnsi="Arial" w:cs="Arial"/>
              </w:rPr>
            </w:pPr>
            <w:r w:rsidRPr="3BDDEF42">
              <w:rPr>
                <w:rFonts w:ascii="Arial" w:eastAsia="Arial" w:hAnsi="Arial" w:cs="Arial"/>
              </w:rPr>
              <w:t>Step</w:t>
            </w:r>
          </w:p>
        </w:tc>
        <w:tc>
          <w:tcPr>
            <w:tcW w:w="3108" w:type="dxa"/>
            <w:vAlign w:val="center"/>
          </w:tcPr>
          <w:p w14:paraId="7E30B294" w14:textId="389C2A87" w:rsidR="3BDDEF42" w:rsidRDefault="3BDDEF42" w:rsidP="3BDDEF42">
            <w:pPr>
              <w:spacing w:after="0" w:line="360" w:lineRule="auto"/>
              <w:jc w:val="both"/>
              <w:rPr>
                <w:rFonts w:ascii="Arial" w:eastAsia="Arial" w:hAnsi="Arial" w:cs="Arial"/>
              </w:rPr>
            </w:pPr>
            <w:r w:rsidRPr="3BDDEF42">
              <w:rPr>
                <w:rFonts w:ascii="Arial" w:eastAsia="Arial" w:hAnsi="Arial" w:cs="Arial"/>
              </w:rPr>
              <w:t>Description</w:t>
            </w:r>
          </w:p>
        </w:tc>
        <w:tc>
          <w:tcPr>
            <w:tcW w:w="5118" w:type="dxa"/>
            <w:vAlign w:val="center"/>
          </w:tcPr>
          <w:p w14:paraId="70DB652B" w14:textId="24EBE053" w:rsidR="3BDDEF42" w:rsidRDefault="3BDDEF42" w:rsidP="3BDDEF42">
            <w:pPr>
              <w:spacing w:after="0" w:line="360" w:lineRule="auto"/>
              <w:jc w:val="both"/>
              <w:rPr>
                <w:rFonts w:ascii="Arial" w:eastAsia="Arial" w:hAnsi="Arial" w:cs="Arial"/>
              </w:rPr>
            </w:pPr>
            <w:r w:rsidRPr="3BDDEF42">
              <w:rPr>
                <w:rFonts w:ascii="Arial" w:eastAsia="Arial" w:hAnsi="Arial" w:cs="Arial"/>
              </w:rPr>
              <w:t>Calculation</w:t>
            </w:r>
          </w:p>
        </w:tc>
        <w:tc>
          <w:tcPr>
            <w:tcW w:w="1193" w:type="dxa"/>
            <w:vAlign w:val="center"/>
          </w:tcPr>
          <w:p w14:paraId="3808AD26" w14:textId="6F901E33" w:rsidR="3BDDEF42" w:rsidRDefault="3BDDEF42" w:rsidP="3BDDEF42">
            <w:pPr>
              <w:spacing w:after="0" w:line="360" w:lineRule="auto"/>
              <w:jc w:val="both"/>
              <w:rPr>
                <w:rFonts w:ascii="Arial" w:eastAsia="Arial" w:hAnsi="Arial" w:cs="Arial"/>
              </w:rPr>
            </w:pPr>
            <w:r w:rsidRPr="3BDDEF42">
              <w:rPr>
                <w:rFonts w:ascii="Arial" w:eastAsia="Arial" w:hAnsi="Arial" w:cs="Arial"/>
              </w:rPr>
              <w:t>Result (£m)</w:t>
            </w:r>
          </w:p>
        </w:tc>
      </w:tr>
      <w:tr w:rsidR="3BDDEF42" w14:paraId="13AF73DC" w14:textId="77777777" w:rsidTr="3BDDEF42">
        <w:trPr>
          <w:trHeight w:val="300"/>
        </w:trPr>
        <w:tc>
          <w:tcPr>
            <w:tcW w:w="453" w:type="dxa"/>
            <w:vAlign w:val="center"/>
          </w:tcPr>
          <w:p w14:paraId="2F7FC5DA" w14:textId="583957EB" w:rsidR="3BDDEF42" w:rsidRDefault="3BDDEF42" w:rsidP="3BDDEF42">
            <w:pPr>
              <w:spacing w:after="0" w:line="360" w:lineRule="auto"/>
              <w:jc w:val="both"/>
              <w:rPr>
                <w:rFonts w:ascii="Arial" w:eastAsia="Arial" w:hAnsi="Arial" w:cs="Arial"/>
              </w:rPr>
            </w:pPr>
            <w:r w:rsidRPr="3BDDEF42">
              <w:rPr>
                <w:rFonts w:ascii="Arial" w:eastAsia="Arial" w:hAnsi="Arial" w:cs="Arial"/>
              </w:rPr>
              <w:t>1</w:t>
            </w:r>
          </w:p>
        </w:tc>
        <w:tc>
          <w:tcPr>
            <w:tcW w:w="3108" w:type="dxa"/>
            <w:vAlign w:val="center"/>
          </w:tcPr>
          <w:p w14:paraId="61E826BF" w14:textId="202E254A"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Annual Depreciation</w:t>
            </w:r>
          </w:p>
        </w:tc>
        <w:tc>
          <w:tcPr>
            <w:tcW w:w="5118" w:type="dxa"/>
            <w:vAlign w:val="center"/>
          </w:tcPr>
          <w:p w14:paraId="0AC53722" w14:textId="0C143AAA" w:rsidR="3BDDEF42" w:rsidRDefault="3BDDEF42" w:rsidP="3BDDEF42">
            <w:pPr>
              <w:spacing w:after="0" w:line="360" w:lineRule="auto"/>
              <w:jc w:val="both"/>
              <w:rPr>
                <w:rFonts w:ascii="Arial" w:eastAsia="Arial" w:hAnsi="Arial" w:cs="Arial"/>
              </w:rPr>
            </w:pPr>
            <w:r w:rsidRPr="3BDDEF42">
              <w:rPr>
                <w:rFonts w:ascii="Arial" w:eastAsia="Arial" w:hAnsi="Arial" w:cs="Arial"/>
              </w:rPr>
              <w:t>£50m (Initial Cost) ÷ 5 years (Life)</w:t>
            </w:r>
          </w:p>
        </w:tc>
        <w:tc>
          <w:tcPr>
            <w:tcW w:w="1193" w:type="dxa"/>
            <w:vAlign w:val="center"/>
          </w:tcPr>
          <w:p w14:paraId="2EF609CB" w14:textId="41ED05E9" w:rsidR="3BDDEF42" w:rsidRDefault="3BDDEF42" w:rsidP="3BDDEF42">
            <w:pPr>
              <w:spacing w:after="0" w:line="360" w:lineRule="auto"/>
              <w:jc w:val="both"/>
              <w:rPr>
                <w:rFonts w:ascii="Arial" w:eastAsia="Arial" w:hAnsi="Arial" w:cs="Arial"/>
              </w:rPr>
            </w:pPr>
            <w:r w:rsidRPr="3BDDEF42">
              <w:rPr>
                <w:rFonts w:ascii="Arial" w:eastAsia="Arial" w:hAnsi="Arial" w:cs="Arial"/>
              </w:rPr>
              <w:t>£10.00</w:t>
            </w:r>
          </w:p>
        </w:tc>
      </w:tr>
      <w:tr w:rsidR="3BDDEF42" w14:paraId="6F3832EB" w14:textId="77777777" w:rsidTr="3BDDEF42">
        <w:trPr>
          <w:trHeight w:val="300"/>
        </w:trPr>
        <w:tc>
          <w:tcPr>
            <w:tcW w:w="453" w:type="dxa"/>
            <w:vAlign w:val="center"/>
          </w:tcPr>
          <w:p w14:paraId="6489C32D" w14:textId="3F51EF23" w:rsidR="3BDDEF42" w:rsidRDefault="3BDDEF42" w:rsidP="3BDDEF42">
            <w:pPr>
              <w:spacing w:after="0" w:line="360" w:lineRule="auto"/>
              <w:jc w:val="both"/>
              <w:rPr>
                <w:rFonts w:ascii="Arial" w:eastAsia="Arial" w:hAnsi="Arial" w:cs="Arial"/>
              </w:rPr>
            </w:pPr>
            <w:r w:rsidRPr="3BDDEF42">
              <w:rPr>
                <w:rFonts w:ascii="Arial" w:eastAsia="Arial" w:hAnsi="Arial" w:cs="Arial"/>
              </w:rPr>
              <w:t>2</w:t>
            </w:r>
          </w:p>
        </w:tc>
        <w:tc>
          <w:tcPr>
            <w:tcW w:w="3108" w:type="dxa"/>
            <w:vAlign w:val="center"/>
          </w:tcPr>
          <w:p w14:paraId="0753A275" w14:textId="1F7B2E6E"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Average Annual Profit</w:t>
            </w:r>
          </w:p>
        </w:tc>
        <w:tc>
          <w:tcPr>
            <w:tcW w:w="5118" w:type="dxa"/>
            <w:vAlign w:val="center"/>
          </w:tcPr>
          <w:p w14:paraId="542F0158" w14:textId="284480DA" w:rsidR="3BDDEF42" w:rsidRDefault="3BDDEF42" w:rsidP="3BDDEF42">
            <w:pPr>
              <w:spacing w:after="0" w:line="360" w:lineRule="auto"/>
              <w:jc w:val="both"/>
              <w:rPr>
                <w:rFonts w:ascii="Arial" w:eastAsia="Arial" w:hAnsi="Arial" w:cs="Arial"/>
              </w:rPr>
            </w:pPr>
            <w:r w:rsidRPr="3BDDEF42">
              <w:rPr>
                <w:rFonts w:ascii="Arial" w:eastAsia="Arial" w:hAnsi="Arial" w:cs="Arial"/>
              </w:rPr>
              <w:t>((5-10)+(10-10)+(20-10)+(25-10)+(15-10)) ÷ 5 years</w:t>
            </w:r>
          </w:p>
        </w:tc>
        <w:tc>
          <w:tcPr>
            <w:tcW w:w="1193" w:type="dxa"/>
            <w:vAlign w:val="center"/>
          </w:tcPr>
          <w:p w14:paraId="6ADF6300" w14:textId="14ACE1F1" w:rsidR="3BDDEF42" w:rsidRDefault="3BDDEF42" w:rsidP="3BDDEF42">
            <w:pPr>
              <w:spacing w:after="0" w:line="360" w:lineRule="auto"/>
              <w:jc w:val="both"/>
              <w:rPr>
                <w:rFonts w:ascii="Arial" w:eastAsia="Arial" w:hAnsi="Arial" w:cs="Arial"/>
              </w:rPr>
            </w:pPr>
            <w:r w:rsidRPr="3BDDEF42">
              <w:rPr>
                <w:rFonts w:ascii="Arial" w:eastAsia="Arial" w:hAnsi="Arial" w:cs="Arial"/>
              </w:rPr>
              <w:t>£5.00</w:t>
            </w:r>
          </w:p>
        </w:tc>
      </w:tr>
      <w:tr w:rsidR="3BDDEF42" w14:paraId="42E14E7D" w14:textId="77777777" w:rsidTr="3BDDEF42">
        <w:trPr>
          <w:trHeight w:val="300"/>
        </w:trPr>
        <w:tc>
          <w:tcPr>
            <w:tcW w:w="453" w:type="dxa"/>
            <w:vAlign w:val="center"/>
          </w:tcPr>
          <w:p w14:paraId="0786128D" w14:textId="64F51619" w:rsidR="3BDDEF42" w:rsidRDefault="3BDDEF42" w:rsidP="3BDDEF42">
            <w:pPr>
              <w:spacing w:after="0" w:line="360" w:lineRule="auto"/>
              <w:jc w:val="both"/>
              <w:rPr>
                <w:rFonts w:ascii="Arial" w:eastAsia="Arial" w:hAnsi="Arial" w:cs="Arial"/>
              </w:rPr>
            </w:pPr>
            <w:r w:rsidRPr="3BDDEF42">
              <w:rPr>
                <w:rFonts w:ascii="Arial" w:eastAsia="Arial" w:hAnsi="Arial" w:cs="Arial"/>
              </w:rPr>
              <w:t>3</w:t>
            </w:r>
          </w:p>
        </w:tc>
        <w:tc>
          <w:tcPr>
            <w:tcW w:w="3108" w:type="dxa"/>
            <w:vAlign w:val="center"/>
          </w:tcPr>
          <w:p w14:paraId="2BE2540A" w14:textId="62BA9CE5"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Average Investment</w:t>
            </w:r>
          </w:p>
        </w:tc>
        <w:tc>
          <w:tcPr>
            <w:tcW w:w="5118" w:type="dxa"/>
            <w:vAlign w:val="center"/>
          </w:tcPr>
          <w:p w14:paraId="2671999E" w14:textId="13B0311B" w:rsidR="3BDDEF42" w:rsidRDefault="3BDDEF42" w:rsidP="3BDDEF42">
            <w:pPr>
              <w:spacing w:after="0" w:line="360" w:lineRule="auto"/>
              <w:jc w:val="both"/>
              <w:rPr>
                <w:rFonts w:ascii="Arial" w:eastAsia="Arial" w:hAnsi="Arial" w:cs="Arial"/>
              </w:rPr>
            </w:pPr>
            <w:r w:rsidRPr="3BDDEF42">
              <w:rPr>
                <w:rFonts w:ascii="Arial" w:eastAsia="Arial" w:hAnsi="Arial" w:cs="Arial"/>
              </w:rPr>
              <w:t>(£50m (Initial Cost) + £0 (Scrap Value)) ÷ 2</w:t>
            </w:r>
          </w:p>
        </w:tc>
        <w:tc>
          <w:tcPr>
            <w:tcW w:w="1193" w:type="dxa"/>
            <w:vAlign w:val="center"/>
          </w:tcPr>
          <w:p w14:paraId="0C6FCFE8" w14:textId="3C7B8E1F" w:rsidR="3BDDEF42" w:rsidRDefault="3BDDEF42" w:rsidP="3BDDEF42">
            <w:pPr>
              <w:spacing w:after="0" w:line="360" w:lineRule="auto"/>
              <w:jc w:val="both"/>
              <w:rPr>
                <w:rFonts w:ascii="Arial" w:eastAsia="Arial" w:hAnsi="Arial" w:cs="Arial"/>
              </w:rPr>
            </w:pPr>
            <w:r w:rsidRPr="3BDDEF42">
              <w:rPr>
                <w:rFonts w:ascii="Arial" w:eastAsia="Arial" w:hAnsi="Arial" w:cs="Arial"/>
              </w:rPr>
              <w:t>£25.00</w:t>
            </w:r>
          </w:p>
        </w:tc>
      </w:tr>
      <w:tr w:rsidR="3BDDEF42" w14:paraId="15C02A71" w14:textId="77777777" w:rsidTr="3BDDEF42">
        <w:trPr>
          <w:trHeight w:val="300"/>
        </w:trPr>
        <w:tc>
          <w:tcPr>
            <w:tcW w:w="453" w:type="dxa"/>
            <w:vAlign w:val="center"/>
          </w:tcPr>
          <w:p w14:paraId="546FA327" w14:textId="5DA8813F" w:rsidR="3BDDEF42" w:rsidRDefault="3BDDEF42" w:rsidP="3BDDEF42">
            <w:pPr>
              <w:spacing w:after="0" w:line="360" w:lineRule="auto"/>
              <w:jc w:val="both"/>
              <w:rPr>
                <w:rFonts w:ascii="Arial" w:eastAsia="Arial" w:hAnsi="Arial" w:cs="Arial"/>
              </w:rPr>
            </w:pPr>
            <w:r w:rsidRPr="3BDDEF42">
              <w:rPr>
                <w:rFonts w:ascii="Arial" w:eastAsia="Arial" w:hAnsi="Arial" w:cs="Arial"/>
              </w:rPr>
              <w:t>4</w:t>
            </w:r>
          </w:p>
        </w:tc>
        <w:tc>
          <w:tcPr>
            <w:tcW w:w="3108" w:type="dxa"/>
            <w:vAlign w:val="center"/>
          </w:tcPr>
          <w:p w14:paraId="31D63B99" w14:textId="6C1099C9" w:rsidR="3BDDEF42" w:rsidRDefault="3BDDEF42" w:rsidP="3BDDEF42">
            <w:pPr>
              <w:spacing w:after="0" w:line="360" w:lineRule="auto"/>
              <w:jc w:val="both"/>
              <w:rPr>
                <w:rFonts w:ascii="Arial" w:eastAsia="Arial" w:hAnsi="Arial" w:cs="Arial"/>
              </w:rPr>
            </w:pPr>
            <w:r w:rsidRPr="3BDDEF42">
              <w:rPr>
                <w:rFonts w:ascii="Arial" w:eastAsia="Arial" w:hAnsi="Arial" w:cs="Arial"/>
              </w:rPr>
              <w:t>Calculate ARR</w:t>
            </w:r>
          </w:p>
        </w:tc>
        <w:tc>
          <w:tcPr>
            <w:tcW w:w="5118" w:type="dxa"/>
            <w:vAlign w:val="center"/>
          </w:tcPr>
          <w:p w14:paraId="5E17C62C" w14:textId="4EC9C68C" w:rsidR="3BDDEF42" w:rsidRDefault="3BDDEF42" w:rsidP="3BDDEF42">
            <w:pPr>
              <w:spacing w:after="0" w:line="360" w:lineRule="auto"/>
              <w:jc w:val="both"/>
              <w:rPr>
                <w:rFonts w:ascii="Arial" w:eastAsia="Arial" w:hAnsi="Arial" w:cs="Arial"/>
              </w:rPr>
            </w:pPr>
            <w:r w:rsidRPr="3BDDEF42">
              <w:rPr>
                <w:rFonts w:ascii="Arial" w:eastAsia="Arial" w:hAnsi="Arial" w:cs="Arial"/>
              </w:rPr>
              <w:t>(£5.00m ÷ £25.00m) × 100</w:t>
            </w:r>
          </w:p>
        </w:tc>
        <w:tc>
          <w:tcPr>
            <w:tcW w:w="1193" w:type="dxa"/>
            <w:vAlign w:val="center"/>
          </w:tcPr>
          <w:p w14:paraId="11C80A4B" w14:textId="2BCAFEE1" w:rsidR="3BDDEF42" w:rsidRDefault="3BDDEF42" w:rsidP="3BDDEF42">
            <w:pPr>
              <w:spacing w:after="0" w:line="360" w:lineRule="auto"/>
              <w:jc w:val="both"/>
              <w:rPr>
                <w:rFonts w:ascii="Arial" w:eastAsia="Arial" w:hAnsi="Arial" w:cs="Arial"/>
              </w:rPr>
            </w:pPr>
            <w:r w:rsidRPr="3BDDEF42">
              <w:rPr>
                <w:rFonts w:ascii="Arial" w:eastAsia="Arial" w:hAnsi="Arial" w:cs="Arial"/>
              </w:rPr>
              <w:t>20.0%</w:t>
            </w:r>
          </w:p>
        </w:tc>
      </w:tr>
    </w:tbl>
    <w:p w14:paraId="148EC57A" w14:textId="4B319B9C" w:rsidR="793C14F7" w:rsidRDefault="793C14F7" w:rsidP="3BDDEF42">
      <w:pPr>
        <w:spacing w:before="240" w:after="240" w:line="360" w:lineRule="auto"/>
        <w:jc w:val="both"/>
        <w:rPr>
          <w:rFonts w:ascii="Arial" w:eastAsia="Arial" w:hAnsi="Arial" w:cs="Arial"/>
        </w:rPr>
      </w:pPr>
      <w:r w:rsidRPr="3BDDEF42">
        <w:rPr>
          <w:rFonts w:ascii="Arial" w:eastAsia="Arial" w:hAnsi="Arial" w:cs="Arial"/>
        </w:rPr>
        <w:t>3. Net Present Value (NPV) at a 10% Discount Rate</w:t>
      </w:r>
    </w:p>
    <w:tbl>
      <w:tblPr>
        <w:tblW w:w="0" w:type="auto"/>
        <w:tblLayout w:type="fixed"/>
        <w:tblLook w:val="06A0" w:firstRow="1" w:lastRow="0" w:firstColumn="1" w:lastColumn="0" w:noHBand="1" w:noVBand="1"/>
      </w:tblPr>
      <w:tblGrid>
        <w:gridCol w:w="780"/>
        <w:gridCol w:w="2280"/>
        <w:gridCol w:w="3012"/>
        <w:gridCol w:w="2242"/>
      </w:tblGrid>
      <w:tr w:rsidR="3BDDEF42" w14:paraId="6F90683B" w14:textId="77777777" w:rsidTr="3BDDEF42">
        <w:trPr>
          <w:trHeight w:val="300"/>
        </w:trPr>
        <w:tc>
          <w:tcPr>
            <w:tcW w:w="780" w:type="dxa"/>
            <w:vAlign w:val="center"/>
          </w:tcPr>
          <w:p w14:paraId="100E22B9" w14:textId="47215F01" w:rsidR="3BDDEF42" w:rsidRDefault="3BDDEF42" w:rsidP="3BDDEF42">
            <w:pPr>
              <w:spacing w:after="0" w:line="360" w:lineRule="auto"/>
              <w:jc w:val="both"/>
              <w:rPr>
                <w:rFonts w:ascii="Arial" w:eastAsia="Arial" w:hAnsi="Arial" w:cs="Arial"/>
              </w:rPr>
            </w:pPr>
            <w:r w:rsidRPr="3BDDEF42">
              <w:rPr>
                <w:rFonts w:ascii="Arial" w:eastAsia="Arial" w:hAnsi="Arial" w:cs="Arial"/>
              </w:rPr>
              <w:t>Year</w:t>
            </w:r>
          </w:p>
        </w:tc>
        <w:tc>
          <w:tcPr>
            <w:tcW w:w="2280" w:type="dxa"/>
            <w:vAlign w:val="center"/>
          </w:tcPr>
          <w:p w14:paraId="7C322145" w14:textId="56E97DD8" w:rsidR="3BDDEF42" w:rsidRDefault="3BDDEF42" w:rsidP="3BDDEF42">
            <w:pPr>
              <w:spacing w:after="0" w:line="360" w:lineRule="auto"/>
              <w:jc w:val="both"/>
              <w:rPr>
                <w:rFonts w:ascii="Arial" w:eastAsia="Arial" w:hAnsi="Arial" w:cs="Arial"/>
              </w:rPr>
            </w:pPr>
            <w:r w:rsidRPr="3BDDEF42">
              <w:rPr>
                <w:rFonts w:ascii="Arial" w:eastAsia="Arial" w:hAnsi="Arial" w:cs="Arial"/>
              </w:rPr>
              <w:t>Cash Flow (£m)</w:t>
            </w:r>
          </w:p>
        </w:tc>
        <w:tc>
          <w:tcPr>
            <w:tcW w:w="3012" w:type="dxa"/>
            <w:vAlign w:val="center"/>
          </w:tcPr>
          <w:p w14:paraId="19176534" w14:textId="63275543" w:rsidR="3BDDEF42" w:rsidRDefault="3BDDEF42" w:rsidP="3BDDEF42">
            <w:pPr>
              <w:spacing w:after="0" w:line="360" w:lineRule="auto"/>
              <w:jc w:val="both"/>
              <w:rPr>
                <w:rFonts w:ascii="Arial" w:eastAsia="Arial" w:hAnsi="Arial" w:cs="Arial"/>
              </w:rPr>
            </w:pPr>
            <w:r w:rsidRPr="3BDDEF42">
              <w:rPr>
                <w:rFonts w:ascii="Arial" w:eastAsia="Arial" w:hAnsi="Arial" w:cs="Arial"/>
              </w:rPr>
              <w:t>Discount Factor (1/(1.10)ⁿ)</w:t>
            </w:r>
          </w:p>
        </w:tc>
        <w:tc>
          <w:tcPr>
            <w:tcW w:w="2242" w:type="dxa"/>
            <w:vAlign w:val="center"/>
          </w:tcPr>
          <w:p w14:paraId="08D01D4C" w14:textId="129D83AD" w:rsidR="3BDDEF42" w:rsidRDefault="3BDDEF42" w:rsidP="3BDDEF42">
            <w:pPr>
              <w:spacing w:after="0" w:line="360" w:lineRule="auto"/>
              <w:jc w:val="both"/>
              <w:rPr>
                <w:rFonts w:ascii="Arial" w:eastAsia="Arial" w:hAnsi="Arial" w:cs="Arial"/>
              </w:rPr>
            </w:pPr>
            <w:r w:rsidRPr="3BDDEF42">
              <w:rPr>
                <w:rFonts w:ascii="Arial" w:eastAsia="Arial" w:hAnsi="Arial" w:cs="Arial"/>
              </w:rPr>
              <w:t>Present Value (£m)</w:t>
            </w:r>
          </w:p>
        </w:tc>
      </w:tr>
      <w:tr w:rsidR="3BDDEF42" w14:paraId="0095E849" w14:textId="77777777" w:rsidTr="3BDDEF42">
        <w:trPr>
          <w:trHeight w:val="300"/>
        </w:trPr>
        <w:tc>
          <w:tcPr>
            <w:tcW w:w="780" w:type="dxa"/>
            <w:vAlign w:val="center"/>
          </w:tcPr>
          <w:p w14:paraId="094DBA6F" w14:textId="386A4ACB" w:rsidR="3BDDEF42" w:rsidRDefault="3BDDEF42" w:rsidP="3BDDEF42">
            <w:pPr>
              <w:spacing w:after="0" w:line="360" w:lineRule="auto"/>
              <w:jc w:val="both"/>
              <w:rPr>
                <w:rFonts w:ascii="Arial" w:eastAsia="Arial" w:hAnsi="Arial" w:cs="Arial"/>
              </w:rPr>
            </w:pPr>
            <w:r w:rsidRPr="3BDDEF42">
              <w:rPr>
                <w:rFonts w:ascii="Arial" w:eastAsia="Arial" w:hAnsi="Arial" w:cs="Arial"/>
              </w:rPr>
              <w:t>0</w:t>
            </w:r>
          </w:p>
        </w:tc>
        <w:tc>
          <w:tcPr>
            <w:tcW w:w="2280" w:type="dxa"/>
            <w:vAlign w:val="center"/>
          </w:tcPr>
          <w:p w14:paraId="453CAE0E" w14:textId="120B7AC0" w:rsidR="3BDDEF42" w:rsidRDefault="3BDDEF42" w:rsidP="3BDDEF42">
            <w:pPr>
              <w:spacing w:after="0" w:line="360" w:lineRule="auto"/>
              <w:jc w:val="both"/>
              <w:rPr>
                <w:rFonts w:ascii="Arial" w:eastAsia="Arial" w:hAnsi="Arial" w:cs="Arial"/>
              </w:rPr>
            </w:pPr>
            <w:r w:rsidRPr="3BDDEF42">
              <w:rPr>
                <w:rFonts w:ascii="Arial" w:eastAsia="Arial" w:hAnsi="Arial" w:cs="Arial"/>
              </w:rPr>
              <w:t>(50.00)</w:t>
            </w:r>
          </w:p>
        </w:tc>
        <w:tc>
          <w:tcPr>
            <w:tcW w:w="3012" w:type="dxa"/>
            <w:vAlign w:val="center"/>
          </w:tcPr>
          <w:p w14:paraId="13AAE5E7" w14:textId="6E26CC2F" w:rsidR="3BDDEF42" w:rsidRDefault="3BDDEF42" w:rsidP="3BDDEF42">
            <w:pPr>
              <w:spacing w:after="0" w:line="360" w:lineRule="auto"/>
              <w:jc w:val="both"/>
              <w:rPr>
                <w:rFonts w:ascii="Arial" w:eastAsia="Arial" w:hAnsi="Arial" w:cs="Arial"/>
              </w:rPr>
            </w:pPr>
            <w:r w:rsidRPr="3BDDEF42">
              <w:rPr>
                <w:rFonts w:ascii="Arial" w:eastAsia="Arial" w:hAnsi="Arial" w:cs="Arial"/>
              </w:rPr>
              <w:t>1.0000</w:t>
            </w:r>
          </w:p>
        </w:tc>
        <w:tc>
          <w:tcPr>
            <w:tcW w:w="2242" w:type="dxa"/>
            <w:vAlign w:val="center"/>
          </w:tcPr>
          <w:p w14:paraId="4FA27888" w14:textId="53EABA27" w:rsidR="3BDDEF42" w:rsidRDefault="3BDDEF42" w:rsidP="3BDDEF42">
            <w:pPr>
              <w:spacing w:after="0" w:line="360" w:lineRule="auto"/>
              <w:jc w:val="both"/>
              <w:rPr>
                <w:rFonts w:ascii="Arial" w:eastAsia="Arial" w:hAnsi="Arial" w:cs="Arial"/>
              </w:rPr>
            </w:pPr>
            <w:r w:rsidRPr="3BDDEF42">
              <w:rPr>
                <w:rFonts w:ascii="Arial" w:eastAsia="Arial" w:hAnsi="Arial" w:cs="Arial"/>
              </w:rPr>
              <w:t>(50.00)</w:t>
            </w:r>
          </w:p>
        </w:tc>
      </w:tr>
      <w:tr w:rsidR="3BDDEF42" w14:paraId="3FE7D3A2" w14:textId="77777777" w:rsidTr="3BDDEF42">
        <w:trPr>
          <w:trHeight w:val="300"/>
        </w:trPr>
        <w:tc>
          <w:tcPr>
            <w:tcW w:w="780" w:type="dxa"/>
            <w:vAlign w:val="center"/>
          </w:tcPr>
          <w:p w14:paraId="57C40A38" w14:textId="40BB4CAF" w:rsidR="3BDDEF42" w:rsidRDefault="3BDDEF42" w:rsidP="3BDDEF42">
            <w:pPr>
              <w:spacing w:after="0" w:line="360" w:lineRule="auto"/>
              <w:jc w:val="both"/>
              <w:rPr>
                <w:rFonts w:ascii="Arial" w:eastAsia="Arial" w:hAnsi="Arial" w:cs="Arial"/>
              </w:rPr>
            </w:pPr>
            <w:r w:rsidRPr="3BDDEF42">
              <w:rPr>
                <w:rFonts w:ascii="Arial" w:eastAsia="Arial" w:hAnsi="Arial" w:cs="Arial"/>
              </w:rPr>
              <w:t>1</w:t>
            </w:r>
          </w:p>
        </w:tc>
        <w:tc>
          <w:tcPr>
            <w:tcW w:w="2280" w:type="dxa"/>
            <w:vAlign w:val="center"/>
          </w:tcPr>
          <w:p w14:paraId="66039E55" w14:textId="5D1908CF" w:rsidR="3BDDEF42" w:rsidRDefault="3BDDEF42" w:rsidP="3BDDEF42">
            <w:pPr>
              <w:spacing w:after="0" w:line="360" w:lineRule="auto"/>
              <w:jc w:val="both"/>
              <w:rPr>
                <w:rFonts w:ascii="Arial" w:eastAsia="Arial" w:hAnsi="Arial" w:cs="Arial"/>
              </w:rPr>
            </w:pPr>
            <w:r w:rsidRPr="3BDDEF42">
              <w:rPr>
                <w:rFonts w:ascii="Arial" w:eastAsia="Arial" w:hAnsi="Arial" w:cs="Arial"/>
              </w:rPr>
              <w:t>5.00</w:t>
            </w:r>
          </w:p>
        </w:tc>
        <w:tc>
          <w:tcPr>
            <w:tcW w:w="3012" w:type="dxa"/>
            <w:vAlign w:val="center"/>
          </w:tcPr>
          <w:p w14:paraId="65533460" w14:textId="54B816DF" w:rsidR="3BDDEF42" w:rsidRDefault="3BDDEF42" w:rsidP="3BDDEF42">
            <w:pPr>
              <w:spacing w:after="0" w:line="360" w:lineRule="auto"/>
              <w:jc w:val="both"/>
              <w:rPr>
                <w:rFonts w:ascii="Arial" w:eastAsia="Arial" w:hAnsi="Arial" w:cs="Arial"/>
              </w:rPr>
            </w:pPr>
            <w:r w:rsidRPr="3BDDEF42">
              <w:rPr>
                <w:rFonts w:ascii="Arial" w:eastAsia="Arial" w:hAnsi="Arial" w:cs="Arial"/>
              </w:rPr>
              <w:t>0.9091</w:t>
            </w:r>
          </w:p>
        </w:tc>
        <w:tc>
          <w:tcPr>
            <w:tcW w:w="2242" w:type="dxa"/>
            <w:vAlign w:val="center"/>
          </w:tcPr>
          <w:p w14:paraId="5D820E62" w14:textId="7958E6C7" w:rsidR="3BDDEF42" w:rsidRDefault="3BDDEF42" w:rsidP="3BDDEF42">
            <w:pPr>
              <w:spacing w:after="0" w:line="360" w:lineRule="auto"/>
              <w:jc w:val="both"/>
              <w:rPr>
                <w:rFonts w:ascii="Arial" w:eastAsia="Arial" w:hAnsi="Arial" w:cs="Arial"/>
              </w:rPr>
            </w:pPr>
            <w:r w:rsidRPr="3BDDEF42">
              <w:rPr>
                <w:rFonts w:ascii="Arial" w:eastAsia="Arial" w:hAnsi="Arial" w:cs="Arial"/>
              </w:rPr>
              <w:t>4.55</w:t>
            </w:r>
          </w:p>
        </w:tc>
      </w:tr>
      <w:tr w:rsidR="3BDDEF42" w14:paraId="3BCFE40A" w14:textId="77777777" w:rsidTr="3BDDEF42">
        <w:trPr>
          <w:trHeight w:val="300"/>
        </w:trPr>
        <w:tc>
          <w:tcPr>
            <w:tcW w:w="780" w:type="dxa"/>
            <w:vAlign w:val="center"/>
          </w:tcPr>
          <w:p w14:paraId="6BF664F0" w14:textId="5E48E568" w:rsidR="3BDDEF42" w:rsidRDefault="3BDDEF42" w:rsidP="3BDDEF42">
            <w:pPr>
              <w:spacing w:after="0" w:line="360" w:lineRule="auto"/>
              <w:jc w:val="both"/>
              <w:rPr>
                <w:rFonts w:ascii="Arial" w:eastAsia="Arial" w:hAnsi="Arial" w:cs="Arial"/>
              </w:rPr>
            </w:pPr>
            <w:r w:rsidRPr="3BDDEF42">
              <w:rPr>
                <w:rFonts w:ascii="Arial" w:eastAsia="Arial" w:hAnsi="Arial" w:cs="Arial"/>
              </w:rPr>
              <w:t>2</w:t>
            </w:r>
          </w:p>
        </w:tc>
        <w:tc>
          <w:tcPr>
            <w:tcW w:w="2280" w:type="dxa"/>
            <w:vAlign w:val="center"/>
          </w:tcPr>
          <w:p w14:paraId="6D79A94C" w14:textId="73F9686F" w:rsidR="3BDDEF42" w:rsidRDefault="3BDDEF42" w:rsidP="3BDDEF42">
            <w:pPr>
              <w:spacing w:after="0" w:line="360" w:lineRule="auto"/>
              <w:jc w:val="both"/>
              <w:rPr>
                <w:rFonts w:ascii="Arial" w:eastAsia="Arial" w:hAnsi="Arial" w:cs="Arial"/>
              </w:rPr>
            </w:pPr>
            <w:r w:rsidRPr="3BDDEF42">
              <w:rPr>
                <w:rFonts w:ascii="Arial" w:eastAsia="Arial" w:hAnsi="Arial" w:cs="Arial"/>
              </w:rPr>
              <w:t>10.00</w:t>
            </w:r>
          </w:p>
        </w:tc>
        <w:tc>
          <w:tcPr>
            <w:tcW w:w="3012" w:type="dxa"/>
            <w:vAlign w:val="center"/>
          </w:tcPr>
          <w:p w14:paraId="01B1FE66" w14:textId="2A309998" w:rsidR="3BDDEF42" w:rsidRDefault="3BDDEF42" w:rsidP="3BDDEF42">
            <w:pPr>
              <w:spacing w:after="0" w:line="360" w:lineRule="auto"/>
              <w:jc w:val="both"/>
              <w:rPr>
                <w:rFonts w:ascii="Arial" w:eastAsia="Arial" w:hAnsi="Arial" w:cs="Arial"/>
              </w:rPr>
            </w:pPr>
            <w:r w:rsidRPr="3BDDEF42">
              <w:rPr>
                <w:rFonts w:ascii="Arial" w:eastAsia="Arial" w:hAnsi="Arial" w:cs="Arial"/>
              </w:rPr>
              <w:t>0.8264</w:t>
            </w:r>
          </w:p>
        </w:tc>
        <w:tc>
          <w:tcPr>
            <w:tcW w:w="2242" w:type="dxa"/>
            <w:vAlign w:val="center"/>
          </w:tcPr>
          <w:p w14:paraId="4AE84E28" w14:textId="47EA6AFA" w:rsidR="3BDDEF42" w:rsidRDefault="3BDDEF42" w:rsidP="3BDDEF42">
            <w:pPr>
              <w:spacing w:after="0" w:line="360" w:lineRule="auto"/>
              <w:jc w:val="both"/>
              <w:rPr>
                <w:rFonts w:ascii="Arial" w:eastAsia="Arial" w:hAnsi="Arial" w:cs="Arial"/>
              </w:rPr>
            </w:pPr>
            <w:r w:rsidRPr="3BDDEF42">
              <w:rPr>
                <w:rFonts w:ascii="Arial" w:eastAsia="Arial" w:hAnsi="Arial" w:cs="Arial"/>
              </w:rPr>
              <w:t>8.26</w:t>
            </w:r>
          </w:p>
        </w:tc>
      </w:tr>
      <w:tr w:rsidR="3BDDEF42" w14:paraId="549B01A1" w14:textId="77777777" w:rsidTr="3BDDEF42">
        <w:trPr>
          <w:trHeight w:val="300"/>
        </w:trPr>
        <w:tc>
          <w:tcPr>
            <w:tcW w:w="780" w:type="dxa"/>
            <w:vAlign w:val="center"/>
          </w:tcPr>
          <w:p w14:paraId="01573B1E" w14:textId="1274E75B" w:rsidR="3BDDEF42" w:rsidRDefault="3BDDEF42" w:rsidP="3BDDEF42">
            <w:pPr>
              <w:spacing w:after="0" w:line="360" w:lineRule="auto"/>
              <w:jc w:val="both"/>
              <w:rPr>
                <w:rFonts w:ascii="Arial" w:eastAsia="Arial" w:hAnsi="Arial" w:cs="Arial"/>
              </w:rPr>
            </w:pPr>
            <w:r w:rsidRPr="3BDDEF42">
              <w:rPr>
                <w:rFonts w:ascii="Arial" w:eastAsia="Arial" w:hAnsi="Arial" w:cs="Arial"/>
              </w:rPr>
              <w:t>3</w:t>
            </w:r>
          </w:p>
        </w:tc>
        <w:tc>
          <w:tcPr>
            <w:tcW w:w="2280" w:type="dxa"/>
            <w:vAlign w:val="center"/>
          </w:tcPr>
          <w:p w14:paraId="6C0BB60A" w14:textId="5130BB65" w:rsidR="3BDDEF42" w:rsidRDefault="3BDDEF42" w:rsidP="3BDDEF42">
            <w:pPr>
              <w:spacing w:after="0" w:line="360" w:lineRule="auto"/>
              <w:jc w:val="both"/>
              <w:rPr>
                <w:rFonts w:ascii="Arial" w:eastAsia="Arial" w:hAnsi="Arial" w:cs="Arial"/>
              </w:rPr>
            </w:pPr>
            <w:r w:rsidRPr="3BDDEF42">
              <w:rPr>
                <w:rFonts w:ascii="Arial" w:eastAsia="Arial" w:hAnsi="Arial" w:cs="Arial"/>
              </w:rPr>
              <w:t>20.00</w:t>
            </w:r>
          </w:p>
        </w:tc>
        <w:tc>
          <w:tcPr>
            <w:tcW w:w="3012" w:type="dxa"/>
            <w:vAlign w:val="center"/>
          </w:tcPr>
          <w:p w14:paraId="19A81B19" w14:textId="5395D548" w:rsidR="3BDDEF42" w:rsidRDefault="3BDDEF42" w:rsidP="3BDDEF42">
            <w:pPr>
              <w:spacing w:after="0" w:line="360" w:lineRule="auto"/>
              <w:jc w:val="both"/>
              <w:rPr>
                <w:rFonts w:ascii="Arial" w:eastAsia="Arial" w:hAnsi="Arial" w:cs="Arial"/>
              </w:rPr>
            </w:pPr>
            <w:r w:rsidRPr="3BDDEF42">
              <w:rPr>
                <w:rFonts w:ascii="Arial" w:eastAsia="Arial" w:hAnsi="Arial" w:cs="Arial"/>
              </w:rPr>
              <w:t>0.7513</w:t>
            </w:r>
          </w:p>
        </w:tc>
        <w:tc>
          <w:tcPr>
            <w:tcW w:w="2242" w:type="dxa"/>
            <w:vAlign w:val="center"/>
          </w:tcPr>
          <w:p w14:paraId="55AF6341" w14:textId="5EB45289" w:rsidR="3BDDEF42" w:rsidRDefault="3BDDEF42" w:rsidP="3BDDEF42">
            <w:pPr>
              <w:spacing w:after="0" w:line="360" w:lineRule="auto"/>
              <w:jc w:val="both"/>
              <w:rPr>
                <w:rFonts w:ascii="Arial" w:eastAsia="Arial" w:hAnsi="Arial" w:cs="Arial"/>
              </w:rPr>
            </w:pPr>
            <w:r w:rsidRPr="3BDDEF42">
              <w:rPr>
                <w:rFonts w:ascii="Arial" w:eastAsia="Arial" w:hAnsi="Arial" w:cs="Arial"/>
              </w:rPr>
              <w:t>15.03</w:t>
            </w:r>
          </w:p>
        </w:tc>
      </w:tr>
      <w:tr w:rsidR="3BDDEF42" w14:paraId="362983B3" w14:textId="77777777" w:rsidTr="3BDDEF42">
        <w:trPr>
          <w:trHeight w:val="300"/>
        </w:trPr>
        <w:tc>
          <w:tcPr>
            <w:tcW w:w="780" w:type="dxa"/>
            <w:vAlign w:val="center"/>
          </w:tcPr>
          <w:p w14:paraId="59DBEA21" w14:textId="4D22A8C5" w:rsidR="3BDDEF42" w:rsidRDefault="3BDDEF42" w:rsidP="3BDDEF42">
            <w:pPr>
              <w:spacing w:after="0" w:line="360" w:lineRule="auto"/>
              <w:jc w:val="both"/>
              <w:rPr>
                <w:rFonts w:ascii="Arial" w:eastAsia="Arial" w:hAnsi="Arial" w:cs="Arial"/>
              </w:rPr>
            </w:pPr>
            <w:r w:rsidRPr="3BDDEF42">
              <w:rPr>
                <w:rFonts w:ascii="Arial" w:eastAsia="Arial" w:hAnsi="Arial" w:cs="Arial"/>
              </w:rPr>
              <w:t>4</w:t>
            </w:r>
          </w:p>
        </w:tc>
        <w:tc>
          <w:tcPr>
            <w:tcW w:w="2280" w:type="dxa"/>
            <w:vAlign w:val="center"/>
          </w:tcPr>
          <w:p w14:paraId="4B46C5E9" w14:textId="6540A509" w:rsidR="3BDDEF42" w:rsidRDefault="3BDDEF42" w:rsidP="3BDDEF42">
            <w:pPr>
              <w:spacing w:after="0" w:line="360" w:lineRule="auto"/>
              <w:jc w:val="both"/>
              <w:rPr>
                <w:rFonts w:ascii="Arial" w:eastAsia="Arial" w:hAnsi="Arial" w:cs="Arial"/>
              </w:rPr>
            </w:pPr>
            <w:r w:rsidRPr="3BDDEF42">
              <w:rPr>
                <w:rFonts w:ascii="Arial" w:eastAsia="Arial" w:hAnsi="Arial" w:cs="Arial"/>
              </w:rPr>
              <w:t>25.00</w:t>
            </w:r>
          </w:p>
        </w:tc>
        <w:tc>
          <w:tcPr>
            <w:tcW w:w="3012" w:type="dxa"/>
            <w:vAlign w:val="center"/>
          </w:tcPr>
          <w:p w14:paraId="1315ACCC" w14:textId="7178A57D" w:rsidR="3BDDEF42" w:rsidRDefault="3BDDEF42" w:rsidP="3BDDEF42">
            <w:pPr>
              <w:spacing w:after="0" w:line="360" w:lineRule="auto"/>
              <w:jc w:val="both"/>
              <w:rPr>
                <w:rFonts w:ascii="Arial" w:eastAsia="Arial" w:hAnsi="Arial" w:cs="Arial"/>
              </w:rPr>
            </w:pPr>
            <w:r w:rsidRPr="3BDDEF42">
              <w:rPr>
                <w:rFonts w:ascii="Arial" w:eastAsia="Arial" w:hAnsi="Arial" w:cs="Arial"/>
              </w:rPr>
              <w:t>0.6830</w:t>
            </w:r>
          </w:p>
        </w:tc>
        <w:tc>
          <w:tcPr>
            <w:tcW w:w="2242" w:type="dxa"/>
            <w:vAlign w:val="center"/>
          </w:tcPr>
          <w:p w14:paraId="31659C1F" w14:textId="136F4673" w:rsidR="3BDDEF42" w:rsidRDefault="3BDDEF42" w:rsidP="3BDDEF42">
            <w:pPr>
              <w:spacing w:after="0" w:line="360" w:lineRule="auto"/>
              <w:jc w:val="both"/>
              <w:rPr>
                <w:rFonts w:ascii="Arial" w:eastAsia="Arial" w:hAnsi="Arial" w:cs="Arial"/>
              </w:rPr>
            </w:pPr>
            <w:r w:rsidRPr="3BDDEF42">
              <w:rPr>
                <w:rFonts w:ascii="Arial" w:eastAsia="Arial" w:hAnsi="Arial" w:cs="Arial"/>
              </w:rPr>
              <w:t>17.08</w:t>
            </w:r>
          </w:p>
        </w:tc>
      </w:tr>
      <w:tr w:rsidR="3BDDEF42" w14:paraId="4897D754" w14:textId="77777777" w:rsidTr="3BDDEF42">
        <w:trPr>
          <w:trHeight w:val="300"/>
        </w:trPr>
        <w:tc>
          <w:tcPr>
            <w:tcW w:w="780" w:type="dxa"/>
            <w:vAlign w:val="center"/>
          </w:tcPr>
          <w:p w14:paraId="7387FE22" w14:textId="4FB60EF9" w:rsidR="3BDDEF42" w:rsidRDefault="3BDDEF42" w:rsidP="3BDDEF42">
            <w:pPr>
              <w:spacing w:after="0" w:line="360" w:lineRule="auto"/>
              <w:jc w:val="both"/>
              <w:rPr>
                <w:rFonts w:ascii="Arial" w:eastAsia="Arial" w:hAnsi="Arial" w:cs="Arial"/>
              </w:rPr>
            </w:pPr>
            <w:r w:rsidRPr="3BDDEF42">
              <w:rPr>
                <w:rFonts w:ascii="Arial" w:eastAsia="Arial" w:hAnsi="Arial" w:cs="Arial"/>
              </w:rPr>
              <w:t>5</w:t>
            </w:r>
          </w:p>
        </w:tc>
        <w:tc>
          <w:tcPr>
            <w:tcW w:w="2280" w:type="dxa"/>
            <w:vAlign w:val="center"/>
          </w:tcPr>
          <w:p w14:paraId="6A6EF840" w14:textId="54F81AA8" w:rsidR="3BDDEF42" w:rsidRDefault="3BDDEF42" w:rsidP="3BDDEF42">
            <w:pPr>
              <w:spacing w:after="0" w:line="360" w:lineRule="auto"/>
              <w:jc w:val="both"/>
              <w:rPr>
                <w:rFonts w:ascii="Arial" w:eastAsia="Arial" w:hAnsi="Arial" w:cs="Arial"/>
              </w:rPr>
            </w:pPr>
            <w:r w:rsidRPr="3BDDEF42">
              <w:rPr>
                <w:rFonts w:ascii="Arial" w:eastAsia="Arial" w:hAnsi="Arial" w:cs="Arial"/>
              </w:rPr>
              <w:t>15.00</w:t>
            </w:r>
          </w:p>
        </w:tc>
        <w:tc>
          <w:tcPr>
            <w:tcW w:w="3012" w:type="dxa"/>
            <w:vAlign w:val="center"/>
          </w:tcPr>
          <w:p w14:paraId="39849B70" w14:textId="6BB44D92" w:rsidR="3BDDEF42" w:rsidRDefault="3BDDEF42" w:rsidP="3BDDEF42">
            <w:pPr>
              <w:spacing w:after="0" w:line="360" w:lineRule="auto"/>
              <w:jc w:val="both"/>
              <w:rPr>
                <w:rFonts w:ascii="Arial" w:eastAsia="Arial" w:hAnsi="Arial" w:cs="Arial"/>
              </w:rPr>
            </w:pPr>
            <w:r w:rsidRPr="3BDDEF42">
              <w:rPr>
                <w:rFonts w:ascii="Arial" w:eastAsia="Arial" w:hAnsi="Arial" w:cs="Arial"/>
              </w:rPr>
              <w:t>0.6209</w:t>
            </w:r>
          </w:p>
        </w:tc>
        <w:tc>
          <w:tcPr>
            <w:tcW w:w="2242" w:type="dxa"/>
            <w:vAlign w:val="center"/>
          </w:tcPr>
          <w:p w14:paraId="750BA385" w14:textId="06736B89" w:rsidR="3BDDEF42" w:rsidRDefault="3BDDEF42" w:rsidP="3BDDEF42">
            <w:pPr>
              <w:spacing w:after="0" w:line="360" w:lineRule="auto"/>
              <w:jc w:val="both"/>
              <w:rPr>
                <w:rFonts w:ascii="Arial" w:eastAsia="Arial" w:hAnsi="Arial" w:cs="Arial"/>
              </w:rPr>
            </w:pPr>
            <w:r w:rsidRPr="3BDDEF42">
              <w:rPr>
                <w:rFonts w:ascii="Arial" w:eastAsia="Arial" w:hAnsi="Arial" w:cs="Arial"/>
              </w:rPr>
              <w:t>9.31</w:t>
            </w:r>
          </w:p>
        </w:tc>
      </w:tr>
      <w:tr w:rsidR="3BDDEF42" w14:paraId="71752E1F" w14:textId="77777777" w:rsidTr="3BDDEF42">
        <w:trPr>
          <w:trHeight w:val="300"/>
        </w:trPr>
        <w:tc>
          <w:tcPr>
            <w:tcW w:w="780" w:type="dxa"/>
            <w:vAlign w:val="center"/>
          </w:tcPr>
          <w:p w14:paraId="5B44903F" w14:textId="2BC91F02" w:rsidR="3BDDEF42" w:rsidRDefault="3BDDEF42" w:rsidP="3BDDEF42">
            <w:pPr>
              <w:spacing w:line="360" w:lineRule="auto"/>
              <w:jc w:val="both"/>
              <w:rPr>
                <w:rFonts w:ascii="Arial" w:eastAsia="Arial" w:hAnsi="Arial" w:cs="Arial"/>
              </w:rPr>
            </w:pPr>
          </w:p>
        </w:tc>
        <w:tc>
          <w:tcPr>
            <w:tcW w:w="2280" w:type="dxa"/>
            <w:vAlign w:val="center"/>
          </w:tcPr>
          <w:p w14:paraId="27B1C584" w14:textId="150D5667" w:rsidR="3BDDEF42" w:rsidRDefault="3BDDEF42" w:rsidP="3BDDEF42">
            <w:pPr>
              <w:spacing w:after="0" w:line="360" w:lineRule="auto"/>
              <w:jc w:val="both"/>
              <w:rPr>
                <w:rFonts w:ascii="Arial" w:eastAsia="Arial" w:hAnsi="Arial" w:cs="Arial"/>
              </w:rPr>
            </w:pPr>
            <w:r w:rsidRPr="3BDDEF42">
              <w:rPr>
                <w:rFonts w:ascii="Arial" w:eastAsia="Arial" w:hAnsi="Arial" w:cs="Arial"/>
              </w:rPr>
              <w:t>Total PV of Inflows</w:t>
            </w:r>
          </w:p>
        </w:tc>
        <w:tc>
          <w:tcPr>
            <w:tcW w:w="3012" w:type="dxa"/>
            <w:vAlign w:val="center"/>
          </w:tcPr>
          <w:p w14:paraId="28849545" w14:textId="03830A1A" w:rsidR="3BDDEF42" w:rsidRDefault="3BDDEF42" w:rsidP="3BDDEF42">
            <w:pPr>
              <w:spacing w:line="360" w:lineRule="auto"/>
              <w:jc w:val="both"/>
              <w:rPr>
                <w:rFonts w:ascii="Arial" w:eastAsia="Arial" w:hAnsi="Arial" w:cs="Arial"/>
              </w:rPr>
            </w:pPr>
          </w:p>
        </w:tc>
        <w:tc>
          <w:tcPr>
            <w:tcW w:w="2242" w:type="dxa"/>
            <w:vAlign w:val="center"/>
          </w:tcPr>
          <w:p w14:paraId="51FDB4FC" w14:textId="7AF5E550" w:rsidR="3BDDEF42" w:rsidRDefault="3BDDEF42" w:rsidP="3BDDEF42">
            <w:pPr>
              <w:spacing w:after="0" w:line="360" w:lineRule="auto"/>
              <w:jc w:val="both"/>
              <w:rPr>
                <w:rFonts w:ascii="Arial" w:eastAsia="Arial" w:hAnsi="Arial" w:cs="Arial"/>
              </w:rPr>
            </w:pPr>
            <w:r w:rsidRPr="3BDDEF42">
              <w:rPr>
                <w:rFonts w:ascii="Arial" w:eastAsia="Arial" w:hAnsi="Arial" w:cs="Arial"/>
              </w:rPr>
              <w:t>£54.23</w:t>
            </w:r>
          </w:p>
        </w:tc>
      </w:tr>
      <w:tr w:rsidR="3BDDEF42" w14:paraId="0680887F" w14:textId="77777777" w:rsidTr="3BDDEF42">
        <w:trPr>
          <w:trHeight w:val="300"/>
        </w:trPr>
        <w:tc>
          <w:tcPr>
            <w:tcW w:w="780" w:type="dxa"/>
            <w:vAlign w:val="center"/>
          </w:tcPr>
          <w:p w14:paraId="492F52DF" w14:textId="0610C613" w:rsidR="3BDDEF42" w:rsidRDefault="3BDDEF42" w:rsidP="3BDDEF42">
            <w:pPr>
              <w:spacing w:line="360" w:lineRule="auto"/>
              <w:jc w:val="both"/>
              <w:rPr>
                <w:rFonts w:ascii="Arial" w:eastAsia="Arial" w:hAnsi="Arial" w:cs="Arial"/>
              </w:rPr>
            </w:pPr>
          </w:p>
        </w:tc>
        <w:tc>
          <w:tcPr>
            <w:tcW w:w="2280" w:type="dxa"/>
            <w:vAlign w:val="center"/>
          </w:tcPr>
          <w:p w14:paraId="507674E6" w14:textId="4A71BCCA" w:rsidR="3BDDEF42" w:rsidRDefault="3BDDEF42" w:rsidP="3BDDEF42">
            <w:pPr>
              <w:spacing w:after="0" w:line="360" w:lineRule="auto"/>
              <w:jc w:val="both"/>
              <w:rPr>
                <w:rFonts w:ascii="Arial" w:eastAsia="Arial" w:hAnsi="Arial" w:cs="Arial"/>
              </w:rPr>
            </w:pPr>
            <w:r w:rsidRPr="3BDDEF42">
              <w:rPr>
                <w:rFonts w:ascii="Arial" w:eastAsia="Arial" w:hAnsi="Arial" w:cs="Arial"/>
              </w:rPr>
              <w:t>NPV</w:t>
            </w:r>
          </w:p>
        </w:tc>
        <w:tc>
          <w:tcPr>
            <w:tcW w:w="3012" w:type="dxa"/>
            <w:vAlign w:val="center"/>
          </w:tcPr>
          <w:p w14:paraId="3089FAB7" w14:textId="6F3EE308" w:rsidR="3BDDEF42" w:rsidRDefault="3BDDEF42" w:rsidP="3BDDEF42">
            <w:pPr>
              <w:spacing w:line="360" w:lineRule="auto"/>
              <w:jc w:val="both"/>
              <w:rPr>
                <w:rFonts w:ascii="Arial" w:eastAsia="Arial" w:hAnsi="Arial" w:cs="Arial"/>
              </w:rPr>
            </w:pPr>
          </w:p>
        </w:tc>
        <w:tc>
          <w:tcPr>
            <w:tcW w:w="2242" w:type="dxa"/>
            <w:vAlign w:val="center"/>
          </w:tcPr>
          <w:p w14:paraId="2A702DF3" w14:textId="4499903C" w:rsidR="3BDDEF42" w:rsidRDefault="3BDDEF42" w:rsidP="3BDDEF42">
            <w:pPr>
              <w:spacing w:after="0" w:line="360" w:lineRule="auto"/>
              <w:jc w:val="both"/>
              <w:rPr>
                <w:rFonts w:ascii="Arial" w:eastAsia="Arial" w:hAnsi="Arial" w:cs="Arial"/>
              </w:rPr>
            </w:pPr>
            <w:r w:rsidRPr="3BDDEF42">
              <w:rPr>
                <w:rFonts w:ascii="Arial" w:eastAsia="Arial" w:hAnsi="Arial" w:cs="Arial"/>
              </w:rPr>
              <w:t>£4.23</w:t>
            </w:r>
          </w:p>
        </w:tc>
      </w:tr>
    </w:tbl>
    <w:p w14:paraId="58BD60A8" w14:textId="4EFC84DB" w:rsidR="3BDDEF42" w:rsidRDefault="3BDDEF42" w:rsidP="3BDDEF42">
      <w:pPr>
        <w:spacing w:before="240" w:after="240" w:line="360" w:lineRule="auto"/>
        <w:jc w:val="both"/>
        <w:rPr>
          <w:rFonts w:ascii="Arial" w:eastAsia="Arial" w:hAnsi="Arial" w:cs="Arial"/>
        </w:rPr>
      </w:pPr>
    </w:p>
    <w:p w14:paraId="384B545D" w14:textId="6E40F419" w:rsidR="3BDDEF42" w:rsidRDefault="3BDDEF42" w:rsidP="3BDDEF42">
      <w:pPr>
        <w:spacing w:line="360" w:lineRule="auto"/>
        <w:jc w:val="both"/>
        <w:rPr>
          <w:rFonts w:ascii="Arial" w:eastAsia="Arial" w:hAnsi="Arial" w:cs="Arial"/>
        </w:rPr>
      </w:pPr>
    </w:p>
    <w:sectPr w:rsidR="3BDDEF42">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C72EF" w14:textId="77777777" w:rsidR="00707555" w:rsidRDefault="00707555">
      <w:pPr>
        <w:spacing w:after="0" w:line="240" w:lineRule="auto"/>
      </w:pPr>
      <w:r>
        <w:separator/>
      </w:r>
    </w:p>
  </w:endnote>
  <w:endnote w:type="continuationSeparator" w:id="0">
    <w:p w14:paraId="7083AA45" w14:textId="77777777" w:rsidR="00707555" w:rsidRDefault="00707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BDDEF42" w14:paraId="72848520" w14:textId="77777777" w:rsidTr="3BDDEF42">
      <w:trPr>
        <w:trHeight w:val="300"/>
      </w:trPr>
      <w:tc>
        <w:tcPr>
          <w:tcW w:w="3120" w:type="dxa"/>
        </w:tcPr>
        <w:p w14:paraId="4A34385D" w14:textId="00B69F71" w:rsidR="3BDDEF42" w:rsidRDefault="3BDDEF42" w:rsidP="3BDDEF42">
          <w:pPr>
            <w:pStyle w:val="Header"/>
            <w:ind w:left="-115"/>
          </w:pPr>
        </w:p>
      </w:tc>
      <w:tc>
        <w:tcPr>
          <w:tcW w:w="3120" w:type="dxa"/>
        </w:tcPr>
        <w:p w14:paraId="479B23BC" w14:textId="5752BE1C" w:rsidR="3BDDEF42" w:rsidRDefault="3BDDEF42" w:rsidP="3BDDEF42">
          <w:pPr>
            <w:pStyle w:val="Header"/>
            <w:jc w:val="center"/>
          </w:pPr>
          <w:r>
            <w:fldChar w:fldCharType="begin"/>
          </w:r>
          <w:r>
            <w:instrText>PAGE</w:instrText>
          </w:r>
          <w:r>
            <w:fldChar w:fldCharType="separate"/>
          </w:r>
          <w:r w:rsidR="0001096B">
            <w:rPr>
              <w:noProof/>
            </w:rPr>
            <w:t>1</w:t>
          </w:r>
          <w:r>
            <w:fldChar w:fldCharType="end"/>
          </w:r>
        </w:p>
      </w:tc>
      <w:tc>
        <w:tcPr>
          <w:tcW w:w="3120" w:type="dxa"/>
        </w:tcPr>
        <w:p w14:paraId="2CAF79AF" w14:textId="29B6980E" w:rsidR="3BDDEF42" w:rsidRDefault="3BDDEF42" w:rsidP="3BDDEF42">
          <w:pPr>
            <w:pStyle w:val="Header"/>
            <w:ind w:right="-115"/>
            <w:jc w:val="right"/>
          </w:pPr>
        </w:p>
      </w:tc>
    </w:tr>
  </w:tbl>
  <w:p w14:paraId="6CE1C8C4" w14:textId="7E52486B" w:rsidR="3BDDEF42" w:rsidRDefault="3BDDEF42" w:rsidP="3BDDE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73ABB" w14:textId="77777777" w:rsidR="00707555" w:rsidRDefault="00707555">
      <w:pPr>
        <w:spacing w:after="0" w:line="240" w:lineRule="auto"/>
      </w:pPr>
      <w:r>
        <w:separator/>
      </w:r>
    </w:p>
  </w:footnote>
  <w:footnote w:type="continuationSeparator" w:id="0">
    <w:p w14:paraId="24FDCA88" w14:textId="77777777" w:rsidR="00707555" w:rsidRDefault="007075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BDDEF42" w14:paraId="599E5D54" w14:textId="77777777" w:rsidTr="3BDDEF42">
      <w:trPr>
        <w:trHeight w:val="300"/>
      </w:trPr>
      <w:tc>
        <w:tcPr>
          <w:tcW w:w="3120" w:type="dxa"/>
        </w:tcPr>
        <w:p w14:paraId="088748B6" w14:textId="1F1AE842" w:rsidR="3BDDEF42" w:rsidRDefault="3BDDEF42" w:rsidP="3BDDEF42">
          <w:pPr>
            <w:pStyle w:val="Header"/>
            <w:ind w:left="-115"/>
          </w:pPr>
          <w:r>
            <w:rPr>
              <w:noProof/>
            </w:rPr>
            <w:drawing>
              <wp:inline distT="0" distB="0" distL="0" distR="0" wp14:anchorId="55A74099" wp14:editId="76DD34F7">
                <wp:extent cx="1809750" cy="723900"/>
                <wp:effectExtent l="0" t="0" r="0" b="0"/>
                <wp:docPr id="1582370184" name="drawi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70184" name=""/>
                        <pic:cNvPicPr/>
                      </pic:nvPicPr>
                      <pic:blipFill>
                        <a:blip r:embed="rId1">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tc>
      <w:tc>
        <w:tcPr>
          <w:tcW w:w="3120" w:type="dxa"/>
        </w:tcPr>
        <w:p w14:paraId="51A5A0F6" w14:textId="615C388E" w:rsidR="3BDDEF42" w:rsidRDefault="3BDDEF42" w:rsidP="3BDDEF42">
          <w:pPr>
            <w:pStyle w:val="Header"/>
            <w:jc w:val="center"/>
          </w:pPr>
        </w:p>
      </w:tc>
      <w:tc>
        <w:tcPr>
          <w:tcW w:w="3120" w:type="dxa"/>
        </w:tcPr>
        <w:p w14:paraId="518180CB" w14:textId="5438BDA1" w:rsidR="3BDDEF42" w:rsidRDefault="3BDDEF42" w:rsidP="3BDDEF42">
          <w:pPr>
            <w:pStyle w:val="Header"/>
            <w:ind w:right="-115"/>
            <w:jc w:val="right"/>
          </w:pPr>
        </w:p>
      </w:tc>
    </w:tr>
  </w:tbl>
  <w:p w14:paraId="42FB4EA7" w14:textId="74544FE7" w:rsidR="3BDDEF42" w:rsidRDefault="3BDDEF42" w:rsidP="3BDDEF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80CEB"/>
    <w:multiLevelType w:val="hybridMultilevel"/>
    <w:tmpl w:val="FFFFFFFF"/>
    <w:lvl w:ilvl="0" w:tplc="6B3AF23E">
      <w:start w:val="1"/>
      <w:numFmt w:val="bullet"/>
      <w:lvlText w:val=""/>
      <w:lvlJc w:val="left"/>
      <w:pPr>
        <w:ind w:left="720" w:hanging="360"/>
      </w:pPr>
      <w:rPr>
        <w:rFonts w:ascii="Symbol" w:hAnsi="Symbol" w:hint="default"/>
      </w:rPr>
    </w:lvl>
    <w:lvl w:ilvl="1" w:tplc="CCB6EA0C">
      <w:start w:val="1"/>
      <w:numFmt w:val="bullet"/>
      <w:lvlText w:val="o"/>
      <w:lvlJc w:val="left"/>
      <w:pPr>
        <w:ind w:left="1440" w:hanging="360"/>
      </w:pPr>
      <w:rPr>
        <w:rFonts w:ascii="Courier New" w:hAnsi="Courier New" w:hint="default"/>
      </w:rPr>
    </w:lvl>
    <w:lvl w:ilvl="2" w:tplc="79842548">
      <w:start w:val="1"/>
      <w:numFmt w:val="bullet"/>
      <w:lvlText w:val=""/>
      <w:lvlJc w:val="left"/>
      <w:pPr>
        <w:ind w:left="2160" w:hanging="360"/>
      </w:pPr>
      <w:rPr>
        <w:rFonts w:ascii="Wingdings" w:hAnsi="Wingdings" w:hint="default"/>
      </w:rPr>
    </w:lvl>
    <w:lvl w:ilvl="3" w:tplc="85FA5BBA">
      <w:start w:val="1"/>
      <w:numFmt w:val="bullet"/>
      <w:lvlText w:val=""/>
      <w:lvlJc w:val="left"/>
      <w:pPr>
        <w:ind w:left="2880" w:hanging="360"/>
      </w:pPr>
      <w:rPr>
        <w:rFonts w:ascii="Symbol" w:hAnsi="Symbol" w:hint="default"/>
      </w:rPr>
    </w:lvl>
    <w:lvl w:ilvl="4" w:tplc="877C0546">
      <w:start w:val="1"/>
      <w:numFmt w:val="bullet"/>
      <w:lvlText w:val="o"/>
      <w:lvlJc w:val="left"/>
      <w:pPr>
        <w:ind w:left="3600" w:hanging="360"/>
      </w:pPr>
      <w:rPr>
        <w:rFonts w:ascii="Courier New" w:hAnsi="Courier New" w:hint="default"/>
      </w:rPr>
    </w:lvl>
    <w:lvl w:ilvl="5" w:tplc="87847000">
      <w:start w:val="1"/>
      <w:numFmt w:val="bullet"/>
      <w:lvlText w:val=""/>
      <w:lvlJc w:val="left"/>
      <w:pPr>
        <w:ind w:left="4320" w:hanging="360"/>
      </w:pPr>
      <w:rPr>
        <w:rFonts w:ascii="Wingdings" w:hAnsi="Wingdings" w:hint="default"/>
      </w:rPr>
    </w:lvl>
    <w:lvl w:ilvl="6" w:tplc="138097A2">
      <w:start w:val="1"/>
      <w:numFmt w:val="bullet"/>
      <w:lvlText w:val=""/>
      <w:lvlJc w:val="left"/>
      <w:pPr>
        <w:ind w:left="5040" w:hanging="360"/>
      </w:pPr>
      <w:rPr>
        <w:rFonts w:ascii="Symbol" w:hAnsi="Symbol" w:hint="default"/>
      </w:rPr>
    </w:lvl>
    <w:lvl w:ilvl="7" w:tplc="AFB06C60">
      <w:start w:val="1"/>
      <w:numFmt w:val="bullet"/>
      <w:lvlText w:val="o"/>
      <w:lvlJc w:val="left"/>
      <w:pPr>
        <w:ind w:left="5760" w:hanging="360"/>
      </w:pPr>
      <w:rPr>
        <w:rFonts w:ascii="Courier New" w:hAnsi="Courier New" w:hint="default"/>
      </w:rPr>
    </w:lvl>
    <w:lvl w:ilvl="8" w:tplc="1B9A693E">
      <w:start w:val="1"/>
      <w:numFmt w:val="bullet"/>
      <w:lvlText w:val=""/>
      <w:lvlJc w:val="left"/>
      <w:pPr>
        <w:ind w:left="6480" w:hanging="360"/>
      </w:pPr>
      <w:rPr>
        <w:rFonts w:ascii="Wingdings" w:hAnsi="Wingdings" w:hint="default"/>
      </w:rPr>
    </w:lvl>
  </w:abstractNum>
  <w:abstractNum w:abstractNumId="1" w15:restartNumberingAfterBreak="0">
    <w:nsid w:val="11F73AE9"/>
    <w:multiLevelType w:val="hybridMultilevel"/>
    <w:tmpl w:val="FFFFFFFF"/>
    <w:lvl w:ilvl="0" w:tplc="2D4AEE8E">
      <w:start w:val="1"/>
      <w:numFmt w:val="decimal"/>
      <w:lvlText w:val="%1."/>
      <w:lvlJc w:val="left"/>
      <w:pPr>
        <w:ind w:left="720" w:hanging="360"/>
      </w:pPr>
    </w:lvl>
    <w:lvl w:ilvl="1" w:tplc="44C6DA8E">
      <w:start w:val="1"/>
      <w:numFmt w:val="lowerLetter"/>
      <w:lvlText w:val="%2."/>
      <w:lvlJc w:val="left"/>
      <w:pPr>
        <w:ind w:left="1440" w:hanging="360"/>
      </w:pPr>
    </w:lvl>
    <w:lvl w:ilvl="2" w:tplc="F9CE0F78">
      <w:start w:val="1"/>
      <w:numFmt w:val="lowerRoman"/>
      <w:lvlText w:val="%3."/>
      <w:lvlJc w:val="right"/>
      <w:pPr>
        <w:ind w:left="2160" w:hanging="180"/>
      </w:pPr>
    </w:lvl>
    <w:lvl w:ilvl="3" w:tplc="B54C965E">
      <w:start w:val="1"/>
      <w:numFmt w:val="decimal"/>
      <w:lvlText w:val="%4."/>
      <w:lvlJc w:val="left"/>
      <w:pPr>
        <w:ind w:left="2880" w:hanging="360"/>
      </w:pPr>
    </w:lvl>
    <w:lvl w:ilvl="4" w:tplc="2C80B340">
      <w:start w:val="1"/>
      <w:numFmt w:val="lowerLetter"/>
      <w:lvlText w:val="%5."/>
      <w:lvlJc w:val="left"/>
      <w:pPr>
        <w:ind w:left="3600" w:hanging="360"/>
      </w:pPr>
    </w:lvl>
    <w:lvl w:ilvl="5" w:tplc="2B8AA772">
      <w:start w:val="1"/>
      <w:numFmt w:val="lowerRoman"/>
      <w:lvlText w:val="%6."/>
      <w:lvlJc w:val="right"/>
      <w:pPr>
        <w:ind w:left="4320" w:hanging="180"/>
      </w:pPr>
    </w:lvl>
    <w:lvl w:ilvl="6" w:tplc="3EAA791A">
      <w:start w:val="1"/>
      <w:numFmt w:val="decimal"/>
      <w:lvlText w:val="%7."/>
      <w:lvlJc w:val="left"/>
      <w:pPr>
        <w:ind w:left="5040" w:hanging="360"/>
      </w:pPr>
    </w:lvl>
    <w:lvl w:ilvl="7" w:tplc="39781A86">
      <w:start w:val="1"/>
      <w:numFmt w:val="lowerLetter"/>
      <w:lvlText w:val="%8."/>
      <w:lvlJc w:val="left"/>
      <w:pPr>
        <w:ind w:left="5760" w:hanging="360"/>
      </w:pPr>
    </w:lvl>
    <w:lvl w:ilvl="8" w:tplc="DE085AB8">
      <w:start w:val="1"/>
      <w:numFmt w:val="lowerRoman"/>
      <w:lvlText w:val="%9."/>
      <w:lvlJc w:val="right"/>
      <w:pPr>
        <w:ind w:left="6480" w:hanging="180"/>
      </w:pPr>
    </w:lvl>
  </w:abstractNum>
  <w:abstractNum w:abstractNumId="2" w15:restartNumberingAfterBreak="0">
    <w:nsid w:val="199CE8BD"/>
    <w:multiLevelType w:val="hybridMultilevel"/>
    <w:tmpl w:val="FFFFFFFF"/>
    <w:lvl w:ilvl="0" w:tplc="943C6FFA">
      <w:start w:val="1"/>
      <w:numFmt w:val="bullet"/>
      <w:lvlText w:val=""/>
      <w:lvlJc w:val="left"/>
      <w:pPr>
        <w:ind w:left="720" w:hanging="360"/>
      </w:pPr>
      <w:rPr>
        <w:rFonts w:ascii="Symbol" w:hAnsi="Symbol" w:hint="default"/>
      </w:rPr>
    </w:lvl>
    <w:lvl w:ilvl="1" w:tplc="69F69C88">
      <w:start w:val="1"/>
      <w:numFmt w:val="bullet"/>
      <w:lvlText w:val="o"/>
      <w:lvlJc w:val="left"/>
      <w:pPr>
        <w:ind w:left="1440" w:hanging="360"/>
      </w:pPr>
      <w:rPr>
        <w:rFonts w:ascii="Courier New" w:hAnsi="Courier New" w:hint="default"/>
      </w:rPr>
    </w:lvl>
    <w:lvl w:ilvl="2" w:tplc="9DD47022">
      <w:start w:val="1"/>
      <w:numFmt w:val="bullet"/>
      <w:lvlText w:val=""/>
      <w:lvlJc w:val="left"/>
      <w:pPr>
        <w:ind w:left="2160" w:hanging="360"/>
      </w:pPr>
      <w:rPr>
        <w:rFonts w:ascii="Wingdings" w:hAnsi="Wingdings" w:hint="default"/>
      </w:rPr>
    </w:lvl>
    <w:lvl w:ilvl="3" w:tplc="2110B39C">
      <w:start w:val="1"/>
      <w:numFmt w:val="bullet"/>
      <w:lvlText w:val=""/>
      <w:lvlJc w:val="left"/>
      <w:pPr>
        <w:ind w:left="2880" w:hanging="360"/>
      </w:pPr>
      <w:rPr>
        <w:rFonts w:ascii="Symbol" w:hAnsi="Symbol" w:hint="default"/>
      </w:rPr>
    </w:lvl>
    <w:lvl w:ilvl="4" w:tplc="F2625E46">
      <w:start w:val="1"/>
      <w:numFmt w:val="bullet"/>
      <w:lvlText w:val="o"/>
      <w:lvlJc w:val="left"/>
      <w:pPr>
        <w:ind w:left="3600" w:hanging="360"/>
      </w:pPr>
      <w:rPr>
        <w:rFonts w:ascii="Courier New" w:hAnsi="Courier New" w:hint="default"/>
      </w:rPr>
    </w:lvl>
    <w:lvl w:ilvl="5" w:tplc="1CC2C420">
      <w:start w:val="1"/>
      <w:numFmt w:val="bullet"/>
      <w:lvlText w:val=""/>
      <w:lvlJc w:val="left"/>
      <w:pPr>
        <w:ind w:left="4320" w:hanging="360"/>
      </w:pPr>
      <w:rPr>
        <w:rFonts w:ascii="Wingdings" w:hAnsi="Wingdings" w:hint="default"/>
      </w:rPr>
    </w:lvl>
    <w:lvl w:ilvl="6" w:tplc="9FDEB208">
      <w:start w:val="1"/>
      <w:numFmt w:val="bullet"/>
      <w:lvlText w:val=""/>
      <w:lvlJc w:val="left"/>
      <w:pPr>
        <w:ind w:left="5040" w:hanging="360"/>
      </w:pPr>
      <w:rPr>
        <w:rFonts w:ascii="Symbol" w:hAnsi="Symbol" w:hint="default"/>
      </w:rPr>
    </w:lvl>
    <w:lvl w:ilvl="7" w:tplc="69487852">
      <w:start w:val="1"/>
      <w:numFmt w:val="bullet"/>
      <w:lvlText w:val="o"/>
      <w:lvlJc w:val="left"/>
      <w:pPr>
        <w:ind w:left="5760" w:hanging="360"/>
      </w:pPr>
      <w:rPr>
        <w:rFonts w:ascii="Courier New" w:hAnsi="Courier New" w:hint="default"/>
      </w:rPr>
    </w:lvl>
    <w:lvl w:ilvl="8" w:tplc="5768C8D4">
      <w:start w:val="1"/>
      <w:numFmt w:val="bullet"/>
      <w:lvlText w:val=""/>
      <w:lvlJc w:val="left"/>
      <w:pPr>
        <w:ind w:left="6480" w:hanging="360"/>
      </w:pPr>
      <w:rPr>
        <w:rFonts w:ascii="Wingdings" w:hAnsi="Wingdings" w:hint="default"/>
      </w:rPr>
    </w:lvl>
  </w:abstractNum>
  <w:abstractNum w:abstractNumId="3" w15:restartNumberingAfterBreak="0">
    <w:nsid w:val="2A3DE4B4"/>
    <w:multiLevelType w:val="hybridMultilevel"/>
    <w:tmpl w:val="FFFFFFFF"/>
    <w:lvl w:ilvl="0" w:tplc="7B8AD484">
      <w:start w:val="1"/>
      <w:numFmt w:val="bullet"/>
      <w:lvlText w:val=""/>
      <w:lvlJc w:val="left"/>
      <w:pPr>
        <w:ind w:left="720" w:hanging="360"/>
      </w:pPr>
      <w:rPr>
        <w:rFonts w:ascii="Symbol" w:hAnsi="Symbol" w:hint="default"/>
      </w:rPr>
    </w:lvl>
    <w:lvl w:ilvl="1" w:tplc="8A7AED4A">
      <w:start w:val="1"/>
      <w:numFmt w:val="bullet"/>
      <w:lvlText w:val="o"/>
      <w:lvlJc w:val="left"/>
      <w:pPr>
        <w:ind w:left="1440" w:hanging="360"/>
      </w:pPr>
      <w:rPr>
        <w:rFonts w:ascii="Courier New" w:hAnsi="Courier New" w:hint="default"/>
      </w:rPr>
    </w:lvl>
    <w:lvl w:ilvl="2" w:tplc="DD26A326">
      <w:start w:val="1"/>
      <w:numFmt w:val="bullet"/>
      <w:lvlText w:val=""/>
      <w:lvlJc w:val="left"/>
      <w:pPr>
        <w:ind w:left="2160" w:hanging="360"/>
      </w:pPr>
      <w:rPr>
        <w:rFonts w:ascii="Wingdings" w:hAnsi="Wingdings" w:hint="default"/>
      </w:rPr>
    </w:lvl>
    <w:lvl w:ilvl="3" w:tplc="79F04F3A">
      <w:start w:val="1"/>
      <w:numFmt w:val="bullet"/>
      <w:lvlText w:val=""/>
      <w:lvlJc w:val="left"/>
      <w:pPr>
        <w:ind w:left="2880" w:hanging="360"/>
      </w:pPr>
      <w:rPr>
        <w:rFonts w:ascii="Symbol" w:hAnsi="Symbol" w:hint="default"/>
      </w:rPr>
    </w:lvl>
    <w:lvl w:ilvl="4" w:tplc="EB105A46">
      <w:start w:val="1"/>
      <w:numFmt w:val="bullet"/>
      <w:lvlText w:val="o"/>
      <w:lvlJc w:val="left"/>
      <w:pPr>
        <w:ind w:left="3600" w:hanging="360"/>
      </w:pPr>
      <w:rPr>
        <w:rFonts w:ascii="Courier New" w:hAnsi="Courier New" w:hint="default"/>
      </w:rPr>
    </w:lvl>
    <w:lvl w:ilvl="5" w:tplc="B32C4794">
      <w:start w:val="1"/>
      <w:numFmt w:val="bullet"/>
      <w:lvlText w:val=""/>
      <w:lvlJc w:val="left"/>
      <w:pPr>
        <w:ind w:left="4320" w:hanging="360"/>
      </w:pPr>
      <w:rPr>
        <w:rFonts w:ascii="Wingdings" w:hAnsi="Wingdings" w:hint="default"/>
      </w:rPr>
    </w:lvl>
    <w:lvl w:ilvl="6" w:tplc="4966251E">
      <w:start w:val="1"/>
      <w:numFmt w:val="bullet"/>
      <w:lvlText w:val=""/>
      <w:lvlJc w:val="left"/>
      <w:pPr>
        <w:ind w:left="5040" w:hanging="360"/>
      </w:pPr>
      <w:rPr>
        <w:rFonts w:ascii="Symbol" w:hAnsi="Symbol" w:hint="default"/>
      </w:rPr>
    </w:lvl>
    <w:lvl w:ilvl="7" w:tplc="4404B0B0">
      <w:start w:val="1"/>
      <w:numFmt w:val="bullet"/>
      <w:lvlText w:val="o"/>
      <w:lvlJc w:val="left"/>
      <w:pPr>
        <w:ind w:left="5760" w:hanging="360"/>
      </w:pPr>
      <w:rPr>
        <w:rFonts w:ascii="Courier New" w:hAnsi="Courier New" w:hint="default"/>
      </w:rPr>
    </w:lvl>
    <w:lvl w:ilvl="8" w:tplc="D864FBC4">
      <w:start w:val="1"/>
      <w:numFmt w:val="bullet"/>
      <w:lvlText w:val=""/>
      <w:lvlJc w:val="left"/>
      <w:pPr>
        <w:ind w:left="6480" w:hanging="360"/>
      </w:pPr>
      <w:rPr>
        <w:rFonts w:ascii="Wingdings" w:hAnsi="Wingdings" w:hint="default"/>
      </w:rPr>
    </w:lvl>
  </w:abstractNum>
  <w:abstractNum w:abstractNumId="4" w15:restartNumberingAfterBreak="0">
    <w:nsid w:val="2DA6D57E"/>
    <w:multiLevelType w:val="hybridMultilevel"/>
    <w:tmpl w:val="FFFFFFFF"/>
    <w:lvl w:ilvl="0" w:tplc="29D2B998">
      <w:start w:val="1"/>
      <w:numFmt w:val="bullet"/>
      <w:lvlText w:val=""/>
      <w:lvlJc w:val="left"/>
      <w:pPr>
        <w:ind w:left="720" w:hanging="360"/>
      </w:pPr>
      <w:rPr>
        <w:rFonts w:ascii="Symbol" w:hAnsi="Symbol" w:hint="default"/>
      </w:rPr>
    </w:lvl>
    <w:lvl w:ilvl="1" w:tplc="A29261F4">
      <w:start w:val="1"/>
      <w:numFmt w:val="bullet"/>
      <w:lvlText w:val="o"/>
      <w:lvlJc w:val="left"/>
      <w:pPr>
        <w:ind w:left="1440" w:hanging="360"/>
      </w:pPr>
      <w:rPr>
        <w:rFonts w:ascii="Courier New" w:hAnsi="Courier New" w:hint="default"/>
      </w:rPr>
    </w:lvl>
    <w:lvl w:ilvl="2" w:tplc="58145AE0">
      <w:start w:val="1"/>
      <w:numFmt w:val="bullet"/>
      <w:lvlText w:val=""/>
      <w:lvlJc w:val="left"/>
      <w:pPr>
        <w:ind w:left="2160" w:hanging="360"/>
      </w:pPr>
      <w:rPr>
        <w:rFonts w:ascii="Wingdings" w:hAnsi="Wingdings" w:hint="default"/>
      </w:rPr>
    </w:lvl>
    <w:lvl w:ilvl="3" w:tplc="E0A0F94C">
      <w:start w:val="1"/>
      <w:numFmt w:val="bullet"/>
      <w:lvlText w:val=""/>
      <w:lvlJc w:val="left"/>
      <w:pPr>
        <w:ind w:left="2880" w:hanging="360"/>
      </w:pPr>
      <w:rPr>
        <w:rFonts w:ascii="Symbol" w:hAnsi="Symbol" w:hint="default"/>
      </w:rPr>
    </w:lvl>
    <w:lvl w:ilvl="4" w:tplc="863C1C76">
      <w:start w:val="1"/>
      <w:numFmt w:val="bullet"/>
      <w:lvlText w:val="o"/>
      <w:lvlJc w:val="left"/>
      <w:pPr>
        <w:ind w:left="3600" w:hanging="360"/>
      </w:pPr>
      <w:rPr>
        <w:rFonts w:ascii="Courier New" w:hAnsi="Courier New" w:hint="default"/>
      </w:rPr>
    </w:lvl>
    <w:lvl w:ilvl="5" w:tplc="3AA89110">
      <w:start w:val="1"/>
      <w:numFmt w:val="bullet"/>
      <w:lvlText w:val=""/>
      <w:lvlJc w:val="left"/>
      <w:pPr>
        <w:ind w:left="4320" w:hanging="360"/>
      </w:pPr>
      <w:rPr>
        <w:rFonts w:ascii="Wingdings" w:hAnsi="Wingdings" w:hint="default"/>
      </w:rPr>
    </w:lvl>
    <w:lvl w:ilvl="6" w:tplc="B8089B86">
      <w:start w:val="1"/>
      <w:numFmt w:val="bullet"/>
      <w:lvlText w:val=""/>
      <w:lvlJc w:val="left"/>
      <w:pPr>
        <w:ind w:left="5040" w:hanging="360"/>
      </w:pPr>
      <w:rPr>
        <w:rFonts w:ascii="Symbol" w:hAnsi="Symbol" w:hint="default"/>
      </w:rPr>
    </w:lvl>
    <w:lvl w:ilvl="7" w:tplc="DC8A1B5E">
      <w:start w:val="1"/>
      <w:numFmt w:val="bullet"/>
      <w:lvlText w:val="o"/>
      <w:lvlJc w:val="left"/>
      <w:pPr>
        <w:ind w:left="5760" w:hanging="360"/>
      </w:pPr>
      <w:rPr>
        <w:rFonts w:ascii="Courier New" w:hAnsi="Courier New" w:hint="default"/>
      </w:rPr>
    </w:lvl>
    <w:lvl w:ilvl="8" w:tplc="281E5DBC">
      <w:start w:val="1"/>
      <w:numFmt w:val="bullet"/>
      <w:lvlText w:val=""/>
      <w:lvlJc w:val="left"/>
      <w:pPr>
        <w:ind w:left="6480" w:hanging="360"/>
      </w:pPr>
      <w:rPr>
        <w:rFonts w:ascii="Wingdings" w:hAnsi="Wingdings" w:hint="default"/>
      </w:rPr>
    </w:lvl>
  </w:abstractNum>
  <w:abstractNum w:abstractNumId="5" w15:restartNumberingAfterBreak="0">
    <w:nsid w:val="2EDB5AE3"/>
    <w:multiLevelType w:val="hybridMultilevel"/>
    <w:tmpl w:val="FFFFFFFF"/>
    <w:lvl w:ilvl="0" w:tplc="0B8C586C">
      <w:start w:val="1"/>
      <w:numFmt w:val="bullet"/>
      <w:lvlText w:val=""/>
      <w:lvlJc w:val="left"/>
      <w:pPr>
        <w:ind w:left="720" w:hanging="360"/>
      </w:pPr>
      <w:rPr>
        <w:rFonts w:ascii="Symbol" w:hAnsi="Symbol" w:hint="default"/>
      </w:rPr>
    </w:lvl>
    <w:lvl w:ilvl="1" w:tplc="A3B26E2C">
      <w:start w:val="1"/>
      <w:numFmt w:val="bullet"/>
      <w:lvlText w:val="o"/>
      <w:lvlJc w:val="left"/>
      <w:pPr>
        <w:ind w:left="1440" w:hanging="360"/>
      </w:pPr>
      <w:rPr>
        <w:rFonts w:ascii="Courier New" w:hAnsi="Courier New" w:hint="default"/>
      </w:rPr>
    </w:lvl>
    <w:lvl w:ilvl="2" w:tplc="12BC3486">
      <w:start w:val="1"/>
      <w:numFmt w:val="bullet"/>
      <w:lvlText w:val=""/>
      <w:lvlJc w:val="left"/>
      <w:pPr>
        <w:ind w:left="2160" w:hanging="360"/>
      </w:pPr>
      <w:rPr>
        <w:rFonts w:ascii="Wingdings" w:hAnsi="Wingdings" w:hint="default"/>
      </w:rPr>
    </w:lvl>
    <w:lvl w:ilvl="3" w:tplc="69E2A42E">
      <w:start w:val="1"/>
      <w:numFmt w:val="bullet"/>
      <w:lvlText w:val=""/>
      <w:lvlJc w:val="left"/>
      <w:pPr>
        <w:ind w:left="2880" w:hanging="360"/>
      </w:pPr>
      <w:rPr>
        <w:rFonts w:ascii="Symbol" w:hAnsi="Symbol" w:hint="default"/>
      </w:rPr>
    </w:lvl>
    <w:lvl w:ilvl="4" w:tplc="091602CC">
      <w:start w:val="1"/>
      <w:numFmt w:val="bullet"/>
      <w:lvlText w:val="o"/>
      <w:lvlJc w:val="left"/>
      <w:pPr>
        <w:ind w:left="3600" w:hanging="360"/>
      </w:pPr>
      <w:rPr>
        <w:rFonts w:ascii="Courier New" w:hAnsi="Courier New" w:hint="default"/>
      </w:rPr>
    </w:lvl>
    <w:lvl w:ilvl="5" w:tplc="96D619AA">
      <w:start w:val="1"/>
      <w:numFmt w:val="bullet"/>
      <w:lvlText w:val=""/>
      <w:lvlJc w:val="left"/>
      <w:pPr>
        <w:ind w:left="4320" w:hanging="360"/>
      </w:pPr>
      <w:rPr>
        <w:rFonts w:ascii="Wingdings" w:hAnsi="Wingdings" w:hint="default"/>
      </w:rPr>
    </w:lvl>
    <w:lvl w:ilvl="6" w:tplc="FC7020A8">
      <w:start w:val="1"/>
      <w:numFmt w:val="bullet"/>
      <w:lvlText w:val=""/>
      <w:lvlJc w:val="left"/>
      <w:pPr>
        <w:ind w:left="5040" w:hanging="360"/>
      </w:pPr>
      <w:rPr>
        <w:rFonts w:ascii="Symbol" w:hAnsi="Symbol" w:hint="default"/>
      </w:rPr>
    </w:lvl>
    <w:lvl w:ilvl="7" w:tplc="3D80ACCC">
      <w:start w:val="1"/>
      <w:numFmt w:val="bullet"/>
      <w:lvlText w:val="o"/>
      <w:lvlJc w:val="left"/>
      <w:pPr>
        <w:ind w:left="5760" w:hanging="360"/>
      </w:pPr>
      <w:rPr>
        <w:rFonts w:ascii="Courier New" w:hAnsi="Courier New" w:hint="default"/>
      </w:rPr>
    </w:lvl>
    <w:lvl w:ilvl="8" w:tplc="90EE5F90">
      <w:start w:val="1"/>
      <w:numFmt w:val="bullet"/>
      <w:lvlText w:val=""/>
      <w:lvlJc w:val="left"/>
      <w:pPr>
        <w:ind w:left="6480" w:hanging="360"/>
      </w:pPr>
      <w:rPr>
        <w:rFonts w:ascii="Wingdings" w:hAnsi="Wingdings" w:hint="default"/>
      </w:rPr>
    </w:lvl>
  </w:abstractNum>
  <w:abstractNum w:abstractNumId="6" w15:restartNumberingAfterBreak="0">
    <w:nsid w:val="2F32EF11"/>
    <w:multiLevelType w:val="hybridMultilevel"/>
    <w:tmpl w:val="FFFFFFFF"/>
    <w:lvl w:ilvl="0" w:tplc="1ACC8BAE">
      <w:start w:val="1"/>
      <w:numFmt w:val="bullet"/>
      <w:lvlText w:val=""/>
      <w:lvlJc w:val="left"/>
      <w:pPr>
        <w:ind w:left="720" w:hanging="360"/>
      </w:pPr>
      <w:rPr>
        <w:rFonts w:ascii="Symbol" w:hAnsi="Symbol" w:hint="default"/>
      </w:rPr>
    </w:lvl>
    <w:lvl w:ilvl="1" w:tplc="F2AAE51C">
      <w:start w:val="1"/>
      <w:numFmt w:val="bullet"/>
      <w:lvlText w:val="o"/>
      <w:lvlJc w:val="left"/>
      <w:pPr>
        <w:ind w:left="1440" w:hanging="360"/>
      </w:pPr>
      <w:rPr>
        <w:rFonts w:ascii="Courier New" w:hAnsi="Courier New" w:hint="default"/>
      </w:rPr>
    </w:lvl>
    <w:lvl w:ilvl="2" w:tplc="E03012CC">
      <w:start w:val="1"/>
      <w:numFmt w:val="bullet"/>
      <w:lvlText w:val=""/>
      <w:lvlJc w:val="left"/>
      <w:pPr>
        <w:ind w:left="2160" w:hanging="360"/>
      </w:pPr>
      <w:rPr>
        <w:rFonts w:ascii="Wingdings" w:hAnsi="Wingdings" w:hint="default"/>
      </w:rPr>
    </w:lvl>
    <w:lvl w:ilvl="3" w:tplc="6A0A9C8C">
      <w:start w:val="1"/>
      <w:numFmt w:val="bullet"/>
      <w:lvlText w:val=""/>
      <w:lvlJc w:val="left"/>
      <w:pPr>
        <w:ind w:left="2880" w:hanging="360"/>
      </w:pPr>
      <w:rPr>
        <w:rFonts w:ascii="Symbol" w:hAnsi="Symbol" w:hint="default"/>
      </w:rPr>
    </w:lvl>
    <w:lvl w:ilvl="4" w:tplc="416667B6">
      <w:start w:val="1"/>
      <w:numFmt w:val="bullet"/>
      <w:lvlText w:val="o"/>
      <w:lvlJc w:val="left"/>
      <w:pPr>
        <w:ind w:left="3600" w:hanging="360"/>
      </w:pPr>
      <w:rPr>
        <w:rFonts w:ascii="Courier New" w:hAnsi="Courier New" w:hint="default"/>
      </w:rPr>
    </w:lvl>
    <w:lvl w:ilvl="5" w:tplc="0EEA6FD6">
      <w:start w:val="1"/>
      <w:numFmt w:val="bullet"/>
      <w:lvlText w:val=""/>
      <w:lvlJc w:val="left"/>
      <w:pPr>
        <w:ind w:left="4320" w:hanging="360"/>
      </w:pPr>
      <w:rPr>
        <w:rFonts w:ascii="Wingdings" w:hAnsi="Wingdings" w:hint="default"/>
      </w:rPr>
    </w:lvl>
    <w:lvl w:ilvl="6" w:tplc="F3C6B150">
      <w:start w:val="1"/>
      <w:numFmt w:val="bullet"/>
      <w:lvlText w:val=""/>
      <w:lvlJc w:val="left"/>
      <w:pPr>
        <w:ind w:left="5040" w:hanging="360"/>
      </w:pPr>
      <w:rPr>
        <w:rFonts w:ascii="Symbol" w:hAnsi="Symbol" w:hint="default"/>
      </w:rPr>
    </w:lvl>
    <w:lvl w:ilvl="7" w:tplc="D020125C">
      <w:start w:val="1"/>
      <w:numFmt w:val="bullet"/>
      <w:lvlText w:val="o"/>
      <w:lvlJc w:val="left"/>
      <w:pPr>
        <w:ind w:left="5760" w:hanging="360"/>
      </w:pPr>
      <w:rPr>
        <w:rFonts w:ascii="Courier New" w:hAnsi="Courier New" w:hint="default"/>
      </w:rPr>
    </w:lvl>
    <w:lvl w:ilvl="8" w:tplc="A8C06578">
      <w:start w:val="1"/>
      <w:numFmt w:val="bullet"/>
      <w:lvlText w:val=""/>
      <w:lvlJc w:val="left"/>
      <w:pPr>
        <w:ind w:left="6480" w:hanging="360"/>
      </w:pPr>
      <w:rPr>
        <w:rFonts w:ascii="Wingdings" w:hAnsi="Wingdings" w:hint="default"/>
      </w:rPr>
    </w:lvl>
  </w:abstractNum>
  <w:abstractNum w:abstractNumId="7" w15:restartNumberingAfterBreak="0">
    <w:nsid w:val="36548FA5"/>
    <w:multiLevelType w:val="hybridMultilevel"/>
    <w:tmpl w:val="FFFFFFFF"/>
    <w:lvl w:ilvl="0" w:tplc="D2464844">
      <w:start w:val="1"/>
      <w:numFmt w:val="bullet"/>
      <w:lvlText w:val=""/>
      <w:lvlJc w:val="left"/>
      <w:pPr>
        <w:ind w:left="720" w:hanging="360"/>
      </w:pPr>
      <w:rPr>
        <w:rFonts w:ascii="Symbol" w:hAnsi="Symbol" w:hint="default"/>
      </w:rPr>
    </w:lvl>
    <w:lvl w:ilvl="1" w:tplc="C728DD86">
      <w:start w:val="1"/>
      <w:numFmt w:val="bullet"/>
      <w:lvlText w:val="o"/>
      <w:lvlJc w:val="left"/>
      <w:pPr>
        <w:ind w:left="1440" w:hanging="360"/>
      </w:pPr>
      <w:rPr>
        <w:rFonts w:ascii="Courier New" w:hAnsi="Courier New" w:hint="default"/>
      </w:rPr>
    </w:lvl>
    <w:lvl w:ilvl="2" w:tplc="F550C676">
      <w:start w:val="1"/>
      <w:numFmt w:val="bullet"/>
      <w:lvlText w:val=""/>
      <w:lvlJc w:val="left"/>
      <w:pPr>
        <w:ind w:left="2160" w:hanging="360"/>
      </w:pPr>
      <w:rPr>
        <w:rFonts w:ascii="Wingdings" w:hAnsi="Wingdings" w:hint="default"/>
      </w:rPr>
    </w:lvl>
    <w:lvl w:ilvl="3" w:tplc="28FCC9BE">
      <w:start w:val="1"/>
      <w:numFmt w:val="bullet"/>
      <w:lvlText w:val=""/>
      <w:lvlJc w:val="left"/>
      <w:pPr>
        <w:ind w:left="2880" w:hanging="360"/>
      </w:pPr>
      <w:rPr>
        <w:rFonts w:ascii="Symbol" w:hAnsi="Symbol" w:hint="default"/>
      </w:rPr>
    </w:lvl>
    <w:lvl w:ilvl="4" w:tplc="29B2099C">
      <w:start w:val="1"/>
      <w:numFmt w:val="bullet"/>
      <w:lvlText w:val="o"/>
      <w:lvlJc w:val="left"/>
      <w:pPr>
        <w:ind w:left="3600" w:hanging="360"/>
      </w:pPr>
      <w:rPr>
        <w:rFonts w:ascii="Courier New" w:hAnsi="Courier New" w:hint="default"/>
      </w:rPr>
    </w:lvl>
    <w:lvl w:ilvl="5" w:tplc="E598BA94">
      <w:start w:val="1"/>
      <w:numFmt w:val="bullet"/>
      <w:lvlText w:val=""/>
      <w:lvlJc w:val="left"/>
      <w:pPr>
        <w:ind w:left="4320" w:hanging="360"/>
      </w:pPr>
      <w:rPr>
        <w:rFonts w:ascii="Wingdings" w:hAnsi="Wingdings" w:hint="default"/>
      </w:rPr>
    </w:lvl>
    <w:lvl w:ilvl="6" w:tplc="4CACD170">
      <w:start w:val="1"/>
      <w:numFmt w:val="bullet"/>
      <w:lvlText w:val=""/>
      <w:lvlJc w:val="left"/>
      <w:pPr>
        <w:ind w:left="5040" w:hanging="360"/>
      </w:pPr>
      <w:rPr>
        <w:rFonts w:ascii="Symbol" w:hAnsi="Symbol" w:hint="default"/>
      </w:rPr>
    </w:lvl>
    <w:lvl w:ilvl="7" w:tplc="75DE4D5A">
      <w:start w:val="1"/>
      <w:numFmt w:val="bullet"/>
      <w:lvlText w:val="o"/>
      <w:lvlJc w:val="left"/>
      <w:pPr>
        <w:ind w:left="5760" w:hanging="360"/>
      </w:pPr>
      <w:rPr>
        <w:rFonts w:ascii="Courier New" w:hAnsi="Courier New" w:hint="default"/>
      </w:rPr>
    </w:lvl>
    <w:lvl w:ilvl="8" w:tplc="0E729ADE">
      <w:start w:val="1"/>
      <w:numFmt w:val="bullet"/>
      <w:lvlText w:val=""/>
      <w:lvlJc w:val="left"/>
      <w:pPr>
        <w:ind w:left="6480" w:hanging="360"/>
      </w:pPr>
      <w:rPr>
        <w:rFonts w:ascii="Wingdings" w:hAnsi="Wingdings" w:hint="default"/>
      </w:rPr>
    </w:lvl>
  </w:abstractNum>
  <w:abstractNum w:abstractNumId="8" w15:restartNumberingAfterBreak="0">
    <w:nsid w:val="384A9065"/>
    <w:multiLevelType w:val="hybridMultilevel"/>
    <w:tmpl w:val="FFFFFFFF"/>
    <w:lvl w:ilvl="0" w:tplc="77CC5C30">
      <w:start w:val="1"/>
      <w:numFmt w:val="bullet"/>
      <w:lvlText w:val=""/>
      <w:lvlJc w:val="left"/>
      <w:pPr>
        <w:ind w:left="720" w:hanging="360"/>
      </w:pPr>
      <w:rPr>
        <w:rFonts w:ascii="Symbol" w:hAnsi="Symbol" w:hint="default"/>
      </w:rPr>
    </w:lvl>
    <w:lvl w:ilvl="1" w:tplc="21542018">
      <w:start w:val="1"/>
      <w:numFmt w:val="bullet"/>
      <w:lvlText w:val="o"/>
      <w:lvlJc w:val="left"/>
      <w:pPr>
        <w:ind w:left="1440" w:hanging="360"/>
      </w:pPr>
      <w:rPr>
        <w:rFonts w:ascii="Courier New" w:hAnsi="Courier New" w:hint="default"/>
      </w:rPr>
    </w:lvl>
    <w:lvl w:ilvl="2" w:tplc="A32659DC">
      <w:start w:val="1"/>
      <w:numFmt w:val="bullet"/>
      <w:lvlText w:val=""/>
      <w:lvlJc w:val="left"/>
      <w:pPr>
        <w:ind w:left="2160" w:hanging="360"/>
      </w:pPr>
      <w:rPr>
        <w:rFonts w:ascii="Wingdings" w:hAnsi="Wingdings" w:hint="default"/>
      </w:rPr>
    </w:lvl>
    <w:lvl w:ilvl="3" w:tplc="D51AF1F8">
      <w:start w:val="1"/>
      <w:numFmt w:val="bullet"/>
      <w:lvlText w:val=""/>
      <w:lvlJc w:val="left"/>
      <w:pPr>
        <w:ind w:left="2880" w:hanging="360"/>
      </w:pPr>
      <w:rPr>
        <w:rFonts w:ascii="Symbol" w:hAnsi="Symbol" w:hint="default"/>
      </w:rPr>
    </w:lvl>
    <w:lvl w:ilvl="4" w:tplc="80108D04">
      <w:start w:val="1"/>
      <w:numFmt w:val="bullet"/>
      <w:lvlText w:val="o"/>
      <w:lvlJc w:val="left"/>
      <w:pPr>
        <w:ind w:left="3600" w:hanging="360"/>
      </w:pPr>
      <w:rPr>
        <w:rFonts w:ascii="Courier New" w:hAnsi="Courier New" w:hint="default"/>
      </w:rPr>
    </w:lvl>
    <w:lvl w:ilvl="5" w:tplc="5BA08CB2">
      <w:start w:val="1"/>
      <w:numFmt w:val="bullet"/>
      <w:lvlText w:val=""/>
      <w:lvlJc w:val="left"/>
      <w:pPr>
        <w:ind w:left="4320" w:hanging="360"/>
      </w:pPr>
      <w:rPr>
        <w:rFonts w:ascii="Wingdings" w:hAnsi="Wingdings" w:hint="default"/>
      </w:rPr>
    </w:lvl>
    <w:lvl w:ilvl="6" w:tplc="30D6D0F0">
      <w:start w:val="1"/>
      <w:numFmt w:val="bullet"/>
      <w:lvlText w:val=""/>
      <w:lvlJc w:val="left"/>
      <w:pPr>
        <w:ind w:left="5040" w:hanging="360"/>
      </w:pPr>
      <w:rPr>
        <w:rFonts w:ascii="Symbol" w:hAnsi="Symbol" w:hint="default"/>
      </w:rPr>
    </w:lvl>
    <w:lvl w:ilvl="7" w:tplc="3D125230">
      <w:start w:val="1"/>
      <w:numFmt w:val="bullet"/>
      <w:lvlText w:val="o"/>
      <w:lvlJc w:val="left"/>
      <w:pPr>
        <w:ind w:left="5760" w:hanging="360"/>
      </w:pPr>
      <w:rPr>
        <w:rFonts w:ascii="Courier New" w:hAnsi="Courier New" w:hint="default"/>
      </w:rPr>
    </w:lvl>
    <w:lvl w:ilvl="8" w:tplc="50B8FE62">
      <w:start w:val="1"/>
      <w:numFmt w:val="bullet"/>
      <w:lvlText w:val=""/>
      <w:lvlJc w:val="left"/>
      <w:pPr>
        <w:ind w:left="6480" w:hanging="360"/>
      </w:pPr>
      <w:rPr>
        <w:rFonts w:ascii="Wingdings" w:hAnsi="Wingdings" w:hint="default"/>
      </w:rPr>
    </w:lvl>
  </w:abstractNum>
  <w:abstractNum w:abstractNumId="9" w15:restartNumberingAfterBreak="0">
    <w:nsid w:val="3CA13AA7"/>
    <w:multiLevelType w:val="hybridMultilevel"/>
    <w:tmpl w:val="FFFFFFFF"/>
    <w:lvl w:ilvl="0" w:tplc="88C8D2D0">
      <w:start w:val="1"/>
      <w:numFmt w:val="bullet"/>
      <w:lvlText w:val=""/>
      <w:lvlJc w:val="left"/>
      <w:pPr>
        <w:ind w:left="720" w:hanging="360"/>
      </w:pPr>
      <w:rPr>
        <w:rFonts w:ascii="Symbol" w:hAnsi="Symbol" w:hint="default"/>
      </w:rPr>
    </w:lvl>
    <w:lvl w:ilvl="1" w:tplc="15781FEC">
      <w:start w:val="1"/>
      <w:numFmt w:val="bullet"/>
      <w:lvlText w:val="o"/>
      <w:lvlJc w:val="left"/>
      <w:pPr>
        <w:ind w:left="1440" w:hanging="360"/>
      </w:pPr>
      <w:rPr>
        <w:rFonts w:ascii="Courier New" w:hAnsi="Courier New" w:hint="default"/>
      </w:rPr>
    </w:lvl>
    <w:lvl w:ilvl="2" w:tplc="17BC0574">
      <w:start w:val="1"/>
      <w:numFmt w:val="bullet"/>
      <w:lvlText w:val=""/>
      <w:lvlJc w:val="left"/>
      <w:pPr>
        <w:ind w:left="2160" w:hanging="360"/>
      </w:pPr>
      <w:rPr>
        <w:rFonts w:ascii="Wingdings" w:hAnsi="Wingdings" w:hint="default"/>
      </w:rPr>
    </w:lvl>
    <w:lvl w:ilvl="3" w:tplc="6B12FEA2">
      <w:start w:val="1"/>
      <w:numFmt w:val="bullet"/>
      <w:lvlText w:val=""/>
      <w:lvlJc w:val="left"/>
      <w:pPr>
        <w:ind w:left="2880" w:hanging="360"/>
      </w:pPr>
      <w:rPr>
        <w:rFonts w:ascii="Symbol" w:hAnsi="Symbol" w:hint="default"/>
      </w:rPr>
    </w:lvl>
    <w:lvl w:ilvl="4" w:tplc="18B646D2">
      <w:start w:val="1"/>
      <w:numFmt w:val="bullet"/>
      <w:lvlText w:val="o"/>
      <w:lvlJc w:val="left"/>
      <w:pPr>
        <w:ind w:left="3600" w:hanging="360"/>
      </w:pPr>
      <w:rPr>
        <w:rFonts w:ascii="Courier New" w:hAnsi="Courier New" w:hint="default"/>
      </w:rPr>
    </w:lvl>
    <w:lvl w:ilvl="5" w:tplc="64D0F9D8">
      <w:start w:val="1"/>
      <w:numFmt w:val="bullet"/>
      <w:lvlText w:val=""/>
      <w:lvlJc w:val="left"/>
      <w:pPr>
        <w:ind w:left="4320" w:hanging="360"/>
      </w:pPr>
      <w:rPr>
        <w:rFonts w:ascii="Wingdings" w:hAnsi="Wingdings" w:hint="default"/>
      </w:rPr>
    </w:lvl>
    <w:lvl w:ilvl="6" w:tplc="67BC18D8">
      <w:start w:val="1"/>
      <w:numFmt w:val="bullet"/>
      <w:lvlText w:val=""/>
      <w:lvlJc w:val="left"/>
      <w:pPr>
        <w:ind w:left="5040" w:hanging="360"/>
      </w:pPr>
      <w:rPr>
        <w:rFonts w:ascii="Symbol" w:hAnsi="Symbol" w:hint="default"/>
      </w:rPr>
    </w:lvl>
    <w:lvl w:ilvl="7" w:tplc="68E22BEC">
      <w:start w:val="1"/>
      <w:numFmt w:val="bullet"/>
      <w:lvlText w:val="o"/>
      <w:lvlJc w:val="left"/>
      <w:pPr>
        <w:ind w:left="5760" w:hanging="360"/>
      </w:pPr>
      <w:rPr>
        <w:rFonts w:ascii="Courier New" w:hAnsi="Courier New" w:hint="default"/>
      </w:rPr>
    </w:lvl>
    <w:lvl w:ilvl="8" w:tplc="54662D78">
      <w:start w:val="1"/>
      <w:numFmt w:val="bullet"/>
      <w:lvlText w:val=""/>
      <w:lvlJc w:val="left"/>
      <w:pPr>
        <w:ind w:left="6480" w:hanging="360"/>
      </w:pPr>
      <w:rPr>
        <w:rFonts w:ascii="Wingdings" w:hAnsi="Wingdings" w:hint="default"/>
      </w:rPr>
    </w:lvl>
  </w:abstractNum>
  <w:abstractNum w:abstractNumId="10" w15:restartNumberingAfterBreak="0">
    <w:nsid w:val="46635815"/>
    <w:multiLevelType w:val="hybridMultilevel"/>
    <w:tmpl w:val="FFFFFFFF"/>
    <w:lvl w:ilvl="0" w:tplc="0DB89688">
      <w:start w:val="1"/>
      <w:numFmt w:val="bullet"/>
      <w:lvlText w:val=""/>
      <w:lvlJc w:val="left"/>
      <w:pPr>
        <w:ind w:left="720" w:hanging="360"/>
      </w:pPr>
      <w:rPr>
        <w:rFonts w:ascii="Symbol" w:hAnsi="Symbol" w:hint="default"/>
      </w:rPr>
    </w:lvl>
    <w:lvl w:ilvl="1" w:tplc="6F4C53EA">
      <w:start w:val="1"/>
      <w:numFmt w:val="bullet"/>
      <w:lvlText w:val="o"/>
      <w:lvlJc w:val="left"/>
      <w:pPr>
        <w:ind w:left="1440" w:hanging="360"/>
      </w:pPr>
      <w:rPr>
        <w:rFonts w:ascii="Courier New" w:hAnsi="Courier New" w:hint="default"/>
      </w:rPr>
    </w:lvl>
    <w:lvl w:ilvl="2" w:tplc="ABA2020A">
      <w:start w:val="1"/>
      <w:numFmt w:val="bullet"/>
      <w:lvlText w:val=""/>
      <w:lvlJc w:val="left"/>
      <w:pPr>
        <w:ind w:left="2160" w:hanging="360"/>
      </w:pPr>
      <w:rPr>
        <w:rFonts w:ascii="Wingdings" w:hAnsi="Wingdings" w:hint="default"/>
      </w:rPr>
    </w:lvl>
    <w:lvl w:ilvl="3" w:tplc="813EA1C2">
      <w:start w:val="1"/>
      <w:numFmt w:val="bullet"/>
      <w:lvlText w:val=""/>
      <w:lvlJc w:val="left"/>
      <w:pPr>
        <w:ind w:left="2880" w:hanging="360"/>
      </w:pPr>
      <w:rPr>
        <w:rFonts w:ascii="Symbol" w:hAnsi="Symbol" w:hint="default"/>
      </w:rPr>
    </w:lvl>
    <w:lvl w:ilvl="4" w:tplc="12441942">
      <w:start w:val="1"/>
      <w:numFmt w:val="bullet"/>
      <w:lvlText w:val="o"/>
      <w:lvlJc w:val="left"/>
      <w:pPr>
        <w:ind w:left="3600" w:hanging="360"/>
      </w:pPr>
      <w:rPr>
        <w:rFonts w:ascii="Courier New" w:hAnsi="Courier New" w:hint="default"/>
      </w:rPr>
    </w:lvl>
    <w:lvl w:ilvl="5" w:tplc="6EF65DA0">
      <w:start w:val="1"/>
      <w:numFmt w:val="bullet"/>
      <w:lvlText w:val=""/>
      <w:lvlJc w:val="left"/>
      <w:pPr>
        <w:ind w:left="4320" w:hanging="360"/>
      </w:pPr>
      <w:rPr>
        <w:rFonts w:ascii="Wingdings" w:hAnsi="Wingdings" w:hint="default"/>
      </w:rPr>
    </w:lvl>
    <w:lvl w:ilvl="6" w:tplc="200CB144">
      <w:start w:val="1"/>
      <w:numFmt w:val="bullet"/>
      <w:lvlText w:val=""/>
      <w:lvlJc w:val="left"/>
      <w:pPr>
        <w:ind w:left="5040" w:hanging="360"/>
      </w:pPr>
      <w:rPr>
        <w:rFonts w:ascii="Symbol" w:hAnsi="Symbol" w:hint="default"/>
      </w:rPr>
    </w:lvl>
    <w:lvl w:ilvl="7" w:tplc="F1DE5AA4">
      <w:start w:val="1"/>
      <w:numFmt w:val="bullet"/>
      <w:lvlText w:val="o"/>
      <w:lvlJc w:val="left"/>
      <w:pPr>
        <w:ind w:left="5760" w:hanging="360"/>
      </w:pPr>
      <w:rPr>
        <w:rFonts w:ascii="Courier New" w:hAnsi="Courier New" w:hint="default"/>
      </w:rPr>
    </w:lvl>
    <w:lvl w:ilvl="8" w:tplc="D71259B0">
      <w:start w:val="1"/>
      <w:numFmt w:val="bullet"/>
      <w:lvlText w:val=""/>
      <w:lvlJc w:val="left"/>
      <w:pPr>
        <w:ind w:left="6480" w:hanging="360"/>
      </w:pPr>
      <w:rPr>
        <w:rFonts w:ascii="Wingdings" w:hAnsi="Wingdings" w:hint="default"/>
      </w:rPr>
    </w:lvl>
  </w:abstractNum>
  <w:abstractNum w:abstractNumId="11" w15:restartNumberingAfterBreak="0">
    <w:nsid w:val="593646C3"/>
    <w:multiLevelType w:val="hybridMultilevel"/>
    <w:tmpl w:val="FFFFFFFF"/>
    <w:lvl w:ilvl="0" w:tplc="C44AD6FC">
      <w:start w:val="1"/>
      <w:numFmt w:val="bullet"/>
      <w:lvlText w:val=""/>
      <w:lvlJc w:val="left"/>
      <w:pPr>
        <w:ind w:left="720" w:hanging="360"/>
      </w:pPr>
      <w:rPr>
        <w:rFonts w:ascii="Symbol" w:hAnsi="Symbol" w:hint="default"/>
      </w:rPr>
    </w:lvl>
    <w:lvl w:ilvl="1" w:tplc="0FA20CE2">
      <w:start w:val="1"/>
      <w:numFmt w:val="bullet"/>
      <w:lvlText w:val="o"/>
      <w:lvlJc w:val="left"/>
      <w:pPr>
        <w:ind w:left="1440" w:hanging="360"/>
      </w:pPr>
      <w:rPr>
        <w:rFonts w:ascii="Courier New" w:hAnsi="Courier New" w:hint="default"/>
      </w:rPr>
    </w:lvl>
    <w:lvl w:ilvl="2" w:tplc="B760591A">
      <w:start w:val="1"/>
      <w:numFmt w:val="bullet"/>
      <w:lvlText w:val=""/>
      <w:lvlJc w:val="left"/>
      <w:pPr>
        <w:ind w:left="2160" w:hanging="360"/>
      </w:pPr>
      <w:rPr>
        <w:rFonts w:ascii="Wingdings" w:hAnsi="Wingdings" w:hint="default"/>
      </w:rPr>
    </w:lvl>
    <w:lvl w:ilvl="3" w:tplc="C61EF5F2">
      <w:start w:val="1"/>
      <w:numFmt w:val="bullet"/>
      <w:lvlText w:val=""/>
      <w:lvlJc w:val="left"/>
      <w:pPr>
        <w:ind w:left="2880" w:hanging="360"/>
      </w:pPr>
      <w:rPr>
        <w:rFonts w:ascii="Symbol" w:hAnsi="Symbol" w:hint="default"/>
      </w:rPr>
    </w:lvl>
    <w:lvl w:ilvl="4" w:tplc="F18C485C">
      <w:start w:val="1"/>
      <w:numFmt w:val="bullet"/>
      <w:lvlText w:val="o"/>
      <w:lvlJc w:val="left"/>
      <w:pPr>
        <w:ind w:left="3600" w:hanging="360"/>
      </w:pPr>
      <w:rPr>
        <w:rFonts w:ascii="Courier New" w:hAnsi="Courier New" w:hint="default"/>
      </w:rPr>
    </w:lvl>
    <w:lvl w:ilvl="5" w:tplc="79E01CA4">
      <w:start w:val="1"/>
      <w:numFmt w:val="bullet"/>
      <w:lvlText w:val=""/>
      <w:lvlJc w:val="left"/>
      <w:pPr>
        <w:ind w:left="4320" w:hanging="360"/>
      </w:pPr>
      <w:rPr>
        <w:rFonts w:ascii="Wingdings" w:hAnsi="Wingdings" w:hint="default"/>
      </w:rPr>
    </w:lvl>
    <w:lvl w:ilvl="6" w:tplc="2DE888D2">
      <w:start w:val="1"/>
      <w:numFmt w:val="bullet"/>
      <w:lvlText w:val=""/>
      <w:lvlJc w:val="left"/>
      <w:pPr>
        <w:ind w:left="5040" w:hanging="360"/>
      </w:pPr>
      <w:rPr>
        <w:rFonts w:ascii="Symbol" w:hAnsi="Symbol" w:hint="default"/>
      </w:rPr>
    </w:lvl>
    <w:lvl w:ilvl="7" w:tplc="7054D558">
      <w:start w:val="1"/>
      <w:numFmt w:val="bullet"/>
      <w:lvlText w:val="o"/>
      <w:lvlJc w:val="left"/>
      <w:pPr>
        <w:ind w:left="5760" w:hanging="360"/>
      </w:pPr>
      <w:rPr>
        <w:rFonts w:ascii="Courier New" w:hAnsi="Courier New" w:hint="default"/>
      </w:rPr>
    </w:lvl>
    <w:lvl w:ilvl="8" w:tplc="36FA9EAA">
      <w:start w:val="1"/>
      <w:numFmt w:val="bullet"/>
      <w:lvlText w:val=""/>
      <w:lvlJc w:val="left"/>
      <w:pPr>
        <w:ind w:left="6480" w:hanging="360"/>
      </w:pPr>
      <w:rPr>
        <w:rFonts w:ascii="Wingdings" w:hAnsi="Wingdings" w:hint="default"/>
      </w:rPr>
    </w:lvl>
  </w:abstractNum>
  <w:abstractNum w:abstractNumId="12" w15:restartNumberingAfterBreak="0">
    <w:nsid w:val="5C152A06"/>
    <w:multiLevelType w:val="hybridMultilevel"/>
    <w:tmpl w:val="FFFFFFFF"/>
    <w:lvl w:ilvl="0" w:tplc="9FE214AC">
      <w:start w:val="1"/>
      <w:numFmt w:val="bullet"/>
      <w:lvlText w:val=""/>
      <w:lvlJc w:val="left"/>
      <w:pPr>
        <w:ind w:left="720" w:hanging="360"/>
      </w:pPr>
      <w:rPr>
        <w:rFonts w:ascii="Symbol" w:hAnsi="Symbol" w:hint="default"/>
      </w:rPr>
    </w:lvl>
    <w:lvl w:ilvl="1" w:tplc="54EE965A">
      <w:start w:val="1"/>
      <w:numFmt w:val="bullet"/>
      <w:lvlText w:val="o"/>
      <w:lvlJc w:val="left"/>
      <w:pPr>
        <w:ind w:left="1440" w:hanging="360"/>
      </w:pPr>
      <w:rPr>
        <w:rFonts w:ascii="Courier New" w:hAnsi="Courier New" w:hint="default"/>
      </w:rPr>
    </w:lvl>
    <w:lvl w:ilvl="2" w:tplc="6A6894BE">
      <w:start w:val="1"/>
      <w:numFmt w:val="bullet"/>
      <w:lvlText w:val=""/>
      <w:lvlJc w:val="left"/>
      <w:pPr>
        <w:ind w:left="2160" w:hanging="360"/>
      </w:pPr>
      <w:rPr>
        <w:rFonts w:ascii="Wingdings" w:hAnsi="Wingdings" w:hint="default"/>
      </w:rPr>
    </w:lvl>
    <w:lvl w:ilvl="3" w:tplc="C21656EC">
      <w:start w:val="1"/>
      <w:numFmt w:val="bullet"/>
      <w:lvlText w:val=""/>
      <w:lvlJc w:val="left"/>
      <w:pPr>
        <w:ind w:left="2880" w:hanging="360"/>
      </w:pPr>
      <w:rPr>
        <w:rFonts w:ascii="Symbol" w:hAnsi="Symbol" w:hint="default"/>
      </w:rPr>
    </w:lvl>
    <w:lvl w:ilvl="4" w:tplc="2CBCACC2">
      <w:start w:val="1"/>
      <w:numFmt w:val="bullet"/>
      <w:lvlText w:val="o"/>
      <w:lvlJc w:val="left"/>
      <w:pPr>
        <w:ind w:left="3600" w:hanging="360"/>
      </w:pPr>
      <w:rPr>
        <w:rFonts w:ascii="Courier New" w:hAnsi="Courier New" w:hint="default"/>
      </w:rPr>
    </w:lvl>
    <w:lvl w:ilvl="5" w:tplc="09348FB8">
      <w:start w:val="1"/>
      <w:numFmt w:val="bullet"/>
      <w:lvlText w:val=""/>
      <w:lvlJc w:val="left"/>
      <w:pPr>
        <w:ind w:left="4320" w:hanging="360"/>
      </w:pPr>
      <w:rPr>
        <w:rFonts w:ascii="Wingdings" w:hAnsi="Wingdings" w:hint="default"/>
      </w:rPr>
    </w:lvl>
    <w:lvl w:ilvl="6" w:tplc="E702F802">
      <w:start w:val="1"/>
      <w:numFmt w:val="bullet"/>
      <w:lvlText w:val=""/>
      <w:lvlJc w:val="left"/>
      <w:pPr>
        <w:ind w:left="5040" w:hanging="360"/>
      </w:pPr>
      <w:rPr>
        <w:rFonts w:ascii="Symbol" w:hAnsi="Symbol" w:hint="default"/>
      </w:rPr>
    </w:lvl>
    <w:lvl w:ilvl="7" w:tplc="FFF2A5DE">
      <w:start w:val="1"/>
      <w:numFmt w:val="bullet"/>
      <w:lvlText w:val="o"/>
      <w:lvlJc w:val="left"/>
      <w:pPr>
        <w:ind w:left="5760" w:hanging="360"/>
      </w:pPr>
      <w:rPr>
        <w:rFonts w:ascii="Courier New" w:hAnsi="Courier New" w:hint="default"/>
      </w:rPr>
    </w:lvl>
    <w:lvl w:ilvl="8" w:tplc="C9E4B186">
      <w:start w:val="1"/>
      <w:numFmt w:val="bullet"/>
      <w:lvlText w:val=""/>
      <w:lvlJc w:val="left"/>
      <w:pPr>
        <w:ind w:left="6480" w:hanging="360"/>
      </w:pPr>
      <w:rPr>
        <w:rFonts w:ascii="Wingdings" w:hAnsi="Wingdings" w:hint="default"/>
      </w:rPr>
    </w:lvl>
  </w:abstractNum>
  <w:abstractNum w:abstractNumId="13" w15:restartNumberingAfterBreak="0">
    <w:nsid w:val="659E1627"/>
    <w:multiLevelType w:val="hybridMultilevel"/>
    <w:tmpl w:val="FFFFFFFF"/>
    <w:lvl w:ilvl="0" w:tplc="92E032C0">
      <w:start w:val="1"/>
      <w:numFmt w:val="bullet"/>
      <w:lvlText w:val=""/>
      <w:lvlJc w:val="left"/>
      <w:pPr>
        <w:ind w:left="720" w:hanging="360"/>
      </w:pPr>
      <w:rPr>
        <w:rFonts w:ascii="Symbol" w:hAnsi="Symbol" w:hint="default"/>
      </w:rPr>
    </w:lvl>
    <w:lvl w:ilvl="1" w:tplc="7BA6FA58">
      <w:start w:val="1"/>
      <w:numFmt w:val="bullet"/>
      <w:lvlText w:val="o"/>
      <w:lvlJc w:val="left"/>
      <w:pPr>
        <w:ind w:left="1440" w:hanging="360"/>
      </w:pPr>
      <w:rPr>
        <w:rFonts w:ascii="Courier New" w:hAnsi="Courier New" w:hint="default"/>
      </w:rPr>
    </w:lvl>
    <w:lvl w:ilvl="2" w:tplc="87F64C38">
      <w:start w:val="1"/>
      <w:numFmt w:val="bullet"/>
      <w:lvlText w:val=""/>
      <w:lvlJc w:val="left"/>
      <w:pPr>
        <w:ind w:left="2160" w:hanging="360"/>
      </w:pPr>
      <w:rPr>
        <w:rFonts w:ascii="Wingdings" w:hAnsi="Wingdings" w:hint="default"/>
      </w:rPr>
    </w:lvl>
    <w:lvl w:ilvl="3" w:tplc="7444B480">
      <w:start w:val="1"/>
      <w:numFmt w:val="bullet"/>
      <w:lvlText w:val=""/>
      <w:lvlJc w:val="left"/>
      <w:pPr>
        <w:ind w:left="2880" w:hanging="360"/>
      </w:pPr>
      <w:rPr>
        <w:rFonts w:ascii="Symbol" w:hAnsi="Symbol" w:hint="default"/>
      </w:rPr>
    </w:lvl>
    <w:lvl w:ilvl="4" w:tplc="286AB930">
      <w:start w:val="1"/>
      <w:numFmt w:val="bullet"/>
      <w:lvlText w:val="o"/>
      <w:lvlJc w:val="left"/>
      <w:pPr>
        <w:ind w:left="3600" w:hanging="360"/>
      </w:pPr>
      <w:rPr>
        <w:rFonts w:ascii="Courier New" w:hAnsi="Courier New" w:hint="default"/>
      </w:rPr>
    </w:lvl>
    <w:lvl w:ilvl="5" w:tplc="15A0DD52">
      <w:start w:val="1"/>
      <w:numFmt w:val="bullet"/>
      <w:lvlText w:val=""/>
      <w:lvlJc w:val="left"/>
      <w:pPr>
        <w:ind w:left="4320" w:hanging="360"/>
      </w:pPr>
      <w:rPr>
        <w:rFonts w:ascii="Wingdings" w:hAnsi="Wingdings" w:hint="default"/>
      </w:rPr>
    </w:lvl>
    <w:lvl w:ilvl="6" w:tplc="16B47BDE">
      <w:start w:val="1"/>
      <w:numFmt w:val="bullet"/>
      <w:lvlText w:val=""/>
      <w:lvlJc w:val="left"/>
      <w:pPr>
        <w:ind w:left="5040" w:hanging="360"/>
      </w:pPr>
      <w:rPr>
        <w:rFonts w:ascii="Symbol" w:hAnsi="Symbol" w:hint="default"/>
      </w:rPr>
    </w:lvl>
    <w:lvl w:ilvl="7" w:tplc="54D0426A">
      <w:start w:val="1"/>
      <w:numFmt w:val="bullet"/>
      <w:lvlText w:val="o"/>
      <w:lvlJc w:val="left"/>
      <w:pPr>
        <w:ind w:left="5760" w:hanging="360"/>
      </w:pPr>
      <w:rPr>
        <w:rFonts w:ascii="Courier New" w:hAnsi="Courier New" w:hint="default"/>
      </w:rPr>
    </w:lvl>
    <w:lvl w:ilvl="8" w:tplc="6FD49AC8">
      <w:start w:val="1"/>
      <w:numFmt w:val="bullet"/>
      <w:lvlText w:val=""/>
      <w:lvlJc w:val="left"/>
      <w:pPr>
        <w:ind w:left="6480" w:hanging="360"/>
      </w:pPr>
      <w:rPr>
        <w:rFonts w:ascii="Wingdings" w:hAnsi="Wingdings" w:hint="default"/>
      </w:rPr>
    </w:lvl>
  </w:abstractNum>
  <w:abstractNum w:abstractNumId="14" w15:restartNumberingAfterBreak="0">
    <w:nsid w:val="69EC3BAD"/>
    <w:multiLevelType w:val="hybridMultilevel"/>
    <w:tmpl w:val="FFFFFFFF"/>
    <w:lvl w:ilvl="0" w:tplc="5E52E1DC">
      <w:start w:val="1"/>
      <w:numFmt w:val="bullet"/>
      <w:lvlText w:val=""/>
      <w:lvlJc w:val="left"/>
      <w:pPr>
        <w:ind w:left="720" w:hanging="360"/>
      </w:pPr>
      <w:rPr>
        <w:rFonts w:ascii="Symbol" w:hAnsi="Symbol" w:hint="default"/>
      </w:rPr>
    </w:lvl>
    <w:lvl w:ilvl="1" w:tplc="33E67682">
      <w:start w:val="1"/>
      <w:numFmt w:val="bullet"/>
      <w:lvlText w:val="o"/>
      <w:lvlJc w:val="left"/>
      <w:pPr>
        <w:ind w:left="1440" w:hanging="360"/>
      </w:pPr>
      <w:rPr>
        <w:rFonts w:ascii="Courier New" w:hAnsi="Courier New" w:hint="default"/>
      </w:rPr>
    </w:lvl>
    <w:lvl w:ilvl="2" w:tplc="CC80D2DA">
      <w:start w:val="1"/>
      <w:numFmt w:val="bullet"/>
      <w:lvlText w:val=""/>
      <w:lvlJc w:val="left"/>
      <w:pPr>
        <w:ind w:left="2160" w:hanging="360"/>
      </w:pPr>
      <w:rPr>
        <w:rFonts w:ascii="Wingdings" w:hAnsi="Wingdings" w:hint="default"/>
      </w:rPr>
    </w:lvl>
    <w:lvl w:ilvl="3" w:tplc="7F3CC5D0">
      <w:start w:val="1"/>
      <w:numFmt w:val="bullet"/>
      <w:lvlText w:val=""/>
      <w:lvlJc w:val="left"/>
      <w:pPr>
        <w:ind w:left="2880" w:hanging="360"/>
      </w:pPr>
      <w:rPr>
        <w:rFonts w:ascii="Symbol" w:hAnsi="Symbol" w:hint="default"/>
      </w:rPr>
    </w:lvl>
    <w:lvl w:ilvl="4" w:tplc="712C0628">
      <w:start w:val="1"/>
      <w:numFmt w:val="bullet"/>
      <w:lvlText w:val="o"/>
      <w:lvlJc w:val="left"/>
      <w:pPr>
        <w:ind w:left="3600" w:hanging="360"/>
      </w:pPr>
      <w:rPr>
        <w:rFonts w:ascii="Courier New" w:hAnsi="Courier New" w:hint="default"/>
      </w:rPr>
    </w:lvl>
    <w:lvl w:ilvl="5" w:tplc="AD90F148">
      <w:start w:val="1"/>
      <w:numFmt w:val="bullet"/>
      <w:lvlText w:val=""/>
      <w:lvlJc w:val="left"/>
      <w:pPr>
        <w:ind w:left="4320" w:hanging="360"/>
      </w:pPr>
      <w:rPr>
        <w:rFonts w:ascii="Wingdings" w:hAnsi="Wingdings" w:hint="default"/>
      </w:rPr>
    </w:lvl>
    <w:lvl w:ilvl="6" w:tplc="D74ACB18">
      <w:start w:val="1"/>
      <w:numFmt w:val="bullet"/>
      <w:lvlText w:val=""/>
      <w:lvlJc w:val="left"/>
      <w:pPr>
        <w:ind w:left="5040" w:hanging="360"/>
      </w:pPr>
      <w:rPr>
        <w:rFonts w:ascii="Symbol" w:hAnsi="Symbol" w:hint="default"/>
      </w:rPr>
    </w:lvl>
    <w:lvl w:ilvl="7" w:tplc="F588FC80">
      <w:start w:val="1"/>
      <w:numFmt w:val="bullet"/>
      <w:lvlText w:val="o"/>
      <w:lvlJc w:val="left"/>
      <w:pPr>
        <w:ind w:left="5760" w:hanging="360"/>
      </w:pPr>
      <w:rPr>
        <w:rFonts w:ascii="Courier New" w:hAnsi="Courier New" w:hint="default"/>
      </w:rPr>
    </w:lvl>
    <w:lvl w:ilvl="8" w:tplc="5276D70A">
      <w:start w:val="1"/>
      <w:numFmt w:val="bullet"/>
      <w:lvlText w:val=""/>
      <w:lvlJc w:val="left"/>
      <w:pPr>
        <w:ind w:left="6480" w:hanging="360"/>
      </w:pPr>
      <w:rPr>
        <w:rFonts w:ascii="Wingdings" w:hAnsi="Wingdings" w:hint="default"/>
      </w:rPr>
    </w:lvl>
  </w:abstractNum>
  <w:abstractNum w:abstractNumId="15" w15:restartNumberingAfterBreak="0">
    <w:nsid w:val="764BCFA6"/>
    <w:multiLevelType w:val="hybridMultilevel"/>
    <w:tmpl w:val="FFFFFFFF"/>
    <w:lvl w:ilvl="0" w:tplc="930492D4">
      <w:start w:val="1"/>
      <w:numFmt w:val="bullet"/>
      <w:lvlText w:val=""/>
      <w:lvlJc w:val="left"/>
      <w:pPr>
        <w:ind w:left="720" w:hanging="360"/>
      </w:pPr>
      <w:rPr>
        <w:rFonts w:ascii="Symbol" w:hAnsi="Symbol" w:hint="default"/>
      </w:rPr>
    </w:lvl>
    <w:lvl w:ilvl="1" w:tplc="58F28E80">
      <w:start w:val="1"/>
      <w:numFmt w:val="bullet"/>
      <w:lvlText w:val="o"/>
      <w:lvlJc w:val="left"/>
      <w:pPr>
        <w:ind w:left="1440" w:hanging="360"/>
      </w:pPr>
      <w:rPr>
        <w:rFonts w:ascii="Courier New" w:hAnsi="Courier New" w:hint="default"/>
      </w:rPr>
    </w:lvl>
    <w:lvl w:ilvl="2" w:tplc="70EA4B4C">
      <w:start w:val="1"/>
      <w:numFmt w:val="bullet"/>
      <w:lvlText w:val=""/>
      <w:lvlJc w:val="left"/>
      <w:pPr>
        <w:ind w:left="2160" w:hanging="360"/>
      </w:pPr>
      <w:rPr>
        <w:rFonts w:ascii="Wingdings" w:hAnsi="Wingdings" w:hint="default"/>
      </w:rPr>
    </w:lvl>
    <w:lvl w:ilvl="3" w:tplc="FEC0A614">
      <w:start w:val="1"/>
      <w:numFmt w:val="bullet"/>
      <w:lvlText w:val=""/>
      <w:lvlJc w:val="left"/>
      <w:pPr>
        <w:ind w:left="2880" w:hanging="360"/>
      </w:pPr>
      <w:rPr>
        <w:rFonts w:ascii="Symbol" w:hAnsi="Symbol" w:hint="default"/>
      </w:rPr>
    </w:lvl>
    <w:lvl w:ilvl="4" w:tplc="F56E4322">
      <w:start w:val="1"/>
      <w:numFmt w:val="bullet"/>
      <w:lvlText w:val="o"/>
      <w:lvlJc w:val="left"/>
      <w:pPr>
        <w:ind w:left="3600" w:hanging="360"/>
      </w:pPr>
      <w:rPr>
        <w:rFonts w:ascii="Courier New" w:hAnsi="Courier New" w:hint="default"/>
      </w:rPr>
    </w:lvl>
    <w:lvl w:ilvl="5" w:tplc="D2BCF0A2">
      <w:start w:val="1"/>
      <w:numFmt w:val="bullet"/>
      <w:lvlText w:val=""/>
      <w:lvlJc w:val="left"/>
      <w:pPr>
        <w:ind w:left="4320" w:hanging="360"/>
      </w:pPr>
      <w:rPr>
        <w:rFonts w:ascii="Wingdings" w:hAnsi="Wingdings" w:hint="default"/>
      </w:rPr>
    </w:lvl>
    <w:lvl w:ilvl="6" w:tplc="300E07BA">
      <w:start w:val="1"/>
      <w:numFmt w:val="bullet"/>
      <w:lvlText w:val=""/>
      <w:lvlJc w:val="left"/>
      <w:pPr>
        <w:ind w:left="5040" w:hanging="360"/>
      </w:pPr>
      <w:rPr>
        <w:rFonts w:ascii="Symbol" w:hAnsi="Symbol" w:hint="default"/>
      </w:rPr>
    </w:lvl>
    <w:lvl w:ilvl="7" w:tplc="B7FCBF34">
      <w:start w:val="1"/>
      <w:numFmt w:val="bullet"/>
      <w:lvlText w:val="o"/>
      <w:lvlJc w:val="left"/>
      <w:pPr>
        <w:ind w:left="5760" w:hanging="360"/>
      </w:pPr>
      <w:rPr>
        <w:rFonts w:ascii="Courier New" w:hAnsi="Courier New" w:hint="default"/>
      </w:rPr>
    </w:lvl>
    <w:lvl w:ilvl="8" w:tplc="AC26C8E2">
      <w:start w:val="1"/>
      <w:numFmt w:val="bullet"/>
      <w:lvlText w:val=""/>
      <w:lvlJc w:val="left"/>
      <w:pPr>
        <w:ind w:left="6480" w:hanging="360"/>
      </w:pPr>
      <w:rPr>
        <w:rFonts w:ascii="Wingdings" w:hAnsi="Wingdings" w:hint="default"/>
      </w:rPr>
    </w:lvl>
  </w:abstractNum>
  <w:abstractNum w:abstractNumId="16" w15:restartNumberingAfterBreak="0">
    <w:nsid w:val="793CC779"/>
    <w:multiLevelType w:val="hybridMultilevel"/>
    <w:tmpl w:val="FFFFFFFF"/>
    <w:lvl w:ilvl="0" w:tplc="E5906F4A">
      <w:start w:val="1"/>
      <w:numFmt w:val="bullet"/>
      <w:lvlText w:val=""/>
      <w:lvlJc w:val="left"/>
      <w:pPr>
        <w:ind w:left="720" w:hanging="360"/>
      </w:pPr>
      <w:rPr>
        <w:rFonts w:ascii="Symbol" w:hAnsi="Symbol" w:hint="default"/>
      </w:rPr>
    </w:lvl>
    <w:lvl w:ilvl="1" w:tplc="E26E417A">
      <w:start w:val="1"/>
      <w:numFmt w:val="bullet"/>
      <w:lvlText w:val="o"/>
      <w:lvlJc w:val="left"/>
      <w:pPr>
        <w:ind w:left="1440" w:hanging="360"/>
      </w:pPr>
      <w:rPr>
        <w:rFonts w:ascii="Courier New" w:hAnsi="Courier New" w:hint="default"/>
      </w:rPr>
    </w:lvl>
    <w:lvl w:ilvl="2" w:tplc="5F084A9E">
      <w:start w:val="1"/>
      <w:numFmt w:val="bullet"/>
      <w:lvlText w:val=""/>
      <w:lvlJc w:val="left"/>
      <w:pPr>
        <w:ind w:left="2160" w:hanging="360"/>
      </w:pPr>
      <w:rPr>
        <w:rFonts w:ascii="Wingdings" w:hAnsi="Wingdings" w:hint="default"/>
      </w:rPr>
    </w:lvl>
    <w:lvl w:ilvl="3" w:tplc="0FFE06C4">
      <w:start w:val="1"/>
      <w:numFmt w:val="bullet"/>
      <w:lvlText w:val=""/>
      <w:lvlJc w:val="left"/>
      <w:pPr>
        <w:ind w:left="2880" w:hanging="360"/>
      </w:pPr>
      <w:rPr>
        <w:rFonts w:ascii="Symbol" w:hAnsi="Symbol" w:hint="default"/>
      </w:rPr>
    </w:lvl>
    <w:lvl w:ilvl="4" w:tplc="EA28B588">
      <w:start w:val="1"/>
      <w:numFmt w:val="bullet"/>
      <w:lvlText w:val="o"/>
      <w:lvlJc w:val="left"/>
      <w:pPr>
        <w:ind w:left="3600" w:hanging="360"/>
      </w:pPr>
      <w:rPr>
        <w:rFonts w:ascii="Courier New" w:hAnsi="Courier New" w:hint="default"/>
      </w:rPr>
    </w:lvl>
    <w:lvl w:ilvl="5" w:tplc="AF76ACE2">
      <w:start w:val="1"/>
      <w:numFmt w:val="bullet"/>
      <w:lvlText w:val=""/>
      <w:lvlJc w:val="left"/>
      <w:pPr>
        <w:ind w:left="4320" w:hanging="360"/>
      </w:pPr>
      <w:rPr>
        <w:rFonts w:ascii="Wingdings" w:hAnsi="Wingdings" w:hint="default"/>
      </w:rPr>
    </w:lvl>
    <w:lvl w:ilvl="6" w:tplc="0A887864">
      <w:start w:val="1"/>
      <w:numFmt w:val="bullet"/>
      <w:lvlText w:val=""/>
      <w:lvlJc w:val="left"/>
      <w:pPr>
        <w:ind w:left="5040" w:hanging="360"/>
      </w:pPr>
      <w:rPr>
        <w:rFonts w:ascii="Symbol" w:hAnsi="Symbol" w:hint="default"/>
      </w:rPr>
    </w:lvl>
    <w:lvl w:ilvl="7" w:tplc="08D8A692">
      <w:start w:val="1"/>
      <w:numFmt w:val="bullet"/>
      <w:lvlText w:val="o"/>
      <w:lvlJc w:val="left"/>
      <w:pPr>
        <w:ind w:left="5760" w:hanging="360"/>
      </w:pPr>
      <w:rPr>
        <w:rFonts w:ascii="Courier New" w:hAnsi="Courier New" w:hint="default"/>
      </w:rPr>
    </w:lvl>
    <w:lvl w:ilvl="8" w:tplc="9A2E60BA">
      <w:start w:val="1"/>
      <w:numFmt w:val="bullet"/>
      <w:lvlText w:val=""/>
      <w:lvlJc w:val="left"/>
      <w:pPr>
        <w:ind w:left="6480" w:hanging="360"/>
      </w:pPr>
      <w:rPr>
        <w:rFonts w:ascii="Wingdings" w:hAnsi="Wingdings" w:hint="default"/>
      </w:rPr>
    </w:lvl>
  </w:abstractNum>
  <w:abstractNum w:abstractNumId="17" w15:restartNumberingAfterBreak="0">
    <w:nsid w:val="7DCEC578"/>
    <w:multiLevelType w:val="hybridMultilevel"/>
    <w:tmpl w:val="FFFFFFFF"/>
    <w:lvl w:ilvl="0" w:tplc="8E6062D0">
      <w:start w:val="1"/>
      <w:numFmt w:val="bullet"/>
      <w:lvlText w:val=""/>
      <w:lvlJc w:val="left"/>
      <w:pPr>
        <w:ind w:left="720" w:hanging="360"/>
      </w:pPr>
      <w:rPr>
        <w:rFonts w:ascii="Symbol" w:hAnsi="Symbol" w:hint="default"/>
      </w:rPr>
    </w:lvl>
    <w:lvl w:ilvl="1" w:tplc="3AF4F958">
      <w:start w:val="1"/>
      <w:numFmt w:val="bullet"/>
      <w:lvlText w:val="o"/>
      <w:lvlJc w:val="left"/>
      <w:pPr>
        <w:ind w:left="1440" w:hanging="360"/>
      </w:pPr>
      <w:rPr>
        <w:rFonts w:ascii="Courier New" w:hAnsi="Courier New" w:hint="default"/>
      </w:rPr>
    </w:lvl>
    <w:lvl w:ilvl="2" w:tplc="4B903010">
      <w:start w:val="1"/>
      <w:numFmt w:val="bullet"/>
      <w:lvlText w:val=""/>
      <w:lvlJc w:val="left"/>
      <w:pPr>
        <w:ind w:left="2160" w:hanging="360"/>
      </w:pPr>
      <w:rPr>
        <w:rFonts w:ascii="Wingdings" w:hAnsi="Wingdings" w:hint="default"/>
      </w:rPr>
    </w:lvl>
    <w:lvl w:ilvl="3" w:tplc="465C97A8">
      <w:start w:val="1"/>
      <w:numFmt w:val="bullet"/>
      <w:lvlText w:val=""/>
      <w:lvlJc w:val="left"/>
      <w:pPr>
        <w:ind w:left="2880" w:hanging="360"/>
      </w:pPr>
      <w:rPr>
        <w:rFonts w:ascii="Symbol" w:hAnsi="Symbol" w:hint="default"/>
      </w:rPr>
    </w:lvl>
    <w:lvl w:ilvl="4" w:tplc="80CCAD80">
      <w:start w:val="1"/>
      <w:numFmt w:val="bullet"/>
      <w:lvlText w:val="o"/>
      <w:lvlJc w:val="left"/>
      <w:pPr>
        <w:ind w:left="3600" w:hanging="360"/>
      </w:pPr>
      <w:rPr>
        <w:rFonts w:ascii="Courier New" w:hAnsi="Courier New" w:hint="default"/>
      </w:rPr>
    </w:lvl>
    <w:lvl w:ilvl="5" w:tplc="B3D48288">
      <w:start w:val="1"/>
      <w:numFmt w:val="bullet"/>
      <w:lvlText w:val=""/>
      <w:lvlJc w:val="left"/>
      <w:pPr>
        <w:ind w:left="4320" w:hanging="360"/>
      </w:pPr>
      <w:rPr>
        <w:rFonts w:ascii="Wingdings" w:hAnsi="Wingdings" w:hint="default"/>
      </w:rPr>
    </w:lvl>
    <w:lvl w:ilvl="6" w:tplc="26D056B2">
      <w:start w:val="1"/>
      <w:numFmt w:val="bullet"/>
      <w:lvlText w:val=""/>
      <w:lvlJc w:val="left"/>
      <w:pPr>
        <w:ind w:left="5040" w:hanging="360"/>
      </w:pPr>
      <w:rPr>
        <w:rFonts w:ascii="Symbol" w:hAnsi="Symbol" w:hint="default"/>
      </w:rPr>
    </w:lvl>
    <w:lvl w:ilvl="7" w:tplc="7E1ED64E">
      <w:start w:val="1"/>
      <w:numFmt w:val="bullet"/>
      <w:lvlText w:val="o"/>
      <w:lvlJc w:val="left"/>
      <w:pPr>
        <w:ind w:left="5760" w:hanging="360"/>
      </w:pPr>
      <w:rPr>
        <w:rFonts w:ascii="Courier New" w:hAnsi="Courier New" w:hint="default"/>
      </w:rPr>
    </w:lvl>
    <w:lvl w:ilvl="8" w:tplc="F25C684E">
      <w:start w:val="1"/>
      <w:numFmt w:val="bullet"/>
      <w:lvlText w:val=""/>
      <w:lvlJc w:val="left"/>
      <w:pPr>
        <w:ind w:left="6480" w:hanging="360"/>
      </w:pPr>
      <w:rPr>
        <w:rFonts w:ascii="Wingdings" w:hAnsi="Wingdings" w:hint="default"/>
      </w:rPr>
    </w:lvl>
  </w:abstractNum>
  <w:num w:numId="1" w16cid:durableId="939416316">
    <w:abstractNumId w:val="4"/>
  </w:num>
  <w:num w:numId="2" w16cid:durableId="1515269142">
    <w:abstractNumId w:val="2"/>
  </w:num>
  <w:num w:numId="3" w16cid:durableId="425613738">
    <w:abstractNumId w:val="6"/>
  </w:num>
  <w:num w:numId="4" w16cid:durableId="1951426509">
    <w:abstractNumId w:val="17"/>
  </w:num>
  <w:num w:numId="5" w16cid:durableId="834683932">
    <w:abstractNumId w:val="0"/>
  </w:num>
  <w:num w:numId="6" w16cid:durableId="2040085855">
    <w:abstractNumId w:val="11"/>
  </w:num>
  <w:num w:numId="7" w16cid:durableId="660082192">
    <w:abstractNumId w:val="16"/>
  </w:num>
  <w:num w:numId="8" w16cid:durableId="1527984261">
    <w:abstractNumId w:val="1"/>
  </w:num>
  <w:num w:numId="9" w16cid:durableId="2010017172">
    <w:abstractNumId w:val="12"/>
  </w:num>
  <w:num w:numId="10" w16cid:durableId="1249189411">
    <w:abstractNumId w:val="13"/>
  </w:num>
  <w:num w:numId="11" w16cid:durableId="1210918033">
    <w:abstractNumId w:val="7"/>
  </w:num>
  <w:num w:numId="12" w16cid:durableId="1562642650">
    <w:abstractNumId w:val="8"/>
  </w:num>
  <w:num w:numId="13" w16cid:durableId="1429622553">
    <w:abstractNumId w:val="5"/>
  </w:num>
  <w:num w:numId="14" w16cid:durableId="1026366688">
    <w:abstractNumId w:val="3"/>
  </w:num>
  <w:num w:numId="15" w16cid:durableId="612057808">
    <w:abstractNumId w:val="9"/>
  </w:num>
  <w:num w:numId="16" w16cid:durableId="2054041955">
    <w:abstractNumId w:val="15"/>
  </w:num>
  <w:num w:numId="17" w16cid:durableId="802889879">
    <w:abstractNumId w:val="10"/>
  </w:num>
  <w:num w:numId="18" w16cid:durableId="84844929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341768"/>
    <w:rsid w:val="0001096B"/>
    <w:rsid w:val="000742E1"/>
    <w:rsid w:val="001F0FB7"/>
    <w:rsid w:val="002A150D"/>
    <w:rsid w:val="003B343E"/>
    <w:rsid w:val="00462DC6"/>
    <w:rsid w:val="00555C03"/>
    <w:rsid w:val="005573BD"/>
    <w:rsid w:val="00707555"/>
    <w:rsid w:val="00865FE2"/>
    <w:rsid w:val="00915332"/>
    <w:rsid w:val="00F423B3"/>
    <w:rsid w:val="00FB2858"/>
    <w:rsid w:val="04D23E3F"/>
    <w:rsid w:val="059C578E"/>
    <w:rsid w:val="07EC9791"/>
    <w:rsid w:val="0A1C3FFB"/>
    <w:rsid w:val="0B71BDF3"/>
    <w:rsid w:val="0C254B25"/>
    <w:rsid w:val="110B982C"/>
    <w:rsid w:val="110EA5F0"/>
    <w:rsid w:val="11C1D528"/>
    <w:rsid w:val="129BF27E"/>
    <w:rsid w:val="139E4E21"/>
    <w:rsid w:val="164616DF"/>
    <w:rsid w:val="1A3BA78C"/>
    <w:rsid w:val="1FF7632F"/>
    <w:rsid w:val="232735F6"/>
    <w:rsid w:val="27BA8563"/>
    <w:rsid w:val="27D51945"/>
    <w:rsid w:val="2EC8FEA3"/>
    <w:rsid w:val="33F231A0"/>
    <w:rsid w:val="39302E60"/>
    <w:rsid w:val="3949BA53"/>
    <w:rsid w:val="3BD27E2D"/>
    <w:rsid w:val="3BDDEF42"/>
    <w:rsid w:val="3CF603E1"/>
    <w:rsid w:val="412B673B"/>
    <w:rsid w:val="438B9848"/>
    <w:rsid w:val="43A6881E"/>
    <w:rsid w:val="4590FD27"/>
    <w:rsid w:val="46235AC3"/>
    <w:rsid w:val="4BB9098C"/>
    <w:rsid w:val="5381FB82"/>
    <w:rsid w:val="57B6C669"/>
    <w:rsid w:val="5B0B24FE"/>
    <w:rsid w:val="5D8A8A31"/>
    <w:rsid w:val="5E301FE8"/>
    <w:rsid w:val="5EFA12E6"/>
    <w:rsid w:val="5FC17337"/>
    <w:rsid w:val="60A79F36"/>
    <w:rsid w:val="62660140"/>
    <w:rsid w:val="6529F6AC"/>
    <w:rsid w:val="6830D291"/>
    <w:rsid w:val="69D2176D"/>
    <w:rsid w:val="6A432F4E"/>
    <w:rsid w:val="6AD18BB9"/>
    <w:rsid w:val="6BCBCBD3"/>
    <w:rsid w:val="6D6A135D"/>
    <w:rsid w:val="6F5CBEA4"/>
    <w:rsid w:val="709DC959"/>
    <w:rsid w:val="710CF63E"/>
    <w:rsid w:val="72271916"/>
    <w:rsid w:val="744B2A64"/>
    <w:rsid w:val="75895DED"/>
    <w:rsid w:val="77281E38"/>
    <w:rsid w:val="778A3EEF"/>
    <w:rsid w:val="78C95357"/>
    <w:rsid w:val="793C14F7"/>
    <w:rsid w:val="7D341768"/>
    <w:rsid w:val="7EC0BA1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A17F2"/>
  <w15:chartTrackingRefBased/>
  <w15:docId w15:val="{D7B0963E-5BBC-4C84-A5CA-015495854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BDDEF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BDDEF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3BDDEF42"/>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BDDEF42"/>
    <w:pPr>
      <w:ind w:left="720"/>
      <w:contextualSpacing/>
    </w:pPr>
  </w:style>
  <w:style w:type="character" w:styleId="Hyperlink">
    <w:name w:val="Hyperlink"/>
    <w:basedOn w:val="DefaultParagraphFont"/>
    <w:uiPriority w:val="99"/>
    <w:unhideWhenUsed/>
    <w:rsid w:val="3BDDEF42"/>
    <w:rPr>
      <w:color w:val="467886"/>
      <w:u w:val="single"/>
    </w:rPr>
  </w:style>
  <w:style w:type="paragraph" w:styleId="TOC2">
    <w:name w:val="toc 2"/>
    <w:basedOn w:val="Normal"/>
    <w:next w:val="Normal"/>
    <w:uiPriority w:val="39"/>
    <w:unhideWhenUsed/>
    <w:rsid w:val="3BDDEF42"/>
    <w:pPr>
      <w:spacing w:after="100"/>
      <w:ind w:left="220"/>
    </w:pPr>
  </w:style>
  <w:style w:type="paragraph" w:styleId="TOC3">
    <w:name w:val="toc 3"/>
    <w:basedOn w:val="Normal"/>
    <w:next w:val="Normal"/>
    <w:uiPriority w:val="39"/>
    <w:unhideWhenUsed/>
    <w:rsid w:val="3BDDEF42"/>
    <w:pPr>
      <w:spacing w:after="100"/>
      <w:ind w:left="440"/>
    </w:pPr>
  </w:style>
  <w:style w:type="paragraph" w:styleId="TOC4">
    <w:name w:val="toc 4"/>
    <w:basedOn w:val="Normal"/>
    <w:next w:val="Normal"/>
    <w:uiPriority w:val="39"/>
    <w:unhideWhenUsed/>
    <w:rsid w:val="3BDDEF42"/>
    <w:pPr>
      <w:spacing w:after="100"/>
      <w:ind w:left="660"/>
    </w:pPr>
  </w:style>
  <w:style w:type="paragraph" w:styleId="Header">
    <w:name w:val="header"/>
    <w:basedOn w:val="Normal"/>
    <w:uiPriority w:val="99"/>
    <w:unhideWhenUsed/>
    <w:rsid w:val="3BDDEF42"/>
    <w:pPr>
      <w:tabs>
        <w:tab w:val="center" w:pos="4680"/>
        <w:tab w:val="right" w:pos="9360"/>
      </w:tabs>
      <w:spacing w:after="0" w:line="240" w:lineRule="auto"/>
    </w:pPr>
  </w:style>
  <w:style w:type="paragraph" w:styleId="Footer">
    <w:name w:val="footer"/>
    <w:basedOn w:val="Normal"/>
    <w:uiPriority w:val="99"/>
    <w:unhideWhenUsed/>
    <w:rsid w:val="3BDDEF42"/>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outlook/dmo/ecommerce/electronics/consumer-electronics/worldwide"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2.deloitte.com/us/en/pages/technology-media-and-telecommunications/articles/technology-industry-outlook.html"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1.png" /></Relationships>
</file>

<file path=word/_rels/header1.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6761</Words>
  <Characters>38539</Characters>
  <Application>Microsoft Office Word</Application>
  <DocSecurity>0</DocSecurity>
  <Lines>321</Lines>
  <Paragraphs>90</Paragraphs>
  <ScaleCrop>false</ScaleCrop>
  <Company/>
  <LinksUpToDate>false</LinksUpToDate>
  <CharactersWithSpaces>45210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 ismail hossain</dc:creator>
  <cp:keywords/>
  <dc:description/>
  <cp:lastModifiedBy>Jahangir Khalaj Savojbolagh (2109914)</cp:lastModifiedBy>
  <cp:revision>8</cp:revision>
  <dcterms:created xsi:type="dcterms:W3CDTF">2025-11-18T17:44:00Z</dcterms:created>
  <dcterms:modified xsi:type="dcterms:W3CDTF">2025-11-18T17:49:00Z</dcterms:modified>
</cp:coreProperties>
</file>