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sz w:val="32"/>
          <w:szCs w:val="32"/>
        </w:rPr>
        <w:id w:val="-369074581"/>
        <w:docPartObj>
          <w:docPartGallery w:val="Cover Pages"/>
          <w:docPartUnique/>
        </w:docPartObj>
      </w:sdtPr>
      <w:sdtContent>
        <w:p w14:paraId="303E28F4" w14:textId="5DF66050" w:rsidR="0084301B" w:rsidRDefault="00CA491C">
          <w:pPr>
            <w:rPr>
              <w:rFonts w:ascii="Times New Roman" w:hAnsi="Times New Roman" w:cs="Times New Roman"/>
              <w:b/>
              <w:bCs/>
              <w:sz w:val="32"/>
              <w:szCs w:val="32"/>
            </w:rPr>
          </w:pPr>
          <w:r w:rsidRPr="0084301B">
            <w:rPr>
              <w:rFonts w:ascii="Times New Roman" w:hAnsi="Times New Roman" w:cs="Times New Roman"/>
              <w:b/>
              <w:bCs/>
              <w:noProof/>
              <w:sz w:val="32"/>
              <w:szCs w:val="32"/>
            </w:rPr>
            <mc:AlternateContent>
              <mc:Choice Requires="wps">
                <w:drawing>
                  <wp:anchor distT="0" distB="0" distL="114300" distR="114300" simplePos="0" relativeHeight="251655680" behindDoc="0" locked="0" layoutInCell="1" allowOverlap="1" wp14:anchorId="5FBBD2F2" wp14:editId="6C41720F">
                    <wp:simplePos x="0" y="0"/>
                    <wp:positionH relativeFrom="page">
                      <wp:posOffset>232410</wp:posOffset>
                    </wp:positionH>
                    <wp:positionV relativeFrom="page">
                      <wp:posOffset>1828165</wp:posOffset>
                    </wp:positionV>
                    <wp:extent cx="7407910" cy="7084695"/>
                    <wp:effectExtent l="0" t="0" r="2540" b="1905"/>
                    <wp:wrapNone/>
                    <wp:docPr id="138" name="Text Box 139"/>
                    <wp:cNvGraphicFramePr/>
                    <a:graphic xmlns:a="http://schemas.openxmlformats.org/drawingml/2006/main">
                      <a:graphicData uri="http://schemas.microsoft.com/office/word/2010/wordprocessingShape">
                        <wps:wsp>
                          <wps:cNvSpPr txBox="1"/>
                          <wps:spPr>
                            <a:xfrm>
                              <a:off x="0" y="0"/>
                              <a:ext cx="7407910" cy="708469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2B3890" w:themeColor="accent2"/>
                                  </w:tblBorders>
                                  <w:tblCellMar>
                                    <w:top w:w="1296" w:type="dxa"/>
                                    <w:left w:w="360" w:type="dxa"/>
                                    <w:bottom w:w="1296" w:type="dxa"/>
                                    <w:right w:w="360" w:type="dxa"/>
                                  </w:tblCellMar>
                                  <w:tblLook w:val="04A0" w:firstRow="1" w:lastRow="0" w:firstColumn="1" w:lastColumn="0" w:noHBand="0" w:noVBand="1"/>
                                </w:tblPr>
                                <w:tblGrid>
                                  <w:gridCol w:w="6004"/>
                                  <w:gridCol w:w="5667"/>
                                </w:tblGrid>
                                <w:tr w:rsidR="002356C3" w14:paraId="5CCE19F4" w14:textId="77777777">
                                  <w:trPr>
                                    <w:jc w:val="center"/>
                                  </w:trPr>
                                  <w:tc>
                                    <w:tcPr>
                                      <w:tcW w:w="2568" w:type="pct"/>
                                      <w:vAlign w:val="center"/>
                                    </w:tcPr>
                                    <w:p w14:paraId="186D8A49" w14:textId="00A09800" w:rsidR="0084301B" w:rsidRPr="00497F4F" w:rsidRDefault="00E101E9">
                                      <w:pPr>
                                        <w:jc w:val="right"/>
                                        <w:rPr>
                                          <w:sz w:val="22"/>
                                          <w:szCs w:val="22"/>
                                        </w:rPr>
                                      </w:pPr>
                                      <w:r w:rsidRPr="00497F4F">
                                        <w:rPr>
                                          <w:noProof/>
                                          <w:sz w:val="22"/>
                                          <w:szCs w:val="22"/>
                                        </w:rPr>
                                        <w:drawing>
                                          <wp:inline distT="0" distB="0" distL="0" distR="0" wp14:anchorId="2BF3EFF9" wp14:editId="55BFB08D">
                                            <wp:extent cx="3355383" cy="4765675"/>
                                            <wp:effectExtent l="0" t="0" r="0" b="0"/>
                                            <wp:docPr id="559415872" name="Picture 2" descr="Innocent Drinks | Neighbou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nocent Drinks | Neighbourl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9979" cy="4786406"/>
                                                    </a:xfrm>
                                                    <a:prstGeom prst="rect">
                                                      <a:avLst/>
                                                    </a:prstGeom>
                                                    <a:noFill/>
                                                    <a:ln>
                                                      <a:noFill/>
                                                    </a:ln>
                                                  </pic:spPr>
                                                </pic:pic>
                                              </a:graphicData>
                                            </a:graphic>
                                          </wp:inline>
                                        </w:drawing>
                                      </w:r>
                                    </w:p>
                                    <w:sdt>
                                      <w:sdtPr>
                                        <w:rPr>
                                          <w:rStyle w:val="Heading1Char"/>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D5EDB0D" w14:textId="058FC082" w:rsidR="0084301B" w:rsidRPr="00497F4F" w:rsidRDefault="00C85703" w:rsidP="00EE1805">
                                          <w:pPr>
                                            <w:pStyle w:val="NoSpacing"/>
                                            <w:spacing w:line="312" w:lineRule="auto"/>
                                            <w:jc w:val="right"/>
                                            <w:rPr>
                                              <w:rStyle w:val="Heading1Char"/>
                                              <w:sz w:val="48"/>
                                              <w:szCs w:val="48"/>
                                            </w:rPr>
                                          </w:pPr>
                                          <w:r w:rsidRPr="00497F4F">
                                            <w:rPr>
                                              <w:rStyle w:val="Heading1Char"/>
                                              <w:sz w:val="48"/>
                                              <w:szCs w:val="48"/>
                                            </w:rPr>
                                            <w:t>Assignment Title:</w:t>
                                          </w:r>
                                          <w:r w:rsidRPr="00497F4F">
                                            <w:rPr>
                                              <w:rStyle w:val="Heading1Char"/>
                                              <w:sz w:val="48"/>
                                              <w:szCs w:val="48"/>
                                            </w:rPr>
                                            <w:tab/>
                                            <w:t>Individual Report</w:t>
                                          </w:r>
                                          <w:r w:rsidR="00497F4F">
                                            <w:rPr>
                                              <w:rStyle w:val="Heading1Char"/>
                                              <w:sz w:val="48"/>
                                              <w:szCs w:val="48"/>
                                            </w:rPr>
                                            <w:t xml:space="preserve"> of</w:t>
                                          </w:r>
                                        </w:p>
                                      </w:sdtContent>
                                    </w:sdt>
                                    <w:sdt>
                                      <w:sdtPr>
                                        <w:rPr>
                                          <w:rFonts w:ascii="Arial" w:hAnsi="Arial" w:cs="Arial"/>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B0654F7" w14:textId="4DBEEEBF" w:rsidR="0084301B" w:rsidRPr="0038481F" w:rsidRDefault="00D94E61">
                                          <w:pPr>
                                            <w:jc w:val="right"/>
                                            <w:rPr>
                                              <w:rFonts w:ascii="Arial" w:hAnsi="Arial" w:cs="Arial"/>
                                            </w:rPr>
                                          </w:pPr>
                                          <w:r w:rsidRPr="0038481F">
                                            <w:rPr>
                                              <w:rFonts w:ascii="Arial" w:hAnsi="Arial" w:cs="Arial"/>
                                              <w:color w:val="000000" w:themeColor="text1"/>
                                              <w:sz w:val="48"/>
                                              <w:szCs w:val="48"/>
                                            </w:rPr>
                                            <w:t>Innocent Drink</w:t>
                                          </w:r>
                                        </w:p>
                                      </w:sdtContent>
                                    </w:sdt>
                                  </w:tc>
                                  <w:tc>
                                    <w:tcPr>
                                      <w:tcW w:w="2432" w:type="pct"/>
                                      <w:vAlign w:val="center"/>
                                    </w:tcPr>
                                    <w:p w14:paraId="57A75AB5" w14:textId="16280E04" w:rsidR="0084301B" w:rsidRDefault="0084301B" w:rsidP="00207449">
                                      <w:pPr>
                                        <w:rPr>
                                          <w:color w:val="000000" w:themeColor="text1"/>
                                        </w:rPr>
                                      </w:pPr>
                                    </w:p>
                                    <w:sdt>
                                      <w:sdtPr>
                                        <w:rPr>
                                          <w:color w:val="2B3890"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A4FB34F" w14:textId="55B4051D" w:rsidR="0084301B" w:rsidRPr="0065396A" w:rsidRDefault="0065396A">
                                          <w:pPr>
                                            <w:pStyle w:val="NoSpacing"/>
                                            <w:rPr>
                                              <w:color w:val="2B3890" w:themeColor="accent2"/>
                                              <w:sz w:val="32"/>
                                              <w:szCs w:val="32"/>
                                            </w:rPr>
                                          </w:pPr>
                                          <w:r w:rsidRPr="0065396A">
                                            <w:rPr>
                                              <w:color w:val="2B3890" w:themeColor="accent2"/>
                                              <w:sz w:val="32"/>
                                              <w:szCs w:val="32"/>
                                            </w:rPr>
                                            <w:t xml:space="preserve">Student: </w:t>
                                          </w:r>
                                          <w:r w:rsidR="006929F8" w:rsidRPr="0065396A">
                                            <w:rPr>
                                              <w:color w:val="2B3890" w:themeColor="accent2"/>
                                              <w:sz w:val="32"/>
                                              <w:szCs w:val="32"/>
                                            </w:rPr>
                                            <w:t>Aldmira da Mota (2322676)</w:t>
                                          </w:r>
                                          <w:r w:rsidR="006929F8" w:rsidRPr="0065396A">
                                            <w:rPr>
                                              <w:color w:val="2B3890" w:themeColor="accent2"/>
                                              <w:sz w:val="32"/>
                                              <w:szCs w:val="32"/>
                                            </w:rPr>
                                            <w:t xml:space="preserve"> Lecture:</w:t>
                                          </w:r>
                                          <w:r w:rsidRPr="0065396A">
                                            <w:rPr>
                                              <w:color w:val="2B3890" w:themeColor="accent2"/>
                                              <w:sz w:val="32"/>
                                              <w:szCs w:val="32"/>
                                            </w:rPr>
                                            <w:t xml:space="preserve"> </w:t>
                                          </w:r>
                                          <w:r w:rsidR="006929F8" w:rsidRPr="0065396A">
                                            <w:rPr>
                                              <w:color w:val="2B3890" w:themeColor="accent2"/>
                                              <w:sz w:val="32"/>
                                              <w:szCs w:val="32"/>
                                            </w:rPr>
                                            <w:t>Yohan Mendis</w:t>
                                          </w:r>
                                        </w:p>
                                      </w:sdtContent>
                                    </w:sdt>
                                    <w:p w14:paraId="6E9ECA91" w14:textId="623C2341" w:rsidR="0084301B" w:rsidRDefault="00E90B59">
                                      <w:pPr>
                                        <w:pStyle w:val="NoSpacing"/>
                                      </w:pPr>
                                      <w:sdt>
                                        <w:sdtPr>
                                          <w:rPr>
                                            <w:color w:val="5E5E5E"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064FDF">
                                            <w:rPr>
                                              <w:color w:val="5E5E5E" w:themeColor="text2"/>
                                              <w:sz w:val="32"/>
                                              <w:szCs w:val="32"/>
                                            </w:rPr>
                                            <w:t>Module: Strategic Management for Business</w:t>
                                          </w:r>
                                          <w:r w:rsidR="00C44F35" w:rsidRPr="00064FDF">
                                            <w:rPr>
                                              <w:color w:val="5E5E5E" w:themeColor="text2"/>
                                              <w:sz w:val="32"/>
                                              <w:szCs w:val="32"/>
                                            </w:rPr>
                                            <w:t xml:space="preserve"> (</w:t>
                                          </w:r>
                                          <w:r w:rsidRPr="00064FDF">
                                            <w:rPr>
                                              <w:color w:val="5E5E5E" w:themeColor="text2"/>
                                              <w:sz w:val="32"/>
                                              <w:szCs w:val="32"/>
                                            </w:rPr>
                                            <w:t>LCLM  6001</w:t>
                                          </w:r>
                                          <w:r w:rsidR="00C44F35" w:rsidRPr="00064FDF">
                                            <w:rPr>
                                              <w:color w:val="5E5E5E" w:themeColor="text2"/>
                                              <w:sz w:val="32"/>
                                              <w:szCs w:val="32"/>
                                            </w:rPr>
                                            <w:t>)</w:t>
                                          </w:r>
                                        </w:sdtContent>
                                      </w:sdt>
                                    </w:p>
                                  </w:tc>
                                </w:tr>
                              </w:tbl>
                              <w:p w14:paraId="69C69A74" w14:textId="77777777" w:rsidR="0084301B" w:rsidRDefault="0084301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FBBD2F2" id="_x0000_t202" coordsize="21600,21600" o:spt="202" path="m,l,21600r21600,l21600,xe">
                    <v:stroke joinstyle="miter"/>
                    <v:path gradientshapeok="t" o:connecttype="rect"/>
                  </v:shapetype>
                  <v:shape id="Text Box 139" o:spid="_x0000_s1026" type="#_x0000_t202" style="position:absolute;margin-left:18.3pt;margin-top:143.95pt;width:583.3pt;height:557.85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" fillcolor="white [3201]" stroked="f" strokeweight=".5pt">
                    <v:textbox inset="0,0,0,0">
                      <w:txbxContent>
                        <w:tbl>
                          <w:tblPr>
                            <w:tblW w:w="5000" w:type="pct"/>
                            <w:jc w:val="center"/>
                            <w:tblBorders>
                              <w:insideV w:val="single" w:sz="12" w:space="0" w:color="2B3890" w:themeColor="accent2"/>
                            </w:tblBorders>
                            <w:tblCellMar>
                              <w:top w:w="1296" w:type="dxa"/>
                              <w:left w:w="360" w:type="dxa"/>
                              <w:bottom w:w="1296" w:type="dxa"/>
                              <w:right w:w="360" w:type="dxa"/>
                            </w:tblCellMar>
                            <w:tblLook w:val="04A0" w:firstRow="1" w:lastRow="0" w:firstColumn="1" w:lastColumn="0" w:noHBand="0" w:noVBand="1"/>
                          </w:tblPr>
                          <w:tblGrid>
                            <w:gridCol w:w="6004"/>
                            <w:gridCol w:w="5667"/>
                          </w:tblGrid>
                          <w:tr w:rsidR="002356C3" w14:paraId="5CCE19F4" w14:textId="77777777">
                            <w:trPr>
                              <w:jc w:val="center"/>
                            </w:trPr>
                            <w:tc>
                              <w:tcPr>
                                <w:tcW w:w="2568" w:type="pct"/>
                                <w:vAlign w:val="center"/>
                              </w:tcPr>
                              <w:p w14:paraId="186D8A49" w14:textId="00A09800" w:rsidR="0084301B" w:rsidRPr="00497F4F" w:rsidRDefault="00E101E9">
                                <w:pPr>
                                  <w:jc w:val="right"/>
                                  <w:rPr>
                                    <w:sz w:val="22"/>
                                    <w:szCs w:val="22"/>
                                  </w:rPr>
                                </w:pPr>
                                <w:r w:rsidRPr="00497F4F">
                                  <w:rPr>
                                    <w:noProof/>
                                    <w:sz w:val="22"/>
                                    <w:szCs w:val="22"/>
                                  </w:rPr>
                                  <w:drawing>
                                    <wp:inline distT="0" distB="0" distL="0" distR="0" wp14:anchorId="2BF3EFF9" wp14:editId="55BFB08D">
                                      <wp:extent cx="3355383" cy="4765675"/>
                                      <wp:effectExtent l="0" t="0" r="0" b="0"/>
                                      <wp:docPr id="559415872" name="Picture 2" descr="Innocent Drinks | Neighbou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nocent Drinks | Neighbourl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9979" cy="4786406"/>
                                              </a:xfrm>
                                              <a:prstGeom prst="rect">
                                                <a:avLst/>
                                              </a:prstGeom>
                                              <a:noFill/>
                                              <a:ln>
                                                <a:noFill/>
                                              </a:ln>
                                            </pic:spPr>
                                          </pic:pic>
                                        </a:graphicData>
                                      </a:graphic>
                                    </wp:inline>
                                  </w:drawing>
                                </w:r>
                              </w:p>
                              <w:sdt>
                                <w:sdtPr>
                                  <w:rPr>
                                    <w:rStyle w:val="Heading1Char"/>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D5EDB0D" w14:textId="058FC082" w:rsidR="0084301B" w:rsidRPr="00497F4F" w:rsidRDefault="00C85703" w:rsidP="00EE1805">
                                    <w:pPr>
                                      <w:pStyle w:val="NoSpacing"/>
                                      <w:spacing w:line="312" w:lineRule="auto"/>
                                      <w:jc w:val="right"/>
                                      <w:rPr>
                                        <w:rStyle w:val="Heading1Char"/>
                                        <w:sz w:val="48"/>
                                        <w:szCs w:val="48"/>
                                      </w:rPr>
                                    </w:pPr>
                                    <w:r w:rsidRPr="00497F4F">
                                      <w:rPr>
                                        <w:rStyle w:val="Heading1Char"/>
                                        <w:sz w:val="48"/>
                                        <w:szCs w:val="48"/>
                                      </w:rPr>
                                      <w:t>Assignment Title:</w:t>
                                    </w:r>
                                    <w:r w:rsidRPr="00497F4F">
                                      <w:rPr>
                                        <w:rStyle w:val="Heading1Char"/>
                                        <w:sz w:val="48"/>
                                        <w:szCs w:val="48"/>
                                      </w:rPr>
                                      <w:tab/>
                                      <w:t>Individual Report</w:t>
                                    </w:r>
                                    <w:r w:rsidR="00497F4F">
                                      <w:rPr>
                                        <w:rStyle w:val="Heading1Char"/>
                                        <w:sz w:val="48"/>
                                        <w:szCs w:val="48"/>
                                      </w:rPr>
                                      <w:t xml:space="preserve"> of</w:t>
                                    </w:r>
                                  </w:p>
                                </w:sdtContent>
                              </w:sdt>
                              <w:sdt>
                                <w:sdtPr>
                                  <w:rPr>
                                    <w:rFonts w:ascii="Arial" w:hAnsi="Arial" w:cs="Arial"/>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B0654F7" w14:textId="4DBEEEBF" w:rsidR="0084301B" w:rsidRPr="0038481F" w:rsidRDefault="00D94E61">
                                    <w:pPr>
                                      <w:jc w:val="right"/>
                                      <w:rPr>
                                        <w:rFonts w:ascii="Arial" w:hAnsi="Arial" w:cs="Arial"/>
                                      </w:rPr>
                                    </w:pPr>
                                    <w:r w:rsidRPr="0038481F">
                                      <w:rPr>
                                        <w:rFonts w:ascii="Arial" w:hAnsi="Arial" w:cs="Arial"/>
                                        <w:color w:val="000000" w:themeColor="text1"/>
                                        <w:sz w:val="48"/>
                                        <w:szCs w:val="48"/>
                                      </w:rPr>
                                      <w:t>Innocent Drink</w:t>
                                    </w:r>
                                  </w:p>
                                </w:sdtContent>
                              </w:sdt>
                            </w:tc>
                            <w:tc>
                              <w:tcPr>
                                <w:tcW w:w="2432" w:type="pct"/>
                                <w:vAlign w:val="center"/>
                              </w:tcPr>
                              <w:p w14:paraId="57A75AB5" w14:textId="16280E04" w:rsidR="0084301B" w:rsidRDefault="0084301B" w:rsidP="00207449">
                                <w:pPr>
                                  <w:rPr>
                                    <w:color w:val="000000" w:themeColor="text1"/>
                                  </w:rPr>
                                </w:pPr>
                              </w:p>
                              <w:sdt>
                                <w:sdtPr>
                                  <w:rPr>
                                    <w:color w:val="2B3890"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A4FB34F" w14:textId="55B4051D" w:rsidR="0084301B" w:rsidRPr="0065396A" w:rsidRDefault="0065396A">
                                    <w:pPr>
                                      <w:pStyle w:val="NoSpacing"/>
                                      <w:rPr>
                                        <w:color w:val="2B3890" w:themeColor="accent2"/>
                                        <w:sz w:val="32"/>
                                        <w:szCs w:val="32"/>
                                      </w:rPr>
                                    </w:pPr>
                                    <w:r w:rsidRPr="0065396A">
                                      <w:rPr>
                                        <w:color w:val="2B3890" w:themeColor="accent2"/>
                                        <w:sz w:val="32"/>
                                        <w:szCs w:val="32"/>
                                      </w:rPr>
                                      <w:t xml:space="preserve">Student: </w:t>
                                    </w:r>
                                    <w:r w:rsidR="006929F8" w:rsidRPr="0065396A">
                                      <w:rPr>
                                        <w:color w:val="2B3890" w:themeColor="accent2"/>
                                        <w:sz w:val="32"/>
                                        <w:szCs w:val="32"/>
                                      </w:rPr>
                                      <w:t>Aldmira da Mota (2322676)</w:t>
                                    </w:r>
                                    <w:r w:rsidR="006929F8" w:rsidRPr="0065396A">
                                      <w:rPr>
                                        <w:color w:val="2B3890" w:themeColor="accent2"/>
                                        <w:sz w:val="32"/>
                                        <w:szCs w:val="32"/>
                                      </w:rPr>
                                      <w:t xml:space="preserve"> Lecture:</w:t>
                                    </w:r>
                                    <w:r w:rsidRPr="0065396A">
                                      <w:rPr>
                                        <w:color w:val="2B3890" w:themeColor="accent2"/>
                                        <w:sz w:val="32"/>
                                        <w:szCs w:val="32"/>
                                      </w:rPr>
                                      <w:t xml:space="preserve"> </w:t>
                                    </w:r>
                                    <w:r w:rsidR="006929F8" w:rsidRPr="0065396A">
                                      <w:rPr>
                                        <w:color w:val="2B3890" w:themeColor="accent2"/>
                                        <w:sz w:val="32"/>
                                        <w:szCs w:val="32"/>
                                      </w:rPr>
                                      <w:t>Yohan Mendis</w:t>
                                    </w:r>
                                  </w:p>
                                </w:sdtContent>
                              </w:sdt>
                              <w:p w14:paraId="6E9ECA91" w14:textId="623C2341" w:rsidR="0084301B" w:rsidRDefault="00E90B59">
                                <w:pPr>
                                  <w:pStyle w:val="NoSpacing"/>
                                </w:pPr>
                                <w:sdt>
                                  <w:sdtPr>
                                    <w:rPr>
                                      <w:color w:val="5E5E5E"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064FDF">
                                      <w:rPr>
                                        <w:color w:val="5E5E5E" w:themeColor="text2"/>
                                        <w:sz w:val="32"/>
                                        <w:szCs w:val="32"/>
                                      </w:rPr>
                                      <w:t>Module: Strategic Management for Business</w:t>
                                    </w:r>
                                    <w:r w:rsidR="00C44F35" w:rsidRPr="00064FDF">
                                      <w:rPr>
                                        <w:color w:val="5E5E5E" w:themeColor="text2"/>
                                        <w:sz w:val="32"/>
                                        <w:szCs w:val="32"/>
                                      </w:rPr>
                                      <w:t xml:space="preserve"> (</w:t>
                                    </w:r>
                                    <w:r w:rsidRPr="00064FDF">
                                      <w:rPr>
                                        <w:color w:val="5E5E5E" w:themeColor="text2"/>
                                        <w:sz w:val="32"/>
                                        <w:szCs w:val="32"/>
                                      </w:rPr>
                                      <w:t>LCLM  6001</w:t>
                                    </w:r>
                                    <w:r w:rsidR="00C44F35" w:rsidRPr="00064FDF">
                                      <w:rPr>
                                        <w:color w:val="5E5E5E" w:themeColor="text2"/>
                                        <w:sz w:val="32"/>
                                        <w:szCs w:val="32"/>
                                      </w:rPr>
                                      <w:t>)</w:t>
                                    </w:r>
                                  </w:sdtContent>
                                </w:sdt>
                              </w:p>
                            </w:tc>
                          </w:tr>
                        </w:tbl>
                        <w:p w14:paraId="69C69A74" w14:textId="77777777" w:rsidR="0084301B" w:rsidRDefault="0084301B"/>
                      </w:txbxContent>
                    </v:textbox>
                    <w10:wrap anchorx="page" anchory="page"/>
                  </v:shape>
                </w:pict>
              </mc:Fallback>
            </mc:AlternateContent>
          </w:r>
          <w:r w:rsidRPr="00A406E5">
            <w:rPr>
              <w:rFonts w:ascii="Arial" w:hAnsi="Arial" w:cs="Arial"/>
              <w:noProof/>
            </w:rPr>
            <w:drawing>
              <wp:anchor distT="0" distB="0" distL="114300" distR="114300" simplePos="0" relativeHeight="251665920" behindDoc="0" locked="0" layoutInCell="1" allowOverlap="1" wp14:anchorId="5C845E5E" wp14:editId="51023601">
                <wp:simplePos x="0" y="0"/>
                <wp:positionH relativeFrom="margin">
                  <wp:align>left</wp:align>
                </wp:positionH>
                <wp:positionV relativeFrom="paragraph">
                  <wp:posOffset>7684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12B3E">
            <w:rPr>
              <w:rFonts w:ascii="Times New Roman" w:hAnsi="Times New Roman" w:cs="Times New Roman"/>
              <w:b/>
              <w:bCs/>
              <w:noProof/>
              <w:sz w:val="32"/>
              <w:szCs w:val="32"/>
            </w:rPr>
            <mc:AlternateContent>
              <mc:Choice Requires="wps">
                <w:drawing>
                  <wp:anchor distT="0" distB="0" distL="114300" distR="114300" simplePos="0" relativeHeight="251662848" behindDoc="0" locked="0" layoutInCell="1" allowOverlap="1" wp14:anchorId="395425C0" wp14:editId="4FD9BD32">
                    <wp:simplePos x="0" y="0"/>
                    <wp:positionH relativeFrom="margin">
                      <wp:align>right</wp:align>
                    </wp:positionH>
                    <wp:positionV relativeFrom="paragraph">
                      <wp:posOffset>956709</wp:posOffset>
                    </wp:positionV>
                    <wp:extent cx="6687518" cy="387350"/>
                    <wp:effectExtent l="0" t="0" r="0" b="0"/>
                    <wp:wrapNone/>
                    <wp:docPr id="1515108809" name="Text Box 2"/>
                    <wp:cNvGraphicFramePr/>
                    <a:graphic xmlns:a="http://schemas.openxmlformats.org/drawingml/2006/main">
                      <a:graphicData uri="http://schemas.microsoft.com/office/word/2010/wordprocessingShape">
                        <wps:wsp>
                          <wps:cNvSpPr txBox="1"/>
                          <wps:spPr>
                            <a:xfrm>
                              <a:off x="0" y="0"/>
                              <a:ext cx="6687518" cy="38735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93189C6" w14:textId="7D33AAC0" w:rsidR="00680E4F" w:rsidRPr="00412B3E" w:rsidRDefault="00680E4F" w:rsidP="00412B3E">
                                <w:pPr>
                                  <w:jc w:val="center"/>
                                  <w:rPr>
                                    <w:b/>
                                    <w:bCs/>
                                  </w:rPr>
                                </w:pPr>
                                <w:r w:rsidRPr="00412B3E">
                                  <w:rPr>
                                    <w:b/>
                                    <w:bCs/>
                                    <w:color w:val="000000" w:themeColor="text1"/>
                                  </w:rPr>
                                  <w:t>Programme:</w:t>
                                </w:r>
                                <w:r w:rsidR="00412B3E">
                                  <w:rPr>
                                    <w:b/>
                                    <w:bCs/>
                                    <w:color w:val="000000" w:themeColor="text1"/>
                                  </w:rPr>
                                  <w:t xml:space="preserve"> </w:t>
                                </w:r>
                                <w:r w:rsidRPr="00412B3E">
                                  <w:rPr>
                                    <w:b/>
                                    <w:bCs/>
                                    <w:color w:val="000000" w:themeColor="text1"/>
                                  </w:rPr>
                                  <w:t>BA (Hons) Leadership and</w:t>
                                </w:r>
                                <w:r w:rsidR="00CE608F" w:rsidRPr="00412B3E">
                                  <w:rPr>
                                    <w:b/>
                                    <w:bCs/>
                                    <w:color w:val="000000" w:themeColor="text1"/>
                                  </w:rPr>
                                  <w:t xml:space="preserve"> </w:t>
                                </w:r>
                                <w:r w:rsidRPr="00412B3E">
                                  <w:rPr>
                                    <w:b/>
                                    <w:bCs/>
                                    <w:color w:val="000000" w:themeColor="text1"/>
                                  </w:rPr>
                                  <w:t>Management Skills for the Workplace</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95425C0" id="Text Box 2" o:spid="_x0000_s1027" type="#_x0000_t202" style="position:absolute;margin-left:475.4pt;margin-top:75.35pt;width:526.6pt;height:30.5pt;z-index:2516628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" filled="f" stroked="f" strokeweight="1pt">
                    <v:stroke miterlimit="4"/>
                    <v:textbox style="mso-fit-shape-to-text:t" inset="4pt,4pt,4pt,4pt">
                      <w:txbxContent>
                        <w:p w14:paraId="593189C6" w14:textId="7D33AAC0" w:rsidR="00680E4F" w:rsidRPr="00412B3E" w:rsidRDefault="00680E4F" w:rsidP="00412B3E">
                          <w:pPr>
                            <w:jc w:val="center"/>
                            <w:rPr>
                              <w:b/>
                              <w:bCs/>
                            </w:rPr>
                          </w:pPr>
                          <w:r w:rsidRPr="00412B3E">
                            <w:rPr>
                              <w:b/>
                              <w:bCs/>
                              <w:color w:val="000000" w:themeColor="text1"/>
                            </w:rPr>
                            <w:t>Programme:</w:t>
                          </w:r>
                          <w:r w:rsidR="00412B3E">
                            <w:rPr>
                              <w:b/>
                              <w:bCs/>
                              <w:color w:val="000000" w:themeColor="text1"/>
                            </w:rPr>
                            <w:t xml:space="preserve"> </w:t>
                          </w:r>
                          <w:r w:rsidRPr="00412B3E">
                            <w:rPr>
                              <w:b/>
                              <w:bCs/>
                              <w:color w:val="000000" w:themeColor="text1"/>
                            </w:rPr>
                            <w:t>BA (Hons) Leadership and</w:t>
                          </w:r>
                          <w:r w:rsidR="00CE608F" w:rsidRPr="00412B3E">
                            <w:rPr>
                              <w:b/>
                              <w:bCs/>
                              <w:color w:val="000000" w:themeColor="text1"/>
                            </w:rPr>
                            <w:t xml:space="preserve"> </w:t>
                          </w:r>
                          <w:r w:rsidRPr="00412B3E">
                            <w:rPr>
                              <w:b/>
                              <w:bCs/>
                              <w:color w:val="000000" w:themeColor="text1"/>
                            </w:rPr>
                            <w:t>Management Skills for the Workplace</w:t>
                          </w:r>
                        </w:p>
                      </w:txbxContent>
                    </v:textbox>
                    <w10:wrap anchorx="margin"/>
                  </v:shape>
                </w:pict>
              </mc:Fallback>
            </mc:AlternateContent>
          </w:r>
          <w:r w:rsidR="0084301B">
            <w:rPr>
              <w:rFonts w:ascii="Times New Roman" w:hAnsi="Times New Roman" w:cs="Times New Roman"/>
              <w:b/>
              <w:bCs/>
              <w:sz w:val="32"/>
              <w:szCs w:val="32"/>
            </w:rPr>
            <w:br w:type="page"/>
          </w:r>
        </w:p>
      </w:sdtContent>
    </w:sdt>
    <w:sdt>
      <w:sdtPr>
        <w:id w:val="1692183836"/>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028C948B" w14:textId="009D6D16" w:rsidR="00F40EAD" w:rsidRDefault="00F40EAD">
          <w:pPr>
            <w:pStyle w:val="TOCHeading"/>
          </w:pPr>
          <w:r>
            <w:t>Table of Contents</w:t>
          </w:r>
        </w:p>
        <w:p w14:paraId="6382263B" w14:textId="4B8553F0" w:rsidR="00F40EAD" w:rsidRDefault="00F40EAD">
          <w:pPr>
            <w:pStyle w:val="TOC3"/>
            <w:tabs>
              <w:tab w:val="right" w:leader="dot" w:pos="1079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224080845" w:history="1">
            <w:r w:rsidRPr="00813996">
              <w:rPr>
                <w:rStyle w:val="Hyperlink"/>
                <w:noProof/>
              </w:rPr>
              <w:t>Executive Summary</w:t>
            </w:r>
            <w:r>
              <w:rPr>
                <w:noProof/>
                <w:webHidden/>
              </w:rPr>
              <w:tab/>
            </w:r>
            <w:r>
              <w:rPr>
                <w:noProof/>
                <w:webHidden/>
              </w:rPr>
              <w:fldChar w:fldCharType="begin"/>
            </w:r>
            <w:r>
              <w:rPr>
                <w:noProof/>
                <w:webHidden/>
              </w:rPr>
              <w:instrText xml:space="preserve"> PAGEREF _Toc224080845 \h </w:instrText>
            </w:r>
            <w:r>
              <w:rPr>
                <w:noProof/>
                <w:webHidden/>
              </w:rPr>
            </w:r>
            <w:r>
              <w:rPr>
                <w:noProof/>
                <w:webHidden/>
              </w:rPr>
              <w:fldChar w:fldCharType="separate"/>
            </w:r>
            <w:r>
              <w:rPr>
                <w:noProof/>
                <w:webHidden/>
              </w:rPr>
              <w:t>2</w:t>
            </w:r>
            <w:r>
              <w:rPr>
                <w:noProof/>
                <w:webHidden/>
              </w:rPr>
              <w:fldChar w:fldCharType="end"/>
            </w:r>
          </w:hyperlink>
        </w:p>
        <w:p w14:paraId="13017FCD" w14:textId="650690B5" w:rsidR="00F40EAD" w:rsidRDefault="00F40EAD">
          <w:pPr>
            <w:pStyle w:val="TOC3"/>
            <w:tabs>
              <w:tab w:val="right" w:leader="dot" w:pos="10790"/>
            </w:tabs>
            <w:rPr>
              <w:rFonts w:eastAsiaTheme="minorEastAsia"/>
              <w:noProof/>
              <w:kern w:val="2"/>
              <w:lang w:val="en-GB" w:eastAsia="en-GB"/>
              <w14:ligatures w14:val="standardContextual"/>
            </w:rPr>
          </w:pPr>
          <w:hyperlink w:anchor="_Toc224080846" w:history="1">
            <w:r w:rsidRPr="00813996">
              <w:rPr>
                <w:rStyle w:val="Hyperlink"/>
                <w:noProof/>
              </w:rPr>
              <w:t>Introduction</w:t>
            </w:r>
            <w:r>
              <w:rPr>
                <w:noProof/>
                <w:webHidden/>
              </w:rPr>
              <w:tab/>
            </w:r>
            <w:r>
              <w:rPr>
                <w:noProof/>
                <w:webHidden/>
              </w:rPr>
              <w:fldChar w:fldCharType="begin"/>
            </w:r>
            <w:r>
              <w:rPr>
                <w:noProof/>
                <w:webHidden/>
              </w:rPr>
              <w:instrText xml:space="preserve"> PAGEREF _Toc224080846 \h </w:instrText>
            </w:r>
            <w:r>
              <w:rPr>
                <w:noProof/>
                <w:webHidden/>
              </w:rPr>
            </w:r>
            <w:r>
              <w:rPr>
                <w:noProof/>
                <w:webHidden/>
              </w:rPr>
              <w:fldChar w:fldCharType="separate"/>
            </w:r>
            <w:r>
              <w:rPr>
                <w:noProof/>
                <w:webHidden/>
              </w:rPr>
              <w:t>3</w:t>
            </w:r>
            <w:r>
              <w:rPr>
                <w:noProof/>
                <w:webHidden/>
              </w:rPr>
              <w:fldChar w:fldCharType="end"/>
            </w:r>
          </w:hyperlink>
        </w:p>
        <w:p w14:paraId="3B909132" w14:textId="06E4668B" w:rsidR="00F40EAD" w:rsidRDefault="00F40EAD">
          <w:pPr>
            <w:pStyle w:val="TOC3"/>
            <w:tabs>
              <w:tab w:val="right" w:leader="dot" w:pos="10790"/>
            </w:tabs>
            <w:rPr>
              <w:rFonts w:eastAsiaTheme="minorEastAsia"/>
              <w:noProof/>
              <w:kern w:val="2"/>
              <w:lang w:val="en-GB" w:eastAsia="en-GB"/>
              <w14:ligatures w14:val="standardContextual"/>
            </w:rPr>
          </w:pPr>
          <w:hyperlink w:anchor="_Toc224080847" w:history="1">
            <w:r w:rsidRPr="00813996">
              <w:rPr>
                <w:rStyle w:val="Hyperlink"/>
                <w:noProof/>
              </w:rPr>
              <w:t>Evaluation of current market situation.</w:t>
            </w:r>
            <w:r>
              <w:rPr>
                <w:noProof/>
                <w:webHidden/>
              </w:rPr>
              <w:tab/>
            </w:r>
            <w:r>
              <w:rPr>
                <w:noProof/>
                <w:webHidden/>
              </w:rPr>
              <w:fldChar w:fldCharType="begin"/>
            </w:r>
            <w:r>
              <w:rPr>
                <w:noProof/>
                <w:webHidden/>
              </w:rPr>
              <w:instrText xml:space="preserve"> PAGEREF _Toc224080847 \h </w:instrText>
            </w:r>
            <w:r>
              <w:rPr>
                <w:noProof/>
                <w:webHidden/>
              </w:rPr>
            </w:r>
            <w:r>
              <w:rPr>
                <w:noProof/>
                <w:webHidden/>
              </w:rPr>
              <w:fldChar w:fldCharType="separate"/>
            </w:r>
            <w:r>
              <w:rPr>
                <w:noProof/>
                <w:webHidden/>
              </w:rPr>
              <w:t>4</w:t>
            </w:r>
            <w:r>
              <w:rPr>
                <w:noProof/>
                <w:webHidden/>
              </w:rPr>
              <w:fldChar w:fldCharType="end"/>
            </w:r>
          </w:hyperlink>
        </w:p>
        <w:p w14:paraId="341F0E12" w14:textId="131D825B" w:rsidR="00F40EAD" w:rsidRDefault="00F40EAD">
          <w:pPr>
            <w:pStyle w:val="TOC1"/>
            <w:tabs>
              <w:tab w:val="right" w:leader="dot" w:pos="10790"/>
            </w:tabs>
            <w:rPr>
              <w:rFonts w:eastAsiaTheme="minorEastAsia"/>
              <w:noProof/>
              <w:kern w:val="2"/>
              <w:lang w:val="en-GB" w:eastAsia="en-GB"/>
              <w14:ligatures w14:val="standardContextual"/>
            </w:rPr>
          </w:pPr>
          <w:hyperlink w:anchor="_Toc224080848" w:history="1">
            <w:r w:rsidRPr="00813996">
              <w:rPr>
                <w:rStyle w:val="Hyperlink"/>
                <w:rFonts w:ascii="Arial" w:hAnsi="Arial" w:cs="Arial"/>
                <w:bCs/>
                <w:noProof/>
                <w:lang w:eastAsia="en-GB"/>
              </w:rPr>
              <w:t>P</w:t>
            </w:r>
            <w:r>
              <w:rPr>
                <w:noProof/>
                <w:webHidden/>
              </w:rPr>
              <w:tab/>
            </w:r>
            <w:r>
              <w:rPr>
                <w:noProof/>
                <w:webHidden/>
              </w:rPr>
              <w:fldChar w:fldCharType="begin"/>
            </w:r>
            <w:r>
              <w:rPr>
                <w:noProof/>
                <w:webHidden/>
              </w:rPr>
              <w:instrText xml:space="preserve"> PAGEREF _Toc224080848 \h </w:instrText>
            </w:r>
            <w:r>
              <w:rPr>
                <w:noProof/>
                <w:webHidden/>
              </w:rPr>
            </w:r>
            <w:r>
              <w:rPr>
                <w:noProof/>
                <w:webHidden/>
              </w:rPr>
              <w:fldChar w:fldCharType="separate"/>
            </w:r>
            <w:r>
              <w:rPr>
                <w:noProof/>
                <w:webHidden/>
              </w:rPr>
              <w:t>4</w:t>
            </w:r>
            <w:r>
              <w:rPr>
                <w:noProof/>
                <w:webHidden/>
              </w:rPr>
              <w:fldChar w:fldCharType="end"/>
            </w:r>
          </w:hyperlink>
        </w:p>
        <w:p w14:paraId="266B9963" w14:textId="2795A9AF" w:rsidR="00F40EAD" w:rsidRDefault="00F40EAD">
          <w:pPr>
            <w:pStyle w:val="TOC1"/>
            <w:tabs>
              <w:tab w:val="right" w:leader="dot" w:pos="10790"/>
            </w:tabs>
            <w:rPr>
              <w:rFonts w:eastAsiaTheme="minorEastAsia"/>
              <w:noProof/>
              <w:kern w:val="2"/>
              <w:lang w:val="en-GB" w:eastAsia="en-GB"/>
              <w14:ligatures w14:val="standardContextual"/>
            </w:rPr>
          </w:pPr>
          <w:hyperlink w:anchor="_Toc224080849" w:history="1">
            <w:r w:rsidRPr="00813996">
              <w:rPr>
                <w:rStyle w:val="Hyperlink"/>
                <w:rFonts w:ascii="Arial" w:hAnsi="Arial" w:cs="Arial"/>
                <w:bCs/>
                <w:noProof/>
                <w:lang w:eastAsia="en-GB"/>
              </w:rPr>
              <w:t>E</w:t>
            </w:r>
            <w:r>
              <w:rPr>
                <w:noProof/>
                <w:webHidden/>
              </w:rPr>
              <w:tab/>
            </w:r>
            <w:r>
              <w:rPr>
                <w:noProof/>
                <w:webHidden/>
              </w:rPr>
              <w:fldChar w:fldCharType="begin"/>
            </w:r>
            <w:r>
              <w:rPr>
                <w:noProof/>
                <w:webHidden/>
              </w:rPr>
              <w:instrText xml:space="preserve"> PAGEREF _Toc224080849 \h </w:instrText>
            </w:r>
            <w:r>
              <w:rPr>
                <w:noProof/>
                <w:webHidden/>
              </w:rPr>
            </w:r>
            <w:r>
              <w:rPr>
                <w:noProof/>
                <w:webHidden/>
              </w:rPr>
              <w:fldChar w:fldCharType="separate"/>
            </w:r>
            <w:r>
              <w:rPr>
                <w:noProof/>
                <w:webHidden/>
              </w:rPr>
              <w:t>4</w:t>
            </w:r>
            <w:r>
              <w:rPr>
                <w:noProof/>
                <w:webHidden/>
              </w:rPr>
              <w:fldChar w:fldCharType="end"/>
            </w:r>
          </w:hyperlink>
        </w:p>
        <w:p w14:paraId="08E8446F" w14:textId="6D871644" w:rsidR="00F40EAD" w:rsidRDefault="00F40EAD">
          <w:pPr>
            <w:pStyle w:val="TOC1"/>
            <w:tabs>
              <w:tab w:val="right" w:leader="dot" w:pos="10790"/>
            </w:tabs>
            <w:rPr>
              <w:rFonts w:eastAsiaTheme="minorEastAsia"/>
              <w:noProof/>
              <w:kern w:val="2"/>
              <w:lang w:val="en-GB" w:eastAsia="en-GB"/>
              <w14:ligatures w14:val="standardContextual"/>
            </w:rPr>
          </w:pPr>
          <w:hyperlink w:anchor="_Toc224080850" w:history="1">
            <w:r w:rsidRPr="00813996">
              <w:rPr>
                <w:rStyle w:val="Hyperlink"/>
                <w:rFonts w:ascii="Arial" w:hAnsi="Arial" w:cs="Arial"/>
                <w:bCs/>
                <w:noProof/>
                <w:lang w:eastAsia="en-GB"/>
              </w:rPr>
              <w:t>S</w:t>
            </w:r>
            <w:r>
              <w:rPr>
                <w:noProof/>
                <w:webHidden/>
              </w:rPr>
              <w:tab/>
            </w:r>
            <w:r>
              <w:rPr>
                <w:noProof/>
                <w:webHidden/>
              </w:rPr>
              <w:fldChar w:fldCharType="begin"/>
            </w:r>
            <w:r>
              <w:rPr>
                <w:noProof/>
                <w:webHidden/>
              </w:rPr>
              <w:instrText xml:space="preserve"> PAGEREF _Toc224080850 \h </w:instrText>
            </w:r>
            <w:r>
              <w:rPr>
                <w:noProof/>
                <w:webHidden/>
              </w:rPr>
            </w:r>
            <w:r>
              <w:rPr>
                <w:noProof/>
                <w:webHidden/>
              </w:rPr>
              <w:fldChar w:fldCharType="separate"/>
            </w:r>
            <w:r>
              <w:rPr>
                <w:noProof/>
                <w:webHidden/>
              </w:rPr>
              <w:t>4</w:t>
            </w:r>
            <w:r>
              <w:rPr>
                <w:noProof/>
                <w:webHidden/>
              </w:rPr>
              <w:fldChar w:fldCharType="end"/>
            </w:r>
          </w:hyperlink>
        </w:p>
        <w:p w14:paraId="51960527" w14:textId="0466F5EF" w:rsidR="00F40EAD" w:rsidRDefault="00F40EAD">
          <w:pPr>
            <w:pStyle w:val="TOC1"/>
            <w:tabs>
              <w:tab w:val="right" w:leader="dot" w:pos="10790"/>
            </w:tabs>
            <w:rPr>
              <w:rFonts w:eastAsiaTheme="minorEastAsia"/>
              <w:noProof/>
              <w:kern w:val="2"/>
              <w:lang w:val="en-GB" w:eastAsia="en-GB"/>
              <w14:ligatures w14:val="standardContextual"/>
            </w:rPr>
          </w:pPr>
          <w:hyperlink w:anchor="_Toc224080851" w:history="1">
            <w:r w:rsidRPr="00813996">
              <w:rPr>
                <w:rStyle w:val="Hyperlink"/>
                <w:rFonts w:ascii="Arial" w:hAnsi="Arial" w:cs="Arial"/>
                <w:bCs/>
                <w:noProof/>
                <w:lang w:eastAsia="en-GB"/>
              </w:rPr>
              <w:t>T</w:t>
            </w:r>
            <w:r>
              <w:rPr>
                <w:noProof/>
                <w:webHidden/>
              </w:rPr>
              <w:tab/>
            </w:r>
            <w:r>
              <w:rPr>
                <w:noProof/>
                <w:webHidden/>
              </w:rPr>
              <w:fldChar w:fldCharType="begin"/>
            </w:r>
            <w:r>
              <w:rPr>
                <w:noProof/>
                <w:webHidden/>
              </w:rPr>
              <w:instrText xml:space="preserve"> PAGEREF _Toc224080851 \h </w:instrText>
            </w:r>
            <w:r>
              <w:rPr>
                <w:noProof/>
                <w:webHidden/>
              </w:rPr>
            </w:r>
            <w:r>
              <w:rPr>
                <w:noProof/>
                <w:webHidden/>
              </w:rPr>
              <w:fldChar w:fldCharType="separate"/>
            </w:r>
            <w:r>
              <w:rPr>
                <w:noProof/>
                <w:webHidden/>
              </w:rPr>
              <w:t>4</w:t>
            </w:r>
            <w:r>
              <w:rPr>
                <w:noProof/>
                <w:webHidden/>
              </w:rPr>
              <w:fldChar w:fldCharType="end"/>
            </w:r>
          </w:hyperlink>
        </w:p>
        <w:p w14:paraId="0350972B" w14:textId="71E52E32" w:rsidR="00F40EAD" w:rsidRDefault="00F40EAD">
          <w:pPr>
            <w:pStyle w:val="TOC1"/>
            <w:tabs>
              <w:tab w:val="right" w:leader="dot" w:pos="10790"/>
            </w:tabs>
            <w:rPr>
              <w:rFonts w:eastAsiaTheme="minorEastAsia"/>
              <w:noProof/>
              <w:kern w:val="2"/>
              <w:lang w:val="en-GB" w:eastAsia="en-GB"/>
              <w14:ligatures w14:val="standardContextual"/>
            </w:rPr>
          </w:pPr>
          <w:hyperlink w:anchor="_Toc224080852" w:history="1">
            <w:r w:rsidRPr="00813996">
              <w:rPr>
                <w:rStyle w:val="Hyperlink"/>
                <w:rFonts w:ascii="Arial" w:hAnsi="Arial" w:cs="Arial"/>
                <w:bCs/>
                <w:noProof/>
                <w:lang w:eastAsia="en-GB"/>
              </w:rPr>
              <w:t>E</w:t>
            </w:r>
            <w:r>
              <w:rPr>
                <w:noProof/>
                <w:webHidden/>
              </w:rPr>
              <w:tab/>
            </w:r>
            <w:r>
              <w:rPr>
                <w:noProof/>
                <w:webHidden/>
              </w:rPr>
              <w:fldChar w:fldCharType="begin"/>
            </w:r>
            <w:r>
              <w:rPr>
                <w:noProof/>
                <w:webHidden/>
              </w:rPr>
              <w:instrText xml:space="preserve"> PAGEREF _Toc224080852 \h </w:instrText>
            </w:r>
            <w:r>
              <w:rPr>
                <w:noProof/>
                <w:webHidden/>
              </w:rPr>
            </w:r>
            <w:r>
              <w:rPr>
                <w:noProof/>
                <w:webHidden/>
              </w:rPr>
              <w:fldChar w:fldCharType="separate"/>
            </w:r>
            <w:r>
              <w:rPr>
                <w:noProof/>
                <w:webHidden/>
              </w:rPr>
              <w:t>4</w:t>
            </w:r>
            <w:r>
              <w:rPr>
                <w:noProof/>
                <w:webHidden/>
              </w:rPr>
              <w:fldChar w:fldCharType="end"/>
            </w:r>
          </w:hyperlink>
        </w:p>
        <w:p w14:paraId="45C3F29C" w14:textId="6A05FB7C" w:rsidR="00F40EAD" w:rsidRDefault="00F40EAD">
          <w:pPr>
            <w:pStyle w:val="TOC1"/>
            <w:tabs>
              <w:tab w:val="right" w:leader="dot" w:pos="10790"/>
            </w:tabs>
            <w:rPr>
              <w:rFonts w:eastAsiaTheme="minorEastAsia"/>
              <w:noProof/>
              <w:kern w:val="2"/>
              <w:lang w:val="en-GB" w:eastAsia="en-GB"/>
              <w14:ligatures w14:val="standardContextual"/>
            </w:rPr>
          </w:pPr>
          <w:hyperlink w:anchor="_Toc224080853" w:history="1">
            <w:r w:rsidRPr="00813996">
              <w:rPr>
                <w:rStyle w:val="Hyperlink"/>
                <w:rFonts w:ascii="Arial" w:hAnsi="Arial" w:cs="Arial"/>
                <w:bCs/>
                <w:noProof/>
                <w:lang w:eastAsia="en-GB"/>
              </w:rPr>
              <w:t>L</w:t>
            </w:r>
            <w:r>
              <w:rPr>
                <w:noProof/>
                <w:webHidden/>
              </w:rPr>
              <w:tab/>
            </w:r>
            <w:r>
              <w:rPr>
                <w:noProof/>
                <w:webHidden/>
              </w:rPr>
              <w:fldChar w:fldCharType="begin"/>
            </w:r>
            <w:r>
              <w:rPr>
                <w:noProof/>
                <w:webHidden/>
              </w:rPr>
              <w:instrText xml:space="preserve"> PAGEREF _Toc224080853 \h </w:instrText>
            </w:r>
            <w:r>
              <w:rPr>
                <w:noProof/>
                <w:webHidden/>
              </w:rPr>
            </w:r>
            <w:r>
              <w:rPr>
                <w:noProof/>
                <w:webHidden/>
              </w:rPr>
              <w:fldChar w:fldCharType="separate"/>
            </w:r>
            <w:r>
              <w:rPr>
                <w:noProof/>
                <w:webHidden/>
              </w:rPr>
              <w:t>5</w:t>
            </w:r>
            <w:r>
              <w:rPr>
                <w:noProof/>
                <w:webHidden/>
              </w:rPr>
              <w:fldChar w:fldCharType="end"/>
            </w:r>
          </w:hyperlink>
        </w:p>
        <w:p w14:paraId="093F280A" w14:textId="11F6DF19" w:rsidR="00F40EAD" w:rsidRDefault="00F40EAD">
          <w:pPr>
            <w:pStyle w:val="TOC1"/>
            <w:tabs>
              <w:tab w:val="right" w:leader="dot" w:pos="10790"/>
            </w:tabs>
            <w:rPr>
              <w:rFonts w:eastAsiaTheme="minorEastAsia"/>
              <w:noProof/>
              <w:kern w:val="2"/>
              <w:lang w:val="en-GB" w:eastAsia="en-GB"/>
              <w14:ligatures w14:val="standardContextual"/>
            </w:rPr>
          </w:pPr>
          <w:hyperlink w:anchor="_Toc224080854" w:history="1">
            <w:r w:rsidRPr="00813996">
              <w:rPr>
                <w:rStyle w:val="Hyperlink"/>
                <w:rFonts w:ascii="Arial" w:hAnsi="Arial" w:cs="Arial"/>
                <w:noProof/>
              </w:rPr>
              <w:t>A SWOT analysis gives a structured assessment of Innocent Drinks’ internal strengths and weaknesses, as well as external opportunities and threats that influence its strategic choices. Strengths are its strong ethical brand reputation and B Corp accreditation, while weaknesses include higher prices and supply chain risks due to agricultural changes (Hill and Westbrook, 1997). Careful use of SWOT can help Innocent Drinks connect its purpose-driven approach to new opportunities in the growing health-focused beverage market (Gürel and Tat, 2017).</w:t>
            </w:r>
            <w:r>
              <w:rPr>
                <w:noProof/>
                <w:webHidden/>
              </w:rPr>
              <w:tab/>
            </w:r>
            <w:r>
              <w:rPr>
                <w:noProof/>
                <w:webHidden/>
              </w:rPr>
              <w:fldChar w:fldCharType="begin"/>
            </w:r>
            <w:r>
              <w:rPr>
                <w:noProof/>
                <w:webHidden/>
              </w:rPr>
              <w:instrText xml:space="preserve"> PAGEREF _Toc224080854 \h </w:instrText>
            </w:r>
            <w:r>
              <w:rPr>
                <w:noProof/>
                <w:webHidden/>
              </w:rPr>
            </w:r>
            <w:r>
              <w:rPr>
                <w:noProof/>
                <w:webHidden/>
              </w:rPr>
              <w:fldChar w:fldCharType="separate"/>
            </w:r>
            <w:r>
              <w:rPr>
                <w:noProof/>
                <w:webHidden/>
              </w:rPr>
              <w:t>6</w:t>
            </w:r>
            <w:r>
              <w:rPr>
                <w:noProof/>
                <w:webHidden/>
              </w:rPr>
              <w:fldChar w:fldCharType="end"/>
            </w:r>
          </w:hyperlink>
        </w:p>
        <w:p w14:paraId="56EFB82F" w14:textId="2137A3D7" w:rsidR="00F40EAD" w:rsidRDefault="00F40EAD">
          <w:pPr>
            <w:pStyle w:val="TOC3"/>
            <w:tabs>
              <w:tab w:val="right" w:leader="dot" w:pos="10790"/>
            </w:tabs>
            <w:rPr>
              <w:rFonts w:eastAsiaTheme="minorEastAsia"/>
              <w:noProof/>
              <w:kern w:val="2"/>
              <w:lang w:val="en-GB" w:eastAsia="en-GB"/>
              <w14:ligatures w14:val="standardContextual"/>
            </w:rPr>
          </w:pPr>
          <w:hyperlink w:anchor="_Toc224080855" w:history="1">
            <w:r w:rsidRPr="00813996">
              <w:rPr>
                <w:rStyle w:val="Hyperlink"/>
                <w:noProof/>
              </w:rPr>
              <w:t>Strategic Growth</w:t>
            </w:r>
            <w:r>
              <w:rPr>
                <w:noProof/>
                <w:webHidden/>
              </w:rPr>
              <w:tab/>
            </w:r>
            <w:r>
              <w:rPr>
                <w:noProof/>
                <w:webHidden/>
              </w:rPr>
              <w:fldChar w:fldCharType="begin"/>
            </w:r>
            <w:r>
              <w:rPr>
                <w:noProof/>
                <w:webHidden/>
              </w:rPr>
              <w:instrText xml:space="preserve"> PAGEREF _Toc224080855 \h </w:instrText>
            </w:r>
            <w:r>
              <w:rPr>
                <w:noProof/>
                <w:webHidden/>
              </w:rPr>
            </w:r>
            <w:r>
              <w:rPr>
                <w:noProof/>
                <w:webHidden/>
              </w:rPr>
              <w:fldChar w:fldCharType="separate"/>
            </w:r>
            <w:r>
              <w:rPr>
                <w:noProof/>
                <w:webHidden/>
              </w:rPr>
              <w:t>7</w:t>
            </w:r>
            <w:r>
              <w:rPr>
                <w:noProof/>
                <w:webHidden/>
              </w:rPr>
              <w:fldChar w:fldCharType="end"/>
            </w:r>
          </w:hyperlink>
        </w:p>
        <w:p w14:paraId="4579D7E3" w14:textId="6C2E2AD9" w:rsidR="00F40EAD" w:rsidRDefault="00F40EAD">
          <w:pPr>
            <w:pStyle w:val="TOC3"/>
            <w:tabs>
              <w:tab w:val="right" w:leader="dot" w:pos="10790"/>
            </w:tabs>
            <w:rPr>
              <w:rFonts w:eastAsiaTheme="minorEastAsia"/>
              <w:noProof/>
              <w:kern w:val="2"/>
              <w:lang w:val="en-GB" w:eastAsia="en-GB"/>
              <w14:ligatures w14:val="standardContextual"/>
            </w:rPr>
          </w:pPr>
          <w:hyperlink w:anchor="_Toc224080856" w:history="1">
            <w:r w:rsidRPr="00813996">
              <w:rPr>
                <w:rStyle w:val="Hyperlink"/>
                <w:noProof/>
              </w:rPr>
              <w:t>Strategy evaluation</w:t>
            </w:r>
            <w:r>
              <w:rPr>
                <w:noProof/>
                <w:webHidden/>
              </w:rPr>
              <w:tab/>
            </w:r>
            <w:r>
              <w:rPr>
                <w:noProof/>
                <w:webHidden/>
              </w:rPr>
              <w:fldChar w:fldCharType="begin"/>
            </w:r>
            <w:r>
              <w:rPr>
                <w:noProof/>
                <w:webHidden/>
              </w:rPr>
              <w:instrText xml:space="preserve"> PAGEREF _Toc224080856 \h </w:instrText>
            </w:r>
            <w:r>
              <w:rPr>
                <w:noProof/>
                <w:webHidden/>
              </w:rPr>
            </w:r>
            <w:r>
              <w:rPr>
                <w:noProof/>
                <w:webHidden/>
              </w:rPr>
              <w:fldChar w:fldCharType="separate"/>
            </w:r>
            <w:r>
              <w:rPr>
                <w:noProof/>
                <w:webHidden/>
              </w:rPr>
              <w:t>10</w:t>
            </w:r>
            <w:r>
              <w:rPr>
                <w:noProof/>
                <w:webHidden/>
              </w:rPr>
              <w:fldChar w:fldCharType="end"/>
            </w:r>
          </w:hyperlink>
        </w:p>
        <w:p w14:paraId="6E5C001F" w14:textId="15351170" w:rsidR="00F40EAD" w:rsidRDefault="00F40EAD">
          <w:pPr>
            <w:pStyle w:val="TOC3"/>
            <w:tabs>
              <w:tab w:val="right" w:leader="dot" w:pos="10790"/>
            </w:tabs>
            <w:rPr>
              <w:rFonts w:eastAsiaTheme="minorEastAsia"/>
              <w:noProof/>
              <w:kern w:val="2"/>
              <w:lang w:val="en-GB" w:eastAsia="en-GB"/>
              <w14:ligatures w14:val="standardContextual"/>
            </w:rPr>
          </w:pPr>
          <w:hyperlink w:anchor="_Toc224080857" w:history="1">
            <w:r w:rsidRPr="00813996">
              <w:rPr>
                <w:rStyle w:val="Hyperlink"/>
                <w:noProof/>
              </w:rPr>
              <w:t>Stakeholder Analysis</w:t>
            </w:r>
            <w:r>
              <w:rPr>
                <w:noProof/>
                <w:webHidden/>
              </w:rPr>
              <w:tab/>
            </w:r>
            <w:r>
              <w:rPr>
                <w:noProof/>
                <w:webHidden/>
              </w:rPr>
              <w:fldChar w:fldCharType="begin"/>
            </w:r>
            <w:r>
              <w:rPr>
                <w:noProof/>
                <w:webHidden/>
              </w:rPr>
              <w:instrText xml:space="preserve"> PAGEREF _Toc224080857 \h </w:instrText>
            </w:r>
            <w:r>
              <w:rPr>
                <w:noProof/>
                <w:webHidden/>
              </w:rPr>
            </w:r>
            <w:r>
              <w:rPr>
                <w:noProof/>
                <w:webHidden/>
              </w:rPr>
              <w:fldChar w:fldCharType="separate"/>
            </w:r>
            <w:r>
              <w:rPr>
                <w:noProof/>
                <w:webHidden/>
              </w:rPr>
              <w:t>12</w:t>
            </w:r>
            <w:r>
              <w:rPr>
                <w:noProof/>
                <w:webHidden/>
              </w:rPr>
              <w:fldChar w:fldCharType="end"/>
            </w:r>
          </w:hyperlink>
        </w:p>
        <w:p w14:paraId="5A7D8B3D" w14:textId="581525AE" w:rsidR="00F40EAD" w:rsidRDefault="00F40EAD">
          <w:pPr>
            <w:pStyle w:val="TOC3"/>
            <w:tabs>
              <w:tab w:val="right" w:leader="dot" w:pos="10790"/>
            </w:tabs>
            <w:rPr>
              <w:rFonts w:eastAsiaTheme="minorEastAsia"/>
              <w:noProof/>
              <w:kern w:val="2"/>
              <w:lang w:val="en-GB" w:eastAsia="en-GB"/>
              <w14:ligatures w14:val="standardContextual"/>
            </w:rPr>
          </w:pPr>
          <w:hyperlink w:anchor="_Toc224080858" w:history="1">
            <w:r w:rsidRPr="00813996">
              <w:rPr>
                <w:rStyle w:val="Hyperlink"/>
                <w:noProof/>
              </w:rPr>
              <w:t>Implementation and monitoring</w:t>
            </w:r>
            <w:r>
              <w:rPr>
                <w:noProof/>
                <w:webHidden/>
              </w:rPr>
              <w:tab/>
            </w:r>
            <w:r>
              <w:rPr>
                <w:noProof/>
                <w:webHidden/>
              </w:rPr>
              <w:fldChar w:fldCharType="begin"/>
            </w:r>
            <w:r>
              <w:rPr>
                <w:noProof/>
                <w:webHidden/>
              </w:rPr>
              <w:instrText xml:space="preserve"> PAGEREF _Toc224080858 \h </w:instrText>
            </w:r>
            <w:r>
              <w:rPr>
                <w:noProof/>
                <w:webHidden/>
              </w:rPr>
            </w:r>
            <w:r>
              <w:rPr>
                <w:noProof/>
                <w:webHidden/>
              </w:rPr>
              <w:fldChar w:fldCharType="separate"/>
            </w:r>
            <w:r>
              <w:rPr>
                <w:noProof/>
                <w:webHidden/>
              </w:rPr>
              <w:t>14</w:t>
            </w:r>
            <w:r>
              <w:rPr>
                <w:noProof/>
                <w:webHidden/>
              </w:rPr>
              <w:fldChar w:fldCharType="end"/>
            </w:r>
          </w:hyperlink>
        </w:p>
        <w:p w14:paraId="1D53853E" w14:textId="1FE4438B" w:rsidR="00F40EAD" w:rsidRDefault="00F40EAD">
          <w:pPr>
            <w:pStyle w:val="TOC3"/>
            <w:tabs>
              <w:tab w:val="right" w:leader="dot" w:pos="10790"/>
            </w:tabs>
            <w:rPr>
              <w:rFonts w:eastAsiaTheme="minorEastAsia"/>
              <w:noProof/>
              <w:kern w:val="2"/>
              <w:lang w:val="en-GB" w:eastAsia="en-GB"/>
              <w14:ligatures w14:val="standardContextual"/>
            </w:rPr>
          </w:pPr>
          <w:hyperlink w:anchor="_Toc224080859" w:history="1">
            <w:r w:rsidRPr="00813996">
              <w:rPr>
                <w:rStyle w:val="Hyperlink"/>
                <w:noProof/>
              </w:rPr>
              <w:t>Conclusion</w:t>
            </w:r>
            <w:r>
              <w:rPr>
                <w:noProof/>
                <w:webHidden/>
              </w:rPr>
              <w:tab/>
            </w:r>
            <w:r>
              <w:rPr>
                <w:noProof/>
                <w:webHidden/>
              </w:rPr>
              <w:fldChar w:fldCharType="begin"/>
            </w:r>
            <w:r>
              <w:rPr>
                <w:noProof/>
                <w:webHidden/>
              </w:rPr>
              <w:instrText xml:space="preserve"> PAGEREF _Toc224080859 \h </w:instrText>
            </w:r>
            <w:r>
              <w:rPr>
                <w:noProof/>
                <w:webHidden/>
              </w:rPr>
            </w:r>
            <w:r>
              <w:rPr>
                <w:noProof/>
                <w:webHidden/>
              </w:rPr>
              <w:fldChar w:fldCharType="separate"/>
            </w:r>
            <w:r>
              <w:rPr>
                <w:noProof/>
                <w:webHidden/>
              </w:rPr>
              <w:t>16</w:t>
            </w:r>
            <w:r>
              <w:rPr>
                <w:noProof/>
                <w:webHidden/>
              </w:rPr>
              <w:fldChar w:fldCharType="end"/>
            </w:r>
          </w:hyperlink>
        </w:p>
        <w:p w14:paraId="282B6C73" w14:textId="7ECBD499" w:rsidR="00F40EAD" w:rsidRDefault="00F40EAD">
          <w:pPr>
            <w:pStyle w:val="TOC3"/>
            <w:tabs>
              <w:tab w:val="right" w:leader="dot" w:pos="10790"/>
            </w:tabs>
            <w:rPr>
              <w:rFonts w:eastAsiaTheme="minorEastAsia"/>
              <w:noProof/>
              <w:kern w:val="2"/>
              <w:lang w:val="en-GB" w:eastAsia="en-GB"/>
              <w14:ligatures w14:val="standardContextual"/>
            </w:rPr>
          </w:pPr>
          <w:hyperlink w:anchor="_Toc224080860" w:history="1">
            <w:r w:rsidRPr="00813996">
              <w:rPr>
                <w:rStyle w:val="Hyperlink"/>
                <w:noProof/>
                <w:lang w:val="en-GB"/>
              </w:rPr>
              <w:t>Reference</w:t>
            </w:r>
            <w:r>
              <w:rPr>
                <w:noProof/>
                <w:webHidden/>
              </w:rPr>
              <w:tab/>
            </w:r>
            <w:r>
              <w:rPr>
                <w:noProof/>
                <w:webHidden/>
              </w:rPr>
              <w:fldChar w:fldCharType="begin"/>
            </w:r>
            <w:r>
              <w:rPr>
                <w:noProof/>
                <w:webHidden/>
              </w:rPr>
              <w:instrText xml:space="preserve"> PAGEREF _Toc224080860 \h </w:instrText>
            </w:r>
            <w:r>
              <w:rPr>
                <w:noProof/>
                <w:webHidden/>
              </w:rPr>
            </w:r>
            <w:r>
              <w:rPr>
                <w:noProof/>
                <w:webHidden/>
              </w:rPr>
              <w:fldChar w:fldCharType="separate"/>
            </w:r>
            <w:r>
              <w:rPr>
                <w:noProof/>
                <w:webHidden/>
              </w:rPr>
              <w:t>17</w:t>
            </w:r>
            <w:r>
              <w:rPr>
                <w:noProof/>
                <w:webHidden/>
              </w:rPr>
              <w:fldChar w:fldCharType="end"/>
            </w:r>
          </w:hyperlink>
        </w:p>
        <w:p w14:paraId="662B3950" w14:textId="6CA7E8DE" w:rsidR="00F40EAD" w:rsidRDefault="00F40EAD">
          <w:r>
            <w:rPr>
              <w:b/>
              <w:bCs/>
              <w:noProof/>
            </w:rPr>
            <w:fldChar w:fldCharType="end"/>
          </w:r>
        </w:p>
      </w:sdtContent>
    </w:sdt>
    <w:p w14:paraId="3E107537" w14:textId="77777777" w:rsidR="00952F7D" w:rsidRDefault="00952F7D" w:rsidP="00DF198B">
      <w:pPr>
        <w:pStyle w:val="GraphicAnchor"/>
      </w:pPr>
    </w:p>
    <w:p w14:paraId="2A4BA9DA" w14:textId="0C0508A5" w:rsidR="00DF198B" w:rsidRDefault="00E34ED7">
      <w:r>
        <w:br w:type="textWrapping" w:clear="all"/>
      </w:r>
    </w:p>
    <w:p w14:paraId="2C3D017A" w14:textId="0ED99DC4" w:rsidR="0048120C" w:rsidRDefault="0048120C"/>
    <w:p w14:paraId="19A3B2F9" w14:textId="77777777" w:rsidR="00EB7C2B" w:rsidRDefault="00EB7C2B" w:rsidP="00F81D32">
      <w:pPr>
        <w:jc w:val="center"/>
      </w:pPr>
    </w:p>
    <w:p w14:paraId="6779D714" w14:textId="77777777" w:rsidR="00AB1402" w:rsidRDefault="00AB1402" w:rsidP="00F81D32">
      <w:pPr>
        <w:jc w:val="center"/>
        <w:rPr>
          <w:rFonts w:ascii="Times New Roman" w:hAnsi="Times New Roman" w:cs="Times New Roman"/>
          <w:b/>
          <w:bCs/>
          <w:sz w:val="32"/>
          <w:szCs w:val="32"/>
        </w:rPr>
      </w:pPr>
    </w:p>
    <w:p w14:paraId="662B38F1" w14:textId="77777777" w:rsidR="00AB1402" w:rsidRDefault="00AB1402" w:rsidP="00F81D32">
      <w:pPr>
        <w:jc w:val="center"/>
        <w:rPr>
          <w:rFonts w:ascii="Times New Roman" w:hAnsi="Times New Roman" w:cs="Times New Roman"/>
          <w:b/>
          <w:bCs/>
          <w:sz w:val="32"/>
          <w:szCs w:val="32"/>
        </w:rPr>
      </w:pPr>
    </w:p>
    <w:p w14:paraId="2E00C583" w14:textId="77777777" w:rsidR="00AB1402" w:rsidRDefault="00AB1402" w:rsidP="00F81D32">
      <w:pPr>
        <w:jc w:val="center"/>
        <w:rPr>
          <w:rFonts w:ascii="Times New Roman" w:hAnsi="Times New Roman" w:cs="Times New Roman"/>
          <w:b/>
          <w:bCs/>
          <w:sz w:val="32"/>
          <w:szCs w:val="32"/>
        </w:rPr>
      </w:pPr>
    </w:p>
    <w:p w14:paraId="44153D0F" w14:textId="77777777" w:rsidR="00610AD0" w:rsidRDefault="00610AD0" w:rsidP="00F81D32">
      <w:pPr>
        <w:jc w:val="center"/>
        <w:rPr>
          <w:rFonts w:ascii="Times New Roman" w:hAnsi="Times New Roman" w:cs="Times New Roman"/>
          <w:b/>
          <w:bCs/>
          <w:sz w:val="32"/>
          <w:szCs w:val="32"/>
        </w:rPr>
      </w:pPr>
    </w:p>
    <w:p w14:paraId="527E8860" w14:textId="77777777" w:rsidR="00610AD0" w:rsidRDefault="00610AD0" w:rsidP="00F81D32">
      <w:pPr>
        <w:jc w:val="center"/>
        <w:rPr>
          <w:rFonts w:ascii="Times New Roman" w:hAnsi="Times New Roman" w:cs="Times New Roman"/>
          <w:b/>
          <w:bCs/>
          <w:sz w:val="32"/>
          <w:szCs w:val="32"/>
        </w:rPr>
      </w:pPr>
    </w:p>
    <w:p w14:paraId="25B31DCB" w14:textId="77777777" w:rsidR="00610AD0" w:rsidRDefault="00610AD0" w:rsidP="00F81D32">
      <w:pPr>
        <w:jc w:val="center"/>
        <w:rPr>
          <w:rFonts w:ascii="Times New Roman" w:hAnsi="Times New Roman" w:cs="Times New Roman"/>
          <w:b/>
          <w:bCs/>
          <w:sz w:val="32"/>
          <w:szCs w:val="32"/>
        </w:rPr>
      </w:pPr>
    </w:p>
    <w:p w14:paraId="42699BF4" w14:textId="3EC437F9" w:rsidR="00360696" w:rsidRDefault="00360696" w:rsidP="00F81D32">
      <w:pPr>
        <w:jc w:val="center"/>
        <w:rPr>
          <w:rFonts w:ascii="Times New Roman" w:hAnsi="Times New Roman" w:cs="Times New Roman"/>
          <w:b/>
          <w:bCs/>
          <w:sz w:val="32"/>
          <w:szCs w:val="32"/>
        </w:rPr>
      </w:pPr>
    </w:p>
    <w:p w14:paraId="232432F9" w14:textId="1E01232F" w:rsidR="00694E1D" w:rsidRDefault="00360696" w:rsidP="00793027">
      <w:pPr>
        <w:rPr>
          <w:rFonts w:ascii="Times New Roman" w:hAnsi="Times New Roman" w:cs="Times New Roman"/>
          <w:b/>
          <w:bCs/>
          <w:sz w:val="32"/>
          <w:szCs w:val="32"/>
        </w:rPr>
      </w:pPr>
      <w:r>
        <w:rPr>
          <w:rFonts w:ascii="Times New Roman" w:hAnsi="Times New Roman" w:cs="Times New Roman"/>
          <w:b/>
          <w:bCs/>
          <w:sz w:val="32"/>
          <w:szCs w:val="32"/>
        </w:rPr>
        <w:br w:type="page"/>
      </w:r>
    </w:p>
    <w:p w14:paraId="65CCAAE5" w14:textId="77777777" w:rsidR="00793027" w:rsidRDefault="00793027" w:rsidP="00793027">
      <w:pPr>
        <w:rPr>
          <w:rFonts w:ascii="Times New Roman" w:hAnsi="Times New Roman" w:cs="Times New Roman"/>
          <w:b/>
          <w:bCs/>
          <w:sz w:val="32"/>
          <w:szCs w:val="32"/>
        </w:rPr>
      </w:pPr>
    </w:p>
    <w:p w14:paraId="064EED72" w14:textId="38413E05" w:rsidR="00F81D32" w:rsidRPr="00C46B13" w:rsidRDefault="00F81D32" w:rsidP="00F81D32">
      <w:pPr>
        <w:jc w:val="center"/>
        <w:rPr>
          <w:rFonts w:ascii="Arial" w:hAnsi="Arial" w:cs="Arial"/>
          <w:b/>
          <w:bCs/>
          <w:sz w:val="32"/>
          <w:szCs w:val="32"/>
        </w:rPr>
      </w:pPr>
      <w:bookmarkStart w:id="0" w:name="_Toc224080845"/>
      <w:r w:rsidRPr="00E144FE">
        <w:rPr>
          <w:rStyle w:val="Heading3Char"/>
        </w:rPr>
        <w:t>Executive Summary</w:t>
      </w:r>
      <w:bookmarkEnd w:id="0"/>
      <w:r w:rsidR="00D02602" w:rsidRPr="00C46B13">
        <w:rPr>
          <w:rFonts w:ascii="Arial" w:hAnsi="Arial" w:cs="Arial"/>
          <w:b/>
          <w:bCs/>
          <w:sz w:val="32"/>
          <w:szCs w:val="32"/>
        </w:rPr>
        <w:t>.</w:t>
      </w:r>
    </w:p>
    <w:p w14:paraId="682A8F85" w14:textId="77777777" w:rsidR="00D02602" w:rsidRDefault="00D02602" w:rsidP="00F81D32">
      <w:pPr>
        <w:jc w:val="center"/>
        <w:rPr>
          <w:rFonts w:ascii="Times New Roman" w:hAnsi="Times New Roman" w:cs="Times New Roman"/>
          <w:b/>
          <w:bCs/>
          <w:sz w:val="32"/>
          <w:szCs w:val="32"/>
        </w:rPr>
      </w:pPr>
    </w:p>
    <w:p w14:paraId="0BB4E26F" w14:textId="4E2E8336" w:rsidR="00564708" w:rsidRPr="00845FA3" w:rsidRDefault="00564708" w:rsidP="00845FA3">
      <w:pPr>
        <w:spacing w:line="360" w:lineRule="auto"/>
        <w:jc w:val="both"/>
        <w:rPr>
          <w:rFonts w:ascii="Arial" w:hAnsi="Arial" w:cs="Arial"/>
          <w:color w:val="000000"/>
          <w:sz w:val="22"/>
          <w:szCs w:val="22"/>
        </w:rPr>
      </w:pPr>
      <w:r w:rsidRPr="00845FA3">
        <w:rPr>
          <w:rFonts w:ascii="Arial" w:hAnsi="Arial" w:cs="Arial"/>
          <w:color w:val="000000"/>
          <w:sz w:val="22"/>
          <w:szCs w:val="22"/>
        </w:rPr>
        <w:t xml:space="preserve">Innocent Drinks, a leading UK-based brand, is </w:t>
      </w:r>
      <w:r w:rsidR="00161565" w:rsidRPr="00845FA3">
        <w:rPr>
          <w:rFonts w:ascii="Arial" w:hAnsi="Arial" w:cs="Arial"/>
          <w:color w:val="000000"/>
          <w:sz w:val="22"/>
          <w:szCs w:val="22"/>
        </w:rPr>
        <w:t>recognized</w:t>
      </w:r>
      <w:r w:rsidRPr="00845FA3">
        <w:rPr>
          <w:rFonts w:ascii="Arial" w:hAnsi="Arial" w:cs="Arial"/>
          <w:color w:val="000000"/>
          <w:sz w:val="22"/>
          <w:szCs w:val="22"/>
        </w:rPr>
        <w:t xml:space="preserve"> for its strong ethical standards, sustainability initiatives, and prominent identity in the health beverage sector. As detailed by Mintel (2024), the company enjoys significant market presence but contends with growing competition, increased supply chain costs, and stringent environmental targets. To assess Innocent’s strategic position, this report applies PESTEL, Porter’s Five Forces, and SWOT frameworks, identifying major strengths such as robust brand equity, B Corp certification, and consumer shifts toward plant-based products. However, it also highlights external threats, including climate risks and fierce rivalry from large multinational competitors, as evidenced by Statista (2024).</w:t>
      </w:r>
    </w:p>
    <w:p w14:paraId="5148D43E" w14:textId="77777777" w:rsidR="00564708" w:rsidRPr="00845FA3" w:rsidRDefault="00564708" w:rsidP="00845FA3">
      <w:pPr>
        <w:spacing w:line="360" w:lineRule="auto"/>
        <w:jc w:val="both"/>
        <w:rPr>
          <w:rFonts w:ascii="Arial" w:hAnsi="Arial" w:cs="Arial"/>
          <w:color w:val="000000"/>
          <w:sz w:val="22"/>
          <w:szCs w:val="22"/>
        </w:rPr>
      </w:pPr>
      <w:r w:rsidRPr="00845FA3">
        <w:rPr>
          <w:rFonts w:ascii="Arial" w:hAnsi="Arial" w:cs="Arial"/>
          <w:color w:val="000000"/>
          <w:sz w:val="22"/>
          <w:szCs w:val="22"/>
        </w:rPr>
        <w:t>A primary recommendation is for Innocent to innovate by launching new functional and plant-based beverages and expanding internationally, reinforcing the company’s commitment to health and ethics (Innocent Drinks, 2024). The SFA (Suitability, Feasibility, Acceptability) framework confirms this strategy aligns with corporate goals and stakeholder expectations.</w:t>
      </w:r>
    </w:p>
    <w:p w14:paraId="479B30E6" w14:textId="182EAA52" w:rsidR="00056084" w:rsidRPr="00845FA3" w:rsidRDefault="00564708" w:rsidP="00845FA3">
      <w:pPr>
        <w:spacing w:line="360" w:lineRule="auto"/>
        <w:jc w:val="both"/>
        <w:rPr>
          <w:rFonts w:ascii="Arial" w:hAnsi="Arial" w:cs="Arial"/>
          <w:color w:val="000000"/>
          <w:sz w:val="22"/>
          <w:szCs w:val="22"/>
        </w:rPr>
      </w:pPr>
      <w:r w:rsidRPr="00845FA3">
        <w:rPr>
          <w:rFonts w:ascii="Arial" w:hAnsi="Arial" w:cs="Arial"/>
          <w:color w:val="000000"/>
          <w:sz w:val="22"/>
          <w:szCs w:val="22"/>
        </w:rPr>
        <w:t>Stakeholder analysis is used throughout to ensure that strategies are responsive to the interests of consumers, suppliers, regulators, and investors. The report concludes with a detailed implementation plan, outlining specific objectives and key performance indicators to measure progress. Ultimately, focusing on responsible growth and adapting to industry challenges will help Innocent Drinks maintain its competitive advantage and uphold its core values in an evolving marketplace.</w:t>
      </w:r>
    </w:p>
    <w:p w14:paraId="1CB0885B" w14:textId="77777777" w:rsidR="00056084" w:rsidRDefault="00056084" w:rsidP="00564708">
      <w:pPr>
        <w:jc w:val="both"/>
        <w:rPr>
          <w:rFonts w:ascii="Times New Roman" w:hAnsi="Times New Roman" w:cs="Times New Roman"/>
          <w:b/>
          <w:bCs/>
          <w:sz w:val="32"/>
          <w:szCs w:val="32"/>
        </w:rPr>
      </w:pPr>
    </w:p>
    <w:p w14:paraId="73132479" w14:textId="77777777" w:rsidR="00F81D32" w:rsidRDefault="00F81D32" w:rsidP="001D27F0">
      <w:pPr>
        <w:jc w:val="center"/>
      </w:pPr>
    </w:p>
    <w:p w14:paraId="1CEA4476" w14:textId="77777777" w:rsidR="001D27F0" w:rsidRDefault="001D27F0" w:rsidP="001D27F0">
      <w:pPr>
        <w:jc w:val="center"/>
      </w:pPr>
    </w:p>
    <w:p w14:paraId="5B7423E8" w14:textId="77777777" w:rsidR="001D27F0" w:rsidRDefault="001D27F0" w:rsidP="001D27F0">
      <w:pPr>
        <w:jc w:val="center"/>
      </w:pPr>
    </w:p>
    <w:p w14:paraId="38E914A1" w14:textId="77777777" w:rsidR="001D27F0" w:rsidRDefault="001D27F0" w:rsidP="001D27F0">
      <w:pPr>
        <w:jc w:val="center"/>
      </w:pPr>
    </w:p>
    <w:p w14:paraId="2177A490" w14:textId="77777777" w:rsidR="001D27F0" w:rsidRDefault="001D27F0" w:rsidP="001D27F0">
      <w:pPr>
        <w:jc w:val="center"/>
      </w:pPr>
    </w:p>
    <w:p w14:paraId="0776E02A" w14:textId="77777777" w:rsidR="001D27F0" w:rsidRDefault="001D27F0" w:rsidP="001D27F0">
      <w:pPr>
        <w:jc w:val="center"/>
      </w:pPr>
    </w:p>
    <w:p w14:paraId="056D21F6" w14:textId="77777777" w:rsidR="001D27F0" w:rsidRDefault="001D27F0" w:rsidP="001D27F0">
      <w:pPr>
        <w:jc w:val="center"/>
      </w:pPr>
    </w:p>
    <w:p w14:paraId="49193A78" w14:textId="77777777" w:rsidR="001D27F0" w:rsidRDefault="001D27F0" w:rsidP="001D27F0">
      <w:pPr>
        <w:jc w:val="center"/>
      </w:pPr>
    </w:p>
    <w:p w14:paraId="55C2C5A6" w14:textId="77777777" w:rsidR="001D27F0" w:rsidRDefault="001D27F0" w:rsidP="001D27F0">
      <w:pPr>
        <w:jc w:val="center"/>
      </w:pPr>
    </w:p>
    <w:p w14:paraId="2D5EE083" w14:textId="77777777" w:rsidR="001D27F0" w:rsidRDefault="001D27F0" w:rsidP="001D27F0">
      <w:pPr>
        <w:jc w:val="center"/>
      </w:pPr>
    </w:p>
    <w:p w14:paraId="10F8F46F" w14:textId="77777777" w:rsidR="001D27F0" w:rsidRDefault="001D27F0" w:rsidP="001D27F0">
      <w:pPr>
        <w:jc w:val="center"/>
      </w:pPr>
    </w:p>
    <w:p w14:paraId="79A2CF70" w14:textId="77777777" w:rsidR="001D27F0" w:rsidRDefault="001D27F0" w:rsidP="001D27F0">
      <w:pPr>
        <w:jc w:val="center"/>
      </w:pPr>
    </w:p>
    <w:p w14:paraId="029ACB22" w14:textId="77777777" w:rsidR="001D27F0" w:rsidRDefault="001D27F0" w:rsidP="001D27F0">
      <w:pPr>
        <w:jc w:val="center"/>
      </w:pPr>
    </w:p>
    <w:p w14:paraId="5F611F57" w14:textId="77777777" w:rsidR="001D27F0" w:rsidRDefault="001D27F0" w:rsidP="001D27F0">
      <w:pPr>
        <w:jc w:val="center"/>
      </w:pPr>
    </w:p>
    <w:p w14:paraId="066C15C6" w14:textId="77777777" w:rsidR="001D27F0" w:rsidRDefault="001D27F0" w:rsidP="001D27F0">
      <w:pPr>
        <w:jc w:val="center"/>
      </w:pPr>
    </w:p>
    <w:p w14:paraId="42B6A173" w14:textId="77777777" w:rsidR="001D27F0" w:rsidRDefault="001D27F0" w:rsidP="001D27F0">
      <w:pPr>
        <w:jc w:val="center"/>
      </w:pPr>
    </w:p>
    <w:p w14:paraId="3F0A64BF" w14:textId="77777777" w:rsidR="001D27F0" w:rsidRDefault="001D27F0" w:rsidP="001D27F0">
      <w:pPr>
        <w:jc w:val="center"/>
      </w:pPr>
    </w:p>
    <w:p w14:paraId="67F67D4B" w14:textId="77777777" w:rsidR="001D27F0" w:rsidRDefault="001D27F0" w:rsidP="001D27F0">
      <w:pPr>
        <w:jc w:val="center"/>
      </w:pPr>
    </w:p>
    <w:p w14:paraId="65A3CB4C" w14:textId="77777777" w:rsidR="001D27F0" w:rsidRDefault="001D27F0" w:rsidP="001D27F0">
      <w:pPr>
        <w:jc w:val="center"/>
      </w:pPr>
    </w:p>
    <w:p w14:paraId="3FAC68D3" w14:textId="77777777" w:rsidR="001D27F0" w:rsidRDefault="001D27F0" w:rsidP="001D27F0">
      <w:pPr>
        <w:jc w:val="center"/>
      </w:pPr>
    </w:p>
    <w:p w14:paraId="70ECCE15" w14:textId="77777777" w:rsidR="001D27F0" w:rsidRDefault="001D27F0" w:rsidP="001D27F0">
      <w:pPr>
        <w:jc w:val="center"/>
      </w:pPr>
    </w:p>
    <w:p w14:paraId="0638645F" w14:textId="77777777" w:rsidR="001D27F0" w:rsidRDefault="001D27F0" w:rsidP="001D27F0">
      <w:pPr>
        <w:jc w:val="center"/>
      </w:pPr>
    </w:p>
    <w:p w14:paraId="11FAC4D2" w14:textId="77777777" w:rsidR="001D27F0" w:rsidRDefault="001D27F0" w:rsidP="001D27F0">
      <w:pPr>
        <w:jc w:val="center"/>
      </w:pPr>
    </w:p>
    <w:p w14:paraId="6AF578A3" w14:textId="30E1B58B" w:rsidR="00845FA3" w:rsidRDefault="00845FA3" w:rsidP="00F90434">
      <w:pPr>
        <w:pStyle w:val="Heading3"/>
        <w:jc w:val="left"/>
      </w:pPr>
    </w:p>
    <w:p w14:paraId="7F86DE11" w14:textId="6D798BCF" w:rsidR="00A8238E" w:rsidRPr="00E144FE" w:rsidRDefault="00F81D32" w:rsidP="00E144FE">
      <w:pPr>
        <w:pStyle w:val="Heading3"/>
      </w:pPr>
      <w:bookmarkStart w:id="1" w:name="_Toc224080846"/>
      <w:r w:rsidRPr="00E144FE">
        <w:lastRenderedPageBreak/>
        <w:t>Introduction</w:t>
      </w:r>
      <w:bookmarkEnd w:id="1"/>
    </w:p>
    <w:p w14:paraId="18EED86C" w14:textId="77777777" w:rsidR="001D27F0" w:rsidRDefault="001D27F0" w:rsidP="001D27F0">
      <w:pPr>
        <w:jc w:val="center"/>
        <w:rPr>
          <w:b/>
          <w:bCs/>
          <w:sz w:val="28"/>
          <w:szCs w:val="28"/>
        </w:rPr>
      </w:pPr>
    </w:p>
    <w:p w14:paraId="330EA0D7" w14:textId="3DEAAE56" w:rsidR="001D27F0" w:rsidRPr="00845FA3" w:rsidRDefault="001D27F0" w:rsidP="00845FA3">
      <w:pPr>
        <w:spacing w:line="360" w:lineRule="auto"/>
        <w:jc w:val="both"/>
        <w:rPr>
          <w:rFonts w:ascii="Arial" w:hAnsi="Arial" w:cs="Arial"/>
          <w:color w:val="000000"/>
          <w:sz w:val="22"/>
          <w:szCs w:val="22"/>
        </w:rPr>
      </w:pPr>
      <w:r w:rsidRPr="00845FA3">
        <w:rPr>
          <w:rFonts w:ascii="Arial" w:hAnsi="Arial" w:cs="Arial"/>
          <w:color w:val="000000"/>
          <w:sz w:val="22"/>
          <w:szCs w:val="22"/>
        </w:rPr>
        <w:t xml:space="preserve">Founded in 1999 in the UK, Innocent Drinks is now a leading European smoothie and juice brand with a mission to promote natural, healthy living. Its vision </w:t>
      </w:r>
      <w:r w:rsidR="003043D4" w:rsidRPr="00845FA3">
        <w:rPr>
          <w:rFonts w:ascii="Arial" w:hAnsi="Arial" w:cs="Arial"/>
          <w:color w:val="000000"/>
          <w:sz w:val="22"/>
          <w:szCs w:val="22"/>
        </w:rPr>
        <w:t>prioritizes</w:t>
      </w:r>
      <w:r w:rsidRPr="00845FA3">
        <w:rPr>
          <w:rFonts w:ascii="Arial" w:hAnsi="Arial" w:cs="Arial"/>
          <w:color w:val="000000"/>
          <w:sz w:val="22"/>
          <w:szCs w:val="22"/>
        </w:rPr>
        <w:t xml:space="preserve"> sustainability, ethical sourcing, and stakeholder responsibility; as a B Corporation, Innocent invests in recyclable packaging and aims for net-zero carbon emissions by 2050. Although owned by The Coca-Cola Company, Innocent operates independently, balancing global reach with its ethical values, yet faces scrutiny over authenticity due to its corporate ownership.</w:t>
      </w:r>
    </w:p>
    <w:p w14:paraId="533D28E1" w14:textId="78DF6AE6" w:rsidR="001D27F0" w:rsidRPr="00845FA3" w:rsidRDefault="001D27F0" w:rsidP="00845FA3">
      <w:pPr>
        <w:spacing w:line="360" w:lineRule="auto"/>
        <w:jc w:val="both"/>
        <w:rPr>
          <w:rFonts w:ascii="Arial" w:hAnsi="Arial" w:cs="Arial"/>
          <w:color w:val="000000"/>
          <w:sz w:val="22"/>
          <w:szCs w:val="22"/>
        </w:rPr>
      </w:pPr>
      <w:r w:rsidRPr="00845FA3">
        <w:rPr>
          <w:rFonts w:ascii="Arial" w:hAnsi="Arial" w:cs="Arial"/>
          <w:color w:val="000000"/>
          <w:sz w:val="22"/>
          <w:szCs w:val="22"/>
        </w:rPr>
        <w:t xml:space="preserve">Innocent Drinks began as a small venture by three university friends who wanted to create fresh, natural smoothies without artificial ingredients. Over time, the company has grown into an influential player in the beverage sector, best known for its playful branding and emphasis on transparency. As part of its commitment to sustainability, Innocent sources fruit responsibly and collaborates with suppliers who adhere to fair </w:t>
      </w:r>
      <w:r w:rsidR="003043D4" w:rsidRPr="00845FA3">
        <w:rPr>
          <w:rFonts w:ascii="Arial" w:hAnsi="Arial" w:cs="Arial"/>
          <w:color w:val="000000"/>
          <w:sz w:val="22"/>
          <w:szCs w:val="22"/>
        </w:rPr>
        <w:t>labor</w:t>
      </w:r>
      <w:r w:rsidRPr="00845FA3">
        <w:rPr>
          <w:rFonts w:ascii="Arial" w:hAnsi="Arial" w:cs="Arial"/>
          <w:color w:val="000000"/>
          <w:sz w:val="22"/>
          <w:szCs w:val="22"/>
        </w:rPr>
        <w:t xml:space="preserve"> and environmental standards. It also supports various community initiatives, such as donating a portion of profits to charitable causes and running campaigns that encourage healthier lifestyles. Despite its acquisition by The Coca-Cola Company, Innocent maintains operational independence and continues to be guided by its founding principles. However, some critics question whether it can fully uphold its ethical promises under multinational ownership, highlighting ongoing debates around corporate social responsibility and authenticity.</w:t>
      </w:r>
    </w:p>
    <w:p w14:paraId="1C37BB77" w14:textId="77777777" w:rsidR="001D27F0" w:rsidRPr="00845FA3" w:rsidRDefault="001D27F0" w:rsidP="00845FA3">
      <w:pPr>
        <w:spacing w:line="360" w:lineRule="auto"/>
        <w:jc w:val="both"/>
        <w:rPr>
          <w:rFonts w:ascii="Arial" w:hAnsi="Arial" w:cs="Arial"/>
          <w:b/>
          <w:bCs/>
          <w:sz w:val="28"/>
          <w:szCs w:val="28"/>
        </w:rPr>
      </w:pPr>
    </w:p>
    <w:p w14:paraId="1028E975" w14:textId="77777777" w:rsidR="00A8238E" w:rsidRDefault="00A8238E" w:rsidP="001F1645"/>
    <w:p w14:paraId="2FBFF014" w14:textId="77777777" w:rsidR="00A8238E" w:rsidRDefault="00A8238E" w:rsidP="001F1645"/>
    <w:p w14:paraId="39DD7C9B" w14:textId="77777777" w:rsidR="00A8238E" w:rsidRDefault="00A8238E" w:rsidP="001F1645"/>
    <w:p w14:paraId="46A9E53B" w14:textId="77777777" w:rsidR="00A8238E" w:rsidRDefault="00A8238E" w:rsidP="001F1645"/>
    <w:p w14:paraId="6ED9D2E2" w14:textId="77777777" w:rsidR="00A8238E" w:rsidRDefault="00A8238E" w:rsidP="001F1645"/>
    <w:p w14:paraId="7396B2F2" w14:textId="77777777" w:rsidR="00A8238E" w:rsidRDefault="00A8238E" w:rsidP="001F1645"/>
    <w:p w14:paraId="1D745F18" w14:textId="77777777" w:rsidR="00A8238E" w:rsidRDefault="00A8238E" w:rsidP="001F1645"/>
    <w:p w14:paraId="46E081CD" w14:textId="77777777" w:rsidR="00A8238E" w:rsidRDefault="00A8238E" w:rsidP="001F1645"/>
    <w:p w14:paraId="16D8D934" w14:textId="77777777" w:rsidR="00A8238E" w:rsidRDefault="00A8238E" w:rsidP="001F1645"/>
    <w:p w14:paraId="6B22958B" w14:textId="77777777" w:rsidR="00A8238E" w:rsidRDefault="00A8238E" w:rsidP="001F1645"/>
    <w:p w14:paraId="4A9F01F8" w14:textId="77777777" w:rsidR="00A8238E" w:rsidRDefault="00A8238E" w:rsidP="001F1645"/>
    <w:p w14:paraId="2003FDC9" w14:textId="77777777" w:rsidR="00A8238E" w:rsidRDefault="00A8238E" w:rsidP="001F1645"/>
    <w:p w14:paraId="3087BD7C" w14:textId="77777777" w:rsidR="00A8238E" w:rsidRDefault="00A8238E" w:rsidP="001F1645"/>
    <w:p w14:paraId="740D1101" w14:textId="77777777" w:rsidR="00A8238E" w:rsidRDefault="00A8238E" w:rsidP="001F1645"/>
    <w:p w14:paraId="54AD5B63" w14:textId="77777777" w:rsidR="00A8238E" w:rsidRDefault="00A8238E" w:rsidP="001F1645"/>
    <w:p w14:paraId="6CF2DCD8" w14:textId="77777777" w:rsidR="00A8238E" w:rsidRDefault="00A8238E" w:rsidP="001F1645"/>
    <w:p w14:paraId="2D638BB1" w14:textId="77777777" w:rsidR="00A8238E" w:rsidRDefault="00A8238E" w:rsidP="001F1645"/>
    <w:p w14:paraId="2168134D" w14:textId="77777777" w:rsidR="00A8238E" w:rsidRDefault="00A8238E" w:rsidP="001F1645"/>
    <w:p w14:paraId="4E444D12" w14:textId="77777777" w:rsidR="00A8238E" w:rsidRDefault="00A8238E" w:rsidP="001F1645"/>
    <w:p w14:paraId="14C8ABF8" w14:textId="77777777" w:rsidR="00A8238E" w:rsidRDefault="00A8238E" w:rsidP="001F1645"/>
    <w:p w14:paraId="72790093" w14:textId="77777777" w:rsidR="00A8238E" w:rsidRDefault="00A8238E" w:rsidP="001F1645"/>
    <w:p w14:paraId="5FAF19A4" w14:textId="77777777" w:rsidR="00A8238E" w:rsidRDefault="00A8238E" w:rsidP="001F1645"/>
    <w:p w14:paraId="14A79F77" w14:textId="77777777" w:rsidR="00A8238E" w:rsidRDefault="00A8238E" w:rsidP="001F1645"/>
    <w:p w14:paraId="192E70BE" w14:textId="77777777" w:rsidR="00A8238E" w:rsidRDefault="00A8238E" w:rsidP="001F1645"/>
    <w:p w14:paraId="379FBFAF" w14:textId="77777777" w:rsidR="00A8238E" w:rsidRDefault="00A8238E" w:rsidP="001F1645"/>
    <w:p w14:paraId="25B5A86F" w14:textId="77777777" w:rsidR="00A8238E" w:rsidRDefault="00A8238E" w:rsidP="001F1645"/>
    <w:p w14:paraId="6F41B6CB" w14:textId="77777777" w:rsidR="00F90434" w:rsidRDefault="00F90434" w:rsidP="00E40494">
      <w:pPr>
        <w:pStyle w:val="Heading3"/>
        <w:jc w:val="left"/>
      </w:pPr>
    </w:p>
    <w:p w14:paraId="1C0D4273" w14:textId="008E5439" w:rsidR="001D3CA2" w:rsidRPr="00E144FE" w:rsidRDefault="00F81D32" w:rsidP="00E144FE">
      <w:pPr>
        <w:pStyle w:val="Heading3"/>
      </w:pPr>
      <w:bookmarkStart w:id="2" w:name="_Toc224080847"/>
      <w:r w:rsidRPr="00E144FE">
        <w:lastRenderedPageBreak/>
        <w:t>Evaluation of current market situation</w:t>
      </w:r>
      <w:r w:rsidR="000806C2" w:rsidRPr="00E144FE">
        <w:t>.</w:t>
      </w:r>
      <w:bookmarkEnd w:id="2"/>
    </w:p>
    <w:p w14:paraId="63164EEB" w14:textId="19A4D8A6" w:rsidR="00581455" w:rsidRPr="00E615DA" w:rsidRDefault="00581455" w:rsidP="00253FF4">
      <w:pPr>
        <w:spacing w:line="360" w:lineRule="auto"/>
        <w:jc w:val="both"/>
        <w:rPr>
          <w:rFonts w:ascii="Arial" w:hAnsi="Arial" w:cs="Arial"/>
          <w:color w:val="000000"/>
          <w:sz w:val="22"/>
          <w:szCs w:val="22"/>
        </w:rPr>
      </w:pPr>
      <w:r w:rsidRPr="00E615DA">
        <w:rPr>
          <w:rFonts w:ascii="Arial" w:hAnsi="Arial" w:cs="Arial"/>
          <w:color w:val="000000"/>
          <w:sz w:val="22"/>
          <w:szCs w:val="22"/>
        </w:rPr>
        <w:t xml:space="preserve">The PESTEL framework provides a systematic way to </w:t>
      </w:r>
      <w:r w:rsidR="00894996" w:rsidRPr="00E615DA">
        <w:rPr>
          <w:rFonts w:ascii="Arial" w:hAnsi="Arial" w:cs="Arial"/>
          <w:color w:val="000000"/>
          <w:sz w:val="22"/>
          <w:szCs w:val="22"/>
        </w:rPr>
        <w:t>analyze</w:t>
      </w:r>
      <w:r w:rsidRPr="00E615DA">
        <w:rPr>
          <w:rFonts w:ascii="Arial" w:hAnsi="Arial" w:cs="Arial"/>
          <w:color w:val="000000"/>
          <w:sz w:val="22"/>
          <w:szCs w:val="22"/>
        </w:rPr>
        <w:t xml:space="preserve"> the broad environmental factors affecting Innocent Drinks’ strategy, especially in the highly regulated and sustainability-focused beverage industry. Political factors such as sugar taxes, environmental regulations, and post-Brexit trade changes have direct impacts on costs and supply chains. In addition, changing consumer health awareness and climate concerns continue to influence industry competition (Johnson, </w:t>
      </w:r>
      <w:r w:rsidR="0074785C" w:rsidRPr="00E615DA">
        <w:rPr>
          <w:rFonts w:ascii="Arial" w:hAnsi="Arial" w:cs="Arial"/>
          <w:color w:val="000000"/>
          <w:sz w:val="22"/>
          <w:szCs w:val="22"/>
        </w:rPr>
        <w:t>Scholes,</w:t>
      </w:r>
      <w:r w:rsidRPr="00E615DA">
        <w:rPr>
          <w:rFonts w:ascii="Arial" w:hAnsi="Arial" w:cs="Arial"/>
          <w:color w:val="000000"/>
          <w:sz w:val="22"/>
          <w:szCs w:val="22"/>
        </w:rPr>
        <w:t xml:space="preserve"> and Whittington, 2017). Applying PESTEL enables Innocent Drinks to anticipate major challenges and align its ethical values with long-term environmental and socio-economic trends (Yüksel, 2012).</w:t>
      </w:r>
    </w:p>
    <w:p w14:paraId="58BD193B" w14:textId="77777777" w:rsidR="0002786E" w:rsidRPr="00E615DA" w:rsidRDefault="0002786E" w:rsidP="00253FF4">
      <w:pPr>
        <w:spacing w:line="360" w:lineRule="auto"/>
        <w:jc w:val="both"/>
        <w:rPr>
          <w:rFonts w:ascii="Arial" w:hAnsi="Arial" w:cs="Arial"/>
          <w:b/>
          <w:bCs/>
          <w:color w:val="000000"/>
          <w:sz w:val="22"/>
          <w:szCs w:val="22"/>
        </w:rPr>
      </w:pPr>
    </w:p>
    <w:p w14:paraId="2AE6F37F" w14:textId="29D258BC" w:rsidR="00581455" w:rsidRPr="0002786E" w:rsidRDefault="0002786E" w:rsidP="00E144FE">
      <w:pPr>
        <w:pStyle w:val="Heading5"/>
        <w:rPr>
          <w:lang w:val="en-GB"/>
        </w:rPr>
      </w:pPr>
      <w:r w:rsidRPr="0002786E">
        <w:t xml:space="preserve">Figure 1 </w:t>
      </w:r>
      <w:r w:rsidRPr="0002786E">
        <w:rPr>
          <w:lang w:val="en-GB"/>
        </w:rPr>
        <w:t>PESTEL Analysis</w:t>
      </w:r>
    </w:p>
    <w:tbl>
      <w:tblPr>
        <w:tblStyle w:val="GridTable5Dark-Accent3"/>
        <w:tblW w:w="0" w:type="auto"/>
        <w:tblLook w:val="04A0" w:firstRow="1" w:lastRow="0" w:firstColumn="1" w:lastColumn="0" w:noHBand="0" w:noVBand="1"/>
      </w:tblPr>
      <w:tblGrid>
        <w:gridCol w:w="1745"/>
        <w:gridCol w:w="2168"/>
        <w:gridCol w:w="4093"/>
        <w:gridCol w:w="2784"/>
      </w:tblGrid>
      <w:tr w:rsidR="00B106C2" w:rsidRPr="005E1235" w14:paraId="171DC7A1" w14:textId="77777777" w:rsidTr="00E56F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09EA73" w14:textId="77777777" w:rsidR="00B106C2" w:rsidRPr="005E1235" w:rsidRDefault="00B106C2" w:rsidP="00253FF4">
            <w:pPr>
              <w:spacing w:line="360" w:lineRule="auto"/>
              <w:jc w:val="center"/>
              <w:rPr>
                <w:rFonts w:ascii="Arial" w:eastAsia="Times New Roman" w:hAnsi="Arial" w:cs="Arial"/>
                <w:b w:val="0"/>
                <w:bCs w:val="0"/>
                <w:sz w:val="22"/>
                <w:szCs w:val="22"/>
                <w:lang w:eastAsia="en-GB"/>
              </w:rPr>
            </w:pPr>
            <w:r w:rsidRPr="005E1235">
              <w:rPr>
                <w:rFonts w:ascii="Arial" w:eastAsia="Times New Roman" w:hAnsi="Arial" w:cs="Arial"/>
                <w:sz w:val="22"/>
                <w:szCs w:val="22"/>
                <w:lang w:eastAsia="en-GB"/>
              </w:rPr>
              <w:t>Factor</w:t>
            </w:r>
          </w:p>
        </w:tc>
        <w:tc>
          <w:tcPr>
            <w:tcW w:w="0" w:type="auto"/>
            <w:hideMark/>
          </w:tcPr>
          <w:p w14:paraId="1773EA5D" w14:textId="77777777" w:rsidR="00B106C2" w:rsidRPr="005E1235" w:rsidRDefault="00B106C2" w:rsidP="00253F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2"/>
                <w:szCs w:val="22"/>
                <w:lang w:eastAsia="en-GB"/>
              </w:rPr>
            </w:pPr>
            <w:r w:rsidRPr="005E1235">
              <w:rPr>
                <w:rFonts w:ascii="Arial" w:eastAsia="Times New Roman" w:hAnsi="Arial" w:cs="Arial"/>
                <w:sz w:val="22"/>
                <w:szCs w:val="22"/>
                <w:lang w:eastAsia="en-GB"/>
              </w:rPr>
              <w:t>Key Issue</w:t>
            </w:r>
          </w:p>
        </w:tc>
        <w:tc>
          <w:tcPr>
            <w:tcW w:w="0" w:type="auto"/>
            <w:hideMark/>
          </w:tcPr>
          <w:p w14:paraId="54F2A82F" w14:textId="77777777" w:rsidR="00B106C2" w:rsidRPr="005E1235" w:rsidRDefault="00B106C2" w:rsidP="00253F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2"/>
                <w:szCs w:val="22"/>
                <w:lang w:eastAsia="en-GB"/>
              </w:rPr>
            </w:pPr>
            <w:r w:rsidRPr="005E1235">
              <w:rPr>
                <w:rFonts w:ascii="Arial" w:eastAsia="Times New Roman" w:hAnsi="Arial" w:cs="Arial"/>
                <w:sz w:val="22"/>
                <w:szCs w:val="22"/>
                <w:lang w:eastAsia="en-GB"/>
              </w:rPr>
              <w:t>Application to Innocent Drinks</w:t>
            </w:r>
          </w:p>
        </w:tc>
        <w:tc>
          <w:tcPr>
            <w:tcW w:w="0" w:type="auto"/>
            <w:hideMark/>
          </w:tcPr>
          <w:p w14:paraId="7C2AF59F" w14:textId="77777777" w:rsidR="00B106C2" w:rsidRPr="005E1235" w:rsidRDefault="00B106C2" w:rsidP="00253FF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2"/>
                <w:szCs w:val="22"/>
                <w:lang w:eastAsia="en-GB"/>
              </w:rPr>
            </w:pPr>
            <w:r w:rsidRPr="005E1235">
              <w:rPr>
                <w:rFonts w:ascii="Arial" w:eastAsia="Times New Roman" w:hAnsi="Arial" w:cs="Arial"/>
                <w:sz w:val="22"/>
                <w:szCs w:val="22"/>
                <w:lang w:eastAsia="en-GB"/>
              </w:rPr>
              <w:t>Strategic Implication</w:t>
            </w:r>
          </w:p>
        </w:tc>
      </w:tr>
      <w:tr w:rsidR="00B106C2" w:rsidRPr="005E1235" w14:paraId="52C7D3B2" w14:textId="77777777" w:rsidTr="00E56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80307F" w14:textId="77777777" w:rsidR="00B106C2" w:rsidRPr="005E1235" w:rsidRDefault="00B106C2" w:rsidP="00253FF4">
            <w:pPr>
              <w:spacing w:line="360" w:lineRule="auto"/>
              <w:rPr>
                <w:rFonts w:ascii="Arial" w:eastAsia="Times New Roman" w:hAnsi="Arial" w:cs="Arial"/>
                <w:sz w:val="22"/>
                <w:szCs w:val="22"/>
                <w:lang w:eastAsia="en-GB"/>
              </w:rPr>
            </w:pPr>
            <w:bookmarkStart w:id="3" w:name="_Toc224080848"/>
            <w:r w:rsidRPr="005E1235">
              <w:rPr>
                <w:rStyle w:val="Heading1Char"/>
                <w:rFonts w:ascii="Arial" w:hAnsi="Arial" w:cs="Arial"/>
                <w:color w:val="EE0000"/>
                <w:sz w:val="22"/>
                <w:szCs w:val="22"/>
                <w:lang w:eastAsia="en-GB"/>
              </w:rPr>
              <w:t>P</w:t>
            </w:r>
            <w:bookmarkEnd w:id="3"/>
            <w:r w:rsidRPr="005E1235">
              <w:rPr>
                <w:rFonts w:ascii="Arial" w:eastAsia="Times New Roman" w:hAnsi="Arial" w:cs="Arial"/>
                <w:sz w:val="22"/>
                <w:szCs w:val="22"/>
                <w:lang w:eastAsia="en-GB"/>
              </w:rPr>
              <w:t>olitical</w:t>
            </w:r>
          </w:p>
        </w:tc>
        <w:tc>
          <w:tcPr>
            <w:tcW w:w="0" w:type="auto"/>
            <w:hideMark/>
          </w:tcPr>
          <w:p w14:paraId="0CD15D25" w14:textId="77777777"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Government regulation on sugar and public health</w:t>
            </w:r>
          </w:p>
        </w:tc>
        <w:tc>
          <w:tcPr>
            <w:tcW w:w="0" w:type="auto"/>
            <w:hideMark/>
          </w:tcPr>
          <w:p w14:paraId="56EF0239" w14:textId="77777777"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The UK Soft Drinks Industry Levy encouraged reformulation of beverages to reduce sugar content (HM Government, 2023). Innocent’s naturally low-added-sugar positioning reduced compliance pressure.</w:t>
            </w:r>
          </w:p>
        </w:tc>
        <w:tc>
          <w:tcPr>
            <w:tcW w:w="0" w:type="auto"/>
            <w:hideMark/>
          </w:tcPr>
          <w:p w14:paraId="2A351DE0" w14:textId="77777777"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Early alignment with health policy strengthens legitimacy and reduces regulatory risk.</w:t>
            </w:r>
          </w:p>
        </w:tc>
      </w:tr>
      <w:tr w:rsidR="00B106C2" w:rsidRPr="005E1235" w14:paraId="0ED6029B" w14:textId="77777777" w:rsidTr="00E56FFF">
        <w:tc>
          <w:tcPr>
            <w:cnfStyle w:val="001000000000" w:firstRow="0" w:lastRow="0" w:firstColumn="1" w:lastColumn="0" w:oddVBand="0" w:evenVBand="0" w:oddHBand="0" w:evenHBand="0" w:firstRowFirstColumn="0" w:firstRowLastColumn="0" w:lastRowFirstColumn="0" w:lastRowLastColumn="0"/>
            <w:tcW w:w="0" w:type="auto"/>
            <w:hideMark/>
          </w:tcPr>
          <w:p w14:paraId="57112BC7" w14:textId="77777777" w:rsidR="00B106C2" w:rsidRPr="005E1235" w:rsidRDefault="00B106C2" w:rsidP="00253FF4">
            <w:pPr>
              <w:spacing w:line="360" w:lineRule="auto"/>
              <w:rPr>
                <w:rFonts w:ascii="Arial" w:eastAsia="Times New Roman" w:hAnsi="Arial" w:cs="Arial"/>
                <w:sz w:val="22"/>
                <w:szCs w:val="22"/>
                <w:lang w:eastAsia="en-GB"/>
              </w:rPr>
            </w:pPr>
            <w:bookmarkStart w:id="4" w:name="_Toc224080849"/>
            <w:r w:rsidRPr="005E1235">
              <w:rPr>
                <w:rStyle w:val="Heading1Char"/>
                <w:rFonts w:ascii="Arial" w:hAnsi="Arial" w:cs="Arial"/>
                <w:color w:val="65ADE8" w:themeColor="accent3" w:themeTint="99"/>
                <w:sz w:val="22"/>
                <w:szCs w:val="22"/>
                <w:lang w:eastAsia="en-GB"/>
              </w:rPr>
              <w:t>E</w:t>
            </w:r>
            <w:bookmarkEnd w:id="4"/>
            <w:r w:rsidRPr="005E1235">
              <w:rPr>
                <w:rFonts w:ascii="Arial" w:eastAsia="Times New Roman" w:hAnsi="Arial" w:cs="Arial"/>
                <w:sz w:val="22"/>
                <w:szCs w:val="22"/>
                <w:lang w:eastAsia="en-GB"/>
              </w:rPr>
              <w:t>conomic</w:t>
            </w:r>
          </w:p>
        </w:tc>
        <w:tc>
          <w:tcPr>
            <w:tcW w:w="0" w:type="auto"/>
            <w:hideMark/>
          </w:tcPr>
          <w:p w14:paraId="48C96282"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Inflation and agricultural cost volatility</w:t>
            </w:r>
          </w:p>
        </w:tc>
        <w:tc>
          <w:tcPr>
            <w:tcW w:w="0" w:type="auto"/>
            <w:hideMark/>
          </w:tcPr>
          <w:p w14:paraId="70D500AC"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Rising fruit prices and energy costs increase production expenses across the beverage sector (OECD, 2023). Innocent’s premium pricing model offers partial insulation but remains vulnerable in prolonged downturns.</w:t>
            </w:r>
          </w:p>
        </w:tc>
        <w:tc>
          <w:tcPr>
            <w:tcW w:w="0" w:type="auto"/>
            <w:hideMark/>
          </w:tcPr>
          <w:p w14:paraId="3687B275"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Cost pressures may compress margins, requiring operational efficiency without compromising ethical sourcing.</w:t>
            </w:r>
          </w:p>
        </w:tc>
      </w:tr>
      <w:tr w:rsidR="00B106C2" w:rsidRPr="005E1235" w14:paraId="427DC874" w14:textId="77777777" w:rsidTr="00E56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2EAE74" w14:textId="77777777" w:rsidR="00B106C2" w:rsidRPr="005E1235" w:rsidRDefault="00B106C2" w:rsidP="00253FF4">
            <w:pPr>
              <w:spacing w:line="360" w:lineRule="auto"/>
              <w:rPr>
                <w:rFonts w:ascii="Arial" w:eastAsia="Times New Roman" w:hAnsi="Arial" w:cs="Arial"/>
                <w:sz w:val="22"/>
                <w:szCs w:val="22"/>
                <w:lang w:eastAsia="en-GB"/>
              </w:rPr>
            </w:pPr>
            <w:bookmarkStart w:id="5" w:name="_Toc224080850"/>
            <w:r w:rsidRPr="005E1235">
              <w:rPr>
                <w:rStyle w:val="Heading1Char"/>
                <w:rFonts w:ascii="Arial" w:hAnsi="Arial" w:cs="Arial"/>
                <w:sz w:val="22"/>
                <w:szCs w:val="22"/>
                <w:lang w:eastAsia="en-GB"/>
              </w:rPr>
              <w:t>S</w:t>
            </w:r>
            <w:bookmarkEnd w:id="5"/>
            <w:r w:rsidRPr="005E1235">
              <w:rPr>
                <w:rFonts w:ascii="Arial" w:eastAsia="Times New Roman" w:hAnsi="Arial" w:cs="Arial"/>
                <w:sz w:val="22"/>
                <w:szCs w:val="22"/>
                <w:lang w:eastAsia="en-GB"/>
              </w:rPr>
              <w:t>ocial</w:t>
            </w:r>
          </w:p>
        </w:tc>
        <w:tc>
          <w:tcPr>
            <w:tcW w:w="0" w:type="auto"/>
            <w:hideMark/>
          </w:tcPr>
          <w:p w14:paraId="70E7702E" w14:textId="77777777"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Growth in health-conscious and plant-based consumption</w:t>
            </w:r>
          </w:p>
        </w:tc>
        <w:tc>
          <w:tcPr>
            <w:tcW w:w="0" w:type="auto"/>
            <w:hideMark/>
          </w:tcPr>
          <w:p w14:paraId="79C77EF5" w14:textId="02B39C19"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 xml:space="preserve">Demand for plant-based and functional beverages continues to rise, particularly among younger consumers (Statista, 2024). </w:t>
            </w:r>
            <w:r w:rsidR="0017666B" w:rsidRPr="005E1235">
              <w:rPr>
                <w:rFonts w:ascii="Arial" w:eastAsia="Times New Roman" w:hAnsi="Arial" w:cs="Arial"/>
                <w:sz w:val="22"/>
                <w:szCs w:val="22"/>
                <w:lang w:eastAsia="en-GB"/>
              </w:rPr>
              <w:t>Innocent</w:t>
            </w:r>
            <w:r w:rsidRPr="005E1235">
              <w:rPr>
                <w:rFonts w:ascii="Arial" w:eastAsia="Times New Roman" w:hAnsi="Arial" w:cs="Arial"/>
                <w:sz w:val="22"/>
                <w:szCs w:val="22"/>
                <w:lang w:eastAsia="en-GB"/>
              </w:rPr>
              <w:t xml:space="preserve"> smoothies and dairy-free ranges align strongly with this trend.</w:t>
            </w:r>
          </w:p>
        </w:tc>
        <w:tc>
          <w:tcPr>
            <w:tcW w:w="0" w:type="auto"/>
            <w:hideMark/>
          </w:tcPr>
          <w:p w14:paraId="755E6CB8" w14:textId="77777777"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Social trends reinforce Innocent’s differentiation strategy but require continuous product innovation.</w:t>
            </w:r>
          </w:p>
        </w:tc>
      </w:tr>
      <w:tr w:rsidR="00B106C2" w:rsidRPr="005E1235" w14:paraId="16101EA6" w14:textId="77777777" w:rsidTr="00E56FFF">
        <w:tc>
          <w:tcPr>
            <w:cnfStyle w:val="001000000000" w:firstRow="0" w:lastRow="0" w:firstColumn="1" w:lastColumn="0" w:oddVBand="0" w:evenVBand="0" w:oddHBand="0" w:evenHBand="0" w:firstRowFirstColumn="0" w:firstRowLastColumn="0" w:lastRowFirstColumn="0" w:lastRowLastColumn="0"/>
            <w:tcW w:w="0" w:type="auto"/>
            <w:hideMark/>
          </w:tcPr>
          <w:p w14:paraId="6E7FDC7C" w14:textId="77777777" w:rsidR="00B106C2" w:rsidRPr="005E1235" w:rsidRDefault="00B106C2" w:rsidP="00253FF4">
            <w:pPr>
              <w:spacing w:line="360" w:lineRule="auto"/>
              <w:rPr>
                <w:rFonts w:ascii="Arial" w:eastAsia="Times New Roman" w:hAnsi="Arial" w:cs="Arial"/>
                <w:sz w:val="22"/>
                <w:szCs w:val="22"/>
                <w:lang w:eastAsia="en-GB"/>
              </w:rPr>
            </w:pPr>
            <w:bookmarkStart w:id="6" w:name="_Toc224080851"/>
            <w:r w:rsidRPr="005E1235">
              <w:rPr>
                <w:rStyle w:val="Heading1Char"/>
                <w:rFonts w:ascii="Arial" w:hAnsi="Arial" w:cs="Arial"/>
                <w:color w:val="94B4D4" w:themeColor="accent5" w:themeShade="BF"/>
                <w:sz w:val="22"/>
                <w:szCs w:val="22"/>
                <w:lang w:eastAsia="en-GB"/>
              </w:rPr>
              <w:t>T</w:t>
            </w:r>
            <w:bookmarkEnd w:id="6"/>
            <w:r w:rsidRPr="005E1235">
              <w:rPr>
                <w:rFonts w:ascii="Arial" w:eastAsia="Times New Roman" w:hAnsi="Arial" w:cs="Arial"/>
                <w:sz w:val="22"/>
                <w:szCs w:val="22"/>
                <w:lang w:eastAsia="en-GB"/>
              </w:rPr>
              <w:t>echnological</w:t>
            </w:r>
          </w:p>
        </w:tc>
        <w:tc>
          <w:tcPr>
            <w:tcW w:w="0" w:type="auto"/>
            <w:hideMark/>
          </w:tcPr>
          <w:p w14:paraId="3A3A72CA"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Packaging innovation and traceability systems</w:t>
            </w:r>
          </w:p>
        </w:tc>
        <w:tc>
          <w:tcPr>
            <w:tcW w:w="0" w:type="auto"/>
            <w:hideMark/>
          </w:tcPr>
          <w:p w14:paraId="6F527F07"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Innocent conducts lifecycle assessments to reduce packaging impact and improve transparency (Innocent Drinks, 2023).</w:t>
            </w:r>
          </w:p>
        </w:tc>
        <w:tc>
          <w:tcPr>
            <w:tcW w:w="0" w:type="auto"/>
            <w:hideMark/>
          </w:tcPr>
          <w:p w14:paraId="4AE032F8"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Investment in sustainable packaging enhances brand trust but increases operational complexity.</w:t>
            </w:r>
          </w:p>
        </w:tc>
      </w:tr>
      <w:tr w:rsidR="00B106C2" w:rsidRPr="005E1235" w14:paraId="6206AE5A" w14:textId="77777777" w:rsidTr="00E56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7495E2" w14:textId="77777777" w:rsidR="00B106C2" w:rsidRPr="005E1235" w:rsidRDefault="00B106C2" w:rsidP="00253FF4">
            <w:pPr>
              <w:spacing w:line="360" w:lineRule="auto"/>
              <w:rPr>
                <w:rFonts w:ascii="Arial" w:eastAsia="Times New Roman" w:hAnsi="Arial" w:cs="Arial"/>
                <w:sz w:val="22"/>
                <w:szCs w:val="22"/>
                <w:lang w:eastAsia="en-GB"/>
              </w:rPr>
            </w:pPr>
            <w:bookmarkStart w:id="7" w:name="_Toc224080852"/>
            <w:r w:rsidRPr="005E1235">
              <w:rPr>
                <w:rStyle w:val="Heading1Char"/>
                <w:rFonts w:ascii="Arial" w:hAnsi="Arial" w:cs="Arial"/>
                <w:color w:val="FFC000"/>
                <w:sz w:val="22"/>
                <w:szCs w:val="22"/>
                <w:lang w:eastAsia="en-GB"/>
              </w:rPr>
              <w:t>E</w:t>
            </w:r>
            <w:bookmarkEnd w:id="7"/>
            <w:r w:rsidRPr="005E1235">
              <w:rPr>
                <w:rFonts w:ascii="Arial" w:eastAsia="Times New Roman" w:hAnsi="Arial" w:cs="Arial"/>
                <w:sz w:val="22"/>
                <w:szCs w:val="22"/>
                <w:lang w:eastAsia="en-GB"/>
              </w:rPr>
              <w:t>nvironmental</w:t>
            </w:r>
          </w:p>
        </w:tc>
        <w:tc>
          <w:tcPr>
            <w:tcW w:w="0" w:type="auto"/>
            <w:hideMark/>
          </w:tcPr>
          <w:p w14:paraId="2AA6AED5" w14:textId="77777777"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 xml:space="preserve">Climate change affecting </w:t>
            </w:r>
            <w:r w:rsidRPr="005E1235">
              <w:rPr>
                <w:rFonts w:ascii="Arial" w:eastAsia="Times New Roman" w:hAnsi="Arial" w:cs="Arial"/>
                <w:sz w:val="22"/>
                <w:szCs w:val="22"/>
                <w:lang w:eastAsia="en-GB"/>
              </w:rPr>
              <w:lastRenderedPageBreak/>
              <w:t>agricultural supply chains</w:t>
            </w:r>
          </w:p>
        </w:tc>
        <w:tc>
          <w:tcPr>
            <w:tcW w:w="0" w:type="auto"/>
            <w:hideMark/>
          </w:tcPr>
          <w:p w14:paraId="578DEFE7" w14:textId="77777777"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lastRenderedPageBreak/>
              <w:t>Extreme weather conditions increasingly disrupt fruit harvests and supply stability (WWF, 2023).</w:t>
            </w:r>
          </w:p>
        </w:tc>
        <w:tc>
          <w:tcPr>
            <w:tcW w:w="0" w:type="auto"/>
            <w:hideMark/>
          </w:tcPr>
          <w:p w14:paraId="7B39588A" w14:textId="77777777" w:rsidR="00B106C2" w:rsidRPr="005E1235" w:rsidRDefault="00B106C2" w:rsidP="00253FF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 xml:space="preserve">Long-term supplier partnerships and sustainable sourcing are </w:t>
            </w:r>
            <w:r w:rsidRPr="005E1235">
              <w:rPr>
                <w:rFonts w:ascii="Arial" w:eastAsia="Times New Roman" w:hAnsi="Arial" w:cs="Arial"/>
                <w:sz w:val="22"/>
                <w:szCs w:val="22"/>
                <w:lang w:eastAsia="en-GB"/>
              </w:rPr>
              <w:lastRenderedPageBreak/>
              <w:t>essential to mitigate climate risk.</w:t>
            </w:r>
          </w:p>
        </w:tc>
      </w:tr>
      <w:tr w:rsidR="00B106C2" w:rsidRPr="005E1235" w14:paraId="341EC05A" w14:textId="77777777" w:rsidTr="00E56FFF">
        <w:tc>
          <w:tcPr>
            <w:cnfStyle w:val="001000000000" w:firstRow="0" w:lastRow="0" w:firstColumn="1" w:lastColumn="0" w:oddVBand="0" w:evenVBand="0" w:oddHBand="0" w:evenHBand="0" w:firstRowFirstColumn="0" w:firstRowLastColumn="0" w:lastRowFirstColumn="0" w:lastRowLastColumn="0"/>
            <w:tcW w:w="0" w:type="auto"/>
            <w:hideMark/>
          </w:tcPr>
          <w:p w14:paraId="355B953A" w14:textId="77777777" w:rsidR="00B106C2" w:rsidRPr="005E1235" w:rsidRDefault="00B106C2" w:rsidP="00253FF4">
            <w:pPr>
              <w:spacing w:line="360" w:lineRule="auto"/>
              <w:rPr>
                <w:rFonts w:ascii="Arial" w:eastAsia="Times New Roman" w:hAnsi="Arial" w:cs="Arial"/>
                <w:sz w:val="22"/>
                <w:szCs w:val="22"/>
                <w:lang w:eastAsia="en-GB"/>
              </w:rPr>
            </w:pPr>
            <w:bookmarkStart w:id="8" w:name="_Toc224080853"/>
            <w:r w:rsidRPr="005E1235">
              <w:rPr>
                <w:rStyle w:val="Heading1Char"/>
                <w:rFonts w:ascii="Arial" w:hAnsi="Arial" w:cs="Arial"/>
                <w:color w:val="2B3890" w:themeColor="accent2"/>
                <w:sz w:val="22"/>
                <w:szCs w:val="22"/>
                <w:lang w:eastAsia="en-GB"/>
              </w:rPr>
              <w:lastRenderedPageBreak/>
              <w:t>L</w:t>
            </w:r>
            <w:bookmarkEnd w:id="8"/>
            <w:r w:rsidRPr="005E1235">
              <w:rPr>
                <w:rFonts w:ascii="Arial" w:eastAsia="Times New Roman" w:hAnsi="Arial" w:cs="Arial"/>
                <w:sz w:val="22"/>
                <w:szCs w:val="22"/>
                <w:lang w:eastAsia="en-GB"/>
              </w:rPr>
              <w:t>egal</w:t>
            </w:r>
          </w:p>
        </w:tc>
        <w:tc>
          <w:tcPr>
            <w:tcW w:w="0" w:type="auto"/>
            <w:hideMark/>
          </w:tcPr>
          <w:p w14:paraId="1578A671"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Greenwashing scrutiny and advertising standards</w:t>
            </w:r>
          </w:p>
        </w:tc>
        <w:tc>
          <w:tcPr>
            <w:tcW w:w="0" w:type="auto"/>
            <w:hideMark/>
          </w:tcPr>
          <w:p w14:paraId="509604C2"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The UK Green Claims Code requires environmental claims to be accurate and evidence-based (CMA, 2023).</w:t>
            </w:r>
          </w:p>
        </w:tc>
        <w:tc>
          <w:tcPr>
            <w:tcW w:w="0" w:type="auto"/>
            <w:hideMark/>
          </w:tcPr>
          <w:p w14:paraId="264159CC" w14:textId="77777777" w:rsidR="00B106C2" w:rsidRPr="005E1235" w:rsidRDefault="00B106C2" w:rsidP="00253FF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5E1235">
              <w:rPr>
                <w:rFonts w:ascii="Arial" w:eastAsia="Times New Roman" w:hAnsi="Arial" w:cs="Arial"/>
                <w:sz w:val="22"/>
                <w:szCs w:val="22"/>
                <w:lang w:eastAsia="en-GB"/>
              </w:rPr>
              <w:t>Transparency in sustainability reporting is critical to maintaining reputational credibility.</w:t>
            </w:r>
          </w:p>
        </w:tc>
      </w:tr>
    </w:tbl>
    <w:p w14:paraId="53758489" w14:textId="77777777" w:rsidR="00A8238E" w:rsidRDefault="00A8238E" w:rsidP="001F1645"/>
    <w:p w14:paraId="343D4701" w14:textId="2FB6F6EA" w:rsidR="00581455" w:rsidRPr="009136B3" w:rsidRDefault="00EE7559" w:rsidP="00097324">
      <w:pPr>
        <w:pStyle w:val="Heading4"/>
      </w:pPr>
      <w:r w:rsidRPr="009136B3">
        <w:t xml:space="preserve">Porter’s Five Forces Analysis </w:t>
      </w:r>
    </w:p>
    <w:p w14:paraId="2DD9B360" w14:textId="6313DDF0" w:rsidR="00581455" w:rsidRDefault="00581455" w:rsidP="00D94EDF">
      <w:pPr>
        <w:spacing w:line="360" w:lineRule="auto"/>
        <w:jc w:val="both"/>
        <w:rPr>
          <w:rFonts w:ascii="Arial" w:hAnsi="Arial" w:cs="Arial"/>
          <w:color w:val="000000"/>
          <w:sz w:val="22"/>
          <w:szCs w:val="22"/>
        </w:rPr>
      </w:pPr>
      <w:r w:rsidRPr="00D94EDF">
        <w:rPr>
          <w:rFonts w:ascii="Arial" w:hAnsi="Arial" w:cs="Arial"/>
          <w:color w:val="000000"/>
          <w:sz w:val="22"/>
          <w:szCs w:val="22"/>
        </w:rPr>
        <w:t xml:space="preserve">Porter’s Five Forces is used to examine the competitive environment of the UK smoothie and soft drinks market in relation to Innocent Drinks. Key elements include </w:t>
      </w:r>
      <w:r w:rsidR="00F209B1" w:rsidRPr="00D94EDF">
        <w:rPr>
          <w:rFonts w:ascii="Arial" w:hAnsi="Arial" w:cs="Arial"/>
          <w:color w:val="000000"/>
          <w:sz w:val="22"/>
          <w:szCs w:val="22"/>
        </w:rPr>
        <w:t>intense competition</w:t>
      </w:r>
      <w:r w:rsidRPr="00D94EDF">
        <w:rPr>
          <w:rFonts w:ascii="Arial" w:hAnsi="Arial" w:cs="Arial"/>
          <w:color w:val="000000"/>
          <w:sz w:val="22"/>
          <w:szCs w:val="22"/>
        </w:rPr>
        <w:t>, many substitute products, and the significant power of large retailers such as supermarkets, all of which affect profitability and strategic decisions in the sector (Porter, 1979). This framework supports analysis of how Innocent Drinks’ focus on ethical branding and sustainability addresses structural challenges in the industry (Grundy, 2006).</w:t>
      </w:r>
    </w:p>
    <w:p w14:paraId="7FB31BEE" w14:textId="77777777" w:rsidR="00321724" w:rsidRPr="00D94EDF" w:rsidRDefault="00321724" w:rsidP="00D94EDF">
      <w:pPr>
        <w:spacing w:line="360" w:lineRule="auto"/>
        <w:jc w:val="both"/>
        <w:rPr>
          <w:rFonts w:ascii="Arial" w:hAnsi="Arial" w:cs="Arial"/>
          <w:color w:val="000000"/>
          <w:sz w:val="22"/>
          <w:szCs w:val="22"/>
        </w:rPr>
      </w:pPr>
    </w:p>
    <w:p w14:paraId="7364F605" w14:textId="13EEEBEC" w:rsidR="00D96ABB" w:rsidRPr="00321724" w:rsidRDefault="00A52F86" w:rsidP="00E144FE">
      <w:pPr>
        <w:pStyle w:val="Heading5"/>
        <w:rPr>
          <w:lang w:val="en-GB"/>
        </w:rPr>
      </w:pPr>
      <w:r w:rsidRPr="00321724">
        <w:t xml:space="preserve">Figure </w:t>
      </w:r>
      <w:r w:rsidR="00321724" w:rsidRPr="00321724">
        <w:t xml:space="preserve">2 </w:t>
      </w:r>
      <w:r w:rsidR="00321724" w:rsidRPr="00321724">
        <w:rPr>
          <w:lang w:val="en-GB"/>
        </w:rPr>
        <w:t xml:space="preserve">Porter’s Five Forces Analysis </w:t>
      </w:r>
    </w:p>
    <w:tbl>
      <w:tblPr>
        <w:tblStyle w:val="GridTable1Light-Accent2"/>
        <w:tblW w:w="0" w:type="auto"/>
        <w:tblLook w:val="04A0" w:firstRow="1" w:lastRow="0" w:firstColumn="1" w:lastColumn="0" w:noHBand="0" w:noVBand="1"/>
      </w:tblPr>
      <w:tblGrid>
        <w:gridCol w:w="1905"/>
        <w:gridCol w:w="1448"/>
        <w:gridCol w:w="4169"/>
        <w:gridCol w:w="3268"/>
      </w:tblGrid>
      <w:tr w:rsidR="00EE7559" w:rsidRPr="00D94EDF" w14:paraId="1E36DC04" w14:textId="77777777" w:rsidTr="007B02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37291C" w14:textId="77777777" w:rsidR="00EE7559" w:rsidRPr="00D94EDF" w:rsidRDefault="00EE7559" w:rsidP="00D94EDF">
            <w:pPr>
              <w:spacing w:line="360" w:lineRule="auto"/>
              <w:jc w:val="center"/>
              <w:rPr>
                <w:rFonts w:ascii="Arial" w:eastAsia="Times New Roman" w:hAnsi="Arial" w:cs="Arial"/>
                <w:sz w:val="22"/>
                <w:szCs w:val="22"/>
                <w:lang w:eastAsia="en-GB"/>
              </w:rPr>
            </w:pPr>
            <w:r w:rsidRPr="00D94EDF">
              <w:rPr>
                <w:rFonts w:ascii="Arial" w:eastAsia="Times New Roman" w:hAnsi="Arial" w:cs="Arial"/>
                <w:sz w:val="22"/>
                <w:szCs w:val="22"/>
                <w:lang w:eastAsia="en-GB"/>
              </w:rPr>
              <w:t>Force</w:t>
            </w:r>
          </w:p>
        </w:tc>
        <w:tc>
          <w:tcPr>
            <w:tcW w:w="0" w:type="auto"/>
            <w:hideMark/>
          </w:tcPr>
          <w:p w14:paraId="2030D4B1" w14:textId="77777777" w:rsidR="00EE7559" w:rsidRPr="00D94EDF" w:rsidRDefault="00EE7559" w:rsidP="00D94ED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Industry Condition</w:t>
            </w:r>
          </w:p>
        </w:tc>
        <w:tc>
          <w:tcPr>
            <w:tcW w:w="0" w:type="auto"/>
            <w:hideMark/>
          </w:tcPr>
          <w:p w14:paraId="0C5C42A6" w14:textId="77777777" w:rsidR="00EE7559" w:rsidRPr="00D94EDF" w:rsidRDefault="00EE7559" w:rsidP="00D94ED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Evidence &amp; Application</w:t>
            </w:r>
          </w:p>
        </w:tc>
        <w:tc>
          <w:tcPr>
            <w:tcW w:w="0" w:type="auto"/>
            <w:hideMark/>
          </w:tcPr>
          <w:p w14:paraId="4A75A48F" w14:textId="77777777" w:rsidR="00EE7559" w:rsidRPr="00D94EDF" w:rsidRDefault="00EE7559" w:rsidP="00D94ED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Strategic Impact</w:t>
            </w:r>
          </w:p>
        </w:tc>
      </w:tr>
      <w:tr w:rsidR="00EE7559" w:rsidRPr="00D94EDF" w14:paraId="260C8FE2" w14:textId="77777777" w:rsidTr="007B0206">
        <w:tc>
          <w:tcPr>
            <w:cnfStyle w:val="001000000000" w:firstRow="0" w:lastRow="0" w:firstColumn="1" w:lastColumn="0" w:oddVBand="0" w:evenVBand="0" w:oddHBand="0" w:evenHBand="0" w:firstRowFirstColumn="0" w:firstRowLastColumn="0" w:lastRowFirstColumn="0" w:lastRowLastColumn="0"/>
            <w:tcW w:w="0" w:type="auto"/>
            <w:hideMark/>
          </w:tcPr>
          <w:p w14:paraId="39A345AB" w14:textId="77777777" w:rsidR="00EE7559" w:rsidRPr="00D94EDF" w:rsidRDefault="00EE7559" w:rsidP="00D94EDF">
            <w:pPr>
              <w:spacing w:line="360" w:lineRule="auto"/>
              <w:rPr>
                <w:rFonts w:ascii="Arial" w:eastAsia="Times New Roman" w:hAnsi="Arial" w:cs="Arial"/>
                <w:sz w:val="22"/>
                <w:szCs w:val="22"/>
                <w:lang w:eastAsia="en-GB"/>
              </w:rPr>
            </w:pPr>
            <w:r w:rsidRPr="00D94EDF">
              <w:rPr>
                <w:rFonts w:ascii="Arial" w:eastAsia="Times New Roman" w:hAnsi="Arial" w:cs="Arial"/>
                <w:sz w:val="22"/>
                <w:szCs w:val="22"/>
                <w:lang w:eastAsia="en-GB"/>
              </w:rPr>
              <w:t>Competitive Rivalry</w:t>
            </w:r>
          </w:p>
        </w:tc>
        <w:tc>
          <w:tcPr>
            <w:tcW w:w="0" w:type="auto"/>
            <w:hideMark/>
          </w:tcPr>
          <w:p w14:paraId="47B47E26"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High</w:t>
            </w:r>
          </w:p>
        </w:tc>
        <w:tc>
          <w:tcPr>
            <w:tcW w:w="0" w:type="auto"/>
            <w:hideMark/>
          </w:tcPr>
          <w:p w14:paraId="72584727"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The health beverage market includes multinational brands and agile start-ups competing on health and sustainability claims (Mintel, 2024).</w:t>
            </w:r>
          </w:p>
        </w:tc>
        <w:tc>
          <w:tcPr>
            <w:tcW w:w="0" w:type="auto"/>
            <w:hideMark/>
          </w:tcPr>
          <w:p w14:paraId="3FAE8AB8" w14:textId="306FF49C"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 xml:space="preserve">Differentiation must be reinforced continuously to avoid </w:t>
            </w:r>
            <w:r w:rsidR="00D92145" w:rsidRPr="00D94EDF">
              <w:rPr>
                <w:rFonts w:ascii="Arial" w:eastAsia="Times New Roman" w:hAnsi="Arial" w:cs="Arial"/>
                <w:sz w:val="22"/>
                <w:szCs w:val="22"/>
                <w:lang w:eastAsia="en-GB"/>
              </w:rPr>
              <w:t>commoditization</w:t>
            </w:r>
            <w:r w:rsidRPr="00D94EDF">
              <w:rPr>
                <w:rFonts w:ascii="Arial" w:eastAsia="Times New Roman" w:hAnsi="Arial" w:cs="Arial"/>
                <w:sz w:val="22"/>
                <w:szCs w:val="22"/>
                <w:lang w:eastAsia="en-GB"/>
              </w:rPr>
              <w:t>.</w:t>
            </w:r>
          </w:p>
        </w:tc>
      </w:tr>
      <w:tr w:rsidR="00EE7559" w:rsidRPr="00D94EDF" w14:paraId="401ABF85" w14:textId="77777777" w:rsidTr="007B0206">
        <w:tc>
          <w:tcPr>
            <w:cnfStyle w:val="001000000000" w:firstRow="0" w:lastRow="0" w:firstColumn="1" w:lastColumn="0" w:oddVBand="0" w:evenVBand="0" w:oddHBand="0" w:evenHBand="0" w:firstRowFirstColumn="0" w:firstRowLastColumn="0" w:lastRowFirstColumn="0" w:lastRowLastColumn="0"/>
            <w:tcW w:w="0" w:type="auto"/>
            <w:hideMark/>
          </w:tcPr>
          <w:p w14:paraId="4AF89F2D" w14:textId="77777777" w:rsidR="00EE7559" w:rsidRPr="00D94EDF" w:rsidRDefault="00EE7559" w:rsidP="00D94EDF">
            <w:pPr>
              <w:spacing w:line="360" w:lineRule="auto"/>
              <w:rPr>
                <w:rFonts w:ascii="Arial" w:eastAsia="Times New Roman" w:hAnsi="Arial" w:cs="Arial"/>
                <w:sz w:val="22"/>
                <w:szCs w:val="22"/>
                <w:lang w:eastAsia="en-GB"/>
              </w:rPr>
            </w:pPr>
            <w:r w:rsidRPr="00D94EDF">
              <w:rPr>
                <w:rFonts w:ascii="Arial" w:eastAsia="Times New Roman" w:hAnsi="Arial" w:cs="Arial"/>
                <w:sz w:val="22"/>
                <w:szCs w:val="22"/>
                <w:lang w:eastAsia="en-GB"/>
              </w:rPr>
              <w:t>Threat of New Entrants</w:t>
            </w:r>
          </w:p>
        </w:tc>
        <w:tc>
          <w:tcPr>
            <w:tcW w:w="0" w:type="auto"/>
            <w:hideMark/>
          </w:tcPr>
          <w:p w14:paraId="3EFF6587"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Moderate</w:t>
            </w:r>
          </w:p>
        </w:tc>
        <w:tc>
          <w:tcPr>
            <w:tcW w:w="0" w:type="auto"/>
            <w:hideMark/>
          </w:tcPr>
          <w:p w14:paraId="66E6C043" w14:textId="30AA49FD"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 xml:space="preserve">Brand loyalty and distribution networks create barriers, yet digital-first ethical brands can enter with </w:t>
            </w:r>
            <w:r w:rsidR="0074785C" w:rsidRPr="00D94EDF">
              <w:rPr>
                <w:rFonts w:ascii="Arial" w:eastAsia="Times New Roman" w:hAnsi="Arial" w:cs="Arial"/>
                <w:sz w:val="22"/>
                <w:szCs w:val="22"/>
                <w:lang w:eastAsia="en-GB"/>
              </w:rPr>
              <w:t>low</w:t>
            </w:r>
            <w:r w:rsidRPr="00D94EDF">
              <w:rPr>
                <w:rFonts w:ascii="Arial" w:eastAsia="Times New Roman" w:hAnsi="Arial" w:cs="Arial"/>
                <w:sz w:val="22"/>
                <w:szCs w:val="22"/>
                <w:lang w:eastAsia="en-GB"/>
              </w:rPr>
              <w:t xml:space="preserve"> capital investment.</w:t>
            </w:r>
          </w:p>
        </w:tc>
        <w:tc>
          <w:tcPr>
            <w:tcW w:w="0" w:type="auto"/>
            <w:hideMark/>
          </w:tcPr>
          <w:p w14:paraId="3D6AAA79" w14:textId="47A3CDC8"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 xml:space="preserve">Brand equity and trust </w:t>
            </w:r>
            <w:r w:rsidR="0074785C" w:rsidRPr="00D94EDF">
              <w:rPr>
                <w:rFonts w:ascii="Arial" w:eastAsia="Times New Roman" w:hAnsi="Arial" w:cs="Arial"/>
                <w:sz w:val="22"/>
                <w:szCs w:val="22"/>
                <w:lang w:eastAsia="en-GB"/>
              </w:rPr>
              <w:t>function as</w:t>
            </w:r>
            <w:r w:rsidRPr="00D94EDF">
              <w:rPr>
                <w:rFonts w:ascii="Arial" w:eastAsia="Times New Roman" w:hAnsi="Arial" w:cs="Arial"/>
                <w:sz w:val="22"/>
                <w:szCs w:val="22"/>
                <w:lang w:eastAsia="en-GB"/>
              </w:rPr>
              <w:t xml:space="preserve"> key defensive assets.</w:t>
            </w:r>
          </w:p>
        </w:tc>
      </w:tr>
      <w:tr w:rsidR="00EE7559" w:rsidRPr="00D94EDF" w14:paraId="27577DB7" w14:textId="77777777" w:rsidTr="007B0206">
        <w:tc>
          <w:tcPr>
            <w:cnfStyle w:val="001000000000" w:firstRow="0" w:lastRow="0" w:firstColumn="1" w:lastColumn="0" w:oddVBand="0" w:evenVBand="0" w:oddHBand="0" w:evenHBand="0" w:firstRowFirstColumn="0" w:firstRowLastColumn="0" w:lastRowFirstColumn="0" w:lastRowLastColumn="0"/>
            <w:tcW w:w="0" w:type="auto"/>
            <w:hideMark/>
          </w:tcPr>
          <w:p w14:paraId="5D3229CE" w14:textId="77777777" w:rsidR="00EE7559" w:rsidRPr="00D94EDF" w:rsidRDefault="00EE7559" w:rsidP="00D94EDF">
            <w:pPr>
              <w:spacing w:line="360" w:lineRule="auto"/>
              <w:rPr>
                <w:rFonts w:ascii="Arial" w:eastAsia="Times New Roman" w:hAnsi="Arial" w:cs="Arial"/>
                <w:sz w:val="22"/>
                <w:szCs w:val="22"/>
                <w:lang w:eastAsia="en-GB"/>
              </w:rPr>
            </w:pPr>
            <w:r w:rsidRPr="00D94EDF">
              <w:rPr>
                <w:rFonts w:ascii="Arial" w:eastAsia="Times New Roman" w:hAnsi="Arial" w:cs="Arial"/>
                <w:sz w:val="22"/>
                <w:szCs w:val="22"/>
                <w:lang w:eastAsia="en-GB"/>
              </w:rPr>
              <w:t>Bargaining Power of Buyers</w:t>
            </w:r>
          </w:p>
        </w:tc>
        <w:tc>
          <w:tcPr>
            <w:tcW w:w="0" w:type="auto"/>
            <w:hideMark/>
          </w:tcPr>
          <w:p w14:paraId="687AB187"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High</w:t>
            </w:r>
          </w:p>
        </w:tc>
        <w:tc>
          <w:tcPr>
            <w:tcW w:w="0" w:type="auto"/>
            <w:hideMark/>
          </w:tcPr>
          <w:p w14:paraId="45F98540"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Large retailers such as Tesco and Sainsbury’s control shelf placement and pricing power.</w:t>
            </w:r>
          </w:p>
        </w:tc>
        <w:tc>
          <w:tcPr>
            <w:tcW w:w="0" w:type="auto"/>
            <w:hideMark/>
          </w:tcPr>
          <w:p w14:paraId="1079AFBC"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Margin pressure requires strong brand pull to maintain negotiating leverage.</w:t>
            </w:r>
          </w:p>
        </w:tc>
      </w:tr>
      <w:tr w:rsidR="00EE7559" w:rsidRPr="00D94EDF" w14:paraId="1480C6A7" w14:textId="77777777" w:rsidTr="007B0206">
        <w:tc>
          <w:tcPr>
            <w:cnfStyle w:val="001000000000" w:firstRow="0" w:lastRow="0" w:firstColumn="1" w:lastColumn="0" w:oddVBand="0" w:evenVBand="0" w:oddHBand="0" w:evenHBand="0" w:firstRowFirstColumn="0" w:firstRowLastColumn="0" w:lastRowFirstColumn="0" w:lastRowLastColumn="0"/>
            <w:tcW w:w="0" w:type="auto"/>
            <w:hideMark/>
          </w:tcPr>
          <w:p w14:paraId="627E94B8" w14:textId="77777777" w:rsidR="00EE7559" w:rsidRPr="00D94EDF" w:rsidRDefault="00EE7559" w:rsidP="00D94EDF">
            <w:pPr>
              <w:spacing w:line="360" w:lineRule="auto"/>
              <w:rPr>
                <w:rFonts w:ascii="Arial" w:eastAsia="Times New Roman" w:hAnsi="Arial" w:cs="Arial"/>
                <w:sz w:val="22"/>
                <w:szCs w:val="22"/>
                <w:lang w:eastAsia="en-GB"/>
              </w:rPr>
            </w:pPr>
            <w:r w:rsidRPr="00D94EDF">
              <w:rPr>
                <w:rFonts w:ascii="Arial" w:eastAsia="Times New Roman" w:hAnsi="Arial" w:cs="Arial"/>
                <w:sz w:val="22"/>
                <w:szCs w:val="22"/>
                <w:lang w:eastAsia="en-GB"/>
              </w:rPr>
              <w:t>Bargaining Power of Suppliers</w:t>
            </w:r>
          </w:p>
        </w:tc>
        <w:tc>
          <w:tcPr>
            <w:tcW w:w="0" w:type="auto"/>
            <w:hideMark/>
          </w:tcPr>
          <w:p w14:paraId="2D1C3C60"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Moderate to High</w:t>
            </w:r>
          </w:p>
        </w:tc>
        <w:tc>
          <w:tcPr>
            <w:tcW w:w="0" w:type="auto"/>
            <w:hideMark/>
          </w:tcPr>
          <w:p w14:paraId="2F44E713"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Ethical sourcing limits Innocent’s ability to switch suppliers easily, increasing dependence on long-term agricultural partners (WWF, 2023).</w:t>
            </w:r>
          </w:p>
        </w:tc>
        <w:tc>
          <w:tcPr>
            <w:tcW w:w="0" w:type="auto"/>
            <w:hideMark/>
          </w:tcPr>
          <w:p w14:paraId="01618039"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Sustainable supplier relationships are strategically necessary but reduce flexibility.</w:t>
            </w:r>
          </w:p>
        </w:tc>
      </w:tr>
      <w:tr w:rsidR="00EE7559" w:rsidRPr="00D94EDF" w14:paraId="469279E0" w14:textId="77777777" w:rsidTr="007B0206">
        <w:tc>
          <w:tcPr>
            <w:cnfStyle w:val="001000000000" w:firstRow="0" w:lastRow="0" w:firstColumn="1" w:lastColumn="0" w:oddVBand="0" w:evenVBand="0" w:oddHBand="0" w:evenHBand="0" w:firstRowFirstColumn="0" w:firstRowLastColumn="0" w:lastRowFirstColumn="0" w:lastRowLastColumn="0"/>
            <w:tcW w:w="0" w:type="auto"/>
            <w:hideMark/>
          </w:tcPr>
          <w:p w14:paraId="2B51B423" w14:textId="77777777" w:rsidR="00EE7559" w:rsidRPr="00D94EDF" w:rsidRDefault="00EE7559" w:rsidP="00D94EDF">
            <w:pPr>
              <w:spacing w:line="360" w:lineRule="auto"/>
              <w:rPr>
                <w:rFonts w:ascii="Arial" w:eastAsia="Times New Roman" w:hAnsi="Arial" w:cs="Arial"/>
                <w:sz w:val="22"/>
                <w:szCs w:val="22"/>
                <w:lang w:eastAsia="en-GB"/>
              </w:rPr>
            </w:pPr>
            <w:r w:rsidRPr="00D94EDF">
              <w:rPr>
                <w:rFonts w:ascii="Arial" w:eastAsia="Times New Roman" w:hAnsi="Arial" w:cs="Arial"/>
                <w:sz w:val="22"/>
                <w:szCs w:val="22"/>
                <w:lang w:eastAsia="en-GB"/>
              </w:rPr>
              <w:t>Threat of Substitutes</w:t>
            </w:r>
          </w:p>
        </w:tc>
        <w:tc>
          <w:tcPr>
            <w:tcW w:w="0" w:type="auto"/>
            <w:hideMark/>
          </w:tcPr>
          <w:p w14:paraId="78785BEB"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High</w:t>
            </w:r>
          </w:p>
        </w:tc>
        <w:tc>
          <w:tcPr>
            <w:tcW w:w="0" w:type="auto"/>
            <w:hideMark/>
          </w:tcPr>
          <w:p w14:paraId="3C6B4D94"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Consumers can easily substitute smoothies with water, homemade juices, or cheaper alternatives.</w:t>
            </w:r>
          </w:p>
        </w:tc>
        <w:tc>
          <w:tcPr>
            <w:tcW w:w="0" w:type="auto"/>
            <w:hideMark/>
          </w:tcPr>
          <w:p w14:paraId="7B8C0B17" w14:textId="77777777" w:rsidR="00EE7559" w:rsidRPr="00D94EDF" w:rsidRDefault="00EE7559" w:rsidP="00D94ED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D94EDF">
              <w:rPr>
                <w:rFonts w:ascii="Arial" w:eastAsia="Times New Roman" w:hAnsi="Arial" w:cs="Arial"/>
                <w:sz w:val="22"/>
                <w:szCs w:val="22"/>
                <w:lang w:eastAsia="en-GB"/>
              </w:rPr>
              <w:t>Innocent must justify premium pricing through perceived value and authenticity.</w:t>
            </w:r>
          </w:p>
        </w:tc>
      </w:tr>
    </w:tbl>
    <w:p w14:paraId="2F64D724" w14:textId="77777777" w:rsidR="009136B3" w:rsidRDefault="009136B3" w:rsidP="00985479">
      <w:pPr>
        <w:pStyle w:val="Subtitle"/>
        <w:rPr>
          <w:rFonts w:eastAsia="Times New Roman"/>
        </w:rPr>
      </w:pPr>
    </w:p>
    <w:p w14:paraId="3609FD04" w14:textId="2D263FA8" w:rsidR="00822699" w:rsidRPr="009136B3" w:rsidRDefault="00EE7559" w:rsidP="00097324">
      <w:pPr>
        <w:pStyle w:val="Heading4"/>
      </w:pPr>
      <w:r w:rsidRPr="009136B3">
        <w:lastRenderedPageBreak/>
        <w:t>SWOT Analysis</w:t>
      </w:r>
    </w:p>
    <w:p w14:paraId="45681AC5" w14:textId="18A11318" w:rsidR="00581455" w:rsidRPr="001F653E" w:rsidRDefault="00581455" w:rsidP="001F653E">
      <w:pPr>
        <w:spacing w:before="100" w:beforeAutospacing="1" w:after="100" w:afterAutospacing="1" w:line="360" w:lineRule="auto"/>
        <w:jc w:val="both"/>
        <w:outlineLvl w:val="0"/>
        <w:rPr>
          <w:rFonts w:ascii="Arial" w:eastAsia="Times New Roman" w:hAnsi="Arial" w:cs="Arial"/>
          <w:b/>
          <w:bCs/>
          <w:kern w:val="36"/>
          <w:sz w:val="22"/>
          <w:szCs w:val="22"/>
          <w:lang w:eastAsia="en-GB"/>
        </w:rPr>
      </w:pPr>
      <w:bookmarkStart w:id="9" w:name="_Toc224080854"/>
      <w:r w:rsidRPr="00BD7BFD">
        <w:rPr>
          <w:rFonts w:ascii="Arial" w:hAnsi="Arial" w:cs="Arial"/>
          <w:color w:val="000000"/>
          <w:sz w:val="22"/>
          <w:szCs w:val="22"/>
        </w:rPr>
        <w:t>A SWOT analysis gives a structured assessment of Innocent Drinks’ internal strengths and weaknesses, as well as external opportunities and threats that influence its strategic choices. Strengths are its strong ethical brand reputation and B Corp accreditation, while weaknesses include higher prices and supply chain risks due to agricultural changes (Hill and Westbrook, 1997). Careful use of SWOT can help Innocent Drinks connect its purpose-driven approach to new opportunities in the growing health-focused beverage market (Gürel and Tat, 2017).</w:t>
      </w:r>
      <w:bookmarkEnd w:id="9"/>
    </w:p>
    <w:p w14:paraId="03C14A0F" w14:textId="04E87DE7" w:rsidR="001F653E" w:rsidRPr="001F653E" w:rsidRDefault="001F653E" w:rsidP="00BD7BFD">
      <w:pPr>
        <w:spacing w:line="360" w:lineRule="auto"/>
        <w:rPr>
          <w:rFonts w:ascii="Arial" w:hAnsi="Arial" w:cs="Arial"/>
          <w:b/>
          <w:bCs/>
          <w:color w:val="000000"/>
          <w:sz w:val="22"/>
          <w:szCs w:val="22"/>
          <w:lang w:val="en-GB"/>
        </w:rPr>
      </w:pPr>
      <w:r w:rsidRPr="001F653E">
        <w:rPr>
          <w:rFonts w:ascii="Arial" w:hAnsi="Arial" w:cs="Arial"/>
          <w:b/>
          <w:bCs/>
          <w:color w:val="000000"/>
          <w:sz w:val="22"/>
          <w:szCs w:val="22"/>
        </w:rPr>
        <w:t>Fi</w:t>
      </w:r>
      <w:r w:rsidRPr="00E144FE">
        <w:rPr>
          <w:rStyle w:val="Heading5Char"/>
        </w:rPr>
        <w:t>gure 3. SWOT Analysis</w:t>
      </w:r>
    </w:p>
    <w:tbl>
      <w:tblPr>
        <w:tblStyle w:val="GridTable4-Accent3"/>
        <w:tblW w:w="0" w:type="auto"/>
        <w:tblLook w:val="04A0" w:firstRow="1" w:lastRow="0" w:firstColumn="1" w:lastColumn="0" w:noHBand="0" w:noVBand="1"/>
      </w:tblPr>
      <w:tblGrid>
        <w:gridCol w:w="2393"/>
        <w:gridCol w:w="4979"/>
        <w:gridCol w:w="3418"/>
      </w:tblGrid>
      <w:tr w:rsidR="00EE7559" w:rsidRPr="00BD7BFD" w14:paraId="7513C6A5" w14:textId="77777777" w:rsidTr="006A65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41C5D5" w14:textId="77777777" w:rsidR="00EE7559" w:rsidRPr="00BD7BFD" w:rsidRDefault="00EE7559" w:rsidP="00BD7BFD">
            <w:pPr>
              <w:spacing w:line="360" w:lineRule="auto"/>
              <w:jc w:val="center"/>
              <w:rPr>
                <w:rFonts w:ascii="Arial" w:eastAsia="Times New Roman" w:hAnsi="Arial" w:cs="Arial"/>
                <w:sz w:val="22"/>
                <w:szCs w:val="22"/>
                <w:lang w:eastAsia="en-GB"/>
              </w:rPr>
            </w:pPr>
            <w:r w:rsidRPr="00BD7BFD">
              <w:rPr>
                <w:rFonts w:ascii="Arial" w:eastAsia="Times New Roman" w:hAnsi="Arial" w:cs="Arial"/>
                <w:sz w:val="22"/>
                <w:szCs w:val="22"/>
                <w:lang w:eastAsia="en-GB"/>
              </w:rPr>
              <w:t>Strengths</w:t>
            </w:r>
          </w:p>
        </w:tc>
        <w:tc>
          <w:tcPr>
            <w:tcW w:w="0" w:type="auto"/>
            <w:hideMark/>
          </w:tcPr>
          <w:p w14:paraId="714F4F8C" w14:textId="77777777" w:rsidR="00EE7559" w:rsidRPr="00BD7BFD" w:rsidRDefault="00EE7559" w:rsidP="00BD7BF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Supporting Evidence</w:t>
            </w:r>
          </w:p>
        </w:tc>
        <w:tc>
          <w:tcPr>
            <w:tcW w:w="0" w:type="auto"/>
            <w:hideMark/>
          </w:tcPr>
          <w:p w14:paraId="0AAB9F87" w14:textId="77777777" w:rsidR="00EE7559" w:rsidRPr="00BD7BFD" w:rsidRDefault="00EE7559" w:rsidP="00BD7BF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Strategic Relevance</w:t>
            </w:r>
          </w:p>
        </w:tc>
      </w:tr>
      <w:tr w:rsidR="00EE7559" w:rsidRPr="00BD7BFD" w14:paraId="5A21FD56" w14:textId="77777777" w:rsidTr="006A6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B8A885" w14:textId="77777777" w:rsidR="00EE7559" w:rsidRPr="00BD7BFD" w:rsidRDefault="00EE7559" w:rsidP="00BD7BFD">
            <w:pPr>
              <w:spacing w:line="360" w:lineRule="auto"/>
              <w:rPr>
                <w:rFonts w:ascii="Arial" w:eastAsia="Times New Roman" w:hAnsi="Arial" w:cs="Arial"/>
                <w:sz w:val="22"/>
                <w:szCs w:val="22"/>
                <w:lang w:eastAsia="en-GB"/>
              </w:rPr>
            </w:pPr>
            <w:r w:rsidRPr="00BD7BFD">
              <w:rPr>
                <w:rFonts w:ascii="Arial" w:eastAsia="Times New Roman" w:hAnsi="Arial" w:cs="Arial"/>
                <w:sz w:val="22"/>
                <w:szCs w:val="22"/>
                <w:lang w:eastAsia="en-GB"/>
              </w:rPr>
              <w:t>Strong ethical brand identity</w:t>
            </w:r>
          </w:p>
        </w:tc>
        <w:tc>
          <w:tcPr>
            <w:tcW w:w="0" w:type="auto"/>
            <w:hideMark/>
          </w:tcPr>
          <w:p w14:paraId="5125C477" w14:textId="77777777" w:rsidR="00EE7559" w:rsidRPr="00BD7BFD"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Mission-driven positioning and B Corp certification (Innocent Drinks, 2024; B Lab, 2023)</w:t>
            </w:r>
          </w:p>
        </w:tc>
        <w:tc>
          <w:tcPr>
            <w:tcW w:w="0" w:type="auto"/>
            <w:hideMark/>
          </w:tcPr>
          <w:p w14:paraId="30EEF461" w14:textId="77777777" w:rsidR="00EE7559" w:rsidRPr="00BD7BFD"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Builds long-term consumer trust and loyalty</w:t>
            </w:r>
          </w:p>
        </w:tc>
      </w:tr>
      <w:tr w:rsidR="00EE7559" w:rsidRPr="00BD7BFD" w14:paraId="55C7C40E" w14:textId="77777777" w:rsidTr="006A6533">
        <w:tc>
          <w:tcPr>
            <w:cnfStyle w:val="001000000000" w:firstRow="0" w:lastRow="0" w:firstColumn="1" w:lastColumn="0" w:oddVBand="0" w:evenVBand="0" w:oddHBand="0" w:evenHBand="0" w:firstRowFirstColumn="0" w:firstRowLastColumn="0" w:lastRowFirstColumn="0" w:lastRowLastColumn="0"/>
            <w:tcW w:w="0" w:type="auto"/>
            <w:hideMark/>
          </w:tcPr>
          <w:p w14:paraId="6500ACBF" w14:textId="77777777" w:rsidR="00EE7559" w:rsidRPr="00BD7BFD" w:rsidRDefault="00EE7559" w:rsidP="00BD7BFD">
            <w:pPr>
              <w:spacing w:line="360" w:lineRule="auto"/>
              <w:rPr>
                <w:rFonts w:ascii="Arial" w:eastAsia="Times New Roman" w:hAnsi="Arial" w:cs="Arial"/>
                <w:sz w:val="22"/>
                <w:szCs w:val="22"/>
                <w:lang w:eastAsia="en-GB"/>
              </w:rPr>
            </w:pPr>
            <w:r w:rsidRPr="00BD7BFD">
              <w:rPr>
                <w:rFonts w:ascii="Arial" w:eastAsia="Times New Roman" w:hAnsi="Arial" w:cs="Arial"/>
                <w:sz w:val="22"/>
                <w:szCs w:val="22"/>
                <w:lang w:eastAsia="en-GB"/>
              </w:rPr>
              <w:t>Sustainability leadership</w:t>
            </w:r>
          </w:p>
        </w:tc>
        <w:tc>
          <w:tcPr>
            <w:tcW w:w="0" w:type="auto"/>
            <w:hideMark/>
          </w:tcPr>
          <w:p w14:paraId="65F019CA" w14:textId="77777777" w:rsidR="00EE7559" w:rsidRPr="00BD7BFD" w:rsidRDefault="00EE7559" w:rsidP="00B00E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Science-based carbon reduction targets (Innocent Drinks, 2023)</w:t>
            </w:r>
          </w:p>
        </w:tc>
        <w:tc>
          <w:tcPr>
            <w:tcW w:w="0" w:type="auto"/>
            <w:hideMark/>
          </w:tcPr>
          <w:p w14:paraId="471A44A2" w14:textId="79C08B82" w:rsidR="00EE7559" w:rsidRPr="00BD7BFD" w:rsidRDefault="00C8445D" w:rsidP="00B00E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Enhance</w:t>
            </w:r>
            <w:r w:rsidR="00EE7559" w:rsidRPr="00BD7BFD">
              <w:rPr>
                <w:rFonts w:ascii="Arial" w:eastAsia="Times New Roman" w:hAnsi="Arial" w:cs="Arial"/>
                <w:sz w:val="22"/>
                <w:szCs w:val="22"/>
                <w:lang w:eastAsia="en-GB"/>
              </w:rPr>
              <w:t xml:space="preserve"> legitimacy in a sustainability-focused market</w:t>
            </w:r>
          </w:p>
        </w:tc>
      </w:tr>
      <w:tr w:rsidR="00EE7559" w:rsidRPr="00BD7BFD" w14:paraId="56344628" w14:textId="77777777" w:rsidTr="006A65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B938AE" w14:textId="77777777" w:rsidR="00EE7559" w:rsidRPr="00BD7BFD" w:rsidRDefault="00EE7559" w:rsidP="00BD7BFD">
            <w:pPr>
              <w:spacing w:line="360" w:lineRule="auto"/>
              <w:rPr>
                <w:rFonts w:ascii="Arial" w:eastAsia="Times New Roman" w:hAnsi="Arial" w:cs="Arial"/>
                <w:sz w:val="22"/>
                <w:szCs w:val="22"/>
                <w:lang w:eastAsia="en-GB"/>
              </w:rPr>
            </w:pPr>
            <w:r w:rsidRPr="00BD7BFD">
              <w:rPr>
                <w:rFonts w:ascii="Arial" w:eastAsia="Times New Roman" w:hAnsi="Arial" w:cs="Arial"/>
                <w:sz w:val="22"/>
                <w:szCs w:val="22"/>
                <w:lang w:eastAsia="en-GB"/>
              </w:rPr>
              <w:t>Loyal customer base</w:t>
            </w:r>
          </w:p>
        </w:tc>
        <w:tc>
          <w:tcPr>
            <w:tcW w:w="0" w:type="auto"/>
            <w:hideMark/>
          </w:tcPr>
          <w:p w14:paraId="3BC0651F" w14:textId="77777777" w:rsidR="00EE7559" w:rsidRPr="00BD7BFD"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Consistent brand tone and transparency (Mintel, 2024)</w:t>
            </w:r>
          </w:p>
        </w:tc>
        <w:tc>
          <w:tcPr>
            <w:tcW w:w="0" w:type="auto"/>
            <w:hideMark/>
          </w:tcPr>
          <w:p w14:paraId="5EF41E1E" w14:textId="77777777" w:rsidR="00EE7559" w:rsidRPr="00BD7BFD"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Reduces vulnerability to price-based competition</w:t>
            </w:r>
          </w:p>
        </w:tc>
      </w:tr>
    </w:tbl>
    <w:p w14:paraId="2E743D88" w14:textId="77777777" w:rsidR="00EE7559" w:rsidRPr="00BD7BFD" w:rsidRDefault="00EE7559" w:rsidP="00BD7BFD">
      <w:pPr>
        <w:spacing w:line="360" w:lineRule="auto"/>
        <w:rPr>
          <w:rFonts w:ascii="Arial" w:eastAsia="Times New Roman" w:hAnsi="Arial" w:cs="Arial"/>
          <w:vanish/>
          <w:sz w:val="22"/>
          <w:szCs w:val="22"/>
          <w:lang w:eastAsia="en-GB"/>
        </w:rPr>
      </w:pPr>
    </w:p>
    <w:tbl>
      <w:tblPr>
        <w:tblStyle w:val="GridTable4-Accent1"/>
        <w:tblW w:w="0" w:type="auto"/>
        <w:tblLook w:val="04A0" w:firstRow="1" w:lastRow="0" w:firstColumn="1" w:lastColumn="0" w:noHBand="0" w:noVBand="1"/>
      </w:tblPr>
      <w:tblGrid>
        <w:gridCol w:w="2923"/>
        <w:gridCol w:w="4177"/>
        <w:gridCol w:w="3690"/>
      </w:tblGrid>
      <w:tr w:rsidR="00EE7559" w:rsidRPr="00BD7BFD" w14:paraId="2ACEB5B7" w14:textId="77777777" w:rsidTr="00E113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694B72" w14:textId="77777777" w:rsidR="00EE7559" w:rsidRPr="00BD7BFD" w:rsidRDefault="00EE7559" w:rsidP="00BD7BFD">
            <w:pPr>
              <w:spacing w:line="360" w:lineRule="auto"/>
              <w:jc w:val="center"/>
              <w:rPr>
                <w:rFonts w:ascii="Arial" w:eastAsia="Times New Roman" w:hAnsi="Arial" w:cs="Arial"/>
                <w:sz w:val="22"/>
                <w:szCs w:val="22"/>
                <w:lang w:eastAsia="en-GB"/>
              </w:rPr>
            </w:pPr>
            <w:r w:rsidRPr="00BD7BFD">
              <w:rPr>
                <w:rFonts w:ascii="Arial" w:eastAsia="Times New Roman" w:hAnsi="Arial" w:cs="Arial"/>
                <w:sz w:val="22"/>
                <w:szCs w:val="22"/>
                <w:lang w:eastAsia="en-GB"/>
              </w:rPr>
              <w:t>Weaknesses</w:t>
            </w:r>
          </w:p>
        </w:tc>
        <w:tc>
          <w:tcPr>
            <w:tcW w:w="0" w:type="auto"/>
            <w:hideMark/>
          </w:tcPr>
          <w:p w14:paraId="2E80215E" w14:textId="77777777" w:rsidR="00EE7559" w:rsidRPr="00BD7BFD" w:rsidRDefault="00EE7559" w:rsidP="00BD7BF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Supporting Evidence</w:t>
            </w:r>
          </w:p>
        </w:tc>
        <w:tc>
          <w:tcPr>
            <w:tcW w:w="0" w:type="auto"/>
            <w:hideMark/>
          </w:tcPr>
          <w:p w14:paraId="048CDB88" w14:textId="77777777" w:rsidR="00EE7559" w:rsidRPr="00BD7BFD" w:rsidRDefault="00EE7559" w:rsidP="00BD7BF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BD7BFD">
              <w:rPr>
                <w:rFonts w:ascii="Arial" w:eastAsia="Times New Roman" w:hAnsi="Arial" w:cs="Arial"/>
                <w:sz w:val="22"/>
                <w:szCs w:val="22"/>
                <w:lang w:eastAsia="en-GB"/>
              </w:rPr>
              <w:t>Strategic Risk</w:t>
            </w:r>
          </w:p>
        </w:tc>
      </w:tr>
      <w:tr w:rsidR="00EE7559" w:rsidRPr="001F653E" w14:paraId="7DC04206" w14:textId="77777777" w:rsidTr="00E11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1E07FE"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Premium pricing</w:t>
            </w:r>
          </w:p>
        </w:tc>
        <w:tc>
          <w:tcPr>
            <w:tcW w:w="0" w:type="auto"/>
            <w:hideMark/>
          </w:tcPr>
          <w:p w14:paraId="3625854C"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Higher production costs due to ethical sourcing</w:t>
            </w:r>
          </w:p>
        </w:tc>
        <w:tc>
          <w:tcPr>
            <w:tcW w:w="0" w:type="auto"/>
            <w:hideMark/>
          </w:tcPr>
          <w:p w14:paraId="58778F45"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Limits appeal during economic downturns</w:t>
            </w:r>
          </w:p>
        </w:tc>
      </w:tr>
      <w:tr w:rsidR="00EE7559" w:rsidRPr="001F653E" w14:paraId="32362971" w14:textId="77777777" w:rsidTr="00E11389">
        <w:tc>
          <w:tcPr>
            <w:cnfStyle w:val="001000000000" w:firstRow="0" w:lastRow="0" w:firstColumn="1" w:lastColumn="0" w:oddVBand="0" w:evenVBand="0" w:oddHBand="0" w:evenHBand="0" w:firstRowFirstColumn="0" w:firstRowLastColumn="0" w:lastRowFirstColumn="0" w:lastRowLastColumn="0"/>
            <w:tcW w:w="0" w:type="auto"/>
            <w:hideMark/>
          </w:tcPr>
          <w:p w14:paraId="53B1D8F7"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Complex supply chain</w:t>
            </w:r>
          </w:p>
        </w:tc>
        <w:tc>
          <w:tcPr>
            <w:tcW w:w="0" w:type="auto"/>
            <w:hideMark/>
          </w:tcPr>
          <w:p w14:paraId="68DD4E13" w14:textId="77777777" w:rsidR="00EE7559" w:rsidRPr="001F653E" w:rsidRDefault="00EE7559" w:rsidP="00B00E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Global fruit sourcing exposed to climate risk (WWF, 2023)</w:t>
            </w:r>
          </w:p>
        </w:tc>
        <w:tc>
          <w:tcPr>
            <w:tcW w:w="0" w:type="auto"/>
            <w:hideMark/>
          </w:tcPr>
          <w:p w14:paraId="0D0920A6" w14:textId="77777777" w:rsidR="00EE7559" w:rsidRPr="001F653E" w:rsidRDefault="00EE7559" w:rsidP="00B00E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Increases operational vulnerability</w:t>
            </w:r>
          </w:p>
        </w:tc>
      </w:tr>
      <w:tr w:rsidR="00EE7559" w:rsidRPr="001F653E" w14:paraId="77B5F40E" w14:textId="77777777" w:rsidTr="00E11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E0A32C"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Dependence on brand authenticity</w:t>
            </w:r>
          </w:p>
        </w:tc>
        <w:tc>
          <w:tcPr>
            <w:tcW w:w="0" w:type="auto"/>
            <w:hideMark/>
          </w:tcPr>
          <w:p w14:paraId="5EE0C7FE"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Reputation-sensitive business model</w:t>
            </w:r>
          </w:p>
        </w:tc>
        <w:tc>
          <w:tcPr>
            <w:tcW w:w="0" w:type="auto"/>
            <w:hideMark/>
          </w:tcPr>
          <w:p w14:paraId="70654286"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Ethical inconsistency could severely damage trust</w:t>
            </w:r>
          </w:p>
        </w:tc>
      </w:tr>
    </w:tbl>
    <w:p w14:paraId="1A60B426" w14:textId="77777777" w:rsidR="00EE7559" w:rsidRPr="001F653E" w:rsidRDefault="00EE7559" w:rsidP="00BD7BFD">
      <w:pPr>
        <w:spacing w:line="360" w:lineRule="auto"/>
        <w:rPr>
          <w:rFonts w:ascii="Arial" w:eastAsia="Times New Roman" w:hAnsi="Arial" w:cs="Arial"/>
          <w:vanish/>
          <w:sz w:val="20"/>
          <w:szCs w:val="20"/>
          <w:lang w:eastAsia="en-GB"/>
        </w:rPr>
      </w:pPr>
    </w:p>
    <w:tbl>
      <w:tblPr>
        <w:tblStyle w:val="GridTable5Dark-Accent6"/>
        <w:tblW w:w="10880" w:type="dxa"/>
        <w:tblLook w:val="04A0" w:firstRow="1" w:lastRow="0" w:firstColumn="1" w:lastColumn="0" w:noHBand="0" w:noVBand="1"/>
      </w:tblPr>
      <w:tblGrid>
        <w:gridCol w:w="2672"/>
        <w:gridCol w:w="4436"/>
        <w:gridCol w:w="3772"/>
      </w:tblGrid>
      <w:tr w:rsidR="00EE7559" w:rsidRPr="001F653E" w14:paraId="2E5D4B4C" w14:textId="77777777" w:rsidTr="001451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EBE169" w14:textId="77777777" w:rsidR="00EE7559" w:rsidRPr="001F653E" w:rsidRDefault="00EE7559" w:rsidP="00BD7BFD">
            <w:pPr>
              <w:spacing w:line="360" w:lineRule="auto"/>
              <w:jc w:val="center"/>
              <w:rPr>
                <w:rFonts w:ascii="Arial" w:eastAsia="Times New Roman" w:hAnsi="Arial" w:cs="Arial"/>
                <w:sz w:val="20"/>
                <w:szCs w:val="20"/>
                <w:lang w:eastAsia="en-GB"/>
              </w:rPr>
            </w:pPr>
            <w:r w:rsidRPr="001F653E">
              <w:rPr>
                <w:rFonts w:ascii="Arial" w:eastAsia="Times New Roman" w:hAnsi="Arial" w:cs="Arial"/>
                <w:sz w:val="20"/>
                <w:szCs w:val="20"/>
                <w:lang w:eastAsia="en-GB"/>
              </w:rPr>
              <w:t>Opportunities</w:t>
            </w:r>
          </w:p>
        </w:tc>
        <w:tc>
          <w:tcPr>
            <w:tcW w:w="0" w:type="auto"/>
            <w:hideMark/>
          </w:tcPr>
          <w:p w14:paraId="16333730" w14:textId="77777777" w:rsidR="00EE7559" w:rsidRPr="001F653E" w:rsidRDefault="00EE7559" w:rsidP="00BD7BF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Supporting Evidence</w:t>
            </w:r>
          </w:p>
        </w:tc>
        <w:tc>
          <w:tcPr>
            <w:tcW w:w="3772" w:type="dxa"/>
            <w:hideMark/>
          </w:tcPr>
          <w:p w14:paraId="45D8EF33" w14:textId="77777777" w:rsidR="00EE7559" w:rsidRPr="001F653E" w:rsidRDefault="00EE7559" w:rsidP="00BD7BF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Strategic Potential</w:t>
            </w:r>
          </w:p>
        </w:tc>
      </w:tr>
      <w:tr w:rsidR="00EE7559" w:rsidRPr="001F653E" w14:paraId="181C698E" w14:textId="77777777" w:rsidTr="001451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1E7F4C"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Growth in functional beverages</w:t>
            </w:r>
          </w:p>
        </w:tc>
        <w:tc>
          <w:tcPr>
            <w:tcW w:w="0" w:type="auto"/>
            <w:hideMark/>
          </w:tcPr>
          <w:p w14:paraId="49065489"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Rising demand for immunity and wellness drinks (Statista, 2024)</w:t>
            </w:r>
          </w:p>
        </w:tc>
        <w:tc>
          <w:tcPr>
            <w:tcW w:w="3772" w:type="dxa"/>
            <w:hideMark/>
          </w:tcPr>
          <w:p w14:paraId="12E5E204"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Enables product development aligned with mission</w:t>
            </w:r>
          </w:p>
        </w:tc>
      </w:tr>
      <w:tr w:rsidR="00EE7559" w:rsidRPr="001F653E" w14:paraId="49AB8AEB" w14:textId="77777777" w:rsidTr="001451EA">
        <w:tc>
          <w:tcPr>
            <w:cnfStyle w:val="001000000000" w:firstRow="0" w:lastRow="0" w:firstColumn="1" w:lastColumn="0" w:oddVBand="0" w:evenVBand="0" w:oddHBand="0" w:evenHBand="0" w:firstRowFirstColumn="0" w:firstRowLastColumn="0" w:lastRowFirstColumn="0" w:lastRowLastColumn="0"/>
            <w:tcW w:w="0" w:type="auto"/>
            <w:hideMark/>
          </w:tcPr>
          <w:p w14:paraId="150A259C"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International expansion</w:t>
            </w:r>
          </w:p>
        </w:tc>
        <w:tc>
          <w:tcPr>
            <w:tcW w:w="0" w:type="auto"/>
            <w:hideMark/>
          </w:tcPr>
          <w:p w14:paraId="41518DEA" w14:textId="77777777" w:rsidR="00EE7559" w:rsidRPr="001F653E" w:rsidRDefault="00EE7559" w:rsidP="00B00E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Growing global demand for ethical brands (Mintel, 2024)</w:t>
            </w:r>
          </w:p>
        </w:tc>
        <w:tc>
          <w:tcPr>
            <w:tcW w:w="3772" w:type="dxa"/>
            <w:hideMark/>
          </w:tcPr>
          <w:p w14:paraId="70BE2558" w14:textId="34103200" w:rsidR="00EE7559" w:rsidRPr="001F653E" w:rsidRDefault="00C8445D" w:rsidP="00B00E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Diversifying</w:t>
            </w:r>
            <w:r w:rsidR="00EE7559" w:rsidRPr="001F653E">
              <w:rPr>
                <w:rFonts w:ascii="Arial" w:eastAsia="Times New Roman" w:hAnsi="Arial" w:cs="Arial"/>
                <w:sz w:val="20"/>
                <w:szCs w:val="20"/>
                <w:lang w:eastAsia="en-GB"/>
              </w:rPr>
              <w:t xml:space="preserve"> revenue streams</w:t>
            </w:r>
          </w:p>
        </w:tc>
      </w:tr>
      <w:tr w:rsidR="00EE7559" w:rsidRPr="001F653E" w14:paraId="04CA5B70" w14:textId="77777777" w:rsidTr="001451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FD2D37"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Packaging innovation</w:t>
            </w:r>
          </w:p>
        </w:tc>
        <w:tc>
          <w:tcPr>
            <w:tcW w:w="0" w:type="auto"/>
            <w:hideMark/>
          </w:tcPr>
          <w:p w14:paraId="0FBC7AA3"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Consumer demand for recyclable materials (CMA, 2023)</w:t>
            </w:r>
          </w:p>
        </w:tc>
        <w:tc>
          <w:tcPr>
            <w:tcW w:w="3772" w:type="dxa"/>
            <w:hideMark/>
          </w:tcPr>
          <w:p w14:paraId="4CB98905"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Strengthens sustainability differentiation</w:t>
            </w:r>
          </w:p>
        </w:tc>
      </w:tr>
    </w:tbl>
    <w:p w14:paraId="62228A43" w14:textId="77777777" w:rsidR="00EE7559" w:rsidRPr="001F653E" w:rsidRDefault="00EE7559" w:rsidP="00BD7BFD">
      <w:pPr>
        <w:spacing w:line="360" w:lineRule="auto"/>
        <w:rPr>
          <w:rFonts w:ascii="Arial" w:eastAsia="Times New Roman" w:hAnsi="Arial" w:cs="Arial"/>
          <w:vanish/>
          <w:sz w:val="20"/>
          <w:szCs w:val="20"/>
          <w:lang w:eastAsia="en-GB"/>
        </w:rPr>
      </w:pPr>
    </w:p>
    <w:tbl>
      <w:tblPr>
        <w:tblStyle w:val="GridTable4"/>
        <w:tblW w:w="0" w:type="auto"/>
        <w:tblLook w:val="04A0" w:firstRow="1" w:lastRow="0" w:firstColumn="1" w:lastColumn="0" w:noHBand="0" w:noVBand="1"/>
      </w:tblPr>
      <w:tblGrid>
        <w:gridCol w:w="2470"/>
        <w:gridCol w:w="5264"/>
        <w:gridCol w:w="3056"/>
      </w:tblGrid>
      <w:tr w:rsidR="00EE7559" w:rsidRPr="001F653E" w14:paraId="3F3BB98F" w14:textId="77777777" w:rsidTr="00E113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1F1D7B" w14:textId="77777777" w:rsidR="00EE7559" w:rsidRPr="001F653E" w:rsidRDefault="00EE7559" w:rsidP="00BD7BFD">
            <w:pPr>
              <w:spacing w:line="360" w:lineRule="auto"/>
              <w:jc w:val="center"/>
              <w:rPr>
                <w:rFonts w:ascii="Arial" w:eastAsia="Times New Roman" w:hAnsi="Arial" w:cs="Arial"/>
                <w:sz w:val="20"/>
                <w:szCs w:val="20"/>
                <w:lang w:eastAsia="en-GB"/>
              </w:rPr>
            </w:pPr>
            <w:r w:rsidRPr="001F653E">
              <w:rPr>
                <w:rFonts w:ascii="Arial" w:eastAsia="Times New Roman" w:hAnsi="Arial" w:cs="Arial"/>
                <w:sz w:val="20"/>
                <w:szCs w:val="20"/>
                <w:lang w:eastAsia="en-GB"/>
              </w:rPr>
              <w:t>Threats</w:t>
            </w:r>
          </w:p>
        </w:tc>
        <w:tc>
          <w:tcPr>
            <w:tcW w:w="0" w:type="auto"/>
            <w:hideMark/>
          </w:tcPr>
          <w:p w14:paraId="5EBADC29" w14:textId="77777777" w:rsidR="00EE7559" w:rsidRPr="001F653E" w:rsidRDefault="00EE7559" w:rsidP="00BD7BF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Supporting Evidence</w:t>
            </w:r>
          </w:p>
        </w:tc>
        <w:tc>
          <w:tcPr>
            <w:tcW w:w="0" w:type="auto"/>
            <w:hideMark/>
          </w:tcPr>
          <w:p w14:paraId="419D00FD" w14:textId="77777777" w:rsidR="00EE7559" w:rsidRPr="001F653E" w:rsidRDefault="00EE7559" w:rsidP="00BD7BF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Strategic Challenge</w:t>
            </w:r>
          </w:p>
        </w:tc>
      </w:tr>
      <w:tr w:rsidR="00EE7559" w:rsidRPr="001F653E" w14:paraId="1E71D423" w14:textId="77777777" w:rsidTr="00E11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4A8002"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Intensifying competition</w:t>
            </w:r>
          </w:p>
        </w:tc>
        <w:tc>
          <w:tcPr>
            <w:tcW w:w="0" w:type="auto"/>
            <w:hideMark/>
          </w:tcPr>
          <w:p w14:paraId="521DBD7E"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Large firms adopting sustainability messaging</w:t>
            </w:r>
          </w:p>
        </w:tc>
        <w:tc>
          <w:tcPr>
            <w:tcW w:w="0" w:type="auto"/>
            <w:hideMark/>
          </w:tcPr>
          <w:p w14:paraId="59FB72D9"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Risk of differentiation erosion</w:t>
            </w:r>
          </w:p>
        </w:tc>
      </w:tr>
      <w:tr w:rsidR="00EE7559" w:rsidRPr="001F653E" w14:paraId="44970E93" w14:textId="77777777" w:rsidTr="00E11389">
        <w:tc>
          <w:tcPr>
            <w:cnfStyle w:val="001000000000" w:firstRow="0" w:lastRow="0" w:firstColumn="1" w:lastColumn="0" w:oddVBand="0" w:evenVBand="0" w:oddHBand="0" w:evenHBand="0" w:firstRowFirstColumn="0" w:firstRowLastColumn="0" w:lastRowFirstColumn="0" w:lastRowLastColumn="0"/>
            <w:tcW w:w="0" w:type="auto"/>
            <w:hideMark/>
          </w:tcPr>
          <w:p w14:paraId="0FE40C5F"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Climate change</w:t>
            </w:r>
          </w:p>
        </w:tc>
        <w:tc>
          <w:tcPr>
            <w:tcW w:w="0" w:type="auto"/>
            <w:hideMark/>
          </w:tcPr>
          <w:p w14:paraId="3ABB6131" w14:textId="77777777" w:rsidR="00EE7559" w:rsidRPr="001F653E" w:rsidRDefault="00EE7559" w:rsidP="00B00E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Agricultural volatility (WWF, 2023)</w:t>
            </w:r>
          </w:p>
        </w:tc>
        <w:tc>
          <w:tcPr>
            <w:tcW w:w="0" w:type="auto"/>
            <w:hideMark/>
          </w:tcPr>
          <w:p w14:paraId="418C75FC" w14:textId="77777777" w:rsidR="00EE7559" w:rsidRPr="001F653E" w:rsidRDefault="00EE7559" w:rsidP="00B00EF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Supply instability</w:t>
            </w:r>
          </w:p>
        </w:tc>
      </w:tr>
      <w:tr w:rsidR="00EE7559" w:rsidRPr="001F653E" w14:paraId="3C422F7B" w14:textId="77777777" w:rsidTr="00E113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708EC" w14:textId="77777777" w:rsidR="00EE7559" w:rsidRPr="001F653E" w:rsidRDefault="00EE7559" w:rsidP="00BD7BFD">
            <w:pPr>
              <w:spacing w:line="360" w:lineRule="auto"/>
              <w:rPr>
                <w:rFonts w:ascii="Arial" w:eastAsia="Times New Roman" w:hAnsi="Arial" w:cs="Arial"/>
                <w:sz w:val="20"/>
                <w:szCs w:val="20"/>
                <w:lang w:eastAsia="en-GB"/>
              </w:rPr>
            </w:pPr>
            <w:r w:rsidRPr="001F653E">
              <w:rPr>
                <w:rFonts w:ascii="Arial" w:eastAsia="Times New Roman" w:hAnsi="Arial" w:cs="Arial"/>
                <w:sz w:val="20"/>
                <w:szCs w:val="20"/>
                <w:lang w:eastAsia="en-GB"/>
              </w:rPr>
              <w:t>Economic uncertainty</w:t>
            </w:r>
          </w:p>
        </w:tc>
        <w:tc>
          <w:tcPr>
            <w:tcW w:w="0" w:type="auto"/>
            <w:hideMark/>
          </w:tcPr>
          <w:p w14:paraId="78BE38AC"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Inflation and reduced discretionary spending (OECD, 2023)</w:t>
            </w:r>
          </w:p>
        </w:tc>
        <w:tc>
          <w:tcPr>
            <w:tcW w:w="0" w:type="auto"/>
            <w:hideMark/>
          </w:tcPr>
          <w:p w14:paraId="349110E7" w14:textId="77777777" w:rsidR="00EE7559" w:rsidRPr="001F653E" w:rsidRDefault="00EE7559" w:rsidP="00B00EF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1F653E">
              <w:rPr>
                <w:rFonts w:ascii="Arial" w:eastAsia="Times New Roman" w:hAnsi="Arial" w:cs="Arial"/>
                <w:sz w:val="20"/>
                <w:szCs w:val="20"/>
                <w:lang w:eastAsia="en-GB"/>
              </w:rPr>
              <w:t>Pressure on premium positioning</w:t>
            </w:r>
          </w:p>
        </w:tc>
      </w:tr>
    </w:tbl>
    <w:p w14:paraId="422C6468" w14:textId="77777777" w:rsidR="00E615DA" w:rsidRDefault="00E615DA" w:rsidP="009136B3">
      <w:pPr>
        <w:rPr>
          <w:b/>
          <w:bCs/>
          <w:sz w:val="32"/>
          <w:szCs w:val="32"/>
        </w:rPr>
      </w:pPr>
    </w:p>
    <w:p w14:paraId="6DF6FA72" w14:textId="77777777" w:rsidR="00E40494" w:rsidRDefault="00E40494" w:rsidP="009136B3">
      <w:pPr>
        <w:rPr>
          <w:rFonts w:ascii="Arial" w:hAnsi="Arial" w:cs="Arial"/>
          <w:b/>
          <w:bCs/>
          <w:sz w:val="32"/>
          <w:szCs w:val="32"/>
        </w:rPr>
      </w:pPr>
    </w:p>
    <w:p w14:paraId="00FDFAD4" w14:textId="77777777" w:rsidR="00E615DA" w:rsidRDefault="00E615DA" w:rsidP="00B00EF9">
      <w:pPr>
        <w:jc w:val="center"/>
        <w:rPr>
          <w:rFonts w:ascii="Arial" w:hAnsi="Arial" w:cs="Arial"/>
          <w:b/>
          <w:bCs/>
          <w:sz w:val="32"/>
          <w:szCs w:val="32"/>
        </w:rPr>
      </w:pPr>
    </w:p>
    <w:p w14:paraId="4ACF0BAB" w14:textId="3C14B203" w:rsidR="00D02602" w:rsidRPr="00097324" w:rsidRDefault="00F81D32" w:rsidP="00097324">
      <w:pPr>
        <w:pStyle w:val="Heading3"/>
      </w:pPr>
      <w:bookmarkStart w:id="10" w:name="_Toc224080855"/>
      <w:r w:rsidRPr="00097324">
        <w:t>Strategic Growth</w:t>
      </w:r>
      <w:bookmarkEnd w:id="10"/>
    </w:p>
    <w:p w14:paraId="69028627" w14:textId="49E9F817" w:rsidR="00D8179C" w:rsidRDefault="00D8179C" w:rsidP="00D8179C">
      <w:pPr>
        <w:rPr>
          <w:rFonts w:ascii="Georgia" w:hAnsi="Georgia"/>
          <w:color w:val="000000"/>
        </w:rPr>
      </w:pPr>
    </w:p>
    <w:p w14:paraId="7D1A5EF5" w14:textId="77777777" w:rsidR="00BA6DAA" w:rsidRPr="003F0C95" w:rsidRDefault="00BA6DAA" w:rsidP="00097324">
      <w:pPr>
        <w:pStyle w:val="Heading4"/>
      </w:pPr>
      <w:r w:rsidRPr="00B45A0D">
        <w:t>Ansoff Matrix: Framework for Growth</w:t>
      </w:r>
    </w:p>
    <w:p w14:paraId="77B9D868" w14:textId="77777777" w:rsidR="00BA6DAA" w:rsidRPr="001526F4" w:rsidRDefault="00BA6DAA" w:rsidP="003F0C95">
      <w:pPr>
        <w:spacing w:line="360" w:lineRule="auto"/>
        <w:jc w:val="both"/>
        <w:rPr>
          <w:rFonts w:ascii="Arial" w:hAnsi="Arial" w:cs="Arial"/>
          <w:sz w:val="22"/>
          <w:szCs w:val="22"/>
        </w:rPr>
      </w:pPr>
      <w:r w:rsidRPr="001526F4">
        <w:rPr>
          <w:rFonts w:ascii="Arial" w:hAnsi="Arial" w:cs="Arial"/>
          <w:sz w:val="22"/>
          <w:szCs w:val="22"/>
        </w:rPr>
        <w:t>The Ansoff Matrix (Ansoff, 1957) outlines four principal strategies for business growth: market penetration, product development, market development, and diversification. Each strategy represents a distinct pathway, varying in risk and alignment with organizational strengths. For Innocent Drinks, this matrix offers a structured lens to assess options in the evolving beverage landscape.</w:t>
      </w:r>
    </w:p>
    <w:p w14:paraId="1B871E61" w14:textId="77777777" w:rsidR="00605807" w:rsidRPr="001526F4" w:rsidRDefault="00605807" w:rsidP="00097324">
      <w:pPr>
        <w:pStyle w:val="Heading5"/>
      </w:pPr>
    </w:p>
    <w:p w14:paraId="695AEAA5" w14:textId="35092CBA" w:rsidR="0022523A" w:rsidRPr="00605807" w:rsidRDefault="0022523A" w:rsidP="00097324">
      <w:pPr>
        <w:pStyle w:val="Heading5"/>
        <w:rPr>
          <w:bCs/>
        </w:rPr>
      </w:pPr>
      <w:r w:rsidRPr="00605807">
        <w:rPr>
          <w:bCs/>
        </w:rPr>
        <w:t xml:space="preserve">Figure </w:t>
      </w:r>
      <w:r w:rsidR="00FE42A6">
        <w:rPr>
          <w:bCs/>
        </w:rPr>
        <w:t>4</w:t>
      </w:r>
      <w:r w:rsidRPr="00605807">
        <w:rPr>
          <w:bCs/>
        </w:rPr>
        <w:t>: Ansoff Matrix for Innocent Drinks</w:t>
      </w:r>
    </w:p>
    <w:p w14:paraId="5FDEFFE3" w14:textId="28DCE521" w:rsidR="00C16B99" w:rsidRPr="00097324" w:rsidRDefault="004358CE" w:rsidP="00097324">
      <w:pPr>
        <w:spacing w:line="360" w:lineRule="auto"/>
        <w:jc w:val="both"/>
        <w:rPr>
          <w:rFonts w:ascii="Arial" w:eastAsiaTheme="minorEastAsia" w:hAnsi="Arial" w:cs="Arial"/>
        </w:rPr>
      </w:pPr>
      <w:r>
        <w:rPr>
          <w:rFonts w:ascii="Arial" w:eastAsiaTheme="minorEastAsia" w:hAnsi="Arial" w:cs="Arial"/>
          <w:noProof/>
        </w:rPr>
        <w:drawing>
          <wp:inline distT="0" distB="0" distL="0" distR="0" wp14:anchorId="45F0EC8A" wp14:editId="37EC5C60">
            <wp:extent cx="6866965" cy="6167120"/>
            <wp:effectExtent l="57150" t="57150" r="48260" b="62230"/>
            <wp:docPr id="196185836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8F9642F" w14:textId="77777777" w:rsidR="00C16B99" w:rsidRDefault="00C16B99" w:rsidP="001315DC">
      <w:pPr>
        <w:rPr>
          <w:b/>
          <w:bCs/>
        </w:rPr>
      </w:pPr>
    </w:p>
    <w:p w14:paraId="3CBE8CA1" w14:textId="090B7E4F" w:rsidR="001315DC" w:rsidRPr="001315DC" w:rsidRDefault="001315DC" w:rsidP="00097324">
      <w:pPr>
        <w:pStyle w:val="Heading5"/>
      </w:pPr>
      <w:r w:rsidRPr="001315DC">
        <w:t xml:space="preserve">Figure </w:t>
      </w:r>
      <w:r w:rsidR="00FE42A6">
        <w:t>5.</w:t>
      </w:r>
      <w:r w:rsidRPr="001315DC">
        <w:t xml:space="preserve"> Ansoff Matrix </w:t>
      </w:r>
      <w:r w:rsidR="00D20DB9">
        <w:t>Market</w:t>
      </w:r>
      <w:r w:rsidR="007277B7">
        <w:t xml:space="preserve"> Growth</w:t>
      </w:r>
      <w:r w:rsidR="00D20DB9">
        <w:t xml:space="preserve"> Strategies.</w:t>
      </w:r>
    </w:p>
    <w:p w14:paraId="71988310" w14:textId="77777777" w:rsidR="001315DC" w:rsidRDefault="001315DC">
      <w:pPr>
        <w:rPr>
          <w:b/>
          <w:bCs/>
        </w:rPr>
      </w:pPr>
    </w:p>
    <w:tbl>
      <w:tblPr>
        <w:tblStyle w:val="PlainTable1"/>
        <w:tblW w:w="0" w:type="auto"/>
        <w:tblLook w:val="04A0" w:firstRow="1" w:lastRow="0" w:firstColumn="1" w:lastColumn="0" w:noHBand="0" w:noVBand="1"/>
      </w:tblPr>
      <w:tblGrid>
        <w:gridCol w:w="1338"/>
        <w:gridCol w:w="4515"/>
        <w:gridCol w:w="4937"/>
      </w:tblGrid>
      <w:tr w:rsidR="00A82E2E" w:rsidRPr="00A82E2E" w14:paraId="022F9777" w14:textId="77777777" w:rsidTr="002B49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A6304" w14:textId="77777777" w:rsidR="00A82E2E" w:rsidRPr="00A82E2E" w:rsidRDefault="00A82E2E" w:rsidP="00D20DB9">
            <w:pPr>
              <w:spacing w:line="360" w:lineRule="auto"/>
              <w:rPr>
                <w:rFonts w:ascii="Arial" w:eastAsia="Times New Roman" w:hAnsi="Arial" w:cs="Arial"/>
                <w:sz w:val="22"/>
                <w:szCs w:val="22"/>
                <w:lang w:val="en-GB" w:eastAsia="en-GB"/>
              </w:rPr>
            </w:pPr>
          </w:p>
        </w:tc>
        <w:tc>
          <w:tcPr>
            <w:tcW w:w="0" w:type="auto"/>
            <w:hideMark/>
          </w:tcPr>
          <w:p w14:paraId="5D856712" w14:textId="77777777" w:rsidR="00A82E2E" w:rsidRPr="00A82E2E" w:rsidRDefault="00A82E2E" w:rsidP="00D20DB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sz w:val="22"/>
                <w:szCs w:val="22"/>
                <w:lang w:val="en-GB" w:eastAsia="en-GB"/>
              </w:rPr>
              <w:t>Existing Products</w:t>
            </w:r>
          </w:p>
        </w:tc>
        <w:tc>
          <w:tcPr>
            <w:tcW w:w="0" w:type="auto"/>
            <w:hideMark/>
          </w:tcPr>
          <w:p w14:paraId="61CFF67A" w14:textId="77777777" w:rsidR="00A82E2E" w:rsidRPr="00A82E2E" w:rsidRDefault="00A82E2E" w:rsidP="00D20DB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sz w:val="22"/>
                <w:szCs w:val="22"/>
                <w:lang w:val="en-GB" w:eastAsia="en-GB"/>
              </w:rPr>
              <w:t>New Products</w:t>
            </w:r>
          </w:p>
        </w:tc>
      </w:tr>
      <w:tr w:rsidR="00A82E2E" w:rsidRPr="00A82E2E" w14:paraId="08276B1A" w14:textId="77777777" w:rsidTr="002B49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D26E58" w14:textId="77777777" w:rsidR="00A82E2E" w:rsidRPr="00A82E2E" w:rsidRDefault="00A82E2E" w:rsidP="00D20DB9">
            <w:pPr>
              <w:spacing w:line="360" w:lineRule="auto"/>
              <w:rPr>
                <w:rFonts w:ascii="Arial" w:eastAsia="Times New Roman" w:hAnsi="Arial" w:cs="Arial"/>
                <w:sz w:val="22"/>
                <w:szCs w:val="22"/>
                <w:lang w:val="en-GB" w:eastAsia="en-GB"/>
              </w:rPr>
            </w:pPr>
            <w:r w:rsidRPr="00A82E2E">
              <w:rPr>
                <w:rFonts w:ascii="Arial" w:eastAsia="Times New Roman" w:hAnsi="Arial" w:cs="Arial"/>
                <w:sz w:val="22"/>
                <w:szCs w:val="22"/>
                <w:lang w:val="en-GB" w:eastAsia="en-GB"/>
              </w:rPr>
              <w:t>Existing Markets</w:t>
            </w:r>
          </w:p>
        </w:tc>
        <w:tc>
          <w:tcPr>
            <w:tcW w:w="0" w:type="auto"/>
            <w:hideMark/>
          </w:tcPr>
          <w:p w14:paraId="01E01611" w14:textId="77777777" w:rsidR="00A82E2E" w:rsidRPr="00A82E2E" w:rsidRDefault="00A82E2E" w:rsidP="00D20DB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b/>
                <w:bCs/>
                <w:sz w:val="22"/>
                <w:szCs w:val="22"/>
                <w:lang w:val="en-GB" w:eastAsia="en-GB"/>
              </w:rPr>
              <w:t>Market Penetration</w:t>
            </w:r>
          </w:p>
        </w:tc>
        <w:tc>
          <w:tcPr>
            <w:tcW w:w="0" w:type="auto"/>
            <w:hideMark/>
          </w:tcPr>
          <w:p w14:paraId="0CBB4A8B" w14:textId="77777777" w:rsidR="00A82E2E" w:rsidRPr="00A82E2E" w:rsidRDefault="00A82E2E" w:rsidP="00D20DB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b/>
                <w:bCs/>
                <w:sz w:val="22"/>
                <w:szCs w:val="22"/>
                <w:lang w:val="en-GB" w:eastAsia="en-GB"/>
              </w:rPr>
              <w:t>Product Development</w:t>
            </w:r>
          </w:p>
        </w:tc>
      </w:tr>
      <w:tr w:rsidR="00A82E2E" w:rsidRPr="00A82E2E" w14:paraId="3F4CA0BA" w14:textId="77777777" w:rsidTr="002B49A7">
        <w:tc>
          <w:tcPr>
            <w:cnfStyle w:val="001000000000" w:firstRow="0" w:lastRow="0" w:firstColumn="1" w:lastColumn="0" w:oddVBand="0" w:evenVBand="0" w:oddHBand="0" w:evenHBand="0" w:firstRowFirstColumn="0" w:firstRowLastColumn="0" w:lastRowFirstColumn="0" w:lastRowLastColumn="0"/>
            <w:tcW w:w="0" w:type="auto"/>
            <w:hideMark/>
          </w:tcPr>
          <w:p w14:paraId="6B447C2E" w14:textId="77777777" w:rsidR="00A82E2E" w:rsidRPr="00A82E2E" w:rsidRDefault="00A82E2E" w:rsidP="00D20DB9">
            <w:pPr>
              <w:spacing w:line="360" w:lineRule="auto"/>
              <w:rPr>
                <w:rFonts w:ascii="Arial" w:eastAsia="Times New Roman" w:hAnsi="Arial" w:cs="Arial"/>
                <w:sz w:val="22"/>
                <w:szCs w:val="22"/>
                <w:lang w:val="en-GB" w:eastAsia="en-GB"/>
              </w:rPr>
            </w:pPr>
          </w:p>
        </w:tc>
        <w:tc>
          <w:tcPr>
            <w:tcW w:w="0" w:type="auto"/>
            <w:hideMark/>
          </w:tcPr>
          <w:p w14:paraId="3D5CE70D" w14:textId="77777777" w:rsidR="00A82E2E" w:rsidRPr="00A82E2E" w:rsidRDefault="00A82E2E" w:rsidP="00D20DB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sz w:val="22"/>
                <w:szCs w:val="22"/>
                <w:lang w:val="en-GB" w:eastAsia="en-GB"/>
              </w:rPr>
              <w:t>Increase sales of smoothies and juices through marketing campaigns, promotions, and stronger retail partnerships.</w:t>
            </w:r>
          </w:p>
        </w:tc>
        <w:tc>
          <w:tcPr>
            <w:tcW w:w="0" w:type="auto"/>
            <w:hideMark/>
          </w:tcPr>
          <w:p w14:paraId="3018B7B6" w14:textId="77777777" w:rsidR="00A82E2E" w:rsidRPr="00A82E2E" w:rsidRDefault="00A82E2E" w:rsidP="00D20DB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sz w:val="22"/>
                <w:szCs w:val="22"/>
                <w:lang w:val="en-GB" w:eastAsia="en-GB"/>
              </w:rPr>
              <w:t>Develop innovative functional beverages such as plant-based protein smoothies, immunity drinks, and vitamin-enriched juices.</w:t>
            </w:r>
          </w:p>
        </w:tc>
      </w:tr>
      <w:tr w:rsidR="00A82E2E" w:rsidRPr="00A82E2E" w14:paraId="6FBDEADE" w14:textId="77777777" w:rsidTr="002B49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BED0B7" w14:textId="77777777" w:rsidR="00A82E2E" w:rsidRPr="00A82E2E" w:rsidRDefault="00A82E2E" w:rsidP="00D20DB9">
            <w:pPr>
              <w:spacing w:line="360" w:lineRule="auto"/>
              <w:rPr>
                <w:rFonts w:ascii="Arial" w:eastAsia="Times New Roman" w:hAnsi="Arial" w:cs="Arial"/>
                <w:sz w:val="22"/>
                <w:szCs w:val="22"/>
                <w:lang w:val="en-GB" w:eastAsia="en-GB"/>
              </w:rPr>
            </w:pPr>
            <w:r w:rsidRPr="00A82E2E">
              <w:rPr>
                <w:rFonts w:ascii="Arial" w:eastAsia="Times New Roman" w:hAnsi="Arial" w:cs="Arial"/>
                <w:sz w:val="22"/>
                <w:szCs w:val="22"/>
                <w:lang w:val="en-GB" w:eastAsia="en-GB"/>
              </w:rPr>
              <w:t>New Markets</w:t>
            </w:r>
          </w:p>
        </w:tc>
        <w:tc>
          <w:tcPr>
            <w:tcW w:w="0" w:type="auto"/>
            <w:hideMark/>
          </w:tcPr>
          <w:p w14:paraId="2859F1D2" w14:textId="77777777" w:rsidR="00A82E2E" w:rsidRPr="00A82E2E" w:rsidRDefault="00A82E2E" w:rsidP="00D20DB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b/>
                <w:bCs/>
                <w:sz w:val="22"/>
                <w:szCs w:val="22"/>
                <w:lang w:val="en-GB" w:eastAsia="en-GB"/>
              </w:rPr>
              <w:t>Market Development</w:t>
            </w:r>
          </w:p>
        </w:tc>
        <w:tc>
          <w:tcPr>
            <w:tcW w:w="0" w:type="auto"/>
            <w:hideMark/>
          </w:tcPr>
          <w:p w14:paraId="1D9ECA27" w14:textId="77777777" w:rsidR="00A82E2E" w:rsidRPr="00A82E2E" w:rsidRDefault="00A82E2E" w:rsidP="00D20DB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b/>
                <w:bCs/>
                <w:sz w:val="22"/>
                <w:szCs w:val="22"/>
                <w:lang w:val="en-GB" w:eastAsia="en-GB"/>
              </w:rPr>
              <w:t>Diversification</w:t>
            </w:r>
          </w:p>
        </w:tc>
      </w:tr>
      <w:tr w:rsidR="00A82E2E" w:rsidRPr="00A82E2E" w14:paraId="3D27FEA5" w14:textId="77777777" w:rsidTr="002B49A7">
        <w:tc>
          <w:tcPr>
            <w:cnfStyle w:val="001000000000" w:firstRow="0" w:lastRow="0" w:firstColumn="1" w:lastColumn="0" w:oddVBand="0" w:evenVBand="0" w:oddHBand="0" w:evenHBand="0" w:firstRowFirstColumn="0" w:firstRowLastColumn="0" w:lastRowFirstColumn="0" w:lastRowLastColumn="0"/>
            <w:tcW w:w="0" w:type="auto"/>
            <w:hideMark/>
          </w:tcPr>
          <w:p w14:paraId="63E84965" w14:textId="77777777" w:rsidR="00A82E2E" w:rsidRPr="00A82E2E" w:rsidRDefault="00A82E2E" w:rsidP="00D20DB9">
            <w:pPr>
              <w:spacing w:line="360" w:lineRule="auto"/>
              <w:rPr>
                <w:rFonts w:ascii="Arial" w:eastAsia="Times New Roman" w:hAnsi="Arial" w:cs="Arial"/>
                <w:sz w:val="22"/>
                <w:szCs w:val="22"/>
                <w:lang w:val="en-GB" w:eastAsia="en-GB"/>
              </w:rPr>
            </w:pPr>
          </w:p>
        </w:tc>
        <w:tc>
          <w:tcPr>
            <w:tcW w:w="0" w:type="auto"/>
            <w:hideMark/>
          </w:tcPr>
          <w:p w14:paraId="6154A68B" w14:textId="77777777" w:rsidR="00A82E2E" w:rsidRPr="00A82E2E" w:rsidRDefault="00A82E2E" w:rsidP="00D20DB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sz w:val="22"/>
                <w:szCs w:val="22"/>
                <w:lang w:val="en-GB" w:eastAsia="en-GB"/>
              </w:rPr>
              <w:t>Expand Innocent’s existing product range into new international markets such as Asia and North America.</w:t>
            </w:r>
          </w:p>
        </w:tc>
        <w:tc>
          <w:tcPr>
            <w:tcW w:w="0" w:type="auto"/>
            <w:hideMark/>
          </w:tcPr>
          <w:p w14:paraId="07861032" w14:textId="28B741EE" w:rsidR="00A82E2E" w:rsidRPr="00A82E2E" w:rsidRDefault="00A82E2E" w:rsidP="00D20DB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val="en-GB" w:eastAsia="en-GB"/>
              </w:rPr>
            </w:pPr>
            <w:r w:rsidRPr="00A82E2E">
              <w:rPr>
                <w:rFonts w:ascii="Arial" w:eastAsia="Times New Roman" w:hAnsi="Arial" w:cs="Arial"/>
                <w:sz w:val="22"/>
                <w:szCs w:val="22"/>
                <w:lang w:val="en-GB" w:eastAsia="en-GB"/>
              </w:rPr>
              <w:t>Introduce new product categories beyond beverages, such as healthy snacks (</w:t>
            </w:r>
            <w:r w:rsidR="000D0643" w:rsidRPr="00A82E2E">
              <w:rPr>
                <w:rFonts w:ascii="Arial" w:eastAsia="Times New Roman" w:hAnsi="Arial" w:cs="Arial"/>
                <w:sz w:val="22"/>
                <w:szCs w:val="22"/>
                <w:lang w:val="en-GB" w:eastAsia="en-GB"/>
              </w:rPr>
              <w:t>elevated risk</w:t>
            </w:r>
            <w:r w:rsidRPr="00A82E2E">
              <w:rPr>
                <w:rFonts w:ascii="Arial" w:eastAsia="Times New Roman" w:hAnsi="Arial" w:cs="Arial"/>
                <w:sz w:val="22"/>
                <w:szCs w:val="22"/>
                <w:lang w:val="en-GB" w:eastAsia="en-GB"/>
              </w:rPr>
              <w:t>).</w:t>
            </w:r>
          </w:p>
        </w:tc>
      </w:tr>
    </w:tbl>
    <w:p w14:paraId="02CA98F6" w14:textId="77777777" w:rsidR="008C18C1" w:rsidRDefault="008C18C1">
      <w:pPr>
        <w:rPr>
          <w:b/>
          <w:bCs/>
        </w:rPr>
      </w:pPr>
    </w:p>
    <w:p w14:paraId="22DF3C6F" w14:textId="77777777" w:rsidR="008C18C1" w:rsidRDefault="008C18C1">
      <w:pPr>
        <w:rPr>
          <w:b/>
          <w:bCs/>
        </w:rPr>
      </w:pPr>
    </w:p>
    <w:p w14:paraId="3CF95B81" w14:textId="77777777" w:rsidR="00EE1819" w:rsidRDefault="00EE1819" w:rsidP="00097324">
      <w:pPr>
        <w:pStyle w:val="Heading4"/>
      </w:pPr>
      <w:r w:rsidRPr="0067135E">
        <w:t>Proposed Strategy</w:t>
      </w:r>
    </w:p>
    <w:p w14:paraId="3EB7E4AD" w14:textId="77777777" w:rsidR="0067135E" w:rsidRPr="0067135E" w:rsidRDefault="0067135E" w:rsidP="0067135E">
      <w:pPr>
        <w:jc w:val="center"/>
        <w:rPr>
          <w:rFonts w:ascii="Arial" w:hAnsi="Arial" w:cs="Arial"/>
        </w:rPr>
      </w:pPr>
    </w:p>
    <w:p w14:paraId="45383742" w14:textId="77777777" w:rsidR="00EE1819" w:rsidRPr="0067135E" w:rsidRDefault="00EE1819" w:rsidP="0067135E">
      <w:pPr>
        <w:spacing w:line="360" w:lineRule="auto"/>
        <w:jc w:val="both"/>
        <w:rPr>
          <w:rFonts w:ascii="Arial" w:hAnsi="Arial" w:cs="Arial"/>
          <w:sz w:val="22"/>
          <w:szCs w:val="22"/>
        </w:rPr>
      </w:pPr>
      <w:r w:rsidRPr="0067135E">
        <w:rPr>
          <w:rFonts w:ascii="Arial" w:hAnsi="Arial" w:cs="Arial"/>
          <w:sz w:val="22"/>
          <w:szCs w:val="22"/>
        </w:rPr>
        <w:t xml:space="preserve">After reviewing the options, the best growth strategy for Innocent Drinks is to </w:t>
      </w:r>
      <w:r w:rsidRPr="00C36A87">
        <w:rPr>
          <w:rFonts w:ascii="Arial" w:hAnsi="Arial" w:cs="Arial"/>
          <w:b/>
          <w:bCs/>
          <w:sz w:val="22"/>
          <w:szCs w:val="22"/>
        </w:rPr>
        <w:t>combine product development and market development</w:t>
      </w:r>
      <w:r w:rsidRPr="0067135E">
        <w:rPr>
          <w:rFonts w:ascii="Arial" w:hAnsi="Arial" w:cs="Arial"/>
          <w:sz w:val="22"/>
          <w:szCs w:val="22"/>
        </w:rPr>
        <w:t>. This means making new plant-based and functional health drinks and selling them in new international markets.</w:t>
      </w:r>
    </w:p>
    <w:p w14:paraId="18ACBF30" w14:textId="77777777" w:rsidR="00EE1819" w:rsidRPr="0067135E" w:rsidRDefault="00EE1819" w:rsidP="0067135E">
      <w:pPr>
        <w:spacing w:line="360" w:lineRule="auto"/>
        <w:jc w:val="both"/>
        <w:rPr>
          <w:rFonts w:ascii="Arial" w:hAnsi="Arial" w:cs="Arial"/>
          <w:sz w:val="22"/>
          <w:szCs w:val="22"/>
        </w:rPr>
      </w:pPr>
      <w:r w:rsidRPr="0067135E">
        <w:rPr>
          <w:rFonts w:ascii="Arial" w:hAnsi="Arial" w:cs="Arial"/>
          <w:sz w:val="22"/>
          <w:szCs w:val="22"/>
        </w:rPr>
        <w:t>First, expanding the plant-based drink range matches consumer trends toward healthy, sustainable, and dairy-free products. Plant-based drinks are popular among people who care about health and the environment (Mintel, 2023). Innocent Drinks can make new products like protein smoothies, oat-based drinks, and juices with added vitamins. These products can help the company stand out from competitors in the health beverage market.</w:t>
      </w:r>
    </w:p>
    <w:p w14:paraId="362F509B" w14:textId="77777777" w:rsidR="00EE1819" w:rsidRPr="0067135E" w:rsidRDefault="00EE1819" w:rsidP="0067135E">
      <w:pPr>
        <w:spacing w:line="360" w:lineRule="auto"/>
        <w:jc w:val="both"/>
        <w:rPr>
          <w:rFonts w:ascii="Arial" w:hAnsi="Arial" w:cs="Arial"/>
          <w:sz w:val="22"/>
          <w:szCs w:val="22"/>
        </w:rPr>
      </w:pPr>
      <w:r w:rsidRPr="0067135E">
        <w:rPr>
          <w:rFonts w:ascii="Arial" w:hAnsi="Arial" w:cs="Arial"/>
          <w:sz w:val="22"/>
          <w:szCs w:val="22"/>
        </w:rPr>
        <w:t>Second, Innocent Drinks can enter new markets where healthy drinks are becoming more popular. The company’s parent organization, The Coca-Cola Company, has a large distribution network, which can help Innocent Drinks reach new customers in different countries (Coca-Cola, 2024).</w:t>
      </w:r>
    </w:p>
    <w:p w14:paraId="50341EAD" w14:textId="77777777" w:rsidR="00EE1819" w:rsidRPr="0067135E" w:rsidRDefault="00EE1819" w:rsidP="0067135E">
      <w:pPr>
        <w:spacing w:line="360" w:lineRule="auto"/>
        <w:jc w:val="both"/>
        <w:rPr>
          <w:rFonts w:ascii="Arial" w:hAnsi="Arial" w:cs="Arial"/>
          <w:sz w:val="22"/>
          <w:szCs w:val="22"/>
        </w:rPr>
      </w:pPr>
      <w:r w:rsidRPr="0067135E">
        <w:rPr>
          <w:rFonts w:ascii="Arial" w:hAnsi="Arial" w:cs="Arial"/>
          <w:sz w:val="22"/>
          <w:szCs w:val="22"/>
        </w:rPr>
        <w:t>From a strategic perspective, this approach fits with Porter’s differentiation strategy. By offering unique, high-quality drinks made with natural ingredients and ethical sourcing, Innocent Drinks can keep its premium brand image and avoid competing only on price (Porter, 2008).</w:t>
      </w:r>
    </w:p>
    <w:p w14:paraId="7A89C0EA" w14:textId="77777777" w:rsidR="00EE1819" w:rsidRPr="0067135E" w:rsidRDefault="00EE1819" w:rsidP="0067135E">
      <w:pPr>
        <w:spacing w:line="360" w:lineRule="auto"/>
        <w:jc w:val="both"/>
        <w:rPr>
          <w:rFonts w:ascii="Arial" w:hAnsi="Arial" w:cs="Arial"/>
          <w:sz w:val="22"/>
          <w:szCs w:val="22"/>
        </w:rPr>
      </w:pPr>
      <w:r w:rsidRPr="0067135E">
        <w:rPr>
          <w:rFonts w:ascii="Arial" w:hAnsi="Arial" w:cs="Arial"/>
          <w:sz w:val="22"/>
          <w:szCs w:val="22"/>
        </w:rPr>
        <w:t>This strategy also supports Innocent Drinks’ mission to produce natural, healthy beverages. By focusing on plant-based innovation and sustainable sourcing, the company can strengthen its reputation as a purposeful brand and achieve growth in the long term.</w:t>
      </w:r>
    </w:p>
    <w:p w14:paraId="4F913347" w14:textId="3F8E0795" w:rsidR="00F90434" w:rsidRPr="00C16B99" w:rsidRDefault="00EE1819" w:rsidP="00C16B99">
      <w:pPr>
        <w:spacing w:line="360" w:lineRule="auto"/>
        <w:jc w:val="both"/>
        <w:rPr>
          <w:rFonts w:ascii="Arial" w:hAnsi="Arial" w:cs="Arial"/>
          <w:sz w:val="22"/>
          <w:szCs w:val="22"/>
        </w:rPr>
      </w:pPr>
      <w:r w:rsidRPr="0067135E">
        <w:rPr>
          <w:rFonts w:ascii="Arial" w:hAnsi="Arial" w:cs="Arial"/>
          <w:sz w:val="22"/>
          <w:szCs w:val="22"/>
        </w:rPr>
        <w:t>In summary, Innocent Drinks should develop new plant-based and functional beverages and expand into new international markets. This combined strategy is simple, aligns with consumer trends, and supports the company’s values. It is less risky than diversification and offers more growth potential than market penetration alone. Innocent Drinks can use its strong brand and global distribution to succeed with this approach.</w:t>
      </w:r>
    </w:p>
    <w:p w14:paraId="22F7F202" w14:textId="77777777" w:rsidR="00C16B99" w:rsidRDefault="00C16B99" w:rsidP="00097324">
      <w:pPr>
        <w:pStyle w:val="Heading4"/>
        <w:rPr>
          <w:lang w:val="en-GB" w:eastAsia="en-GB"/>
        </w:rPr>
      </w:pPr>
    </w:p>
    <w:p w14:paraId="664F1AD9" w14:textId="3D588835" w:rsidR="00C16B99" w:rsidRPr="00C16B99" w:rsidRDefault="00113168" w:rsidP="00097324">
      <w:pPr>
        <w:pStyle w:val="Heading4"/>
        <w:rPr>
          <w:sz w:val="22"/>
          <w:szCs w:val="22"/>
          <w:lang w:val="en-GB" w:eastAsia="en-GB"/>
        </w:rPr>
      </w:pPr>
      <w:r w:rsidRPr="00113168">
        <w:rPr>
          <w:lang w:val="en-GB" w:eastAsia="en-GB"/>
        </w:rPr>
        <w:lastRenderedPageBreak/>
        <w:t>Recommended strategy</w:t>
      </w:r>
      <w:r w:rsidR="0049512F">
        <w:rPr>
          <w:lang w:val="en-GB" w:eastAsia="en-GB"/>
        </w:rPr>
        <w:t>:</w:t>
      </w:r>
      <w:r w:rsidRPr="00113168">
        <w:rPr>
          <w:lang w:val="en-GB" w:eastAsia="en-GB"/>
        </w:rPr>
        <w:br/>
      </w:r>
      <w:r w:rsidRPr="00113168">
        <w:rPr>
          <w:sz w:val="22"/>
          <w:szCs w:val="22"/>
          <w:lang w:val="en-GB" w:eastAsia="en-GB"/>
        </w:rPr>
        <w:t>Product Development + Market Development.</w:t>
      </w:r>
      <w:r w:rsidR="00167113" w:rsidRPr="00D318E5">
        <w:rPr>
          <w:sz w:val="22"/>
          <w:szCs w:val="22"/>
          <w:lang w:val="en-GB" w:eastAsia="en-GB"/>
        </w:rPr>
        <w:t xml:space="preserve"> </w:t>
      </w:r>
      <w:r w:rsidRPr="00113168">
        <w:rPr>
          <w:sz w:val="22"/>
          <w:szCs w:val="22"/>
          <w:lang w:val="en-GB" w:eastAsia="en-GB"/>
        </w:rPr>
        <w:t>(Ansoff, 1957)</w:t>
      </w:r>
    </w:p>
    <w:p w14:paraId="5C35AADB" w14:textId="77777777" w:rsidR="00C16B99" w:rsidRDefault="00C16B99" w:rsidP="00097324">
      <w:pPr>
        <w:pStyle w:val="Heading5"/>
        <w:rPr>
          <w:lang w:val="en-GB" w:eastAsia="en-GB"/>
        </w:rPr>
      </w:pPr>
    </w:p>
    <w:p w14:paraId="168C142C" w14:textId="03C5F431" w:rsidR="00AF5E64" w:rsidRPr="00113168" w:rsidRDefault="00AF5E64" w:rsidP="00097324">
      <w:pPr>
        <w:pStyle w:val="Heading5"/>
        <w:rPr>
          <w:lang w:val="en-GB" w:eastAsia="en-GB"/>
        </w:rPr>
      </w:pPr>
      <w:r w:rsidRPr="003608BA">
        <w:rPr>
          <w:lang w:val="en-GB" w:eastAsia="en-GB"/>
        </w:rPr>
        <w:t xml:space="preserve">Figure </w:t>
      </w:r>
      <w:r w:rsidR="005E065B">
        <w:rPr>
          <w:lang w:val="en-GB" w:eastAsia="en-GB"/>
        </w:rPr>
        <w:t xml:space="preserve">6. </w:t>
      </w:r>
      <w:r w:rsidRPr="00113168">
        <w:rPr>
          <w:lang w:val="en-GB" w:eastAsia="en-GB"/>
        </w:rPr>
        <w:t>Porter’s Generic Competitive Strategy</w:t>
      </w:r>
    </w:p>
    <w:tbl>
      <w:tblPr>
        <w:tblStyle w:val="GridTable5Dark-Accent1"/>
        <w:tblW w:w="0" w:type="auto"/>
        <w:tblLook w:val="04A0" w:firstRow="1" w:lastRow="0" w:firstColumn="1" w:lastColumn="0" w:noHBand="0" w:noVBand="1"/>
      </w:tblPr>
      <w:tblGrid>
        <w:gridCol w:w="2377"/>
        <w:gridCol w:w="1819"/>
        <w:gridCol w:w="3773"/>
        <w:gridCol w:w="222"/>
      </w:tblGrid>
      <w:tr w:rsidR="00292EA1" w:rsidRPr="00113168" w14:paraId="04EAC1FD" w14:textId="0F4406DE" w:rsidTr="00FE42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23AE1E" w14:textId="77777777" w:rsidR="00292EA1" w:rsidRPr="00113168" w:rsidRDefault="00292EA1" w:rsidP="003608BA">
            <w:pPr>
              <w:spacing w:line="360" w:lineRule="auto"/>
              <w:jc w:val="center"/>
              <w:rPr>
                <w:rFonts w:ascii="Arial" w:eastAsia="Times New Roman" w:hAnsi="Arial" w:cs="Arial"/>
                <w:lang w:val="en-GB" w:eastAsia="en-GB"/>
              </w:rPr>
            </w:pPr>
            <w:r w:rsidRPr="00113168">
              <w:rPr>
                <w:rFonts w:ascii="Arial" w:eastAsia="Times New Roman" w:hAnsi="Arial" w:cs="Arial"/>
                <w:lang w:val="en-GB" w:eastAsia="en-GB"/>
              </w:rPr>
              <w:t>Competitive Scope</w:t>
            </w:r>
          </w:p>
        </w:tc>
        <w:tc>
          <w:tcPr>
            <w:tcW w:w="0" w:type="auto"/>
            <w:hideMark/>
          </w:tcPr>
          <w:p w14:paraId="6EDB98A0" w14:textId="77777777" w:rsidR="00292EA1" w:rsidRPr="00113168" w:rsidRDefault="00292EA1" w:rsidP="003608B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GB" w:eastAsia="en-GB"/>
              </w:rPr>
            </w:pPr>
            <w:r w:rsidRPr="00113168">
              <w:rPr>
                <w:rFonts w:ascii="Arial" w:eastAsia="Times New Roman" w:hAnsi="Arial" w:cs="Arial"/>
                <w:lang w:val="en-GB" w:eastAsia="en-GB"/>
              </w:rPr>
              <w:t>Low Cost</w:t>
            </w:r>
          </w:p>
        </w:tc>
        <w:tc>
          <w:tcPr>
            <w:tcW w:w="0" w:type="auto"/>
            <w:hideMark/>
          </w:tcPr>
          <w:p w14:paraId="797B2942" w14:textId="77777777" w:rsidR="00292EA1" w:rsidRPr="00113168" w:rsidRDefault="00292EA1" w:rsidP="003608B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GB" w:eastAsia="en-GB"/>
              </w:rPr>
            </w:pPr>
            <w:r w:rsidRPr="00113168">
              <w:rPr>
                <w:rFonts w:ascii="Arial" w:eastAsia="Times New Roman" w:hAnsi="Arial" w:cs="Arial"/>
                <w:lang w:val="en-GB" w:eastAsia="en-GB"/>
              </w:rPr>
              <w:t>Differentiation</w:t>
            </w:r>
          </w:p>
        </w:tc>
        <w:tc>
          <w:tcPr>
            <w:tcW w:w="0" w:type="auto"/>
            <w:shd w:val="clear" w:color="auto" w:fill="auto"/>
          </w:tcPr>
          <w:p w14:paraId="3FC81EEE" w14:textId="77777777" w:rsidR="00292EA1" w:rsidRPr="00113168" w:rsidRDefault="00292EA1" w:rsidP="006046E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val="en-GB" w:eastAsia="en-GB"/>
              </w:rPr>
            </w:pPr>
          </w:p>
        </w:tc>
      </w:tr>
      <w:tr w:rsidR="00292EA1" w:rsidRPr="00113168" w14:paraId="2EAF9C08" w14:textId="22A0E6D6" w:rsidTr="00FE42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20C7E0" w14:textId="221E9048" w:rsidR="00292EA1" w:rsidRPr="00113168" w:rsidRDefault="00292EA1" w:rsidP="003608BA">
            <w:pPr>
              <w:spacing w:line="360" w:lineRule="auto"/>
              <w:rPr>
                <w:rFonts w:ascii="Arial" w:eastAsia="Times New Roman" w:hAnsi="Arial" w:cs="Arial"/>
                <w:lang w:val="en-GB" w:eastAsia="en-GB"/>
              </w:rPr>
            </w:pPr>
            <w:r w:rsidRPr="003608BA">
              <w:rPr>
                <w:rFonts w:ascii="Arial" w:eastAsia="Times New Roman" w:hAnsi="Arial" w:cs="Arial"/>
                <w:lang w:val="en-GB" w:eastAsia="en-GB"/>
              </w:rPr>
              <w:t>Wide</w:t>
            </w:r>
            <w:r w:rsidRPr="00113168">
              <w:rPr>
                <w:rFonts w:ascii="Arial" w:eastAsia="Times New Roman" w:hAnsi="Arial" w:cs="Arial"/>
                <w:lang w:val="en-GB" w:eastAsia="en-GB"/>
              </w:rPr>
              <w:t xml:space="preserve"> Market</w:t>
            </w:r>
          </w:p>
        </w:tc>
        <w:tc>
          <w:tcPr>
            <w:tcW w:w="0" w:type="auto"/>
            <w:hideMark/>
          </w:tcPr>
          <w:p w14:paraId="2DA0A25C" w14:textId="77777777" w:rsidR="00292EA1" w:rsidRPr="00113168" w:rsidRDefault="00292EA1" w:rsidP="003608BA">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val="en-GB" w:eastAsia="en-GB"/>
              </w:rPr>
            </w:pPr>
            <w:r w:rsidRPr="00113168">
              <w:rPr>
                <w:rFonts w:ascii="Arial" w:eastAsia="Times New Roman" w:hAnsi="Arial" w:cs="Arial"/>
                <w:sz w:val="22"/>
                <w:szCs w:val="22"/>
                <w:lang w:val="en-GB" w:eastAsia="en-GB"/>
              </w:rPr>
              <w:t>Cost Leadership</w:t>
            </w:r>
          </w:p>
        </w:tc>
        <w:tc>
          <w:tcPr>
            <w:tcW w:w="0" w:type="auto"/>
            <w:hideMark/>
          </w:tcPr>
          <w:p w14:paraId="06816FED" w14:textId="77777777" w:rsidR="00292EA1" w:rsidRPr="00113168" w:rsidRDefault="00292EA1" w:rsidP="003608BA">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lang w:val="en-GB" w:eastAsia="en-GB"/>
              </w:rPr>
            </w:pPr>
            <w:r w:rsidRPr="00113168">
              <w:rPr>
                <w:rFonts w:ascii="Arial" w:eastAsia="Times New Roman" w:hAnsi="Arial" w:cs="Arial"/>
                <w:b/>
                <w:bCs/>
                <w:sz w:val="22"/>
                <w:szCs w:val="22"/>
                <w:lang w:val="en-GB" w:eastAsia="en-GB"/>
              </w:rPr>
              <w:t>Differentiation Strategy (Innocent)</w:t>
            </w:r>
          </w:p>
        </w:tc>
        <w:tc>
          <w:tcPr>
            <w:tcW w:w="0" w:type="auto"/>
            <w:shd w:val="clear" w:color="auto" w:fill="auto"/>
          </w:tcPr>
          <w:p w14:paraId="11C46B46" w14:textId="77777777" w:rsidR="00292EA1" w:rsidRPr="00113168" w:rsidRDefault="00292EA1" w:rsidP="006046EF">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lang w:val="en-GB" w:eastAsia="en-GB"/>
              </w:rPr>
            </w:pPr>
          </w:p>
        </w:tc>
      </w:tr>
      <w:tr w:rsidR="00292EA1" w:rsidRPr="00113168" w14:paraId="4AA99AAF" w14:textId="69DF2CC8" w:rsidTr="00FE42A6">
        <w:tc>
          <w:tcPr>
            <w:cnfStyle w:val="001000000000" w:firstRow="0" w:lastRow="0" w:firstColumn="1" w:lastColumn="0" w:oddVBand="0" w:evenVBand="0" w:oddHBand="0" w:evenHBand="0" w:firstRowFirstColumn="0" w:firstRowLastColumn="0" w:lastRowFirstColumn="0" w:lastRowLastColumn="0"/>
            <w:tcW w:w="0" w:type="auto"/>
            <w:hideMark/>
          </w:tcPr>
          <w:p w14:paraId="2201BCF2" w14:textId="77777777" w:rsidR="00292EA1" w:rsidRPr="00113168" w:rsidRDefault="00292EA1" w:rsidP="003608BA">
            <w:pPr>
              <w:spacing w:line="360" w:lineRule="auto"/>
              <w:rPr>
                <w:rFonts w:ascii="Arial" w:eastAsia="Times New Roman" w:hAnsi="Arial" w:cs="Arial"/>
                <w:lang w:val="en-GB" w:eastAsia="en-GB"/>
              </w:rPr>
            </w:pPr>
            <w:r w:rsidRPr="00113168">
              <w:rPr>
                <w:rFonts w:ascii="Arial" w:eastAsia="Times New Roman" w:hAnsi="Arial" w:cs="Arial"/>
                <w:lang w:val="en-GB" w:eastAsia="en-GB"/>
              </w:rPr>
              <w:t>Narrow Market</w:t>
            </w:r>
          </w:p>
        </w:tc>
        <w:tc>
          <w:tcPr>
            <w:tcW w:w="0" w:type="auto"/>
            <w:hideMark/>
          </w:tcPr>
          <w:p w14:paraId="37BA41D1" w14:textId="77777777" w:rsidR="00292EA1" w:rsidRPr="00113168" w:rsidRDefault="00292EA1" w:rsidP="003608B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val="en-GB" w:eastAsia="en-GB"/>
              </w:rPr>
            </w:pPr>
            <w:r w:rsidRPr="00113168">
              <w:rPr>
                <w:rFonts w:ascii="Arial" w:eastAsia="Times New Roman" w:hAnsi="Arial" w:cs="Arial"/>
                <w:sz w:val="22"/>
                <w:szCs w:val="22"/>
                <w:lang w:val="en-GB" w:eastAsia="en-GB"/>
              </w:rPr>
              <w:t>Cost Focus</w:t>
            </w:r>
          </w:p>
        </w:tc>
        <w:tc>
          <w:tcPr>
            <w:tcW w:w="0" w:type="auto"/>
            <w:hideMark/>
          </w:tcPr>
          <w:p w14:paraId="7F7BC7B6" w14:textId="77777777" w:rsidR="00292EA1" w:rsidRPr="00113168" w:rsidRDefault="00292EA1" w:rsidP="003608B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val="en-GB" w:eastAsia="en-GB"/>
              </w:rPr>
            </w:pPr>
            <w:r w:rsidRPr="00113168">
              <w:rPr>
                <w:rFonts w:ascii="Arial" w:eastAsia="Times New Roman" w:hAnsi="Arial" w:cs="Arial"/>
                <w:sz w:val="22"/>
                <w:szCs w:val="22"/>
                <w:lang w:val="en-GB" w:eastAsia="en-GB"/>
              </w:rPr>
              <w:t>Differentiation Focus</w:t>
            </w:r>
          </w:p>
        </w:tc>
        <w:tc>
          <w:tcPr>
            <w:tcW w:w="0" w:type="auto"/>
            <w:shd w:val="clear" w:color="auto" w:fill="auto"/>
          </w:tcPr>
          <w:p w14:paraId="31C5D4DE" w14:textId="77777777" w:rsidR="00292EA1" w:rsidRPr="00113168" w:rsidRDefault="00292EA1" w:rsidP="006046EF">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val="en-GB" w:eastAsia="en-GB"/>
              </w:rPr>
            </w:pPr>
          </w:p>
        </w:tc>
      </w:tr>
    </w:tbl>
    <w:p w14:paraId="6D8BE396" w14:textId="77777777" w:rsidR="002277D8" w:rsidRDefault="002277D8" w:rsidP="006C76B8">
      <w:pPr>
        <w:rPr>
          <w:rFonts w:ascii="Times New Roman" w:hAnsi="Times New Roman" w:cs="Times New Roman"/>
          <w:color w:val="000000"/>
        </w:rPr>
      </w:pPr>
    </w:p>
    <w:p w14:paraId="03D0E498" w14:textId="74D01393" w:rsidR="00113168" w:rsidRPr="002277D8" w:rsidRDefault="006C76B8" w:rsidP="002277D8">
      <w:pPr>
        <w:spacing w:line="360" w:lineRule="auto"/>
        <w:rPr>
          <w:rFonts w:ascii="Arial" w:hAnsi="Arial" w:cs="Arial"/>
          <w:sz w:val="22"/>
          <w:szCs w:val="22"/>
          <w:lang w:val="en-GB" w:eastAsia="en-GB"/>
        </w:rPr>
      </w:pPr>
      <w:r w:rsidRPr="002277D8">
        <w:rPr>
          <w:rFonts w:ascii="Arial" w:hAnsi="Arial" w:cs="Arial"/>
          <w:color w:val="000000"/>
          <w:sz w:val="22"/>
          <w:szCs w:val="22"/>
        </w:rPr>
        <w:t xml:space="preserve">Innocent Drinks sets itself apart from competitors by adopting a unique strategy to </w:t>
      </w:r>
      <w:r w:rsidR="003E25DE" w:rsidRPr="002277D8">
        <w:rPr>
          <w:rFonts w:ascii="Arial" w:hAnsi="Arial" w:cs="Arial"/>
          <w:color w:val="000000"/>
          <w:sz w:val="22"/>
          <w:szCs w:val="22"/>
        </w:rPr>
        <w:t>differentiate</w:t>
      </w:r>
      <w:r w:rsidRPr="002277D8">
        <w:rPr>
          <w:rFonts w:ascii="Arial" w:hAnsi="Arial" w:cs="Arial"/>
          <w:color w:val="000000"/>
          <w:sz w:val="22"/>
          <w:szCs w:val="22"/>
        </w:rPr>
        <w:t xml:space="preserve"> within the industry such as:</w:t>
      </w:r>
    </w:p>
    <w:p w14:paraId="7FDE4B8B" w14:textId="77777777" w:rsidR="00113168" w:rsidRPr="00113168" w:rsidRDefault="00113168" w:rsidP="002277D8">
      <w:pPr>
        <w:numPr>
          <w:ilvl w:val="0"/>
          <w:numId w:val="4"/>
        </w:numPr>
        <w:spacing w:before="100" w:beforeAutospacing="1" w:after="100" w:afterAutospacing="1" w:line="360" w:lineRule="auto"/>
        <w:rPr>
          <w:rFonts w:ascii="Arial" w:eastAsia="Times New Roman" w:hAnsi="Arial" w:cs="Arial"/>
          <w:sz w:val="22"/>
          <w:szCs w:val="22"/>
          <w:lang w:val="en-GB" w:eastAsia="en-GB"/>
        </w:rPr>
      </w:pPr>
      <w:r w:rsidRPr="00113168">
        <w:rPr>
          <w:rFonts w:ascii="Arial" w:eastAsia="Times New Roman" w:hAnsi="Arial" w:cs="Arial"/>
          <w:sz w:val="22"/>
          <w:szCs w:val="22"/>
          <w:lang w:val="en-GB" w:eastAsia="en-GB"/>
        </w:rPr>
        <w:t>Natural ingredients</w:t>
      </w:r>
    </w:p>
    <w:p w14:paraId="0E0519C5" w14:textId="77777777" w:rsidR="00113168" w:rsidRPr="00113168" w:rsidRDefault="00113168" w:rsidP="002277D8">
      <w:pPr>
        <w:numPr>
          <w:ilvl w:val="0"/>
          <w:numId w:val="4"/>
        </w:numPr>
        <w:spacing w:before="100" w:beforeAutospacing="1" w:after="100" w:afterAutospacing="1" w:line="360" w:lineRule="auto"/>
        <w:rPr>
          <w:rFonts w:ascii="Arial" w:eastAsia="Times New Roman" w:hAnsi="Arial" w:cs="Arial"/>
          <w:sz w:val="22"/>
          <w:szCs w:val="22"/>
          <w:lang w:val="en-GB" w:eastAsia="en-GB"/>
        </w:rPr>
      </w:pPr>
      <w:r w:rsidRPr="00113168">
        <w:rPr>
          <w:rFonts w:ascii="Arial" w:eastAsia="Times New Roman" w:hAnsi="Arial" w:cs="Arial"/>
          <w:sz w:val="22"/>
          <w:szCs w:val="22"/>
          <w:lang w:val="en-GB" w:eastAsia="en-GB"/>
        </w:rPr>
        <w:t>Sustainability commitment</w:t>
      </w:r>
    </w:p>
    <w:p w14:paraId="74BA6139" w14:textId="77777777" w:rsidR="00113168" w:rsidRPr="00113168" w:rsidRDefault="00113168" w:rsidP="002277D8">
      <w:pPr>
        <w:numPr>
          <w:ilvl w:val="0"/>
          <w:numId w:val="4"/>
        </w:numPr>
        <w:spacing w:before="100" w:beforeAutospacing="1" w:after="100" w:afterAutospacing="1" w:line="360" w:lineRule="auto"/>
        <w:rPr>
          <w:rFonts w:ascii="Arial" w:eastAsia="Times New Roman" w:hAnsi="Arial" w:cs="Arial"/>
          <w:sz w:val="22"/>
          <w:szCs w:val="22"/>
          <w:lang w:val="en-GB" w:eastAsia="en-GB"/>
        </w:rPr>
      </w:pPr>
      <w:r w:rsidRPr="00113168">
        <w:rPr>
          <w:rFonts w:ascii="Arial" w:eastAsia="Times New Roman" w:hAnsi="Arial" w:cs="Arial"/>
          <w:sz w:val="22"/>
          <w:szCs w:val="22"/>
          <w:lang w:val="en-GB" w:eastAsia="en-GB"/>
        </w:rPr>
        <w:t>Ethical sourcing</w:t>
      </w:r>
    </w:p>
    <w:p w14:paraId="2D30AC90" w14:textId="77777777" w:rsidR="00113168" w:rsidRPr="00113168" w:rsidRDefault="00113168" w:rsidP="002277D8">
      <w:pPr>
        <w:numPr>
          <w:ilvl w:val="0"/>
          <w:numId w:val="4"/>
        </w:numPr>
        <w:spacing w:before="100" w:beforeAutospacing="1" w:after="100" w:afterAutospacing="1" w:line="360" w:lineRule="auto"/>
        <w:rPr>
          <w:rFonts w:ascii="Arial" w:eastAsia="Times New Roman" w:hAnsi="Arial" w:cs="Arial"/>
          <w:sz w:val="22"/>
          <w:szCs w:val="22"/>
          <w:lang w:val="en-GB" w:eastAsia="en-GB"/>
        </w:rPr>
      </w:pPr>
      <w:r w:rsidRPr="00113168">
        <w:rPr>
          <w:rFonts w:ascii="Arial" w:eastAsia="Times New Roman" w:hAnsi="Arial" w:cs="Arial"/>
          <w:sz w:val="22"/>
          <w:szCs w:val="22"/>
          <w:lang w:val="en-GB" w:eastAsia="en-GB"/>
        </w:rPr>
        <w:t>Strong brand identity</w:t>
      </w:r>
    </w:p>
    <w:p w14:paraId="3F58D6AC" w14:textId="77777777" w:rsidR="00113168" w:rsidRPr="00113168" w:rsidRDefault="00113168" w:rsidP="002277D8">
      <w:pPr>
        <w:spacing w:before="100" w:beforeAutospacing="1" w:after="100" w:afterAutospacing="1" w:line="360" w:lineRule="auto"/>
        <w:rPr>
          <w:rFonts w:ascii="Arial" w:eastAsia="Times New Roman" w:hAnsi="Arial" w:cs="Arial"/>
          <w:sz w:val="22"/>
          <w:szCs w:val="22"/>
          <w:lang w:val="en-GB" w:eastAsia="en-GB"/>
        </w:rPr>
      </w:pPr>
      <w:r w:rsidRPr="00113168">
        <w:rPr>
          <w:rFonts w:ascii="Arial" w:eastAsia="Times New Roman" w:hAnsi="Arial" w:cs="Arial"/>
          <w:sz w:val="22"/>
          <w:szCs w:val="22"/>
          <w:lang w:val="en-GB" w:eastAsia="en-GB"/>
        </w:rPr>
        <w:t>(Porter, 2008)</w:t>
      </w:r>
    </w:p>
    <w:p w14:paraId="439CBB1F" w14:textId="77777777" w:rsidR="00954C16" w:rsidRDefault="00954C16" w:rsidP="001F1645"/>
    <w:p w14:paraId="5B0785BF" w14:textId="77777777" w:rsidR="00954C16" w:rsidRDefault="00954C16" w:rsidP="001F1645"/>
    <w:p w14:paraId="61716D89" w14:textId="77777777" w:rsidR="00954C16" w:rsidRDefault="00954C16" w:rsidP="001F1645"/>
    <w:p w14:paraId="7EE130F1" w14:textId="77777777" w:rsidR="00954C16" w:rsidRDefault="00954C16" w:rsidP="001F1645"/>
    <w:p w14:paraId="74D5FF22" w14:textId="77777777" w:rsidR="00954C16" w:rsidRDefault="00954C16" w:rsidP="001F1645"/>
    <w:p w14:paraId="0ADCF5D6" w14:textId="77777777" w:rsidR="002277D8" w:rsidRDefault="00F81D32" w:rsidP="00224269">
      <w:pPr>
        <w:jc w:val="both"/>
        <w:rPr>
          <w:b/>
          <w:bCs/>
        </w:rPr>
      </w:pPr>
      <w:r w:rsidRPr="00224269">
        <w:rPr>
          <w:b/>
          <w:bCs/>
        </w:rPr>
        <w:t xml:space="preserve"> </w:t>
      </w:r>
    </w:p>
    <w:p w14:paraId="139ADC85" w14:textId="77777777" w:rsidR="002277D8" w:rsidRDefault="002277D8" w:rsidP="00224269">
      <w:pPr>
        <w:jc w:val="both"/>
        <w:rPr>
          <w:b/>
          <w:bCs/>
        </w:rPr>
      </w:pPr>
    </w:p>
    <w:p w14:paraId="298A0675" w14:textId="77777777" w:rsidR="002277D8" w:rsidRDefault="002277D8" w:rsidP="00224269">
      <w:pPr>
        <w:jc w:val="both"/>
        <w:rPr>
          <w:b/>
          <w:bCs/>
        </w:rPr>
      </w:pPr>
    </w:p>
    <w:p w14:paraId="7182BF6B" w14:textId="77777777" w:rsidR="002277D8" w:rsidRDefault="002277D8" w:rsidP="00224269">
      <w:pPr>
        <w:jc w:val="both"/>
        <w:rPr>
          <w:b/>
          <w:bCs/>
        </w:rPr>
      </w:pPr>
    </w:p>
    <w:p w14:paraId="6BB3E59D" w14:textId="77777777" w:rsidR="002277D8" w:rsidRDefault="002277D8" w:rsidP="00224269">
      <w:pPr>
        <w:jc w:val="both"/>
        <w:rPr>
          <w:b/>
          <w:bCs/>
        </w:rPr>
      </w:pPr>
    </w:p>
    <w:p w14:paraId="1ABE1BA3" w14:textId="77777777" w:rsidR="002277D8" w:rsidRDefault="002277D8" w:rsidP="00224269">
      <w:pPr>
        <w:jc w:val="both"/>
        <w:rPr>
          <w:b/>
          <w:bCs/>
        </w:rPr>
      </w:pPr>
    </w:p>
    <w:p w14:paraId="7A2898DD" w14:textId="77777777" w:rsidR="002277D8" w:rsidRDefault="002277D8" w:rsidP="00224269">
      <w:pPr>
        <w:jc w:val="both"/>
        <w:rPr>
          <w:b/>
          <w:bCs/>
        </w:rPr>
      </w:pPr>
    </w:p>
    <w:p w14:paraId="1D210E86" w14:textId="77777777" w:rsidR="002277D8" w:rsidRDefault="002277D8" w:rsidP="00224269">
      <w:pPr>
        <w:jc w:val="both"/>
        <w:rPr>
          <w:b/>
          <w:bCs/>
        </w:rPr>
      </w:pPr>
    </w:p>
    <w:p w14:paraId="0BBEEFAB" w14:textId="77777777" w:rsidR="002277D8" w:rsidRDefault="002277D8" w:rsidP="00224269">
      <w:pPr>
        <w:jc w:val="both"/>
        <w:rPr>
          <w:b/>
          <w:bCs/>
        </w:rPr>
      </w:pPr>
    </w:p>
    <w:p w14:paraId="278DDAF7" w14:textId="77777777" w:rsidR="002277D8" w:rsidRDefault="002277D8" w:rsidP="00224269">
      <w:pPr>
        <w:jc w:val="both"/>
        <w:rPr>
          <w:b/>
          <w:bCs/>
        </w:rPr>
      </w:pPr>
    </w:p>
    <w:p w14:paraId="4DC84F18" w14:textId="77777777" w:rsidR="002277D8" w:rsidRDefault="002277D8" w:rsidP="00224269">
      <w:pPr>
        <w:jc w:val="both"/>
        <w:rPr>
          <w:b/>
          <w:bCs/>
        </w:rPr>
      </w:pPr>
    </w:p>
    <w:p w14:paraId="48B75891" w14:textId="77777777" w:rsidR="002277D8" w:rsidRDefault="002277D8" w:rsidP="00224269">
      <w:pPr>
        <w:jc w:val="both"/>
        <w:rPr>
          <w:b/>
          <w:bCs/>
        </w:rPr>
      </w:pPr>
    </w:p>
    <w:p w14:paraId="349FF51C" w14:textId="77777777" w:rsidR="002277D8" w:rsidRDefault="002277D8" w:rsidP="00224269">
      <w:pPr>
        <w:jc w:val="both"/>
        <w:rPr>
          <w:b/>
          <w:bCs/>
        </w:rPr>
      </w:pPr>
    </w:p>
    <w:p w14:paraId="29F55AFE" w14:textId="77777777" w:rsidR="002277D8" w:rsidRDefault="002277D8" w:rsidP="00224269">
      <w:pPr>
        <w:jc w:val="both"/>
        <w:rPr>
          <w:b/>
          <w:bCs/>
        </w:rPr>
      </w:pPr>
    </w:p>
    <w:p w14:paraId="422906D5" w14:textId="77777777" w:rsidR="002277D8" w:rsidRDefault="002277D8" w:rsidP="00224269">
      <w:pPr>
        <w:jc w:val="both"/>
        <w:rPr>
          <w:b/>
          <w:bCs/>
        </w:rPr>
      </w:pPr>
    </w:p>
    <w:p w14:paraId="576823ED" w14:textId="77777777" w:rsidR="002277D8" w:rsidRDefault="002277D8" w:rsidP="00224269">
      <w:pPr>
        <w:jc w:val="both"/>
        <w:rPr>
          <w:b/>
          <w:bCs/>
        </w:rPr>
      </w:pPr>
    </w:p>
    <w:p w14:paraId="4A058308" w14:textId="77777777" w:rsidR="002277D8" w:rsidRDefault="002277D8" w:rsidP="00224269">
      <w:pPr>
        <w:jc w:val="both"/>
        <w:rPr>
          <w:b/>
          <w:bCs/>
        </w:rPr>
      </w:pPr>
    </w:p>
    <w:p w14:paraId="7113F3B2" w14:textId="77777777" w:rsidR="002277D8" w:rsidRDefault="002277D8" w:rsidP="00224269">
      <w:pPr>
        <w:jc w:val="both"/>
        <w:rPr>
          <w:b/>
          <w:bCs/>
        </w:rPr>
      </w:pPr>
    </w:p>
    <w:p w14:paraId="2A367429" w14:textId="77777777" w:rsidR="002277D8" w:rsidRDefault="002277D8" w:rsidP="00224269">
      <w:pPr>
        <w:jc w:val="both"/>
        <w:rPr>
          <w:b/>
          <w:bCs/>
        </w:rPr>
      </w:pPr>
    </w:p>
    <w:p w14:paraId="21D8B524" w14:textId="77777777" w:rsidR="002277D8" w:rsidRDefault="002277D8" w:rsidP="00224269">
      <w:pPr>
        <w:jc w:val="both"/>
        <w:rPr>
          <w:b/>
          <w:bCs/>
        </w:rPr>
      </w:pPr>
    </w:p>
    <w:p w14:paraId="624D4AC3" w14:textId="77777777" w:rsidR="00E40494" w:rsidRDefault="00E40494" w:rsidP="00E472E7">
      <w:pPr>
        <w:jc w:val="center"/>
        <w:rPr>
          <w:rFonts w:ascii="Arial" w:hAnsi="Arial" w:cs="Arial"/>
          <w:b/>
          <w:bCs/>
          <w:sz w:val="32"/>
          <w:szCs w:val="32"/>
        </w:rPr>
      </w:pPr>
    </w:p>
    <w:p w14:paraId="0ED2E47E" w14:textId="77777777" w:rsidR="00097324" w:rsidRDefault="00097324" w:rsidP="00E472E7">
      <w:pPr>
        <w:jc w:val="center"/>
        <w:rPr>
          <w:rFonts w:ascii="Arial" w:hAnsi="Arial" w:cs="Arial"/>
          <w:b/>
          <w:bCs/>
          <w:sz w:val="32"/>
          <w:szCs w:val="32"/>
        </w:rPr>
      </w:pPr>
    </w:p>
    <w:p w14:paraId="78CDBE2F" w14:textId="68DA03DB" w:rsidR="00D02602" w:rsidRPr="00E472E7" w:rsidRDefault="00F81D32" w:rsidP="00097324">
      <w:pPr>
        <w:pStyle w:val="Heading3"/>
      </w:pPr>
      <w:bookmarkStart w:id="11" w:name="_Toc224080856"/>
      <w:r w:rsidRPr="00E472E7">
        <w:lastRenderedPageBreak/>
        <w:t>Strategy evaluation</w:t>
      </w:r>
      <w:bookmarkEnd w:id="11"/>
    </w:p>
    <w:p w14:paraId="17330E60" w14:textId="77777777" w:rsidR="003029F8" w:rsidRPr="003B450B" w:rsidRDefault="003029F8" w:rsidP="00224269">
      <w:pPr>
        <w:jc w:val="both"/>
        <w:rPr>
          <w:rFonts w:ascii="Arial" w:hAnsi="Arial" w:cs="Arial"/>
          <w:b/>
          <w:bCs/>
        </w:rPr>
      </w:pPr>
    </w:p>
    <w:p w14:paraId="5EB091B2" w14:textId="69642816" w:rsidR="00DE4ACA" w:rsidRDefault="00DE4ACA" w:rsidP="00DE4ACA">
      <w:pPr>
        <w:spacing w:line="360" w:lineRule="auto"/>
        <w:jc w:val="both"/>
        <w:rPr>
          <w:rFonts w:ascii="Arial" w:hAnsi="Arial" w:cs="Arial"/>
          <w:color w:val="000000"/>
          <w:sz w:val="22"/>
          <w:szCs w:val="22"/>
        </w:rPr>
      </w:pPr>
      <w:r w:rsidRPr="00DE4ACA">
        <w:rPr>
          <w:rFonts w:ascii="Arial" w:hAnsi="Arial" w:cs="Arial"/>
          <w:color w:val="000000"/>
          <w:sz w:val="22"/>
          <w:szCs w:val="22"/>
        </w:rPr>
        <w:t xml:space="preserve">The proposed strategy for Innocent Drinks is evaluated using the SFA Framework—suitability, feasibility, and acceptability—as outlined by Johnson, Scholes, and Whittington (2017). This approach ensures that strategic advice is both theoretically sound and </w:t>
      </w:r>
      <w:r w:rsidR="0074785C" w:rsidRPr="00DE4ACA">
        <w:rPr>
          <w:rFonts w:ascii="Arial" w:hAnsi="Arial" w:cs="Arial"/>
          <w:color w:val="000000"/>
          <w:sz w:val="22"/>
          <w:szCs w:val="22"/>
        </w:rPr>
        <w:t>relevant</w:t>
      </w:r>
      <w:r w:rsidRPr="00DE4ACA">
        <w:rPr>
          <w:rFonts w:ascii="Arial" w:hAnsi="Arial" w:cs="Arial"/>
          <w:color w:val="000000"/>
          <w:sz w:val="22"/>
          <w:szCs w:val="22"/>
        </w:rPr>
        <w:t xml:space="preserve"> in the context of the evolving beverage industry.</w:t>
      </w:r>
    </w:p>
    <w:p w14:paraId="0456696E" w14:textId="77777777" w:rsidR="00EC4ADC" w:rsidRPr="00DE4ACA" w:rsidRDefault="00EC4ADC" w:rsidP="00DE4ACA">
      <w:pPr>
        <w:spacing w:line="360" w:lineRule="auto"/>
        <w:jc w:val="both"/>
        <w:rPr>
          <w:rFonts w:ascii="Arial" w:hAnsi="Arial" w:cs="Arial"/>
          <w:color w:val="000000"/>
          <w:sz w:val="22"/>
          <w:szCs w:val="22"/>
        </w:rPr>
      </w:pPr>
    </w:p>
    <w:p w14:paraId="6B5EA0C1" w14:textId="21FE5693" w:rsidR="00DE4ACA" w:rsidRPr="003029F8" w:rsidRDefault="00DE4ACA" w:rsidP="00DE4ACA">
      <w:pPr>
        <w:spacing w:line="360" w:lineRule="auto"/>
        <w:jc w:val="both"/>
        <w:rPr>
          <w:rFonts w:ascii="Arial" w:hAnsi="Arial" w:cs="Arial"/>
          <w:b/>
          <w:color w:val="000000"/>
        </w:rPr>
      </w:pPr>
      <w:r w:rsidRPr="003029F8">
        <w:rPr>
          <w:rFonts w:ascii="Arial" w:hAnsi="Arial" w:cs="Arial"/>
          <w:b/>
          <w:color w:val="000000"/>
        </w:rPr>
        <w:t>Suitability</w:t>
      </w:r>
      <w:r w:rsidR="00483B86">
        <w:rPr>
          <w:rFonts w:ascii="Arial" w:hAnsi="Arial" w:cs="Arial"/>
          <w:color w:val="000000"/>
          <w:sz w:val="22"/>
          <w:szCs w:val="22"/>
        </w:rPr>
        <w:t xml:space="preserve"> </w:t>
      </w:r>
      <w:r w:rsidR="000B1473" w:rsidRPr="000B1473">
        <w:rPr>
          <w:rFonts w:ascii="Arial" w:hAnsi="Arial" w:cs="Arial"/>
          <w:b/>
          <w:color w:val="000000"/>
          <w:sz w:val="22"/>
          <w:szCs w:val="22"/>
        </w:rPr>
        <w:t>-</w:t>
      </w:r>
      <w:r w:rsidR="000B1473" w:rsidRPr="000B1473">
        <w:rPr>
          <w:rFonts w:ascii="Arial" w:hAnsi="Arial" w:cs="Arial"/>
          <w:color w:val="000000"/>
          <w:sz w:val="22"/>
          <w:szCs w:val="22"/>
        </w:rPr>
        <w:t xml:space="preserve"> </w:t>
      </w:r>
      <w:r w:rsidR="00483B86">
        <w:rPr>
          <w:rFonts w:ascii="Arial" w:hAnsi="Arial" w:cs="Arial"/>
          <w:color w:val="000000"/>
          <w:sz w:val="22"/>
          <w:szCs w:val="22"/>
        </w:rPr>
        <w:t>Ad</w:t>
      </w:r>
      <w:r w:rsidRPr="00DE4ACA">
        <w:rPr>
          <w:rFonts w:ascii="Arial" w:hAnsi="Arial" w:cs="Arial"/>
          <w:color w:val="000000"/>
          <w:sz w:val="22"/>
          <w:szCs w:val="22"/>
        </w:rPr>
        <w:t xml:space="preserve">dresses whether the strategy meets key opportunities and challenges in the external environment. Product development </w:t>
      </w:r>
      <w:r w:rsidR="00AC1ED8" w:rsidRPr="00DE4ACA">
        <w:rPr>
          <w:rFonts w:ascii="Arial" w:hAnsi="Arial" w:cs="Arial"/>
          <w:color w:val="000000"/>
          <w:sz w:val="22"/>
          <w:szCs w:val="22"/>
        </w:rPr>
        <w:t>centered</w:t>
      </w:r>
      <w:r w:rsidRPr="00DE4ACA">
        <w:rPr>
          <w:rFonts w:ascii="Arial" w:hAnsi="Arial" w:cs="Arial"/>
          <w:color w:val="000000"/>
          <w:sz w:val="22"/>
          <w:szCs w:val="22"/>
        </w:rPr>
        <w:t xml:space="preserve"> on plant-based and functional beverages, complemented by market development through international expansion, reflects prevailing consumer preferences. Global demand for plant-based and functional drinks continues to rise, propelled by health awareness and environmental concerns (Mintel, 2023). The strategy positions Innocent Drinks to benefit from these trends, particularly within the health and wellness segment. Moreover, the industry's shift towards sustainability reinforces this direction, advocating expansion into natural and ethically sourced products. By broadening its plant-based portfolio, Innocent Drinks can strengthen its competitive position while fulfilling its commitment to sustainable offerings. Entering new markets allows access to regions where demand for healthy beverages is escalating, offering greater revenue </w:t>
      </w:r>
      <w:r w:rsidR="0074785C" w:rsidRPr="00DE4ACA">
        <w:rPr>
          <w:rFonts w:ascii="Arial" w:hAnsi="Arial" w:cs="Arial"/>
          <w:color w:val="000000"/>
          <w:sz w:val="22"/>
          <w:szCs w:val="22"/>
        </w:rPr>
        <w:t>potential,</w:t>
      </w:r>
      <w:r w:rsidRPr="00DE4ACA">
        <w:rPr>
          <w:rFonts w:ascii="Arial" w:hAnsi="Arial" w:cs="Arial"/>
          <w:color w:val="000000"/>
          <w:sz w:val="22"/>
          <w:szCs w:val="22"/>
        </w:rPr>
        <w:t xml:space="preserve"> and reducing reliance on saturated domestic markets.</w:t>
      </w:r>
    </w:p>
    <w:p w14:paraId="11D53DD8" w14:textId="7C408060" w:rsidR="00DE4ACA" w:rsidRPr="00EC4ADC" w:rsidRDefault="00DE4ACA" w:rsidP="00DE4ACA">
      <w:pPr>
        <w:spacing w:line="360" w:lineRule="auto"/>
        <w:jc w:val="both"/>
        <w:rPr>
          <w:rFonts w:ascii="Arial" w:hAnsi="Arial" w:cs="Arial"/>
          <w:b/>
          <w:color w:val="000000"/>
          <w:sz w:val="22"/>
          <w:szCs w:val="22"/>
        </w:rPr>
      </w:pPr>
      <w:r w:rsidRPr="00DE4ACA">
        <w:rPr>
          <w:rFonts w:ascii="Arial" w:hAnsi="Arial" w:cs="Arial"/>
          <w:b/>
          <w:color w:val="000000"/>
          <w:sz w:val="22"/>
          <w:szCs w:val="22"/>
        </w:rPr>
        <w:t>Feasibility</w:t>
      </w:r>
      <w:r w:rsidR="0038092F">
        <w:rPr>
          <w:rFonts w:ascii="Arial" w:hAnsi="Arial" w:cs="Arial"/>
          <w:b/>
          <w:color w:val="000000"/>
          <w:sz w:val="22"/>
          <w:szCs w:val="22"/>
        </w:rPr>
        <w:t xml:space="preserve"> -</w:t>
      </w:r>
      <w:r w:rsidRPr="00DE4ACA">
        <w:rPr>
          <w:rFonts w:ascii="Arial" w:hAnsi="Arial" w:cs="Arial"/>
          <w:color w:val="000000"/>
          <w:sz w:val="22"/>
          <w:szCs w:val="22"/>
        </w:rPr>
        <w:t xml:space="preserve"> </w:t>
      </w:r>
      <w:r w:rsidR="00483B86">
        <w:rPr>
          <w:rFonts w:ascii="Arial" w:hAnsi="Arial" w:cs="Arial"/>
          <w:color w:val="000000"/>
          <w:sz w:val="22"/>
          <w:szCs w:val="22"/>
        </w:rPr>
        <w:t>E</w:t>
      </w:r>
      <w:r w:rsidRPr="00DE4ACA">
        <w:rPr>
          <w:rFonts w:ascii="Arial" w:hAnsi="Arial" w:cs="Arial"/>
          <w:color w:val="000000"/>
          <w:sz w:val="22"/>
          <w:szCs w:val="22"/>
        </w:rPr>
        <w:t xml:space="preserve">xamines Innocent Drinks’ capacity to </w:t>
      </w:r>
      <w:r w:rsidR="00D17C6F" w:rsidRPr="00DE4ACA">
        <w:rPr>
          <w:rFonts w:ascii="Arial" w:hAnsi="Arial" w:cs="Arial"/>
          <w:color w:val="000000"/>
          <w:sz w:val="22"/>
          <w:szCs w:val="22"/>
        </w:rPr>
        <w:t>realize</w:t>
      </w:r>
      <w:r w:rsidRPr="00DE4ACA">
        <w:rPr>
          <w:rFonts w:ascii="Arial" w:hAnsi="Arial" w:cs="Arial"/>
          <w:color w:val="000000"/>
          <w:sz w:val="22"/>
          <w:szCs w:val="22"/>
        </w:rPr>
        <w:t xml:space="preserve"> the strategy given current resources and operational strengths. The company possesses significant brand equity, robust supplier relationships, and efficient distribution systems. Support from The Coca-Cola Company enhances financial and logistical capabilities, facilitating international growth and successful product launches. Innocent Drinks’ history of innovation increases the likelihood of effective new product development. However, executing the strategy will require substantial investment in R&amp;D, marketing, and supply chain management. It is presumed that the company has sufficient research capabilities to pursue these objectives without incurring excessive operational risk.</w:t>
      </w:r>
    </w:p>
    <w:p w14:paraId="372DB76B" w14:textId="5FC4A9C3" w:rsidR="00DE4ACA" w:rsidRPr="002C1C5C" w:rsidRDefault="00DE4ACA" w:rsidP="00DE4ACA">
      <w:pPr>
        <w:spacing w:line="360" w:lineRule="auto"/>
        <w:jc w:val="both"/>
        <w:rPr>
          <w:rFonts w:ascii="Arial" w:hAnsi="Arial" w:cs="Arial"/>
          <w:color w:val="000000"/>
          <w:sz w:val="22"/>
          <w:szCs w:val="22"/>
        </w:rPr>
      </w:pPr>
      <w:r w:rsidRPr="00DE4ACA">
        <w:rPr>
          <w:rFonts w:ascii="Arial" w:hAnsi="Arial" w:cs="Arial"/>
          <w:b/>
          <w:color w:val="000000"/>
          <w:sz w:val="22"/>
          <w:szCs w:val="22"/>
        </w:rPr>
        <w:t>Acceptability</w:t>
      </w:r>
      <w:r w:rsidR="00D17C6F">
        <w:rPr>
          <w:rFonts w:ascii="Arial" w:hAnsi="Arial" w:cs="Arial"/>
          <w:b/>
          <w:color w:val="000000"/>
          <w:sz w:val="22"/>
          <w:szCs w:val="22"/>
        </w:rPr>
        <w:t xml:space="preserve"> </w:t>
      </w:r>
      <w:r w:rsidR="002C1C5C">
        <w:rPr>
          <w:rFonts w:ascii="Arial" w:hAnsi="Arial" w:cs="Arial"/>
          <w:b/>
          <w:color w:val="000000"/>
          <w:sz w:val="22"/>
          <w:szCs w:val="22"/>
        </w:rPr>
        <w:t>–</w:t>
      </w:r>
      <w:r w:rsidR="00D17C6F">
        <w:rPr>
          <w:rFonts w:ascii="Arial" w:hAnsi="Arial" w:cs="Arial"/>
          <w:b/>
          <w:color w:val="000000"/>
          <w:sz w:val="22"/>
          <w:szCs w:val="22"/>
        </w:rPr>
        <w:t xml:space="preserve"> </w:t>
      </w:r>
      <w:r w:rsidR="002C1C5C">
        <w:rPr>
          <w:rFonts w:ascii="Arial" w:hAnsi="Arial" w:cs="Arial"/>
          <w:color w:val="000000"/>
          <w:sz w:val="22"/>
          <w:szCs w:val="22"/>
        </w:rPr>
        <w:t>C</w:t>
      </w:r>
      <w:r w:rsidRPr="00DE4ACA">
        <w:rPr>
          <w:rFonts w:ascii="Arial" w:hAnsi="Arial" w:cs="Arial"/>
          <w:color w:val="000000"/>
          <w:sz w:val="22"/>
          <w:szCs w:val="22"/>
        </w:rPr>
        <w:t xml:space="preserve">onsiders stakeholder expectations regarding risk and reward. The strategy promises financial growth and advances sustainability goals, </w:t>
      </w:r>
      <w:r w:rsidR="0074785C" w:rsidRPr="00DE4ACA">
        <w:rPr>
          <w:rFonts w:ascii="Arial" w:hAnsi="Arial" w:cs="Arial"/>
          <w:color w:val="000000"/>
          <w:sz w:val="22"/>
          <w:szCs w:val="22"/>
        </w:rPr>
        <w:t>garnering</w:t>
      </w:r>
      <w:r w:rsidRPr="00DE4ACA">
        <w:rPr>
          <w:rFonts w:ascii="Arial" w:hAnsi="Arial" w:cs="Arial"/>
          <w:color w:val="000000"/>
          <w:sz w:val="22"/>
          <w:szCs w:val="22"/>
        </w:rPr>
        <w:t xml:space="preserve"> support from consumers and investors. Contemporary customers value brands aligned with environmental and ethical standards (Euromonitor, 2023); expanding plant-based offerings will resonate with these values and strengthen loyalty. Investors are expected to welcome entry into high-growth sectors and global markets. Potential risks include supply chain challenges and increased competition, which must be managed proactively.</w:t>
      </w:r>
    </w:p>
    <w:p w14:paraId="7D959387" w14:textId="6B5501AA" w:rsidR="00307261" w:rsidRPr="00DE4ACA" w:rsidRDefault="00DE4ACA" w:rsidP="00DE4ACA">
      <w:pPr>
        <w:spacing w:line="360" w:lineRule="auto"/>
        <w:jc w:val="both"/>
        <w:rPr>
          <w:rFonts w:ascii="Arial" w:hAnsi="Arial" w:cs="Arial"/>
          <w:color w:val="000000"/>
          <w:sz w:val="22"/>
          <w:szCs w:val="22"/>
        </w:rPr>
      </w:pPr>
      <w:r w:rsidRPr="00DE4ACA">
        <w:rPr>
          <w:rFonts w:ascii="Arial" w:hAnsi="Arial" w:cs="Arial"/>
          <w:color w:val="000000"/>
          <w:sz w:val="22"/>
          <w:szCs w:val="22"/>
        </w:rPr>
        <w:t>In conclusion, the strategy exhibits suitability, feasibility, and acceptability. It is well aligned with market trends, leverages internal capabilities, and aims to attract stakeholder approval, representing a reasoned strategic path for Innocent Drinks.</w:t>
      </w:r>
    </w:p>
    <w:p w14:paraId="57FE7A23" w14:textId="77777777" w:rsidR="00DE4ACA" w:rsidRDefault="00DE4ACA" w:rsidP="00DE4ACA">
      <w:pPr>
        <w:spacing w:line="360" w:lineRule="auto"/>
        <w:jc w:val="both"/>
        <w:rPr>
          <w:rFonts w:ascii="Arial" w:hAnsi="Arial" w:cs="Arial"/>
          <w:color w:val="000000"/>
          <w:sz w:val="22"/>
          <w:szCs w:val="22"/>
        </w:rPr>
      </w:pPr>
    </w:p>
    <w:p w14:paraId="3BE7C5D8" w14:textId="77777777" w:rsidR="00A93BBA" w:rsidRDefault="00A93BBA" w:rsidP="00DE4ACA">
      <w:pPr>
        <w:spacing w:line="360" w:lineRule="auto"/>
        <w:jc w:val="both"/>
        <w:rPr>
          <w:rFonts w:ascii="Arial" w:hAnsi="Arial" w:cs="Arial"/>
          <w:color w:val="000000"/>
          <w:sz w:val="22"/>
          <w:szCs w:val="22"/>
        </w:rPr>
      </w:pPr>
    </w:p>
    <w:p w14:paraId="532F1720" w14:textId="77777777" w:rsidR="00A93BBA" w:rsidRDefault="00A93BBA" w:rsidP="00DE4ACA">
      <w:pPr>
        <w:spacing w:line="360" w:lineRule="auto"/>
        <w:jc w:val="both"/>
        <w:rPr>
          <w:rFonts w:ascii="Arial" w:hAnsi="Arial" w:cs="Arial"/>
          <w:color w:val="000000"/>
          <w:sz w:val="22"/>
          <w:szCs w:val="22"/>
        </w:rPr>
      </w:pPr>
    </w:p>
    <w:p w14:paraId="4EEAC505" w14:textId="77777777" w:rsidR="00A93BBA" w:rsidRPr="00DE4ACA" w:rsidRDefault="00A93BBA" w:rsidP="00DE4ACA">
      <w:pPr>
        <w:spacing w:line="360" w:lineRule="auto"/>
        <w:jc w:val="both"/>
        <w:rPr>
          <w:rFonts w:ascii="Arial" w:hAnsi="Arial" w:cs="Arial"/>
          <w:color w:val="000000"/>
          <w:sz w:val="22"/>
          <w:szCs w:val="22"/>
        </w:rPr>
      </w:pPr>
    </w:p>
    <w:p w14:paraId="1D699828" w14:textId="77777777" w:rsidR="00DE4ACA" w:rsidRDefault="00DE4ACA" w:rsidP="00DE4ACA">
      <w:pPr>
        <w:rPr>
          <w:rFonts w:ascii="Georgia" w:hAnsi="Georgia"/>
          <w:color w:val="000000"/>
        </w:rPr>
      </w:pPr>
    </w:p>
    <w:p w14:paraId="287E2797" w14:textId="77777777" w:rsidR="00682DF3" w:rsidRDefault="00682DF3" w:rsidP="00682DF3">
      <w:pPr>
        <w:spacing w:line="360" w:lineRule="auto"/>
        <w:jc w:val="both"/>
        <w:rPr>
          <w:rFonts w:ascii="Arial" w:hAnsi="Arial" w:cs="Arial"/>
          <w:b/>
          <w:bCs/>
          <w:color w:val="000000"/>
          <w:sz w:val="22"/>
          <w:szCs w:val="22"/>
          <w:lang w:val="en-GB"/>
        </w:rPr>
      </w:pPr>
    </w:p>
    <w:p w14:paraId="0FFB7BCA" w14:textId="77777777" w:rsidR="00E40494" w:rsidRDefault="00E40494" w:rsidP="00AF5051">
      <w:pPr>
        <w:pStyle w:val="Heading5"/>
        <w:rPr>
          <w:lang w:val="en-GB"/>
        </w:rPr>
      </w:pPr>
    </w:p>
    <w:p w14:paraId="186E955B" w14:textId="58C4C662" w:rsidR="00B83CBF" w:rsidRPr="00E0397B" w:rsidRDefault="00A93BBA" w:rsidP="00AF5051">
      <w:pPr>
        <w:pStyle w:val="Heading5"/>
        <w:rPr>
          <w:lang w:val="en-GB"/>
        </w:rPr>
      </w:pPr>
      <w:r w:rsidRPr="00E0397B">
        <w:rPr>
          <w:lang w:val="en-GB"/>
        </w:rPr>
        <w:t xml:space="preserve">Figure </w:t>
      </w:r>
      <w:r w:rsidR="005E065B">
        <w:rPr>
          <w:lang w:val="en-GB"/>
        </w:rPr>
        <w:t>7.</w:t>
      </w:r>
      <w:r w:rsidRPr="00E0397B">
        <w:rPr>
          <w:lang w:val="en-GB"/>
        </w:rPr>
        <w:t xml:space="preserve"> </w:t>
      </w:r>
      <w:r w:rsidR="00B83CBF" w:rsidRPr="00B83CBF">
        <w:rPr>
          <w:lang w:val="en-GB"/>
        </w:rPr>
        <w:t>SFA Framework Strategy Evaluation</w:t>
      </w:r>
    </w:p>
    <w:p w14:paraId="37AC4B0D" w14:textId="77777777" w:rsidR="00A93BBA" w:rsidRPr="00B83CBF" w:rsidRDefault="00A93BBA" w:rsidP="00682DF3">
      <w:pPr>
        <w:spacing w:line="360" w:lineRule="auto"/>
        <w:jc w:val="both"/>
        <w:rPr>
          <w:rFonts w:ascii="Arial" w:hAnsi="Arial" w:cs="Arial"/>
          <w:b/>
          <w:bCs/>
          <w:color w:val="000000"/>
          <w:sz w:val="22"/>
          <w:szCs w:val="22"/>
          <w:lang w:val="en-GB"/>
        </w:rPr>
      </w:pPr>
    </w:p>
    <w:tbl>
      <w:tblPr>
        <w:tblStyle w:val="ListTable5Dark-Accent5"/>
        <w:tblW w:w="0" w:type="auto"/>
        <w:tblLook w:val="04A0" w:firstRow="1" w:lastRow="0" w:firstColumn="1" w:lastColumn="0" w:noHBand="0" w:noVBand="1"/>
      </w:tblPr>
      <w:tblGrid>
        <w:gridCol w:w="1586"/>
        <w:gridCol w:w="4249"/>
        <w:gridCol w:w="4905"/>
      </w:tblGrid>
      <w:tr w:rsidR="00B83CBF" w:rsidRPr="00B83CBF" w14:paraId="1B89EF24" w14:textId="77777777" w:rsidTr="002037C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56473C9" w14:textId="77777777" w:rsidR="00B83CBF" w:rsidRPr="00B83CBF" w:rsidRDefault="00B83CBF" w:rsidP="00750470">
            <w:pPr>
              <w:spacing w:line="360" w:lineRule="auto"/>
              <w:jc w:val="center"/>
              <w:rPr>
                <w:rFonts w:ascii="Arial" w:hAnsi="Arial" w:cs="Arial"/>
                <w:color w:val="000000"/>
                <w:sz w:val="22"/>
                <w:szCs w:val="22"/>
                <w:lang w:val="en-GB"/>
              </w:rPr>
            </w:pPr>
            <w:r w:rsidRPr="00B83CBF">
              <w:rPr>
                <w:rFonts w:ascii="Arial" w:hAnsi="Arial" w:cs="Arial"/>
                <w:color w:val="000000"/>
                <w:sz w:val="22"/>
                <w:szCs w:val="22"/>
                <w:lang w:val="en-GB"/>
              </w:rPr>
              <w:t>Criteria</w:t>
            </w:r>
          </w:p>
        </w:tc>
        <w:tc>
          <w:tcPr>
            <w:tcW w:w="0" w:type="auto"/>
            <w:hideMark/>
          </w:tcPr>
          <w:p w14:paraId="59BADAE8" w14:textId="77777777" w:rsidR="00B83CBF" w:rsidRPr="00B83CBF" w:rsidRDefault="00B83CBF" w:rsidP="0075047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lang w:val="en-GB"/>
              </w:rPr>
            </w:pPr>
            <w:r w:rsidRPr="00B83CBF">
              <w:rPr>
                <w:rFonts w:ascii="Arial" w:hAnsi="Arial" w:cs="Arial"/>
                <w:color w:val="000000"/>
                <w:sz w:val="22"/>
                <w:szCs w:val="22"/>
                <w:lang w:val="en-GB"/>
              </w:rPr>
              <w:t>Key Questions</w:t>
            </w:r>
          </w:p>
        </w:tc>
        <w:tc>
          <w:tcPr>
            <w:tcW w:w="0" w:type="auto"/>
            <w:hideMark/>
          </w:tcPr>
          <w:p w14:paraId="706CDDE8" w14:textId="77777777" w:rsidR="00B83CBF" w:rsidRPr="00B83CBF" w:rsidRDefault="00B83CBF" w:rsidP="0075047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lang w:val="en-GB"/>
              </w:rPr>
            </w:pPr>
            <w:r w:rsidRPr="00B83CBF">
              <w:rPr>
                <w:rFonts w:ascii="Arial" w:hAnsi="Arial" w:cs="Arial"/>
                <w:color w:val="000000"/>
                <w:sz w:val="22"/>
                <w:szCs w:val="22"/>
                <w:lang w:val="en-GB"/>
              </w:rPr>
              <w:t>Application to Innocent</w:t>
            </w:r>
          </w:p>
        </w:tc>
      </w:tr>
      <w:tr w:rsidR="00B83CBF" w:rsidRPr="00B83CBF" w14:paraId="3F1A1CE5" w14:textId="77777777" w:rsidTr="00203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A7F440" w14:textId="77777777" w:rsidR="00B83CBF" w:rsidRPr="00B83CBF" w:rsidRDefault="00B83CBF" w:rsidP="00750470">
            <w:pPr>
              <w:spacing w:line="360" w:lineRule="auto"/>
              <w:jc w:val="center"/>
              <w:rPr>
                <w:rFonts w:ascii="Arial" w:hAnsi="Arial" w:cs="Arial"/>
                <w:color w:val="000000"/>
                <w:sz w:val="22"/>
                <w:szCs w:val="22"/>
                <w:lang w:val="en-GB"/>
              </w:rPr>
            </w:pPr>
            <w:r w:rsidRPr="00B83CBF">
              <w:rPr>
                <w:rFonts w:ascii="Arial" w:hAnsi="Arial" w:cs="Arial"/>
                <w:color w:val="000000"/>
                <w:sz w:val="22"/>
                <w:szCs w:val="22"/>
                <w:lang w:val="en-GB"/>
              </w:rPr>
              <w:t>Suitability</w:t>
            </w:r>
          </w:p>
        </w:tc>
        <w:tc>
          <w:tcPr>
            <w:tcW w:w="0" w:type="auto"/>
            <w:hideMark/>
          </w:tcPr>
          <w:p w14:paraId="6751E941" w14:textId="77777777" w:rsidR="00B83CBF" w:rsidRPr="00B83CBF" w:rsidRDefault="00B83CBF" w:rsidP="00682DF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lang w:val="en-GB"/>
              </w:rPr>
            </w:pPr>
            <w:r w:rsidRPr="00B83CBF">
              <w:rPr>
                <w:rFonts w:ascii="Arial" w:hAnsi="Arial" w:cs="Arial"/>
                <w:color w:val="000000"/>
                <w:sz w:val="22"/>
                <w:szCs w:val="22"/>
                <w:lang w:val="en-GB"/>
              </w:rPr>
              <w:t>Does the strategy address opportunities and threats?</w:t>
            </w:r>
          </w:p>
        </w:tc>
        <w:tc>
          <w:tcPr>
            <w:tcW w:w="0" w:type="auto"/>
            <w:hideMark/>
          </w:tcPr>
          <w:p w14:paraId="4C6E50AF" w14:textId="77777777" w:rsidR="00B83CBF" w:rsidRPr="00B83CBF" w:rsidRDefault="00B83CBF" w:rsidP="00682DF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lang w:val="en-GB"/>
              </w:rPr>
            </w:pPr>
            <w:r w:rsidRPr="00B83CBF">
              <w:rPr>
                <w:rFonts w:ascii="Arial" w:hAnsi="Arial" w:cs="Arial"/>
                <w:color w:val="000000"/>
                <w:sz w:val="22"/>
                <w:szCs w:val="22"/>
                <w:lang w:val="en-GB"/>
              </w:rPr>
              <w:t>Responds to demand for plant-based and functional beverages.</w:t>
            </w:r>
          </w:p>
        </w:tc>
      </w:tr>
      <w:tr w:rsidR="00B83CBF" w:rsidRPr="00B83CBF" w14:paraId="7A81AD22" w14:textId="77777777" w:rsidTr="002037C5">
        <w:tc>
          <w:tcPr>
            <w:cnfStyle w:val="001000000000" w:firstRow="0" w:lastRow="0" w:firstColumn="1" w:lastColumn="0" w:oddVBand="0" w:evenVBand="0" w:oddHBand="0" w:evenHBand="0" w:firstRowFirstColumn="0" w:firstRowLastColumn="0" w:lastRowFirstColumn="0" w:lastRowLastColumn="0"/>
            <w:tcW w:w="0" w:type="auto"/>
            <w:hideMark/>
          </w:tcPr>
          <w:p w14:paraId="67D3566E" w14:textId="77777777" w:rsidR="00B83CBF" w:rsidRPr="00B83CBF" w:rsidRDefault="00B83CBF" w:rsidP="00750470">
            <w:pPr>
              <w:spacing w:line="360" w:lineRule="auto"/>
              <w:jc w:val="center"/>
              <w:rPr>
                <w:rFonts w:ascii="Arial" w:hAnsi="Arial" w:cs="Arial"/>
                <w:color w:val="000000"/>
                <w:sz w:val="22"/>
                <w:szCs w:val="22"/>
                <w:lang w:val="en-GB"/>
              </w:rPr>
            </w:pPr>
            <w:r w:rsidRPr="00B83CBF">
              <w:rPr>
                <w:rFonts w:ascii="Arial" w:hAnsi="Arial" w:cs="Arial"/>
                <w:color w:val="000000"/>
                <w:sz w:val="22"/>
                <w:szCs w:val="22"/>
                <w:lang w:val="en-GB"/>
              </w:rPr>
              <w:t>Feasibility</w:t>
            </w:r>
          </w:p>
        </w:tc>
        <w:tc>
          <w:tcPr>
            <w:tcW w:w="0" w:type="auto"/>
            <w:hideMark/>
          </w:tcPr>
          <w:p w14:paraId="31A7A09D" w14:textId="77777777" w:rsidR="00B83CBF" w:rsidRPr="00B83CBF" w:rsidRDefault="00B83CBF" w:rsidP="00682DF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lang w:val="en-GB"/>
              </w:rPr>
            </w:pPr>
            <w:r w:rsidRPr="00B83CBF">
              <w:rPr>
                <w:rFonts w:ascii="Arial" w:hAnsi="Arial" w:cs="Arial"/>
                <w:color w:val="000000"/>
                <w:sz w:val="22"/>
                <w:szCs w:val="22"/>
                <w:lang w:val="en-GB"/>
              </w:rPr>
              <w:t>Does the company have the resources and capabilities?</w:t>
            </w:r>
          </w:p>
        </w:tc>
        <w:tc>
          <w:tcPr>
            <w:tcW w:w="0" w:type="auto"/>
            <w:hideMark/>
          </w:tcPr>
          <w:p w14:paraId="06C97B09" w14:textId="77777777" w:rsidR="00B83CBF" w:rsidRPr="00B83CBF" w:rsidRDefault="00B83CBF" w:rsidP="00682DF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lang w:val="en-GB"/>
              </w:rPr>
            </w:pPr>
            <w:r w:rsidRPr="00B83CBF">
              <w:rPr>
                <w:rFonts w:ascii="Arial" w:hAnsi="Arial" w:cs="Arial"/>
                <w:color w:val="000000"/>
                <w:sz w:val="22"/>
                <w:szCs w:val="22"/>
                <w:lang w:val="en-GB"/>
              </w:rPr>
              <w:t>Supported by global distribution through The Coca-Cola Company.</w:t>
            </w:r>
          </w:p>
        </w:tc>
      </w:tr>
      <w:tr w:rsidR="00B83CBF" w:rsidRPr="00B83CBF" w14:paraId="77EACB91" w14:textId="77777777" w:rsidTr="00203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DBD947" w14:textId="77777777" w:rsidR="00B83CBF" w:rsidRPr="00B83CBF" w:rsidRDefault="00B83CBF" w:rsidP="00750470">
            <w:pPr>
              <w:spacing w:line="360" w:lineRule="auto"/>
              <w:jc w:val="center"/>
              <w:rPr>
                <w:rFonts w:ascii="Arial" w:hAnsi="Arial" w:cs="Arial"/>
                <w:color w:val="000000"/>
                <w:sz w:val="22"/>
                <w:szCs w:val="22"/>
                <w:lang w:val="en-GB"/>
              </w:rPr>
            </w:pPr>
            <w:r w:rsidRPr="00B83CBF">
              <w:rPr>
                <w:rFonts w:ascii="Arial" w:hAnsi="Arial" w:cs="Arial"/>
                <w:color w:val="000000"/>
                <w:sz w:val="22"/>
                <w:szCs w:val="22"/>
                <w:lang w:val="en-GB"/>
              </w:rPr>
              <w:t>Acceptability</w:t>
            </w:r>
          </w:p>
        </w:tc>
        <w:tc>
          <w:tcPr>
            <w:tcW w:w="0" w:type="auto"/>
            <w:hideMark/>
          </w:tcPr>
          <w:p w14:paraId="1C2B503D" w14:textId="77777777" w:rsidR="00B83CBF" w:rsidRPr="00B83CBF" w:rsidRDefault="00B83CBF" w:rsidP="00682DF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lang w:val="en-GB"/>
              </w:rPr>
            </w:pPr>
            <w:r w:rsidRPr="00B83CBF">
              <w:rPr>
                <w:rFonts w:ascii="Arial" w:hAnsi="Arial" w:cs="Arial"/>
                <w:color w:val="000000"/>
                <w:sz w:val="22"/>
                <w:szCs w:val="22"/>
                <w:lang w:val="en-GB"/>
              </w:rPr>
              <w:t>Will stakeholders support the strategy?</w:t>
            </w:r>
          </w:p>
        </w:tc>
        <w:tc>
          <w:tcPr>
            <w:tcW w:w="0" w:type="auto"/>
            <w:hideMark/>
          </w:tcPr>
          <w:p w14:paraId="44B1E6A9" w14:textId="77777777" w:rsidR="00B83CBF" w:rsidRPr="00B83CBF" w:rsidRDefault="00B83CBF" w:rsidP="00682DF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lang w:val="en-GB"/>
              </w:rPr>
            </w:pPr>
            <w:r w:rsidRPr="00B83CBF">
              <w:rPr>
                <w:rFonts w:ascii="Arial" w:hAnsi="Arial" w:cs="Arial"/>
                <w:color w:val="000000"/>
                <w:sz w:val="22"/>
                <w:szCs w:val="22"/>
                <w:lang w:val="en-GB"/>
              </w:rPr>
              <w:t>Consumers support sustainable and healthy products.</w:t>
            </w:r>
          </w:p>
        </w:tc>
      </w:tr>
    </w:tbl>
    <w:p w14:paraId="05906248" w14:textId="77777777" w:rsidR="00B83CBF" w:rsidRPr="00B83CBF" w:rsidRDefault="00B83CBF" w:rsidP="00682DF3">
      <w:pPr>
        <w:spacing w:line="360" w:lineRule="auto"/>
        <w:jc w:val="both"/>
        <w:rPr>
          <w:rFonts w:ascii="Arial" w:hAnsi="Arial" w:cs="Arial"/>
          <w:color w:val="000000"/>
          <w:sz w:val="22"/>
          <w:szCs w:val="22"/>
          <w:lang w:val="en-GB"/>
        </w:rPr>
      </w:pPr>
      <w:r w:rsidRPr="00B83CBF">
        <w:rPr>
          <w:rFonts w:ascii="Arial" w:hAnsi="Arial" w:cs="Arial"/>
          <w:color w:val="000000"/>
          <w:sz w:val="22"/>
          <w:szCs w:val="22"/>
          <w:lang w:val="en-GB"/>
        </w:rPr>
        <w:t>(Johnson, Scholes &amp; Whittington, 2017)</w:t>
      </w:r>
    </w:p>
    <w:p w14:paraId="2EBFC53E" w14:textId="77777777" w:rsidR="00DE4ACA" w:rsidRPr="00682DF3" w:rsidRDefault="00DE4ACA" w:rsidP="00682DF3">
      <w:pPr>
        <w:spacing w:line="360" w:lineRule="auto"/>
        <w:jc w:val="both"/>
        <w:rPr>
          <w:rFonts w:ascii="Arial" w:hAnsi="Arial" w:cs="Arial"/>
          <w:color w:val="000000"/>
          <w:sz w:val="22"/>
          <w:szCs w:val="22"/>
        </w:rPr>
      </w:pPr>
    </w:p>
    <w:p w14:paraId="7C392838" w14:textId="77777777" w:rsidR="00DE4ACA" w:rsidRPr="00682DF3" w:rsidRDefault="00DE4ACA" w:rsidP="00682DF3">
      <w:pPr>
        <w:spacing w:line="360" w:lineRule="auto"/>
        <w:jc w:val="both"/>
        <w:rPr>
          <w:rFonts w:ascii="Arial" w:hAnsi="Arial" w:cs="Arial"/>
          <w:color w:val="000000"/>
          <w:sz w:val="22"/>
          <w:szCs w:val="22"/>
        </w:rPr>
      </w:pPr>
    </w:p>
    <w:p w14:paraId="2E72F349" w14:textId="77777777" w:rsidR="00DE4ACA" w:rsidRPr="00682DF3" w:rsidRDefault="00DE4ACA" w:rsidP="00682DF3">
      <w:pPr>
        <w:spacing w:line="360" w:lineRule="auto"/>
        <w:jc w:val="both"/>
        <w:rPr>
          <w:rFonts w:ascii="Arial" w:hAnsi="Arial" w:cs="Arial"/>
          <w:color w:val="000000"/>
          <w:sz w:val="22"/>
          <w:szCs w:val="22"/>
        </w:rPr>
      </w:pPr>
    </w:p>
    <w:p w14:paraId="5C9FF9DD" w14:textId="77777777" w:rsidR="006116CB" w:rsidRDefault="006116CB" w:rsidP="00224269">
      <w:pPr>
        <w:jc w:val="both"/>
      </w:pPr>
    </w:p>
    <w:p w14:paraId="6C21314B" w14:textId="77777777" w:rsidR="00D02602" w:rsidRPr="00A366C9" w:rsidRDefault="00D02602" w:rsidP="001F1645">
      <w:pPr>
        <w:rPr>
          <w:b/>
          <w:bCs/>
        </w:rPr>
      </w:pPr>
    </w:p>
    <w:p w14:paraId="2CC1DB2F" w14:textId="77777777" w:rsidR="002B66C8" w:rsidRDefault="002B66C8" w:rsidP="00A366C9">
      <w:pPr>
        <w:spacing w:line="360" w:lineRule="auto"/>
        <w:jc w:val="both"/>
        <w:rPr>
          <w:rFonts w:ascii="Arial" w:hAnsi="Arial" w:cs="Arial"/>
          <w:b/>
          <w:bCs/>
          <w:color w:val="000000"/>
          <w:sz w:val="22"/>
          <w:szCs w:val="22"/>
        </w:rPr>
      </w:pPr>
    </w:p>
    <w:p w14:paraId="086E6000" w14:textId="77777777" w:rsidR="002B66C8" w:rsidRDefault="002B66C8" w:rsidP="00A366C9">
      <w:pPr>
        <w:spacing w:line="360" w:lineRule="auto"/>
        <w:jc w:val="both"/>
        <w:rPr>
          <w:rFonts w:ascii="Arial" w:hAnsi="Arial" w:cs="Arial"/>
          <w:b/>
          <w:bCs/>
          <w:color w:val="000000"/>
          <w:sz w:val="22"/>
          <w:szCs w:val="22"/>
        </w:rPr>
      </w:pPr>
    </w:p>
    <w:p w14:paraId="0D72BA03" w14:textId="77777777" w:rsidR="002B66C8" w:rsidRDefault="002B66C8" w:rsidP="00A366C9">
      <w:pPr>
        <w:spacing w:line="360" w:lineRule="auto"/>
        <w:jc w:val="both"/>
        <w:rPr>
          <w:rFonts w:ascii="Arial" w:hAnsi="Arial" w:cs="Arial"/>
          <w:b/>
          <w:bCs/>
          <w:color w:val="000000"/>
          <w:sz w:val="22"/>
          <w:szCs w:val="22"/>
        </w:rPr>
      </w:pPr>
    </w:p>
    <w:p w14:paraId="6C0757EE" w14:textId="77777777" w:rsidR="002B66C8" w:rsidRDefault="002B66C8" w:rsidP="00A366C9">
      <w:pPr>
        <w:spacing w:line="360" w:lineRule="auto"/>
        <w:jc w:val="both"/>
        <w:rPr>
          <w:rFonts w:ascii="Arial" w:hAnsi="Arial" w:cs="Arial"/>
          <w:b/>
          <w:bCs/>
          <w:color w:val="000000"/>
          <w:sz w:val="22"/>
          <w:szCs w:val="22"/>
        </w:rPr>
      </w:pPr>
    </w:p>
    <w:p w14:paraId="593131F9" w14:textId="77777777" w:rsidR="002B66C8" w:rsidRDefault="002B66C8" w:rsidP="00A366C9">
      <w:pPr>
        <w:spacing w:line="360" w:lineRule="auto"/>
        <w:jc w:val="both"/>
        <w:rPr>
          <w:rFonts w:ascii="Arial" w:hAnsi="Arial" w:cs="Arial"/>
          <w:b/>
          <w:bCs/>
          <w:color w:val="000000"/>
          <w:sz w:val="22"/>
          <w:szCs w:val="22"/>
        </w:rPr>
      </w:pPr>
    </w:p>
    <w:p w14:paraId="565FB006" w14:textId="77777777" w:rsidR="002B66C8" w:rsidRDefault="002B66C8" w:rsidP="00A366C9">
      <w:pPr>
        <w:spacing w:line="360" w:lineRule="auto"/>
        <w:jc w:val="both"/>
        <w:rPr>
          <w:rFonts w:ascii="Arial" w:hAnsi="Arial" w:cs="Arial"/>
          <w:b/>
          <w:bCs/>
          <w:color w:val="000000"/>
          <w:sz w:val="22"/>
          <w:szCs w:val="22"/>
        </w:rPr>
      </w:pPr>
    </w:p>
    <w:p w14:paraId="3E50107E" w14:textId="77777777" w:rsidR="002B66C8" w:rsidRDefault="002B66C8" w:rsidP="00A366C9">
      <w:pPr>
        <w:spacing w:line="360" w:lineRule="auto"/>
        <w:jc w:val="both"/>
        <w:rPr>
          <w:rFonts w:ascii="Arial" w:hAnsi="Arial" w:cs="Arial"/>
          <w:b/>
          <w:bCs/>
          <w:color w:val="000000"/>
          <w:sz w:val="22"/>
          <w:szCs w:val="22"/>
        </w:rPr>
      </w:pPr>
    </w:p>
    <w:p w14:paraId="20EF3C2E" w14:textId="77777777" w:rsidR="002B66C8" w:rsidRDefault="002B66C8" w:rsidP="00A366C9">
      <w:pPr>
        <w:spacing w:line="360" w:lineRule="auto"/>
        <w:jc w:val="both"/>
        <w:rPr>
          <w:rFonts w:ascii="Arial" w:hAnsi="Arial" w:cs="Arial"/>
          <w:b/>
          <w:bCs/>
          <w:color w:val="000000"/>
          <w:sz w:val="22"/>
          <w:szCs w:val="22"/>
        </w:rPr>
      </w:pPr>
    </w:p>
    <w:p w14:paraId="1A82447D" w14:textId="77777777" w:rsidR="002B66C8" w:rsidRDefault="002B66C8" w:rsidP="00A366C9">
      <w:pPr>
        <w:spacing w:line="360" w:lineRule="auto"/>
        <w:jc w:val="both"/>
        <w:rPr>
          <w:rFonts w:ascii="Arial" w:hAnsi="Arial" w:cs="Arial"/>
          <w:b/>
          <w:bCs/>
          <w:color w:val="000000"/>
          <w:sz w:val="22"/>
          <w:szCs w:val="22"/>
        </w:rPr>
      </w:pPr>
    </w:p>
    <w:p w14:paraId="5B65CDBC" w14:textId="77777777" w:rsidR="002B66C8" w:rsidRDefault="002B66C8" w:rsidP="00A366C9">
      <w:pPr>
        <w:spacing w:line="360" w:lineRule="auto"/>
        <w:jc w:val="both"/>
        <w:rPr>
          <w:rFonts w:ascii="Arial" w:hAnsi="Arial" w:cs="Arial"/>
          <w:b/>
          <w:bCs/>
          <w:color w:val="000000"/>
          <w:sz w:val="22"/>
          <w:szCs w:val="22"/>
        </w:rPr>
      </w:pPr>
    </w:p>
    <w:p w14:paraId="708597F8" w14:textId="77777777" w:rsidR="002B66C8" w:rsidRDefault="002B66C8" w:rsidP="00A366C9">
      <w:pPr>
        <w:spacing w:line="360" w:lineRule="auto"/>
        <w:jc w:val="both"/>
        <w:rPr>
          <w:rFonts w:ascii="Arial" w:hAnsi="Arial" w:cs="Arial"/>
          <w:b/>
          <w:bCs/>
          <w:color w:val="000000"/>
          <w:sz w:val="22"/>
          <w:szCs w:val="22"/>
        </w:rPr>
      </w:pPr>
    </w:p>
    <w:p w14:paraId="0C6E3A17" w14:textId="77777777" w:rsidR="002B66C8" w:rsidRDefault="002B66C8" w:rsidP="00A366C9">
      <w:pPr>
        <w:spacing w:line="360" w:lineRule="auto"/>
        <w:jc w:val="both"/>
        <w:rPr>
          <w:rFonts w:ascii="Arial" w:hAnsi="Arial" w:cs="Arial"/>
          <w:b/>
          <w:bCs/>
          <w:color w:val="000000"/>
          <w:sz w:val="22"/>
          <w:szCs w:val="22"/>
        </w:rPr>
      </w:pPr>
    </w:p>
    <w:p w14:paraId="3FB1CEDE" w14:textId="77777777" w:rsidR="002B66C8" w:rsidRDefault="002B66C8" w:rsidP="00A366C9">
      <w:pPr>
        <w:spacing w:line="360" w:lineRule="auto"/>
        <w:jc w:val="both"/>
        <w:rPr>
          <w:rFonts w:ascii="Arial" w:hAnsi="Arial" w:cs="Arial"/>
          <w:b/>
          <w:bCs/>
          <w:color w:val="000000"/>
          <w:sz w:val="22"/>
          <w:szCs w:val="22"/>
        </w:rPr>
      </w:pPr>
    </w:p>
    <w:p w14:paraId="4F1BD907" w14:textId="77777777" w:rsidR="002B66C8" w:rsidRDefault="002B66C8" w:rsidP="00A366C9">
      <w:pPr>
        <w:spacing w:line="360" w:lineRule="auto"/>
        <w:jc w:val="both"/>
        <w:rPr>
          <w:rFonts w:ascii="Arial" w:hAnsi="Arial" w:cs="Arial"/>
          <w:b/>
          <w:bCs/>
          <w:color w:val="000000"/>
          <w:sz w:val="22"/>
          <w:szCs w:val="22"/>
        </w:rPr>
      </w:pPr>
    </w:p>
    <w:p w14:paraId="1269EFC2" w14:textId="77777777" w:rsidR="002B66C8" w:rsidRDefault="002B66C8" w:rsidP="00A366C9">
      <w:pPr>
        <w:spacing w:line="360" w:lineRule="auto"/>
        <w:jc w:val="both"/>
        <w:rPr>
          <w:rFonts w:ascii="Arial" w:hAnsi="Arial" w:cs="Arial"/>
          <w:b/>
          <w:bCs/>
          <w:color w:val="000000"/>
          <w:sz w:val="22"/>
          <w:szCs w:val="22"/>
        </w:rPr>
      </w:pPr>
    </w:p>
    <w:p w14:paraId="2B777511" w14:textId="77777777" w:rsidR="002B66C8" w:rsidRDefault="002B66C8" w:rsidP="00A366C9">
      <w:pPr>
        <w:spacing w:line="360" w:lineRule="auto"/>
        <w:jc w:val="both"/>
        <w:rPr>
          <w:rFonts w:ascii="Arial" w:hAnsi="Arial" w:cs="Arial"/>
          <w:b/>
          <w:bCs/>
          <w:color w:val="000000"/>
          <w:sz w:val="22"/>
          <w:szCs w:val="22"/>
        </w:rPr>
      </w:pPr>
    </w:p>
    <w:p w14:paraId="564012C3" w14:textId="77777777" w:rsidR="002B66C8" w:rsidRDefault="002B66C8" w:rsidP="00A366C9">
      <w:pPr>
        <w:spacing w:line="360" w:lineRule="auto"/>
        <w:jc w:val="both"/>
        <w:rPr>
          <w:rFonts w:ascii="Arial" w:hAnsi="Arial" w:cs="Arial"/>
          <w:b/>
          <w:bCs/>
          <w:color w:val="000000"/>
          <w:sz w:val="22"/>
          <w:szCs w:val="22"/>
        </w:rPr>
      </w:pPr>
    </w:p>
    <w:p w14:paraId="2CD303F4" w14:textId="77777777" w:rsidR="002B66C8" w:rsidRDefault="002B66C8" w:rsidP="00A366C9">
      <w:pPr>
        <w:spacing w:line="360" w:lineRule="auto"/>
        <w:jc w:val="both"/>
        <w:rPr>
          <w:rFonts w:ascii="Arial" w:hAnsi="Arial" w:cs="Arial"/>
          <w:b/>
          <w:bCs/>
          <w:color w:val="000000"/>
          <w:sz w:val="22"/>
          <w:szCs w:val="22"/>
        </w:rPr>
      </w:pPr>
    </w:p>
    <w:p w14:paraId="05634F05" w14:textId="77777777" w:rsidR="002B66C8" w:rsidRDefault="002B66C8" w:rsidP="00A366C9">
      <w:pPr>
        <w:spacing w:line="360" w:lineRule="auto"/>
        <w:jc w:val="both"/>
        <w:rPr>
          <w:rFonts w:ascii="Arial" w:hAnsi="Arial" w:cs="Arial"/>
          <w:b/>
          <w:bCs/>
          <w:color w:val="000000"/>
          <w:sz w:val="22"/>
          <w:szCs w:val="22"/>
        </w:rPr>
      </w:pPr>
    </w:p>
    <w:p w14:paraId="6CB78D23" w14:textId="77777777" w:rsidR="002B66C8" w:rsidRDefault="002B66C8" w:rsidP="00A366C9">
      <w:pPr>
        <w:spacing w:line="360" w:lineRule="auto"/>
        <w:jc w:val="both"/>
        <w:rPr>
          <w:rFonts w:ascii="Arial" w:hAnsi="Arial" w:cs="Arial"/>
          <w:b/>
          <w:bCs/>
          <w:color w:val="000000"/>
          <w:sz w:val="22"/>
          <w:szCs w:val="22"/>
        </w:rPr>
      </w:pPr>
    </w:p>
    <w:p w14:paraId="378ECBE1" w14:textId="77777777" w:rsidR="002B66C8" w:rsidRDefault="002B66C8" w:rsidP="00A366C9">
      <w:pPr>
        <w:spacing w:line="360" w:lineRule="auto"/>
        <w:jc w:val="both"/>
        <w:rPr>
          <w:rFonts w:ascii="Arial" w:hAnsi="Arial" w:cs="Arial"/>
          <w:b/>
          <w:bCs/>
          <w:color w:val="000000"/>
          <w:sz w:val="22"/>
          <w:szCs w:val="22"/>
        </w:rPr>
      </w:pPr>
    </w:p>
    <w:p w14:paraId="761AA6AC" w14:textId="77777777" w:rsidR="002B66C8" w:rsidRDefault="002B66C8" w:rsidP="00A366C9">
      <w:pPr>
        <w:spacing w:line="360" w:lineRule="auto"/>
        <w:jc w:val="both"/>
        <w:rPr>
          <w:rFonts w:ascii="Arial" w:hAnsi="Arial" w:cs="Arial"/>
          <w:b/>
          <w:bCs/>
          <w:color w:val="000000"/>
          <w:sz w:val="22"/>
          <w:szCs w:val="22"/>
        </w:rPr>
      </w:pPr>
    </w:p>
    <w:p w14:paraId="42BD1CCC" w14:textId="77777777" w:rsidR="00C16B99" w:rsidRDefault="00C16B99" w:rsidP="002B66C8">
      <w:pPr>
        <w:spacing w:line="360" w:lineRule="auto"/>
        <w:jc w:val="center"/>
        <w:rPr>
          <w:rFonts w:ascii="Arial" w:hAnsi="Arial" w:cs="Arial"/>
          <w:b/>
          <w:bCs/>
          <w:color w:val="000000"/>
          <w:sz w:val="32"/>
          <w:szCs w:val="32"/>
        </w:rPr>
      </w:pPr>
    </w:p>
    <w:p w14:paraId="24B33013" w14:textId="0FA186CD" w:rsidR="00B82A10" w:rsidRPr="002B66C8" w:rsidRDefault="00B82A10" w:rsidP="00AF5051">
      <w:pPr>
        <w:pStyle w:val="Heading3"/>
      </w:pPr>
      <w:bookmarkStart w:id="12" w:name="_Toc224080857"/>
      <w:r w:rsidRPr="002B66C8">
        <w:t>Stakeholder Analysis</w:t>
      </w:r>
      <w:bookmarkEnd w:id="12"/>
    </w:p>
    <w:p w14:paraId="3645156D" w14:textId="1BA97043" w:rsidR="00B82A10" w:rsidRDefault="00B82A10" w:rsidP="00A366C9">
      <w:pPr>
        <w:spacing w:line="360" w:lineRule="auto"/>
        <w:jc w:val="both"/>
        <w:rPr>
          <w:rFonts w:ascii="Arial" w:hAnsi="Arial" w:cs="Arial"/>
          <w:color w:val="000000"/>
          <w:sz w:val="22"/>
          <w:szCs w:val="22"/>
        </w:rPr>
      </w:pPr>
      <w:r w:rsidRPr="00A366C9">
        <w:rPr>
          <w:rFonts w:ascii="Arial" w:hAnsi="Arial" w:cs="Arial"/>
          <w:color w:val="000000"/>
          <w:sz w:val="22"/>
          <w:szCs w:val="22"/>
        </w:rPr>
        <w:t xml:space="preserve">Stakeholder analysis is an essential process for identifying groups or individuals impacted by a company's strategy and assessing their level of influence. Mendelow’s Matrix serves as a straightforward framework for classifying stakeholders according to their power and interest, thereby assisting </w:t>
      </w:r>
      <w:r w:rsidR="00A366C9" w:rsidRPr="00A366C9">
        <w:rPr>
          <w:rFonts w:ascii="Arial" w:hAnsi="Arial" w:cs="Arial"/>
          <w:color w:val="000000"/>
          <w:sz w:val="22"/>
          <w:szCs w:val="22"/>
        </w:rPr>
        <w:t>organizations</w:t>
      </w:r>
      <w:r w:rsidRPr="00A366C9">
        <w:rPr>
          <w:rFonts w:ascii="Arial" w:hAnsi="Arial" w:cs="Arial"/>
          <w:color w:val="000000"/>
          <w:sz w:val="22"/>
          <w:szCs w:val="22"/>
        </w:rPr>
        <w:t xml:space="preserve"> in determining appropriate engagement approaches (Mendelow, 1991).</w:t>
      </w:r>
    </w:p>
    <w:p w14:paraId="51A3F956" w14:textId="77777777" w:rsidR="00900F99" w:rsidRPr="00A366C9" w:rsidRDefault="00900F99" w:rsidP="00A366C9">
      <w:pPr>
        <w:spacing w:line="360" w:lineRule="auto"/>
        <w:jc w:val="both"/>
        <w:rPr>
          <w:rFonts w:ascii="Arial" w:hAnsi="Arial" w:cs="Arial"/>
          <w:color w:val="000000"/>
          <w:sz w:val="22"/>
          <w:szCs w:val="22"/>
        </w:rPr>
      </w:pPr>
    </w:p>
    <w:p w14:paraId="604078A2" w14:textId="77777777" w:rsidR="00B82A10" w:rsidRPr="00A366C9" w:rsidRDefault="00B82A10" w:rsidP="00A366C9">
      <w:pPr>
        <w:spacing w:line="360" w:lineRule="auto"/>
        <w:jc w:val="both"/>
        <w:rPr>
          <w:rFonts w:ascii="Arial" w:hAnsi="Arial" w:cs="Arial"/>
          <w:b/>
          <w:color w:val="000000"/>
          <w:sz w:val="22"/>
          <w:szCs w:val="22"/>
        </w:rPr>
      </w:pPr>
      <w:r w:rsidRPr="00A366C9">
        <w:rPr>
          <w:rFonts w:ascii="Arial" w:hAnsi="Arial" w:cs="Arial"/>
          <w:b/>
          <w:color w:val="000000"/>
          <w:sz w:val="22"/>
          <w:szCs w:val="22"/>
        </w:rPr>
        <w:t>Key Stakeholders</w:t>
      </w:r>
    </w:p>
    <w:p w14:paraId="54570A01" w14:textId="77777777" w:rsidR="00B82A10" w:rsidRPr="00A366C9" w:rsidRDefault="00B82A10" w:rsidP="00A366C9">
      <w:pPr>
        <w:spacing w:line="360" w:lineRule="auto"/>
        <w:jc w:val="both"/>
        <w:rPr>
          <w:rFonts w:ascii="Arial" w:hAnsi="Arial" w:cs="Arial"/>
          <w:b/>
          <w:color w:val="000000"/>
          <w:sz w:val="22"/>
          <w:szCs w:val="22"/>
        </w:rPr>
      </w:pPr>
      <w:r w:rsidRPr="00A366C9">
        <w:rPr>
          <w:rFonts w:ascii="Arial" w:hAnsi="Arial" w:cs="Arial"/>
          <w:b/>
          <w:color w:val="000000"/>
          <w:sz w:val="22"/>
          <w:szCs w:val="22"/>
        </w:rPr>
        <w:t>High Power, High Interest</w:t>
      </w:r>
    </w:p>
    <w:p w14:paraId="45AA69DF" w14:textId="61E9F8F1" w:rsidR="00B82A10" w:rsidRPr="00A366C9" w:rsidRDefault="00B82A10" w:rsidP="00A366C9">
      <w:pPr>
        <w:spacing w:line="360" w:lineRule="auto"/>
        <w:jc w:val="both"/>
        <w:rPr>
          <w:rFonts w:ascii="Arial" w:hAnsi="Arial" w:cs="Arial"/>
          <w:color w:val="000000"/>
          <w:sz w:val="22"/>
          <w:szCs w:val="22"/>
        </w:rPr>
      </w:pPr>
      <w:r w:rsidRPr="00A366C9">
        <w:rPr>
          <w:rFonts w:ascii="Arial" w:hAnsi="Arial" w:cs="Arial"/>
          <w:color w:val="000000"/>
          <w:sz w:val="22"/>
          <w:szCs w:val="22"/>
        </w:rPr>
        <w:t xml:space="preserve">Senior management, investors, and The Coca-Cola Company possess both </w:t>
      </w:r>
      <w:r w:rsidR="00254DD2" w:rsidRPr="00A366C9">
        <w:rPr>
          <w:rFonts w:ascii="Arial" w:hAnsi="Arial" w:cs="Arial"/>
          <w:color w:val="000000"/>
          <w:sz w:val="22"/>
          <w:szCs w:val="22"/>
        </w:rPr>
        <w:t>considerable influence</w:t>
      </w:r>
      <w:r w:rsidRPr="00A366C9">
        <w:rPr>
          <w:rFonts w:ascii="Arial" w:hAnsi="Arial" w:cs="Arial"/>
          <w:color w:val="000000"/>
          <w:sz w:val="22"/>
          <w:szCs w:val="22"/>
        </w:rPr>
        <w:t xml:space="preserve"> and </w:t>
      </w:r>
      <w:r w:rsidR="00F209B1" w:rsidRPr="00A366C9">
        <w:rPr>
          <w:rFonts w:ascii="Arial" w:hAnsi="Arial" w:cs="Arial"/>
          <w:color w:val="000000"/>
          <w:sz w:val="22"/>
          <w:szCs w:val="22"/>
        </w:rPr>
        <w:t>a personal stake</w:t>
      </w:r>
      <w:r w:rsidRPr="00A366C9">
        <w:rPr>
          <w:rFonts w:ascii="Arial" w:hAnsi="Arial" w:cs="Arial"/>
          <w:color w:val="000000"/>
          <w:sz w:val="22"/>
          <w:szCs w:val="22"/>
        </w:rPr>
        <w:t xml:space="preserve"> in the success of Innocent Drinks. These stakeholders should be kept thoroughly informed and actively involved in strategic decision-making processes.</w:t>
      </w:r>
    </w:p>
    <w:p w14:paraId="0C8BD4C5" w14:textId="77777777" w:rsidR="00B82A10" w:rsidRPr="00A366C9" w:rsidRDefault="00B82A10" w:rsidP="00A366C9">
      <w:pPr>
        <w:spacing w:line="360" w:lineRule="auto"/>
        <w:jc w:val="both"/>
        <w:rPr>
          <w:rFonts w:ascii="Arial" w:hAnsi="Arial" w:cs="Arial"/>
          <w:b/>
          <w:color w:val="000000"/>
          <w:sz w:val="22"/>
          <w:szCs w:val="22"/>
        </w:rPr>
      </w:pPr>
      <w:r w:rsidRPr="00A366C9">
        <w:rPr>
          <w:rFonts w:ascii="Arial" w:hAnsi="Arial" w:cs="Arial"/>
          <w:b/>
          <w:color w:val="000000"/>
          <w:sz w:val="22"/>
          <w:szCs w:val="22"/>
        </w:rPr>
        <w:t>High Power, Low Interest</w:t>
      </w:r>
    </w:p>
    <w:p w14:paraId="7615C4A1" w14:textId="47BF709D" w:rsidR="00B82A10" w:rsidRPr="00A366C9" w:rsidRDefault="00B82A10" w:rsidP="00A366C9">
      <w:pPr>
        <w:spacing w:line="360" w:lineRule="auto"/>
        <w:jc w:val="both"/>
        <w:rPr>
          <w:rFonts w:ascii="Arial" w:hAnsi="Arial" w:cs="Arial"/>
          <w:color w:val="000000"/>
          <w:sz w:val="22"/>
          <w:szCs w:val="22"/>
        </w:rPr>
      </w:pPr>
      <w:r w:rsidRPr="00A366C9">
        <w:rPr>
          <w:rFonts w:ascii="Arial" w:hAnsi="Arial" w:cs="Arial"/>
          <w:color w:val="000000"/>
          <w:sz w:val="22"/>
          <w:szCs w:val="22"/>
        </w:rPr>
        <w:t xml:space="preserve">Regulatory bodies and major retailers, such as supermarkets, hold considerable authority but may demonstrate limited interest in the </w:t>
      </w:r>
      <w:r w:rsidR="00A366C9" w:rsidRPr="00A366C9">
        <w:rPr>
          <w:rFonts w:ascii="Arial" w:hAnsi="Arial" w:cs="Arial"/>
          <w:color w:val="000000"/>
          <w:sz w:val="22"/>
          <w:szCs w:val="22"/>
        </w:rPr>
        <w:t>organization’s</w:t>
      </w:r>
      <w:r w:rsidRPr="00A366C9">
        <w:rPr>
          <w:rFonts w:ascii="Arial" w:hAnsi="Arial" w:cs="Arial"/>
          <w:color w:val="000000"/>
          <w:sz w:val="22"/>
          <w:szCs w:val="22"/>
        </w:rPr>
        <w:t xml:space="preserve"> strategy. It is crucial to satisfy these stakeholders by complying with regulatory requirements and fostering strong distribution partnerships.</w:t>
      </w:r>
    </w:p>
    <w:p w14:paraId="294AC3F5" w14:textId="77777777" w:rsidR="00B82A10" w:rsidRPr="00A366C9" w:rsidRDefault="00B82A10" w:rsidP="00A366C9">
      <w:pPr>
        <w:spacing w:line="360" w:lineRule="auto"/>
        <w:jc w:val="both"/>
        <w:rPr>
          <w:rFonts w:ascii="Arial" w:hAnsi="Arial" w:cs="Arial"/>
          <w:b/>
          <w:color w:val="000000"/>
          <w:sz w:val="22"/>
          <w:szCs w:val="22"/>
        </w:rPr>
      </w:pPr>
      <w:r w:rsidRPr="00A366C9">
        <w:rPr>
          <w:rFonts w:ascii="Arial" w:hAnsi="Arial" w:cs="Arial"/>
          <w:b/>
          <w:color w:val="000000"/>
          <w:sz w:val="22"/>
          <w:szCs w:val="22"/>
        </w:rPr>
        <w:t>Low Power, High Interest</w:t>
      </w:r>
    </w:p>
    <w:p w14:paraId="42623CB2" w14:textId="77777777" w:rsidR="00B82A10" w:rsidRPr="00A366C9" w:rsidRDefault="00B82A10" w:rsidP="00A366C9">
      <w:pPr>
        <w:spacing w:line="360" w:lineRule="auto"/>
        <w:jc w:val="both"/>
        <w:rPr>
          <w:rFonts w:ascii="Arial" w:hAnsi="Arial" w:cs="Arial"/>
          <w:color w:val="000000"/>
          <w:sz w:val="22"/>
          <w:szCs w:val="22"/>
        </w:rPr>
      </w:pPr>
      <w:r w:rsidRPr="00A366C9">
        <w:rPr>
          <w:rFonts w:ascii="Arial" w:hAnsi="Arial" w:cs="Arial"/>
          <w:color w:val="000000"/>
          <w:sz w:val="22"/>
          <w:szCs w:val="22"/>
        </w:rPr>
        <w:t>Employees and customers, while having limited influence on major decisions, exhibit substantial commitment to the company's values and sustainability initiatives. Maintaining transparent communication and promoting involvement supports loyalty and engagement among these groups.</w:t>
      </w:r>
    </w:p>
    <w:p w14:paraId="10FF9F28" w14:textId="77777777" w:rsidR="00B82A10" w:rsidRPr="00A366C9" w:rsidRDefault="00B82A10" w:rsidP="00A366C9">
      <w:pPr>
        <w:spacing w:line="360" w:lineRule="auto"/>
        <w:jc w:val="both"/>
        <w:rPr>
          <w:rFonts w:ascii="Arial" w:hAnsi="Arial" w:cs="Arial"/>
          <w:b/>
          <w:color w:val="000000"/>
          <w:sz w:val="22"/>
          <w:szCs w:val="22"/>
        </w:rPr>
      </w:pPr>
      <w:r w:rsidRPr="00A366C9">
        <w:rPr>
          <w:rFonts w:ascii="Arial" w:hAnsi="Arial" w:cs="Arial"/>
          <w:b/>
          <w:color w:val="000000"/>
          <w:sz w:val="22"/>
          <w:szCs w:val="22"/>
        </w:rPr>
        <w:t>Low Power, Low Interest</w:t>
      </w:r>
    </w:p>
    <w:p w14:paraId="799E9E67" w14:textId="530C2C29" w:rsidR="00B82A10" w:rsidRPr="00A366C9" w:rsidRDefault="00B82A10" w:rsidP="00A366C9">
      <w:pPr>
        <w:spacing w:line="360" w:lineRule="auto"/>
        <w:jc w:val="both"/>
        <w:rPr>
          <w:rFonts w:ascii="Arial" w:hAnsi="Arial" w:cs="Arial"/>
          <w:color w:val="000000"/>
          <w:sz w:val="22"/>
          <w:szCs w:val="22"/>
        </w:rPr>
      </w:pPr>
      <w:r w:rsidRPr="00A366C9">
        <w:rPr>
          <w:rFonts w:ascii="Arial" w:hAnsi="Arial" w:cs="Arial"/>
          <w:color w:val="000000"/>
          <w:sz w:val="22"/>
          <w:szCs w:val="22"/>
        </w:rPr>
        <w:t xml:space="preserve">Members of the broader public who are not regular purchasers of Innocent Drinks have minimal influence or interest. Nonetheless, their perceptions can still </w:t>
      </w:r>
      <w:r w:rsidR="00A366C9" w:rsidRPr="00A366C9">
        <w:rPr>
          <w:rFonts w:ascii="Arial" w:hAnsi="Arial" w:cs="Arial"/>
          <w:color w:val="000000"/>
          <w:sz w:val="22"/>
          <w:szCs w:val="22"/>
        </w:rPr>
        <w:t>impact on</w:t>
      </w:r>
      <w:r w:rsidRPr="00A366C9">
        <w:rPr>
          <w:rFonts w:ascii="Arial" w:hAnsi="Arial" w:cs="Arial"/>
          <w:color w:val="000000"/>
          <w:sz w:val="22"/>
          <w:szCs w:val="22"/>
        </w:rPr>
        <w:t xml:space="preserve"> the company's reputation.</w:t>
      </w:r>
    </w:p>
    <w:p w14:paraId="69CA031B" w14:textId="77777777" w:rsidR="00B82A10" w:rsidRPr="00A366C9" w:rsidRDefault="00B82A10" w:rsidP="00A366C9">
      <w:pPr>
        <w:spacing w:line="360" w:lineRule="auto"/>
        <w:jc w:val="both"/>
        <w:rPr>
          <w:rFonts w:ascii="Arial" w:hAnsi="Arial" w:cs="Arial"/>
          <w:b/>
          <w:color w:val="000000"/>
          <w:sz w:val="22"/>
          <w:szCs w:val="22"/>
        </w:rPr>
      </w:pPr>
      <w:r w:rsidRPr="00A366C9">
        <w:rPr>
          <w:rFonts w:ascii="Arial" w:hAnsi="Arial" w:cs="Arial"/>
          <w:b/>
          <w:color w:val="000000"/>
          <w:sz w:val="22"/>
          <w:szCs w:val="22"/>
        </w:rPr>
        <w:t>Stakeholder Engagement Plan</w:t>
      </w:r>
    </w:p>
    <w:p w14:paraId="707952BC" w14:textId="77777777" w:rsidR="00B82A10" w:rsidRPr="00A366C9" w:rsidRDefault="00B82A10" w:rsidP="00A366C9">
      <w:pPr>
        <w:spacing w:line="360" w:lineRule="auto"/>
        <w:jc w:val="both"/>
        <w:rPr>
          <w:rFonts w:ascii="Arial" w:hAnsi="Arial" w:cs="Arial"/>
          <w:color w:val="000000"/>
          <w:sz w:val="22"/>
          <w:szCs w:val="22"/>
        </w:rPr>
      </w:pPr>
      <w:r w:rsidRPr="00A366C9">
        <w:rPr>
          <w:rFonts w:ascii="Arial" w:hAnsi="Arial" w:cs="Arial"/>
          <w:color w:val="000000"/>
          <w:sz w:val="22"/>
          <w:szCs w:val="22"/>
        </w:rPr>
        <w:t>Innocent Drinks should implement clear and consistent communication strategies and engage principal stakeholders through routine updates, comprehensive sustainability reports, and collaborative projects with suppliers. Digital marketing initiatives targeting customers, alongside programmes encouraging staff participation, will strengthen trust and support. Effective stakeholder management enhances strategic acceptance among key groups and reinforces long-term organisational growth.</w:t>
      </w:r>
    </w:p>
    <w:p w14:paraId="5085CB36" w14:textId="666FF791" w:rsidR="006F437A" w:rsidRDefault="00B82A10" w:rsidP="00A366C9">
      <w:pPr>
        <w:spacing w:line="360" w:lineRule="auto"/>
        <w:jc w:val="both"/>
        <w:rPr>
          <w:rFonts w:ascii="Arial" w:hAnsi="Arial" w:cs="Arial"/>
          <w:color w:val="000000"/>
          <w:sz w:val="22"/>
          <w:szCs w:val="22"/>
        </w:rPr>
      </w:pPr>
      <w:r w:rsidRPr="00A366C9">
        <w:rPr>
          <w:rFonts w:ascii="Arial" w:hAnsi="Arial" w:cs="Arial"/>
          <w:color w:val="000000"/>
          <w:sz w:val="22"/>
          <w:szCs w:val="22"/>
        </w:rPr>
        <w:t>Robust engagement ensures that critical stakeholders endorse the strategic direction and contributes to the achievement of Innocent Drinks’ objectives.</w:t>
      </w:r>
    </w:p>
    <w:p w14:paraId="53C90BF3" w14:textId="77777777" w:rsidR="00DC530F" w:rsidRPr="00A366C9" w:rsidRDefault="00DC530F" w:rsidP="00A366C9">
      <w:pPr>
        <w:spacing w:line="360" w:lineRule="auto"/>
        <w:jc w:val="both"/>
        <w:rPr>
          <w:rFonts w:ascii="Arial" w:hAnsi="Arial" w:cs="Arial"/>
          <w:color w:val="000000"/>
          <w:sz w:val="22"/>
          <w:szCs w:val="22"/>
        </w:rPr>
      </w:pPr>
    </w:p>
    <w:p w14:paraId="714B5064" w14:textId="77777777" w:rsidR="00202362" w:rsidRDefault="00202362" w:rsidP="00CC4A6F">
      <w:pPr>
        <w:spacing w:before="100" w:beforeAutospacing="1" w:after="100" w:afterAutospacing="1"/>
        <w:outlineLvl w:val="0"/>
        <w:rPr>
          <w:rFonts w:ascii="Arial" w:eastAsia="Times New Roman" w:hAnsi="Arial" w:cs="Arial"/>
          <w:b/>
          <w:bCs/>
          <w:kern w:val="36"/>
          <w:lang w:val="en-GB" w:eastAsia="en-GB"/>
        </w:rPr>
      </w:pPr>
    </w:p>
    <w:p w14:paraId="57DA66B0" w14:textId="77777777" w:rsidR="00202362" w:rsidRDefault="00202362" w:rsidP="00CC4A6F">
      <w:pPr>
        <w:spacing w:before="100" w:beforeAutospacing="1" w:after="100" w:afterAutospacing="1"/>
        <w:outlineLvl w:val="0"/>
        <w:rPr>
          <w:rFonts w:ascii="Arial" w:eastAsia="Times New Roman" w:hAnsi="Arial" w:cs="Arial"/>
          <w:b/>
          <w:bCs/>
          <w:kern w:val="36"/>
          <w:lang w:val="en-GB" w:eastAsia="en-GB"/>
        </w:rPr>
      </w:pPr>
    </w:p>
    <w:p w14:paraId="6BD96FC3" w14:textId="5C6B54CD" w:rsidR="00C16B99" w:rsidRDefault="00C16B99" w:rsidP="00CC4A6F">
      <w:pPr>
        <w:spacing w:before="100" w:beforeAutospacing="1" w:after="100" w:afterAutospacing="1"/>
        <w:outlineLvl w:val="0"/>
        <w:rPr>
          <w:rFonts w:ascii="Arial" w:eastAsia="Times New Roman" w:hAnsi="Arial" w:cs="Arial"/>
          <w:b/>
          <w:bCs/>
          <w:kern w:val="36"/>
          <w:lang w:val="en-GB" w:eastAsia="en-GB"/>
        </w:rPr>
      </w:pPr>
    </w:p>
    <w:p w14:paraId="64DA9A67" w14:textId="68E9C939" w:rsidR="00CC4A6F" w:rsidRPr="00CC4A6F" w:rsidRDefault="00BC24C9" w:rsidP="00900F99">
      <w:pPr>
        <w:pStyle w:val="Heading5"/>
        <w:rPr>
          <w:lang w:val="en-GB" w:eastAsia="en-GB"/>
        </w:rPr>
      </w:pPr>
      <w:r w:rsidRPr="00AA5391">
        <w:rPr>
          <w:lang w:val="en-GB" w:eastAsia="en-GB"/>
        </w:rPr>
        <w:lastRenderedPageBreak/>
        <w:t xml:space="preserve">Figure </w:t>
      </w:r>
      <w:r w:rsidR="005E065B">
        <w:rPr>
          <w:lang w:val="en-GB" w:eastAsia="en-GB"/>
        </w:rPr>
        <w:t>8</w:t>
      </w:r>
      <w:r w:rsidR="00C1607A" w:rsidRPr="00AA5391">
        <w:rPr>
          <w:lang w:val="en-GB" w:eastAsia="en-GB"/>
        </w:rPr>
        <w:t>.</w:t>
      </w:r>
      <w:r w:rsidR="00CC4A6F" w:rsidRPr="00CC4A6F">
        <w:rPr>
          <w:lang w:val="en-GB" w:eastAsia="en-GB"/>
        </w:rPr>
        <w:t xml:space="preserve"> Mendelow’s Matrix (Stakeholder Analysis)</w:t>
      </w:r>
    </w:p>
    <w:p w14:paraId="717A3263" w14:textId="77777777" w:rsidR="005D1EFD" w:rsidRPr="003E1797" w:rsidRDefault="005D1EFD" w:rsidP="005D1EFD">
      <w:pPr>
        <w:spacing w:before="100" w:beforeAutospacing="1" w:after="100" w:afterAutospacing="1"/>
        <w:rPr>
          <w:rFonts w:ascii="Arial" w:eastAsia="Times New Roman" w:hAnsi="Arial" w:cs="Arial"/>
          <w:b/>
          <w:bCs/>
          <w:color w:val="00B050"/>
          <w:lang w:val="en-GB" w:eastAsia="en-GB"/>
        </w:rPr>
      </w:pPr>
      <w:r w:rsidRPr="003E1797">
        <w:rPr>
          <w:rFonts w:ascii="Arial" w:eastAsia="Times New Roman" w:hAnsi="Arial" w:cs="Arial"/>
          <w:b/>
          <w:bCs/>
          <w:color w:val="00B050"/>
          <w:lang w:val="en-GB" w:eastAsia="en-GB"/>
        </w:rPr>
        <w:t xml:space="preserve">                High Power</w:t>
      </w:r>
    </w:p>
    <w:p w14:paraId="77EBE796" w14:textId="77777777" w:rsidR="005D1EFD" w:rsidRPr="003E1797" w:rsidRDefault="005D1EFD" w:rsidP="005D1EFD">
      <w:pPr>
        <w:spacing w:before="100" w:beforeAutospacing="1" w:after="100" w:afterAutospacing="1"/>
        <w:rPr>
          <w:rFonts w:ascii="Arial" w:eastAsia="Times New Roman" w:hAnsi="Arial" w:cs="Arial"/>
          <w:lang w:val="en-GB" w:eastAsia="en-GB"/>
        </w:rPr>
      </w:pPr>
      <w:r w:rsidRPr="003E1797">
        <w:rPr>
          <w:rFonts w:ascii="Arial" w:eastAsia="Times New Roman" w:hAnsi="Arial" w:cs="Arial"/>
          <w:lang w:val="en-GB" w:eastAsia="en-GB"/>
        </w:rPr>
        <w:t xml:space="preserve">                    │</w:t>
      </w:r>
    </w:p>
    <w:p w14:paraId="30206DCA" w14:textId="77777777" w:rsidR="005D1EFD" w:rsidRPr="003E1797" w:rsidRDefault="005D1EFD" w:rsidP="005D1EFD">
      <w:pPr>
        <w:spacing w:before="100" w:beforeAutospacing="1" w:after="100" w:afterAutospacing="1"/>
        <w:rPr>
          <w:rFonts w:ascii="Arial" w:eastAsia="Times New Roman" w:hAnsi="Arial" w:cs="Arial"/>
          <w:lang w:val="en-GB" w:eastAsia="en-GB"/>
        </w:rPr>
      </w:pPr>
      <w:r w:rsidRPr="003E1797">
        <w:rPr>
          <w:rFonts w:ascii="Arial" w:eastAsia="Times New Roman" w:hAnsi="Arial" w:cs="Arial"/>
          <w:lang w:val="en-GB" w:eastAsia="en-GB"/>
        </w:rPr>
        <w:t xml:space="preserve">        Keep Satisfied │ Manage Closely</w:t>
      </w:r>
    </w:p>
    <w:p w14:paraId="6720A171" w14:textId="77777777" w:rsidR="005D1EFD" w:rsidRPr="003E1797" w:rsidRDefault="005D1EFD" w:rsidP="005D1EFD">
      <w:pPr>
        <w:spacing w:before="100" w:beforeAutospacing="1" w:after="100" w:afterAutospacing="1"/>
        <w:rPr>
          <w:rFonts w:ascii="Arial" w:eastAsia="Times New Roman" w:hAnsi="Arial" w:cs="Arial"/>
          <w:lang w:val="en-GB" w:eastAsia="en-GB"/>
        </w:rPr>
      </w:pPr>
      <w:r w:rsidRPr="003E1797">
        <w:rPr>
          <w:rFonts w:ascii="Arial" w:eastAsia="Times New Roman" w:hAnsi="Arial" w:cs="Arial"/>
          <w:lang w:val="en-GB" w:eastAsia="en-GB"/>
        </w:rPr>
        <w:t xml:space="preserve">                    │</w:t>
      </w:r>
    </w:p>
    <w:p w14:paraId="69DE5BB1" w14:textId="77777777" w:rsidR="005D1EFD" w:rsidRPr="003E1797" w:rsidRDefault="005D1EFD" w:rsidP="005D1EFD">
      <w:pPr>
        <w:spacing w:before="100" w:beforeAutospacing="1" w:after="100" w:afterAutospacing="1"/>
        <w:rPr>
          <w:rFonts w:ascii="Arial" w:eastAsia="Times New Roman" w:hAnsi="Arial" w:cs="Arial"/>
          <w:lang w:val="en-GB" w:eastAsia="en-GB"/>
        </w:rPr>
      </w:pPr>
      <w:r w:rsidRPr="003E1797">
        <w:rPr>
          <w:rFonts w:ascii="Arial" w:eastAsia="Times New Roman" w:hAnsi="Arial" w:cs="Arial"/>
          <w:lang w:val="en-GB" w:eastAsia="en-GB"/>
        </w:rPr>
        <w:t xml:space="preserve">                    │</w:t>
      </w:r>
    </w:p>
    <w:p w14:paraId="127087DF" w14:textId="77777777" w:rsidR="005D1EFD" w:rsidRPr="003E1797" w:rsidRDefault="005D1EFD" w:rsidP="005D1EFD">
      <w:pPr>
        <w:spacing w:before="100" w:beforeAutospacing="1" w:after="100" w:afterAutospacing="1"/>
        <w:rPr>
          <w:rFonts w:ascii="Arial" w:eastAsia="Times New Roman" w:hAnsi="Arial" w:cs="Arial"/>
          <w:lang w:val="en-GB" w:eastAsia="en-GB"/>
        </w:rPr>
      </w:pPr>
      <w:r w:rsidRPr="005023FF">
        <w:rPr>
          <w:rFonts w:ascii="Arial" w:eastAsia="Times New Roman" w:hAnsi="Arial" w:cs="Arial"/>
          <w:b/>
          <w:bCs/>
          <w:color w:val="C00000"/>
          <w:lang w:val="en-GB" w:eastAsia="en-GB"/>
        </w:rPr>
        <w:t>Low Interest</w:t>
      </w:r>
      <w:r w:rsidRPr="005023FF">
        <w:rPr>
          <w:rFonts w:ascii="Arial" w:eastAsia="Times New Roman" w:hAnsi="Arial" w:cs="Arial"/>
          <w:color w:val="C00000"/>
          <w:lang w:val="en-GB" w:eastAsia="en-GB"/>
        </w:rPr>
        <w:t xml:space="preserve"> </w:t>
      </w:r>
      <w:r w:rsidRPr="003E1797">
        <w:rPr>
          <w:rFonts w:ascii="Arial" w:eastAsia="Times New Roman" w:hAnsi="Arial" w:cs="Arial"/>
          <w:lang w:val="en-GB" w:eastAsia="en-GB"/>
        </w:rPr>
        <w:t xml:space="preserve">─────────────── </w:t>
      </w:r>
      <w:r w:rsidRPr="005023FF">
        <w:rPr>
          <w:rFonts w:ascii="Arial" w:eastAsia="Times New Roman" w:hAnsi="Arial" w:cs="Arial"/>
          <w:b/>
          <w:bCs/>
          <w:color w:val="00B050"/>
          <w:lang w:val="en-GB" w:eastAsia="en-GB"/>
        </w:rPr>
        <w:t>High Interest</w:t>
      </w:r>
    </w:p>
    <w:p w14:paraId="02191F14" w14:textId="77777777" w:rsidR="005D1EFD" w:rsidRPr="003E1797" w:rsidRDefault="005D1EFD" w:rsidP="005D1EFD">
      <w:pPr>
        <w:spacing w:before="100" w:beforeAutospacing="1" w:after="100" w:afterAutospacing="1"/>
        <w:rPr>
          <w:rFonts w:ascii="Arial" w:eastAsia="Times New Roman" w:hAnsi="Arial" w:cs="Arial"/>
          <w:lang w:val="en-GB" w:eastAsia="en-GB"/>
        </w:rPr>
      </w:pPr>
      <w:r w:rsidRPr="003E1797">
        <w:rPr>
          <w:rFonts w:ascii="Arial" w:eastAsia="Times New Roman" w:hAnsi="Arial" w:cs="Arial"/>
          <w:lang w:val="en-GB" w:eastAsia="en-GB"/>
        </w:rPr>
        <w:t xml:space="preserve">                    │</w:t>
      </w:r>
    </w:p>
    <w:p w14:paraId="18C9E410" w14:textId="77777777" w:rsidR="005D1EFD" w:rsidRPr="003E1797" w:rsidRDefault="005D1EFD" w:rsidP="005D1EFD">
      <w:pPr>
        <w:spacing w:before="100" w:beforeAutospacing="1" w:after="100" w:afterAutospacing="1"/>
        <w:rPr>
          <w:rFonts w:ascii="Arial" w:eastAsia="Times New Roman" w:hAnsi="Arial" w:cs="Arial"/>
          <w:lang w:val="en-GB" w:eastAsia="en-GB"/>
        </w:rPr>
      </w:pPr>
      <w:r w:rsidRPr="003E1797">
        <w:rPr>
          <w:rFonts w:ascii="Arial" w:eastAsia="Times New Roman" w:hAnsi="Arial" w:cs="Arial"/>
          <w:lang w:val="en-GB" w:eastAsia="en-GB"/>
        </w:rPr>
        <w:t xml:space="preserve">        Monitor │ Keep Informed</w:t>
      </w:r>
    </w:p>
    <w:p w14:paraId="143EEA39" w14:textId="77777777" w:rsidR="005D1EFD" w:rsidRPr="003E1797" w:rsidRDefault="005D1EFD" w:rsidP="005D1EFD">
      <w:pPr>
        <w:spacing w:before="100" w:beforeAutospacing="1" w:after="100" w:afterAutospacing="1"/>
        <w:rPr>
          <w:rFonts w:ascii="Arial" w:eastAsia="Times New Roman" w:hAnsi="Arial" w:cs="Arial"/>
          <w:lang w:val="en-GB" w:eastAsia="en-GB"/>
        </w:rPr>
      </w:pPr>
      <w:r w:rsidRPr="003E1797">
        <w:rPr>
          <w:rFonts w:ascii="Arial" w:eastAsia="Times New Roman" w:hAnsi="Arial" w:cs="Arial"/>
          <w:lang w:val="en-GB" w:eastAsia="en-GB"/>
        </w:rPr>
        <w:t xml:space="preserve">                    │</w:t>
      </w:r>
    </w:p>
    <w:p w14:paraId="1D62F5BB" w14:textId="4CAC3DDC" w:rsidR="00016063" w:rsidRPr="00CC4A6F" w:rsidRDefault="005D1EFD" w:rsidP="005D1EFD">
      <w:pPr>
        <w:spacing w:before="100" w:beforeAutospacing="1" w:after="100" w:afterAutospacing="1"/>
        <w:rPr>
          <w:rFonts w:ascii="Arial" w:eastAsia="Times New Roman" w:hAnsi="Arial" w:cs="Arial"/>
          <w:b/>
          <w:bCs/>
          <w:color w:val="C00000"/>
          <w:lang w:val="en-GB" w:eastAsia="en-GB"/>
        </w:rPr>
      </w:pPr>
      <w:r w:rsidRPr="003E1797">
        <w:rPr>
          <w:rFonts w:ascii="Arial" w:eastAsia="Times New Roman" w:hAnsi="Arial" w:cs="Arial"/>
          <w:b/>
          <w:bCs/>
          <w:color w:val="C00000"/>
          <w:lang w:val="en-GB" w:eastAsia="en-GB"/>
        </w:rPr>
        <w:t xml:space="preserve">                Low Power</w:t>
      </w:r>
    </w:p>
    <w:p w14:paraId="5A70E3B9" w14:textId="4F800730" w:rsidR="00CC4A6F" w:rsidRPr="00CC4A6F" w:rsidRDefault="00C1607A" w:rsidP="00900F99">
      <w:pPr>
        <w:pStyle w:val="Heading5"/>
        <w:rPr>
          <w:lang w:val="en-GB" w:eastAsia="en-GB"/>
        </w:rPr>
      </w:pPr>
      <w:r>
        <w:rPr>
          <w:lang w:val="en-GB" w:eastAsia="en-GB"/>
        </w:rPr>
        <w:t xml:space="preserve">Figure </w:t>
      </w:r>
      <w:r w:rsidR="005E065B">
        <w:rPr>
          <w:lang w:val="en-GB" w:eastAsia="en-GB"/>
        </w:rPr>
        <w:t>9</w:t>
      </w:r>
      <w:r>
        <w:rPr>
          <w:lang w:val="en-GB" w:eastAsia="en-GB"/>
        </w:rPr>
        <w:t xml:space="preserve">. </w:t>
      </w:r>
      <w:r w:rsidR="00CC4A6F" w:rsidRPr="00CC4A6F">
        <w:rPr>
          <w:lang w:val="en-GB" w:eastAsia="en-GB"/>
        </w:rPr>
        <w:t>Stakeholder placement</w:t>
      </w:r>
    </w:p>
    <w:tbl>
      <w:tblPr>
        <w:tblStyle w:val="PlainTable4"/>
        <w:tblW w:w="0" w:type="auto"/>
        <w:tblLook w:val="04A0" w:firstRow="1" w:lastRow="0" w:firstColumn="1" w:lastColumn="0" w:noHBand="0" w:noVBand="1"/>
      </w:tblPr>
      <w:tblGrid>
        <w:gridCol w:w="2599"/>
        <w:gridCol w:w="6521"/>
      </w:tblGrid>
      <w:tr w:rsidR="00CC4A6F" w:rsidRPr="00CC4A6F" w14:paraId="4D194553" w14:textId="77777777" w:rsidTr="006D50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DD069A" w14:textId="77777777" w:rsidR="00CC4A6F" w:rsidRPr="00483078" w:rsidRDefault="00CC4A6F" w:rsidP="00483078">
            <w:pPr>
              <w:pStyle w:val="ListParagraph"/>
              <w:numPr>
                <w:ilvl w:val="0"/>
                <w:numId w:val="5"/>
              </w:numPr>
              <w:spacing w:line="360" w:lineRule="auto"/>
              <w:jc w:val="both"/>
              <w:rPr>
                <w:rFonts w:ascii="Arial" w:eastAsia="Times New Roman" w:hAnsi="Arial" w:cs="Arial"/>
                <w:lang w:eastAsia="en-GB"/>
              </w:rPr>
            </w:pPr>
            <w:r w:rsidRPr="00483078">
              <w:rPr>
                <w:rFonts w:ascii="Arial" w:eastAsia="Times New Roman" w:hAnsi="Arial" w:cs="Arial"/>
                <w:lang w:eastAsia="en-GB"/>
              </w:rPr>
              <w:t>Quadrant</w:t>
            </w:r>
          </w:p>
        </w:tc>
        <w:tc>
          <w:tcPr>
            <w:tcW w:w="0" w:type="auto"/>
            <w:hideMark/>
          </w:tcPr>
          <w:p w14:paraId="355305FB" w14:textId="77777777" w:rsidR="00CC4A6F" w:rsidRPr="00483078" w:rsidRDefault="00CC4A6F" w:rsidP="00483078">
            <w:pPr>
              <w:pStyle w:val="ListParagraph"/>
              <w:numPr>
                <w:ilvl w:val="0"/>
                <w:numId w:val="5"/>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483078">
              <w:rPr>
                <w:rFonts w:ascii="Arial" w:eastAsia="Times New Roman" w:hAnsi="Arial" w:cs="Arial"/>
                <w:lang w:eastAsia="en-GB"/>
              </w:rPr>
              <w:t>Stakeholders</w:t>
            </w:r>
          </w:p>
        </w:tc>
      </w:tr>
      <w:tr w:rsidR="00CC4A6F" w:rsidRPr="00CC4A6F" w14:paraId="46270C6B" w14:textId="77777777" w:rsidTr="006D50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856481" w14:textId="77777777" w:rsidR="00CC4A6F" w:rsidRPr="00483078" w:rsidRDefault="00CC4A6F" w:rsidP="00483078">
            <w:pPr>
              <w:pStyle w:val="ListParagraph"/>
              <w:numPr>
                <w:ilvl w:val="0"/>
                <w:numId w:val="5"/>
              </w:numPr>
              <w:spacing w:line="360" w:lineRule="auto"/>
              <w:jc w:val="both"/>
              <w:rPr>
                <w:rFonts w:ascii="Arial" w:eastAsia="Times New Roman" w:hAnsi="Arial" w:cs="Arial"/>
                <w:lang w:eastAsia="en-GB"/>
              </w:rPr>
            </w:pPr>
            <w:r w:rsidRPr="00483078">
              <w:rPr>
                <w:rFonts w:ascii="Arial" w:eastAsia="Times New Roman" w:hAnsi="Arial" w:cs="Arial"/>
                <w:lang w:eastAsia="en-GB"/>
              </w:rPr>
              <w:t>Manage Closely</w:t>
            </w:r>
          </w:p>
        </w:tc>
        <w:tc>
          <w:tcPr>
            <w:tcW w:w="0" w:type="auto"/>
            <w:hideMark/>
          </w:tcPr>
          <w:p w14:paraId="616DA385" w14:textId="77777777" w:rsidR="00CC4A6F" w:rsidRPr="00483078" w:rsidRDefault="00CC4A6F" w:rsidP="00483078">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483078">
              <w:rPr>
                <w:rFonts w:ascii="Arial" w:eastAsia="Times New Roman" w:hAnsi="Arial" w:cs="Arial"/>
                <w:lang w:eastAsia="en-GB"/>
              </w:rPr>
              <w:t>Senior management, investors, The Coca-Cola Company</w:t>
            </w:r>
          </w:p>
        </w:tc>
      </w:tr>
      <w:tr w:rsidR="00CC4A6F" w:rsidRPr="00CC4A6F" w14:paraId="2202EB46" w14:textId="77777777" w:rsidTr="006D5044">
        <w:tc>
          <w:tcPr>
            <w:cnfStyle w:val="001000000000" w:firstRow="0" w:lastRow="0" w:firstColumn="1" w:lastColumn="0" w:oddVBand="0" w:evenVBand="0" w:oddHBand="0" w:evenHBand="0" w:firstRowFirstColumn="0" w:firstRowLastColumn="0" w:lastRowFirstColumn="0" w:lastRowLastColumn="0"/>
            <w:tcW w:w="0" w:type="auto"/>
            <w:hideMark/>
          </w:tcPr>
          <w:p w14:paraId="63143C50" w14:textId="77777777" w:rsidR="00CC4A6F" w:rsidRPr="00483078" w:rsidRDefault="00CC4A6F" w:rsidP="00483078">
            <w:pPr>
              <w:pStyle w:val="ListParagraph"/>
              <w:numPr>
                <w:ilvl w:val="0"/>
                <w:numId w:val="5"/>
              </w:numPr>
              <w:spacing w:line="360" w:lineRule="auto"/>
              <w:jc w:val="both"/>
              <w:rPr>
                <w:rFonts w:ascii="Arial" w:eastAsia="Times New Roman" w:hAnsi="Arial" w:cs="Arial"/>
                <w:lang w:eastAsia="en-GB"/>
              </w:rPr>
            </w:pPr>
            <w:r w:rsidRPr="00483078">
              <w:rPr>
                <w:rFonts w:ascii="Arial" w:eastAsia="Times New Roman" w:hAnsi="Arial" w:cs="Arial"/>
                <w:lang w:eastAsia="en-GB"/>
              </w:rPr>
              <w:t>Keep Satisfied</w:t>
            </w:r>
          </w:p>
        </w:tc>
        <w:tc>
          <w:tcPr>
            <w:tcW w:w="0" w:type="auto"/>
            <w:hideMark/>
          </w:tcPr>
          <w:p w14:paraId="1A5AA1EE" w14:textId="77777777" w:rsidR="00CC4A6F" w:rsidRPr="00483078" w:rsidRDefault="00CC4A6F" w:rsidP="00483078">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483078">
              <w:rPr>
                <w:rFonts w:ascii="Arial" w:eastAsia="Times New Roman" w:hAnsi="Arial" w:cs="Arial"/>
                <w:lang w:eastAsia="en-GB"/>
              </w:rPr>
              <w:t>Government regulators, retail partners</w:t>
            </w:r>
          </w:p>
        </w:tc>
      </w:tr>
      <w:tr w:rsidR="00CC4A6F" w:rsidRPr="00CC4A6F" w14:paraId="3E134E7E" w14:textId="77777777" w:rsidTr="006D50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089EAA" w14:textId="77777777" w:rsidR="00CC4A6F" w:rsidRPr="00483078" w:rsidRDefault="00CC4A6F" w:rsidP="00483078">
            <w:pPr>
              <w:pStyle w:val="ListParagraph"/>
              <w:numPr>
                <w:ilvl w:val="0"/>
                <w:numId w:val="5"/>
              </w:numPr>
              <w:spacing w:line="360" w:lineRule="auto"/>
              <w:jc w:val="both"/>
              <w:rPr>
                <w:rFonts w:ascii="Arial" w:eastAsia="Times New Roman" w:hAnsi="Arial" w:cs="Arial"/>
                <w:lang w:eastAsia="en-GB"/>
              </w:rPr>
            </w:pPr>
            <w:r w:rsidRPr="00483078">
              <w:rPr>
                <w:rFonts w:ascii="Arial" w:eastAsia="Times New Roman" w:hAnsi="Arial" w:cs="Arial"/>
                <w:lang w:eastAsia="en-GB"/>
              </w:rPr>
              <w:t>Keep Informed</w:t>
            </w:r>
          </w:p>
        </w:tc>
        <w:tc>
          <w:tcPr>
            <w:tcW w:w="0" w:type="auto"/>
            <w:hideMark/>
          </w:tcPr>
          <w:p w14:paraId="16BBCF7B" w14:textId="77777777" w:rsidR="00CC4A6F" w:rsidRPr="00483078" w:rsidRDefault="00CC4A6F" w:rsidP="00483078">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483078">
              <w:rPr>
                <w:rFonts w:ascii="Arial" w:eastAsia="Times New Roman" w:hAnsi="Arial" w:cs="Arial"/>
                <w:lang w:eastAsia="en-GB"/>
              </w:rPr>
              <w:t>Customers, employees</w:t>
            </w:r>
          </w:p>
        </w:tc>
      </w:tr>
      <w:tr w:rsidR="00CC4A6F" w:rsidRPr="00CC4A6F" w14:paraId="1E590B5B" w14:textId="77777777" w:rsidTr="006D5044">
        <w:tc>
          <w:tcPr>
            <w:cnfStyle w:val="001000000000" w:firstRow="0" w:lastRow="0" w:firstColumn="1" w:lastColumn="0" w:oddVBand="0" w:evenVBand="0" w:oddHBand="0" w:evenHBand="0" w:firstRowFirstColumn="0" w:firstRowLastColumn="0" w:lastRowFirstColumn="0" w:lastRowLastColumn="0"/>
            <w:tcW w:w="0" w:type="auto"/>
            <w:hideMark/>
          </w:tcPr>
          <w:p w14:paraId="05B70315" w14:textId="77777777" w:rsidR="00CC4A6F" w:rsidRPr="00483078" w:rsidRDefault="00CC4A6F" w:rsidP="00483078">
            <w:pPr>
              <w:pStyle w:val="ListParagraph"/>
              <w:numPr>
                <w:ilvl w:val="0"/>
                <w:numId w:val="5"/>
              </w:numPr>
              <w:spacing w:line="360" w:lineRule="auto"/>
              <w:jc w:val="both"/>
              <w:rPr>
                <w:rFonts w:ascii="Arial" w:eastAsia="Times New Roman" w:hAnsi="Arial" w:cs="Arial"/>
                <w:lang w:eastAsia="en-GB"/>
              </w:rPr>
            </w:pPr>
            <w:r w:rsidRPr="00483078">
              <w:rPr>
                <w:rFonts w:ascii="Arial" w:eastAsia="Times New Roman" w:hAnsi="Arial" w:cs="Arial"/>
                <w:lang w:eastAsia="en-GB"/>
              </w:rPr>
              <w:t>Monitor</w:t>
            </w:r>
          </w:p>
        </w:tc>
        <w:tc>
          <w:tcPr>
            <w:tcW w:w="0" w:type="auto"/>
            <w:hideMark/>
          </w:tcPr>
          <w:p w14:paraId="58FDDECC" w14:textId="77777777" w:rsidR="00CC4A6F" w:rsidRPr="00483078" w:rsidRDefault="00CC4A6F" w:rsidP="00483078">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483078">
              <w:rPr>
                <w:rFonts w:ascii="Arial" w:eastAsia="Times New Roman" w:hAnsi="Arial" w:cs="Arial"/>
                <w:lang w:eastAsia="en-GB"/>
              </w:rPr>
              <w:t>General public</w:t>
            </w:r>
          </w:p>
        </w:tc>
      </w:tr>
    </w:tbl>
    <w:p w14:paraId="59157454" w14:textId="77777777" w:rsidR="00CC4A6F" w:rsidRPr="00CC4A6F" w:rsidRDefault="00CC4A6F" w:rsidP="00E67913">
      <w:pPr>
        <w:spacing w:before="100" w:beforeAutospacing="1" w:after="100" w:afterAutospacing="1" w:line="360" w:lineRule="auto"/>
        <w:jc w:val="both"/>
        <w:rPr>
          <w:rFonts w:ascii="Arial" w:eastAsia="Times New Roman" w:hAnsi="Arial" w:cs="Arial"/>
          <w:sz w:val="22"/>
          <w:szCs w:val="22"/>
          <w:lang w:val="en-GB" w:eastAsia="en-GB"/>
        </w:rPr>
      </w:pPr>
      <w:r w:rsidRPr="00CC4A6F">
        <w:rPr>
          <w:rFonts w:ascii="Arial" w:eastAsia="Times New Roman" w:hAnsi="Arial" w:cs="Arial"/>
          <w:sz w:val="22"/>
          <w:szCs w:val="22"/>
          <w:lang w:val="en-GB" w:eastAsia="en-GB"/>
        </w:rPr>
        <w:t>(Mendelow, 1991)</w:t>
      </w:r>
    </w:p>
    <w:p w14:paraId="0D5BC282" w14:textId="77777777" w:rsidR="008C05EE" w:rsidRDefault="008C05EE" w:rsidP="001F1645"/>
    <w:p w14:paraId="34F1FE93" w14:textId="77777777" w:rsidR="008C05EE" w:rsidRDefault="008C05EE" w:rsidP="001F1645"/>
    <w:p w14:paraId="5E164511" w14:textId="77777777" w:rsidR="008C05EE" w:rsidRDefault="008C05EE" w:rsidP="001F1645"/>
    <w:p w14:paraId="08D410FA" w14:textId="77777777" w:rsidR="008C05EE" w:rsidRDefault="008C05EE" w:rsidP="001F1645"/>
    <w:p w14:paraId="5BEF7204" w14:textId="77777777" w:rsidR="008C05EE" w:rsidRDefault="008C05EE" w:rsidP="001F1645"/>
    <w:p w14:paraId="71AA7E41" w14:textId="77777777" w:rsidR="008C05EE" w:rsidRDefault="008C05EE" w:rsidP="001F1645"/>
    <w:p w14:paraId="6E12CC20" w14:textId="77777777" w:rsidR="008C05EE" w:rsidRDefault="008C05EE" w:rsidP="001F1645"/>
    <w:p w14:paraId="496639B7" w14:textId="77777777" w:rsidR="00534185" w:rsidRDefault="00534185" w:rsidP="001F1645"/>
    <w:p w14:paraId="15DD6ECA" w14:textId="77777777" w:rsidR="00534185" w:rsidRDefault="00534185" w:rsidP="001F1645"/>
    <w:p w14:paraId="11AB3F99" w14:textId="77777777" w:rsidR="00534185" w:rsidRDefault="00534185" w:rsidP="001F1645"/>
    <w:p w14:paraId="0ED285A4" w14:textId="77777777" w:rsidR="00534185" w:rsidRDefault="00534185" w:rsidP="001F1645"/>
    <w:p w14:paraId="4D0C06D3" w14:textId="77777777" w:rsidR="00534185" w:rsidRDefault="00534185" w:rsidP="001F1645"/>
    <w:p w14:paraId="49AF6606" w14:textId="77777777" w:rsidR="00C16B99" w:rsidRDefault="00C16B99" w:rsidP="00534185">
      <w:pPr>
        <w:jc w:val="center"/>
        <w:rPr>
          <w:rFonts w:ascii="Arial" w:hAnsi="Arial" w:cs="Arial"/>
          <w:b/>
          <w:bCs/>
          <w:sz w:val="32"/>
          <w:szCs w:val="32"/>
        </w:rPr>
      </w:pPr>
    </w:p>
    <w:p w14:paraId="573300F9" w14:textId="77777777" w:rsidR="00900F99" w:rsidRDefault="00900F99" w:rsidP="00534185">
      <w:pPr>
        <w:jc w:val="center"/>
        <w:rPr>
          <w:rFonts w:ascii="Arial" w:hAnsi="Arial" w:cs="Arial"/>
          <w:b/>
          <w:bCs/>
          <w:sz w:val="32"/>
          <w:szCs w:val="32"/>
        </w:rPr>
      </w:pPr>
    </w:p>
    <w:p w14:paraId="31531640" w14:textId="6F3ECC5D" w:rsidR="003C5655" w:rsidRPr="00534185" w:rsidRDefault="00F81D32" w:rsidP="00900F99">
      <w:pPr>
        <w:pStyle w:val="Heading3"/>
      </w:pPr>
      <w:bookmarkStart w:id="13" w:name="_Toc224080858"/>
      <w:r w:rsidRPr="00534185">
        <w:lastRenderedPageBreak/>
        <w:t>Implementation and monitoring</w:t>
      </w:r>
      <w:bookmarkEnd w:id="13"/>
    </w:p>
    <w:p w14:paraId="6C4FECA0" w14:textId="77777777" w:rsidR="00534185" w:rsidRDefault="00534185" w:rsidP="00224269">
      <w:pPr>
        <w:jc w:val="both"/>
        <w:rPr>
          <w:b/>
          <w:bCs/>
        </w:rPr>
      </w:pPr>
    </w:p>
    <w:p w14:paraId="4C4F5E22" w14:textId="77777777" w:rsidR="00034BE6" w:rsidRDefault="00034BE6" w:rsidP="00D94ED7">
      <w:pPr>
        <w:spacing w:line="360" w:lineRule="auto"/>
        <w:jc w:val="both"/>
        <w:rPr>
          <w:rFonts w:ascii="Arial" w:hAnsi="Arial" w:cs="Arial"/>
          <w:color w:val="000000"/>
          <w:sz w:val="22"/>
          <w:szCs w:val="22"/>
        </w:rPr>
      </w:pPr>
      <w:r w:rsidRPr="00D94ED7">
        <w:rPr>
          <w:rFonts w:ascii="Arial" w:hAnsi="Arial" w:cs="Arial"/>
          <w:color w:val="000000"/>
          <w:sz w:val="22"/>
          <w:szCs w:val="22"/>
        </w:rPr>
        <w:t>To drive the successful execution of Innocent Drinks’ growth strategy, it is essential to implement a comprehensive plan that clearly defines objectives, necessary actions, and quantifiable Key Performance Indicators (KPIs). This structured approach enables systematic progress monitoring and facilitates evidence-based adjustments to enhance outcomes.</w:t>
      </w:r>
    </w:p>
    <w:p w14:paraId="6F5F7AF3" w14:textId="77777777" w:rsidR="00092041" w:rsidRPr="00F761A9" w:rsidRDefault="00092041" w:rsidP="00D94ED7">
      <w:pPr>
        <w:spacing w:line="360" w:lineRule="auto"/>
        <w:jc w:val="both"/>
        <w:rPr>
          <w:rFonts w:ascii="Arial" w:hAnsi="Arial" w:cs="Arial"/>
          <w:color w:val="000000"/>
        </w:rPr>
      </w:pPr>
    </w:p>
    <w:p w14:paraId="53E35CFB" w14:textId="77777777" w:rsidR="00034BE6" w:rsidRPr="00F761A9" w:rsidRDefault="00034BE6" w:rsidP="00092041">
      <w:pPr>
        <w:pStyle w:val="ListParagraph"/>
        <w:numPr>
          <w:ilvl w:val="0"/>
          <w:numId w:val="6"/>
        </w:numPr>
        <w:spacing w:line="360" w:lineRule="auto"/>
        <w:jc w:val="both"/>
        <w:rPr>
          <w:rFonts w:ascii="Arial" w:hAnsi="Arial" w:cs="Arial"/>
          <w:b/>
          <w:color w:val="000000"/>
          <w:sz w:val="24"/>
          <w:szCs w:val="24"/>
        </w:rPr>
      </w:pPr>
      <w:r w:rsidRPr="00F761A9">
        <w:rPr>
          <w:rFonts w:ascii="Arial" w:hAnsi="Arial" w:cs="Arial"/>
          <w:b/>
          <w:color w:val="000000"/>
          <w:sz w:val="24"/>
          <w:szCs w:val="24"/>
        </w:rPr>
        <w:t>Objective 1: Foster Innovation in Plant-Based Functional Beverages</w:t>
      </w:r>
    </w:p>
    <w:p w14:paraId="76E6018A" w14:textId="77777777" w:rsidR="00034BE6" w:rsidRPr="00D94ED7" w:rsidRDefault="00034BE6" w:rsidP="00D94ED7">
      <w:pPr>
        <w:spacing w:line="360" w:lineRule="auto"/>
        <w:jc w:val="both"/>
        <w:rPr>
          <w:rFonts w:ascii="Arial" w:hAnsi="Arial" w:cs="Arial"/>
          <w:color w:val="000000"/>
          <w:sz w:val="22"/>
          <w:szCs w:val="22"/>
        </w:rPr>
      </w:pPr>
      <w:r w:rsidRPr="00D94ED7">
        <w:rPr>
          <w:rFonts w:ascii="Arial" w:hAnsi="Arial" w:cs="Arial"/>
          <w:color w:val="000000"/>
          <w:sz w:val="22"/>
          <w:szCs w:val="22"/>
        </w:rPr>
        <w:t>Product innovation should be supported through targeted investment in research and development focused on plant-based beverage concepts. Collaborating strategically with nutrition professionals will substantiate product health benefits, while consumer testing will identify preferred flavors and formats, ensuring alignment with market trends.</w:t>
      </w:r>
    </w:p>
    <w:p w14:paraId="7B172D31" w14:textId="77777777" w:rsidR="00034BE6" w:rsidRPr="00D94ED7" w:rsidRDefault="00034BE6" w:rsidP="00D94ED7">
      <w:pPr>
        <w:spacing w:line="360" w:lineRule="auto"/>
        <w:jc w:val="both"/>
        <w:rPr>
          <w:rFonts w:ascii="Arial" w:hAnsi="Arial" w:cs="Arial"/>
          <w:color w:val="000000"/>
          <w:sz w:val="22"/>
          <w:szCs w:val="22"/>
        </w:rPr>
      </w:pPr>
      <w:r w:rsidRPr="00D94ED7">
        <w:rPr>
          <w:rFonts w:ascii="Arial" w:hAnsi="Arial" w:cs="Arial"/>
          <w:b/>
          <w:color w:val="000000"/>
          <w:sz w:val="22"/>
          <w:szCs w:val="22"/>
        </w:rPr>
        <w:t>Actions:</w:t>
      </w:r>
      <w:r w:rsidRPr="00D94ED7">
        <w:rPr>
          <w:rFonts w:ascii="Arial" w:hAnsi="Arial" w:cs="Arial"/>
          <w:color w:val="000000"/>
          <w:sz w:val="22"/>
          <w:szCs w:val="22"/>
        </w:rPr>
        <w:t xml:space="preserve"> Invest resources in R&amp;D for new products; partner with nutrition experts for validation; undertake consumer trials to gather feedback and refine offerings.</w:t>
      </w:r>
    </w:p>
    <w:p w14:paraId="4BD4A4DE" w14:textId="77777777" w:rsidR="00034BE6" w:rsidRDefault="00034BE6" w:rsidP="00D94ED7">
      <w:pPr>
        <w:spacing w:line="360" w:lineRule="auto"/>
        <w:jc w:val="both"/>
        <w:rPr>
          <w:rFonts w:ascii="Arial" w:hAnsi="Arial" w:cs="Arial"/>
          <w:color w:val="000000"/>
          <w:sz w:val="22"/>
          <w:szCs w:val="22"/>
        </w:rPr>
      </w:pPr>
      <w:r w:rsidRPr="00D94ED7">
        <w:rPr>
          <w:rFonts w:ascii="Arial" w:hAnsi="Arial" w:cs="Arial"/>
          <w:b/>
          <w:color w:val="000000"/>
          <w:sz w:val="22"/>
          <w:szCs w:val="22"/>
        </w:rPr>
        <w:t>KPIs:</w:t>
      </w:r>
      <w:r w:rsidRPr="00D94ED7">
        <w:rPr>
          <w:rFonts w:ascii="Arial" w:hAnsi="Arial" w:cs="Arial"/>
          <w:color w:val="000000"/>
          <w:sz w:val="22"/>
          <w:szCs w:val="22"/>
        </w:rPr>
        <w:t xml:space="preserve"> Annual count of new product launches; revenue share from innovative introductions; customer satisfaction indices.</w:t>
      </w:r>
    </w:p>
    <w:p w14:paraId="119E7D2D" w14:textId="77777777" w:rsidR="00092041" w:rsidRPr="00D94ED7" w:rsidRDefault="00092041" w:rsidP="00D94ED7">
      <w:pPr>
        <w:spacing w:line="360" w:lineRule="auto"/>
        <w:jc w:val="both"/>
        <w:rPr>
          <w:rFonts w:ascii="Arial" w:hAnsi="Arial" w:cs="Arial"/>
          <w:color w:val="000000"/>
          <w:sz w:val="22"/>
          <w:szCs w:val="22"/>
        </w:rPr>
      </w:pPr>
    </w:p>
    <w:p w14:paraId="7B92B938" w14:textId="77777777" w:rsidR="00034BE6" w:rsidRPr="00F761A9" w:rsidRDefault="00034BE6" w:rsidP="00092041">
      <w:pPr>
        <w:pStyle w:val="ListParagraph"/>
        <w:numPr>
          <w:ilvl w:val="0"/>
          <w:numId w:val="6"/>
        </w:numPr>
        <w:spacing w:line="360" w:lineRule="auto"/>
        <w:jc w:val="both"/>
        <w:rPr>
          <w:rFonts w:ascii="Arial" w:hAnsi="Arial" w:cs="Arial"/>
          <w:b/>
          <w:color w:val="000000"/>
          <w:sz w:val="24"/>
          <w:szCs w:val="24"/>
        </w:rPr>
      </w:pPr>
      <w:r w:rsidRPr="00F761A9">
        <w:rPr>
          <w:rFonts w:ascii="Arial" w:hAnsi="Arial" w:cs="Arial"/>
          <w:b/>
          <w:color w:val="000000"/>
          <w:sz w:val="24"/>
          <w:szCs w:val="24"/>
        </w:rPr>
        <w:t>Objective 2: Broaden International Market Presence</w:t>
      </w:r>
    </w:p>
    <w:p w14:paraId="2AF691E2" w14:textId="3FDE9EA7" w:rsidR="00034BE6" w:rsidRPr="00D94ED7" w:rsidRDefault="00034BE6" w:rsidP="00D94ED7">
      <w:pPr>
        <w:spacing w:line="360" w:lineRule="auto"/>
        <w:jc w:val="both"/>
        <w:rPr>
          <w:rFonts w:ascii="Arial" w:hAnsi="Arial" w:cs="Arial"/>
          <w:color w:val="000000"/>
          <w:sz w:val="22"/>
          <w:szCs w:val="22"/>
        </w:rPr>
      </w:pPr>
      <w:r w:rsidRPr="00D94ED7">
        <w:rPr>
          <w:rFonts w:ascii="Arial" w:hAnsi="Arial" w:cs="Arial"/>
          <w:color w:val="000000"/>
          <w:sz w:val="22"/>
          <w:szCs w:val="22"/>
        </w:rPr>
        <w:t xml:space="preserve">Expansion into new markets demands thorough research to determine regions with significant potential. Marketing and branding initiatives must be customized to local preferences, and The Coca-Cola Company’s global distribution capabilities </w:t>
      </w:r>
      <w:r w:rsidR="00092041" w:rsidRPr="00D94ED7">
        <w:rPr>
          <w:rFonts w:ascii="Arial" w:hAnsi="Arial" w:cs="Arial"/>
          <w:color w:val="000000"/>
          <w:sz w:val="22"/>
          <w:szCs w:val="22"/>
        </w:rPr>
        <w:t>are leveraged</w:t>
      </w:r>
      <w:r w:rsidRPr="00D94ED7">
        <w:rPr>
          <w:rFonts w:ascii="Arial" w:hAnsi="Arial" w:cs="Arial"/>
          <w:color w:val="000000"/>
          <w:sz w:val="22"/>
          <w:szCs w:val="22"/>
        </w:rPr>
        <w:t xml:space="preserve"> for efficient market entry.</w:t>
      </w:r>
    </w:p>
    <w:p w14:paraId="315475BF" w14:textId="77777777" w:rsidR="00034BE6" w:rsidRPr="00D94ED7" w:rsidRDefault="00034BE6" w:rsidP="00D94ED7">
      <w:pPr>
        <w:spacing w:line="360" w:lineRule="auto"/>
        <w:jc w:val="both"/>
        <w:rPr>
          <w:rFonts w:ascii="Arial" w:hAnsi="Arial" w:cs="Arial"/>
          <w:color w:val="000000"/>
          <w:sz w:val="22"/>
          <w:szCs w:val="22"/>
        </w:rPr>
      </w:pPr>
      <w:r w:rsidRPr="00D94ED7">
        <w:rPr>
          <w:rFonts w:ascii="Arial" w:hAnsi="Arial" w:cs="Arial"/>
          <w:b/>
          <w:color w:val="000000"/>
          <w:sz w:val="22"/>
          <w:szCs w:val="22"/>
        </w:rPr>
        <w:t>Actions:</w:t>
      </w:r>
      <w:r w:rsidRPr="00D94ED7">
        <w:rPr>
          <w:rFonts w:ascii="Arial" w:hAnsi="Arial" w:cs="Arial"/>
          <w:color w:val="000000"/>
          <w:sz w:val="22"/>
          <w:szCs w:val="22"/>
        </w:rPr>
        <w:t xml:space="preserve"> Conduct detailed market studies; tailor marketing strategies to regional needs; utilize established global distribution channels.</w:t>
      </w:r>
    </w:p>
    <w:p w14:paraId="0022C304" w14:textId="77777777" w:rsidR="00034BE6" w:rsidRDefault="00034BE6" w:rsidP="00D94ED7">
      <w:pPr>
        <w:spacing w:line="360" w:lineRule="auto"/>
        <w:jc w:val="both"/>
        <w:rPr>
          <w:rFonts w:ascii="Arial" w:hAnsi="Arial" w:cs="Arial"/>
          <w:color w:val="000000"/>
          <w:sz w:val="22"/>
          <w:szCs w:val="22"/>
        </w:rPr>
      </w:pPr>
      <w:r w:rsidRPr="00D94ED7">
        <w:rPr>
          <w:rFonts w:ascii="Arial" w:hAnsi="Arial" w:cs="Arial"/>
          <w:b/>
          <w:color w:val="000000"/>
          <w:sz w:val="22"/>
          <w:szCs w:val="22"/>
        </w:rPr>
        <w:t>KPIs:</w:t>
      </w:r>
      <w:r w:rsidRPr="00D94ED7">
        <w:rPr>
          <w:rFonts w:ascii="Arial" w:hAnsi="Arial" w:cs="Arial"/>
          <w:color w:val="000000"/>
          <w:sz w:val="22"/>
          <w:szCs w:val="22"/>
        </w:rPr>
        <w:t xml:space="preserve"> Growth in market share across focus regions; year-over-year international sales increase; brand awareness metrics in new territories.</w:t>
      </w:r>
    </w:p>
    <w:p w14:paraId="76F7D8E6" w14:textId="77777777" w:rsidR="00092041" w:rsidRPr="00F761A9" w:rsidRDefault="00092041" w:rsidP="00D94ED7">
      <w:pPr>
        <w:spacing w:line="360" w:lineRule="auto"/>
        <w:jc w:val="both"/>
        <w:rPr>
          <w:rFonts w:ascii="Arial" w:hAnsi="Arial" w:cs="Arial"/>
          <w:color w:val="000000"/>
        </w:rPr>
      </w:pPr>
    </w:p>
    <w:p w14:paraId="7E53D522" w14:textId="77777777" w:rsidR="00034BE6" w:rsidRPr="00F761A9" w:rsidRDefault="00034BE6" w:rsidP="00092041">
      <w:pPr>
        <w:pStyle w:val="ListParagraph"/>
        <w:numPr>
          <w:ilvl w:val="0"/>
          <w:numId w:val="6"/>
        </w:numPr>
        <w:spacing w:line="360" w:lineRule="auto"/>
        <w:jc w:val="both"/>
        <w:rPr>
          <w:rFonts w:ascii="Arial" w:hAnsi="Arial" w:cs="Arial"/>
          <w:b/>
          <w:color w:val="000000"/>
          <w:sz w:val="24"/>
          <w:szCs w:val="24"/>
        </w:rPr>
      </w:pPr>
      <w:r w:rsidRPr="00F761A9">
        <w:rPr>
          <w:rFonts w:ascii="Arial" w:hAnsi="Arial" w:cs="Arial"/>
          <w:b/>
          <w:color w:val="000000"/>
          <w:sz w:val="24"/>
          <w:szCs w:val="24"/>
        </w:rPr>
        <w:t>Objective 3: Enhance Sustainability Performance</w:t>
      </w:r>
    </w:p>
    <w:p w14:paraId="2DE93357" w14:textId="77777777" w:rsidR="00034BE6" w:rsidRPr="00D94ED7" w:rsidRDefault="00034BE6" w:rsidP="00D94ED7">
      <w:pPr>
        <w:spacing w:line="360" w:lineRule="auto"/>
        <w:jc w:val="both"/>
        <w:rPr>
          <w:rFonts w:ascii="Arial" w:hAnsi="Arial" w:cs="Arial"/>
          <w:color w:val="000000"/>
          <w:sz w:val="22"/>
          <w:szCs w:val="22"/>
        </w:rPr>
      </w:pPr>
      <w:r w:rsidRPr="00D94ED7">
        <w:rPr>
          <w:rFonts w:ascii="Arial" w:hAnsi="Arial" w:cs="Arial"/>
          <w:color w:val="000000"/>
          <w:sz w:val="22"/>
          <w:szCs w:val="22"/>
        </w:rPr>
        <w:t>Sustainability efforts should prioritize the adoption of recyclable and eco-friendly packaging, reduction of supply chain carbon emissions, and advocacy of responsible sourcing practices among suppliers.</w:t>
      </w:r>
    </w:p>
    <w:p w14:paraId="1608D067" w14:textId="77777777" w:rsidR="00034BE6" w:rsidRPr="00D94ED7" w:rsidRDefault="00034BE6" w:rsidP="00D94ED7">
      <w:pPr>
        <w:spacing w:line="360" w:lineRule="auto"/>
        <w:jc w:val="both"/>
        <w:rPr>
          <w:rFonts w:ascii="Arial" w:hAnsi="Arial" w:cs="Arial"/>
          <w:color w:val="000000"/>
          <w:sz w:val="22"/>
          <w:szCs w:val="22"/>
        </w:rPr>
      </w:pPr>
      <w:r w:rsidRPr="00D94ED7">
        <w:rPr>
          <w:rFonts w:ascii="Arial" w:hAnsi="Arial" w:cs="Arial"/>
          <w:b/>
          <w:color w:val="000000"/>
          <w:sz w:val="22"/>
          <w:szCs w:val="22"/>
        </w:rPr>
        <w:t>Actions:</w:t>
      </w:r>
      <w:r w:rsidRPr="00D94ED7">
        <w:rPr>
          <w:rFonts w:ascii="Arial" w:hAnsi="Arial" w:cs="Arial"/>
          <w:color w:val="000000"/>
          <w:sz w:val="22"/>
          <w:szCs w:val="22"/>
        </w:rPr>
        <w:t xml:space="preserve"> Transition to sustainable packaging alternatives; implement programs to lower emissions; advance supplier sustainability standards.</w:t>
      </w:r>
    </w:p>
    <w:p w14:paraId="4A649AFA" w14:textId="77777777" w:rsidR="00034BE6" w:rsidRPr="00D94ED7" w:rsidRDefault="00034BE6" w:rsidP="00D94ED7">
      <w:pPr>
        <w:spacing w:line="360" w:lineRule="auto"/>
        <w:jc w:val="both"/>
        <w:rPr>
          <w:rFonts w:ascii="Arial" w:hAnsi="Arial" w:cs="Arial"/>
          <w:color w:val="000000"/>
          <w:sz w:val="22"/>
          <w:szCs w:val="22"/>
        </w:rPr>
      </w:pPr>
      <w:r w:rsidRPr="00D94ED7">
        <w:rPr>
          <w:rFonts w:ascii="Arial" w:hAnsi="Arial" w:cs="Arial"/>
          <w:b/>
          <w:color w:val="000000"/>
          <w:sz w:val="22"/>
          <w:szCs w:val="22"/>
        </w:rPr>
        <w:t>KPIs:</w:t>
      </w:r>
      <w:r w:rsidRPr="00D94ED7">
        <w:rPr>
          <w:rFonts w:ascii="Arial" w:hAnsi="Arial" w:cs="Arial"/>
          <w:color w:val="000000"/>
          <w:sz w:val="22"/>
          <w:szCs w:val="22"/>
        </w:rPr>
        <w:t xml:space="preserve"> Reduction in carbon emissions per unit; proportion of packaging that is recyclable or biodegradable; supplier adherence rate to sustainability requirements.</w:t>
      </w:r>
    </w:p>
    <w:p w14:paraId="32077CCF" w14:textId="65D788BB" w:rsidR="00DD5BB0" w:rsidRPr="009136B3" w:rsidRDefault="00034BE6" w:rsidP="009136B3">
      <w:pPr>
        <w:spacing w:line="360" w:lineRule="auto"/>
        <w:jc w:val="both"/>
        <w:rPr>
          <w:rFonts w:ascii="Arial" w:hAnsi="Arial" w:cs="Arial"/>
          <w:color w:val="000000"/>
          <w:sz w:val="22"/>
          <w:szCs w:val="22"/>
        </w:rPr>
      </w:pPr>
      <w:r w:rsidRPr="00D94ED7">
        <w:rPr>
          <w:rFonts w:ascii="Arial" w:hAnsi="Arial" w:cs="Arial"/>
          <w:color w:val="000000"/>
          <w:sz w:val="22"/>
          <w:szCs w:val="22"/>
        </w:rPr>
        <w:t>Continuous performance assessment against defined KPIs is critical to evaluating strategic effectiveness. Regular reporting and review processes empower Innocent Drinks’ leadership to enact timely, informed decisions, thus reinforcing both financial objectives and sustainability commitments.</w:t>
      </w:r>
    </w:p>
    <w:p w14:paraId="2D7B6687" w14:textId="77777777" w:rsidR="00C16B99" w:rsidRDefault="00C16B99" w:rsidP="00B36A5B">
      <w:pPr>
        <w:jc w:val="both"/>
        <w:rPr>
          <w:b/>
          <w:bCs/>
        </w:rPr>
      </w:pPr>
    </w:p>
    <w:p w14:paraId="7DF2218B" w14:textId="3E8C7543" w:rsidR="005E7CC7" w:rsidRDefault="00DD5BB0" w:rsidP="00900F99">
      <w:pPr>
        <w:pStyle w:val="Heading5"/>
      </w:pPr>
      <w:r>
        <w:t>Figure 10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1"/>
        <w:gridCol w:w="4693"/>
        <w:gridCol w:w="3136"/>
      </w:tblGrid>
      <w:tr w:rsidR="00644815" w:rsidRPr="00644815" w14:paraId="53E33082" w14:textId="77777777">
        <w:trPr>
          <w:tblHeader/>
          <w:tblCellSpacing w:w="15" w:type="dxa"/>
        </w:trPr>
        <w:tc>
          <w:tcPr>
            <w:tcW w:w="0" w:type="auto"/>
            <w:vAlign w:val="center"/>
            <w:hideMark/>
          </w:tcPr>
          <w:p w14:paraId="1A6F7126" w14:textId="77777777" w:rsidR="00644815" w:rsidRPr="00644815" w:rsidRDefault="00644815" w:rsidP="00644815">
            <w:pPr>
              <w:jc w:val="center"/>
              <w:rPr>
                <w:rFonts w:ascii="Times New Roman" w:eastAsia="Times New Roman" w:hAnsi="Times New Roman" w:cs="Times New Roman"/>
                <w:b/>
                <w:bCs/>
                <w:lang w:val="en-GB" w:eastAsia="en-GB"/>
              </w:rPr>
            </w:pPr>
            <w:r w:rsidRPr="00644815">
              <w:rPr>
                <w:rFonts w:ascii="Times New Roman" w:eastAsia="Times New Roman" w:hAnsi="Times New Roman" w:cs="Times New Roman"/>
                <w:b/>
                <w:bCs/>
                <w:lang w:val="en-GB" w:eastAsia="en-GB"/>
              </w:rPr>
              <w:t>Objective</w:t>
            </w:r>
          </w:p>
        </w:tc>
        <w:tc>
          <w:tcPr>
            <w:tcW w:w="0" w:type="auto"/>
            <w:vAlign w:val="center"/>
            <w:hideMark/>
          </w:tcPr>
          <w:p w14:paraId="405484B7" w14:textId="77777777" w:rsidR="00644815" w:rsidRPr="00644815" w:rsidRDefault="00644815" w:rsidP="00644815">
            <w:pPr>
              <w:jc w:val="center"/>
              <w:rPr>
                <w:rFonts w:ascii="Times New Roman" w:eastAsia="Times New Roman" w:hAnsi="Times New Roman" w:cs="Times New Roman"/>
                <w:b/>
                <w:bCs/>
                <w:lang w:val="en-GB" w:eastAsia="en-GB"/>
              </w:rPr>
            </w:pPr>
            <w:r w:rsidRPr="00644815">
              <w:rPr>
                <w:rFonts w:ascii="Times New Roman" w:eastAsia="Times New Roman" w:hAnsi="Times New Roman" w:cs="Times New Roman"/>
                <w:b/>
                <w:bCs/>
                <w:lang w:val="en-GB" w:eastAsia="en-GB"/>
              </w:rPr>
              <w:t>Key Actions</w:t>
            </w:r>
          </w:p>
        </w:tc>
        <w:tc>
          <w:tcPr>
            <w:tcW w:w="0" w:type="auto"/>
            <w:vAlign w:val="center"/>
            <w:hideMark/>
          </w:tcPr>
          <w:p w14:paraId="05742605" w14:textId="77777777" w:rsidR="00644815" w:rsidRPr="00644815" w:rsidRDefault="00644815" w:rsidP="00644815">
            <w:pPr>
              <w:jc w:val="center"/>
              <w:rPr>
                <w:rFonts w:ascii="Times New Roman" w:eastAsia="Times New Roman" w:hAnsi="Times New Roman" w:cs="Times New Roman"/>
                <w:b/>
                <w:bCs/>
                <w:lang w:val="en-GB" w:eastAsia="en-GB"/>
              </w:rPr>
            </w:pPr>
            <w:r w:rsidRPr="00644815">
              <w:rPr>
                <w:rFonts w:ascii="Times New Roman" w:eastAsia="Times New Roman" w:hAnsi="Times New Roman" w:cs="Times New Roman"/>
                <w:b/>
                <w:bCs/>
                <w:lang w:val="en-GB" w:eastAsia="en-GB"/>
              </w:rPr>
              <w:t>KPI</w:t>
            </w:r>
          </w:p>
        </w:tc>
      </w:tr>
      <w:tr w:rsidR="00644815" w:rsidRPr="00644815" w14:paraId="16455747" w14:textId="77777777">
        <w:trPr>
          <w:tblCellSpacing w:w="15" w:type="dxa"/>
        </w:trPr>
        <w:tc>
          <w:tcPr>
            <w:tcW w:w="0" w:type="auto"/>
            <w:vAlign w:val="center"/>
            <w:hideMark/>
          </w:tcPr>
          <w:p w14:paraId="4DC8C8E3"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Develop plant-based beverages</w:t>
            </w:r>
          </w:p>
        </w:tc>
        <w:tc>
          <w:tcPr>
            <w:tcW w:w="0" w:type="auto"/>
            <w:vAlign w:val="center"/>
            <w:hideMark/>
          </w:tcPr>
          <w:p w14:paraId="2ACF8841"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Invest in R&amp;D and product innovation</w:t>
            </w:r>
          </w:p>
        </w:tc>
        <w:tc>
          <w:tcPr>
            <w:tcW w:w="0" w:type="auto"/>
            <w:vAlign w:val="center"/>
            <w:hideMark/>
          </w:tcPr>
          <w:p w14:paraId="76AAECA4"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Number of new product launches</w:t>
            </w:r>
          </w:p>
        </w:tc>
      </w:tr>
      <w:tr w:rsidR="00644815" w:rsidRPr="00644815" w14:paraId="692A19E5" w14:textId="77777777">
        <w:trPr>
          <w:tblCellSpacing w:w="15" w:type="dxa"/>
        </w:trPr>
        <w:tc>
          <w:tcPr>
            <w:tcW w:w="0" w:type="auto"/>
            <w:vAlign w:val="center"/>
            <w:hideMark/>
          </w:tcPr>
          <w:p w14:paraId="7D31F078"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International expansion</w:t>
            </w:r>
          </w:p>
        </w:tc>
        <w:tc>
          <w:tcPr>
            <w:tcW w:w="0" w:type="auto"/>
            <w:vAlign w:val="center"/>
            <w:hideMark/>
          </w:tcPr>
          <w:p w14:paraId="7FE315D7"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Enter new markets through Coca-Cola distribution</w:t>
            </w:r>
          </w:p>
        </w:tc>
        <w:tc>
          <w:tcPr>
            <w:tcW w:w="0" w:type="auto"/>
            <w:vAlign w:val="center"/>
            <w:hideMark/>
          </w:tcPr>
          <w:p w14:paraId="45C9C8D3"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Market share growth</w:t>
            </w:r>
          </w:p>
        </w:tc>
      </w:tr>
      <w:tr w:rsidR="00644815" w:rsidRPr="00644815" w14:paraId="46417F18" w14:textId="77777777">
        <w:trPr>
          <w:tblCellSpacing w:w="15" w:type="dxa"/>
        </w:trPr>
        <w:tc>
          <w:tcPr>
            <w:tcW w:w="0" w:type="auto"/>
            <w:vAlign w:val="center"/>
            <w:hideMark/>
          </w:tcPr>
          <w:p w14:paraId="0F305ED4"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Improve sustainability</w:t>
            </w:r>
          </w:p>
        </w:tc>
        <w:tc>
          <w:tcPr>
            <w:tcW w:w="0" w:type="auto"/>
            <w:vAlign w:val="center"/>
            <w:hideMark/>
          </w:tcPr>
          <w:p w14:paraId="4DB2AF6D"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Increase recyclable packaging</w:t>
            </w:r>
          </w:p>
        </w:tc>
        <w:tc>
          <w:tcPr>
            <w:tcW w:w="0" w:type="auto"/>
            <w:vAlign w:val="center"/>
            <w:hideMark/>
          </w:tcPr>
          <w:p w14:paraId="5B00BC37" w14:textId="77777777" w:rsidR="00644815" w:rsidRPr="00644815" w:rsidRDefault="00644815" w:rsidP="00644815">
            <w:pPr>
              <w:rPr>
                <w:rFonts w:ascii="Times New Roman" w:eastAsia="Times New Roman" w:hAnsi="Times New Roman" w:cs="Times New Roman"/>
                <w:lang w:val="en-GB" w:eastAsia="en-GB"/>
              </w:rPr>
            </w:pPr>
            <w:r w:rsidRPr="00644815">
              <w:rPr>
                <w:rFonts w:ascii="Times New Roman" w:eastAsia="Times New Roman" w:hAnsi="Times New Roman" w:cs="Times New Roman"/>
                <w:lang w:val="en-GB" w:eastAsia="en-GB"/>
              </w:rPr>
              <w:t>Carbon reduction targets</w:t>
            </w:r>
          </w:p>
        </w:tc>
      </w:tr>
    </w:tbl>
    <w:p w14:paraId="05A27459" w14:textId="77777777" w:rsidR="005E7CC7" w:rsidRDefault="005E7CC7" w:rsidP="00B36A5B">
      <w:pPr>
        <w:jc w:val="both"/>
        <w:rPr>
          <w:b/>
          <w:bCs/>
        </w:rPr>
      </w:pPr>
    </w:p>
    <w:p w14:paraId="3947CE73" w14:textId="77777777" w:rsidR="005E7CC7" w:rsidRDefault="005E7CC7" w:rsidP="00B36A5B">
      <w:pPr>
        <w:jc w:val="both"/>
        <w:rPr>
          <w:b/>
          <w:bCs/>
        </w:rPr>
      </w:pPr>
    </w:p>
    <w:p w14:paraId="198A4AE0" w14:textId="77777777" w:rsidR="005E7CC7" w:rsidRDefault="005E7CC7" w:rsidP="00B36A5B">
      <w:pPr>
        <w:jc w:val="both"/>
        <w:rPr>
          <w:b/>
          <w:bCs/>
        </w:rPr>
      </w:pPr>
    </w:p>
    <w:p w14:paraId="27FAD294" w14:textId="77777777" w:rsidR="00092041" w:rsidRDefault="00092041" w:rsidP="00B36A5B">
      <w:pPr>
        <w:jc w:val="both"/>
        <w:rPr>
          <w:b/>
          <w:bCs/>
        </w:rPr>
      </w:pPr>
    </w:p>
    <w:p w14:paraId="65A77E18" w14:textId="77777777" w:rsidR="00092041" w:rsidRDefault="00092041" w:rsidP="00B36A5B">
      <w:pPr>
        <w:jc w:val="both"/>
        <w:rPr>
          <w:b/>
          <w:bCs/>
        </w:rPr>
      </w:pPr>
    </w:p>
    <w:p w14:paraId="6044016F" w14:textId="77777777" w:rsidR="00092041" w:rsidRDefault="00092041" w:rsidP="00B36A5B">
      <w:pPr>
        <w:jc w:val="both"/>
        <w:rPr>
          <w:b/>
          <w:bCs/>
        </w:rPr>
      </w:pPr>
    </w:p>
    <w:p w14:paraId="5E33535A" w14:textId="77777777" w:rsidR="00092041" w:rsidRDefault="00092041" w:rsidP="00B36A5B">
      <w:pPr>
        <w:jc w:val="both"/>
        <w:rPr>
          <w:b/>
          <w:bCs/>
        </w:rPr>
      </w:pPr>
    </w:p>
    <w:p w14:paraId="2503D731" w14:textId="77777777" w:rsidR="00092041" w:rsidRDefault="00092041" w:rsidP="00B36A5B">
      <w:pPr>
        <w:jc w:val="both"/>
        <w:rPr>
          <w:b/>
          <w:bCs/>
        </w:rPr>
      </w:pPr>
    </w:p>
    <w:p w14:paraId="3D74D8CA" w14:textId="77777777" w:rsidR="00092041" w:rsidRDefault="00092041" w:rsidP="00B36A5B">
      <w:pPr>
        <w:jc w:val="both"/>
        <w:rPr>
          <w:b/>
          <w:bCs/>
        </w:rPr>
      </w:pPr>
    </w:p>
    <w:p w14:paraId="09E8D5E7" w14:textId="77777777" w:rsidR="00092041" w:rsidRDefault="00092041" w:rsidP="00B36A5B">
      <w:pPr>
        <w:jc w:val="both"/>
        <w:rPr>
          <w:b/>
          <w:bCs/>
        </w:rPr>
      </w:pPr>
    </w:p>
    <w:p w14:paraId="1B56C7DD" w14:textId="77777777" w:rsidR="00092041" w:rsidRDefault="00092041" w:rsidP="00B36A5B">
      <w:pPr>
        <w:jc w:val="both"/>
        <w:rPr>
          <w:b/>
          <w:bCs/>
        </w:rPr>
      </w:pPr>
    </w:p>
    <w:p w14:paraId="4A9722DB" w14:textId="77777777" w:rsidR="00092041" w:rsidRDefault="00092041" w:rsidP="00B36A5B">
      <w:pPr>
        <w:jc w:val="both"/>
        <w:rPr>
          <w:b/>
          <w:bCs/>
        </w:rPr>
      </w:pPr>
    </w:p>
    <w:p w14:paraId="42EA81F9" w14:textId="77777777" w:rsidR="00092041" w:rsidRDefault="00092041" w:rsidP="00B36A5B">
      <w:pPr>
        <w:jc w:val="both"/>
        <w:rPr>
          <w:b/>
          <w:bCs/>
        </w:rPr>
      </w:pPr>
    </w:p>
    <w:p w14:paraId="55D623B7" w14:textId="77777777" w:rsidR="00092041" w:rsidRDefault="00092041" w:rsidP="00B36A5B">
      <w:pPr>
        <w:jc w:val="both"/>
        <w:rPr>
          <w:b/>
          <w:bCs/>
        </w:rPr>
      </w:pPr>
    </w:p>
    <w:p w14:paraId="0F83E888" w14:textId="77777777" w:rsidR="00092041" w:rsidRDefault="00092041" w:rsidP="00B36A5B">
      <w:pPr>
        <w:jc w:val="both"/>
        <w:rPr>
          <w:b/>
          <w:bCs/>
        </w:rPr>
      </w:pPr>
    </w:p>
    <w:p w14:paraId="06C7EA01" w14:textId="77777777" w:rsidR="00092041" w:rsidRDefault="00092041" w:rsidP="00B36A5B">
      <w:pPr>
        <w:jc w:val="both"/>
        <w:rPr>
          <w:b/>
          <w:bCs/>
        </w:rPr>
      </w:pPr>
    </w:p>
    <w:p w14:paraId="56A725B5" w14:textId="77777777" w:rsidR="00092041" w:rsidRDefault="00092041" w:rsidP="00B36A5B">
      <w:pPr>
        <w:jc w:val="both"/>
        <w:rPr>
          <w:b/>
          <w:bCs/>
        </w:rPr>
      </w:pPr>
    </w:p>
    <w:p w14:paraId="765F2A85" w14:textId="77777777" w:rsidR="00092041" w:rsidRDefault="00092041" w:rsidP="00B36A5B">
      <w:pPr>
        <w:jc w:val="both"/>
        <w:rPr>
          <w:b/>
          <w:bCs/>
        </w:rPr>
      </w:pPr>
    </w:p>
    <w:p w14:paraId="61113C7A" w14:textId="77777777" w:rsidR="00092041" w:rsidRDefault="00092041" w:rsidP="00B36A5B">
      <w:pPr>
        <w:jc w:val="both"/>
        <w:rPr>
          <w:b/>
          <w:bCs/>
        </w:rPr>
      </w:pPr>
    </w:p>
    <w:p w14:paraId="4B086C9F" w14:textId="77777777" w:rsidR="00092041" w:rsidRDefault="00092041" w:rsidP="00B36A5B">
      <w:pPr>
        <w:jc w:val="both"/>
        <w:rPr>
          <w:b/>
          <w:bCs/>
        </w:rPr>
      </w:pPr>
    </w:p>
    <w:p w14:paraId="211E2C5B" w14:textId="77777777" w:rsidR="00092041" w:rsidRDefault="00092041" w:rsidP="00B36A5B">
      <w:pPr>
        <w:jc w:val="both"/>
        <w:rPr>
          <w:b/>
          <w:bCs/>
        </w:rPr>
      </w:pPr>
    </w:p>
    <w:p w14:paraId="7C886B0D" w14:textId="77777777" w:rsidR="00092041" w:rsidRDefault="00092041" w:rsidP="00B36A5B">
      <w:pPr>
        <w:jc w:val="both"/>
        <w:rPr>
          <w:b/>
          <w:bCs/>
        </w:rPr>
      </w:pPr>
    </w:p>
    <w:p w14:paraId="7B8578C1" w14:textId="77777777" w:rsidR="00092041" w:rsidRDefault="00092041" w:rsidP="00B36A5B">
      <w:pPr>
        <w:jc w:val="both"/>
        <w:rPr>
          <w:b/>
          <w:bCs/>
        </w:rPr>
      </w:pPr>
    </w:p>
    <w:p w14:paraId="3E8B56F0" w14:textId="77777777" w:rsidR="00092041" w:rsidRDefault="00092041" w:rsidP="00B36A5B">
      <w:pPr>
        <w:jc w:val="both"/>
        <w:rPr>
          <w:b/>
          <w:bCs/>
        </w:rPr>
      </w:pPr>
    </w:p>
    <w:p w14:paraId="5BBA937C" w14:textId="77777777" w:rsidR="00092041" w:rsidRDefault="00092041" w:rsidP="00B36A5B">
      <w:pPr>
        <w:jc w:val="both"/>
        <w:rPr>
          <w:b/>
          <w:bCs/>
        </w:rPr>
      </w:pPr>
    </w:p>
    <w:p w14:paraId="13901003" w14:textId="77777777" w:rsidR="00092041" w:rsidRDefault="00092041" w:rsidP="00B36A5B">
      <w:pPr>
        <w:jc w:val="both"/>
        <w:rPr>
          <w:b/>
          <w:bCs/>
        </w:rPr>
      </w:pPr>
    </w:p>
    <w:p w14:paraId="08E1BCB7" w14:textId="77777777" w:rsidR="00092041" w:rsidRDefault="00092041" w:rsidP="00B36A5B">
      <w:pPr>
        <w:jc w:val="both"/>
        <w:rPr>
          <w:b/>
          <w:bCs/>
        </w:rPr>
      </w:pPr>
    </w:p>
    <w:p w14:paraId="53CBD7A3" w14:textId="77777777" w:rsidR="00092041" w:rsidRDefault="00092041" w:rsidP="00B36A5B">
      <w:pPr>
        <w:jc w:val="both"/>
        <w:rPr>
          <w:b/>
          <w:bCs/>
        </w:rPr>
      </w:pPr>
    </w:p>
    <w:p w14:paraId="35C19887" w14:textId="77777777" w:rsidR="00092041" w:rsidRDefault="00092041" w:rsidP="00B36A5B">
      <w:pPr>
        <w:jc w:val="both"/>
        <w:rPr>
          <w:b/>
          <w:bCs/>
        </w:rPr>
      </w:pPr>
    </w:p>
    <w:p w14:paraId="6AD33B38" w14:textId="77777777" w:rsidR="00092041" w:rsidRDefault="00092041" w:rsidP="00B36A5B">
      <w:pPr>
        <w:jc w:val="both"/>
        <w:rPr>
          <w:b/>
          <w:bCs/>
        </w:rPr>
      </w:pPr>
    </w:p>
    <w:p w14:paraId="71C6660A" w14:textId="77777777" w:rsidR="00092041" w:rsidRDefault="00092041" w:rsidP="00B36A5B">
      <w:pPr>
        <w:jc w:val="both"/>
        <w:rPr>
          <w:b/>
          <w:bCs/>
        </w:rPr>
      </w:pPr>
    </w:p>
    <w:p w14:paraId="7EBDF825" w14:textId="77777777" w:rsidR="00092041" w:rsidRDefault="00092041" w:rsidP="00B36A5B">
      <w:pPr>
        <w:jc w:val="both"/>
        <w:rPr>
          <w:b/>
          <w:bCs/>
        </w:rPr>
      </w:pPr>
    </w:p>
    <w:p w14:paraId="7990879E" w14:textId="77777777" w:rsidR="00092041" w:rsidRDefault="00092041" w:rsidP="00B36A5B">
      <w:pPr>
        <w:jc w:val="both"/>
        <w:rPr>
          <w:b/>
          <w:bCs/>
        </w:rPr>
      </w:pPr>
    </w:p>
    <w:p w14:paraId="4818DFF7" w14:textId="77777777" w:rsidR="00092041" w:rsidRDefault="00092041" w:rsidP="00B36A5B">
      <w:pPr>
        <w:jc w:val="both"/>
        <w:rPr>
          <w:b/>
          <w:bCs/>
        </w:rPr>
      </w:pPr>
    </w:p>
    <w:p w14:paraId="3D3DA6F1" w14:textId="77777777" w:rsidR="00092041" w:rsidRDefault="00092041" w:rsidP="00B36A5B">
      <w:pPr>
        <w:jc w:val="both"/>
        <w:rPr>
          <w:b/>
          <w:bCs/>
        </w:rPr>
      </w:pPr>
    </w:p>
    <w:p w14:paraId="34C110C6" w14:textId="77777777" w:rsidR="00092041" w:rsidRDefault="00092041" w:rsidP="00B36A5B">
      <w:pPr>
        <w:jc w:val="both"/>
        <w:rPr>
          <w:b/>
          <w:bCs/>
        </w:rPr>
      </w:pPr>
    </w:p>
    <w:p w14:paraId="2EBD385C" w14:textId="77777777" w:rsidR="00092041" w:rsidRDefault="00092041" w:rsidP="00B36A5B">
      <w:pPr>
        <w:jc w:val="both"/>
        <w:rPr>
          <w:b/>
          <w:bCs/>
        </w:rPr>
      </w:pPr>
    </w:p>
    <w:p w14:paraId="14665072" w14:textId="77777777" w:rsidR="00092041" w:rsidRDefault="00092041" w:rsidP="00B36A5B">
      <w:pPr>
        <w:jc w:val="both"/>
        <w:rPr>
          <w:b/>
          <w:bCs/>
        </w:rPr>
      </w:pPr>
    </w:p>
    <w:p w14:paraId="20F55365" w14:textId="77777777" w:rsidR="00092041" w:rsidRDefault="00092041" w:rsidP="00B36A5B">
      <w:pPr>
        <w:jc w:val="both"/>
        <w:rPr>
          <w:b/>
          <w:bCs/>
        </w:rPr>
      </w:pPr>
    </w:p>
    <w:p w14:paraId="12C3F403" w14:textId="77777777" w:rsidR="004E1A50" w:rsidRDefault="004E1A50" w:rsidP="00C72690">
      <w:pPr>
        <w:jc w:val="center"/>
        <w:rPr>
          <w:b/>
          <w:bCs/>
        </w:rPr>
      </w:pPr>
    </w:p>
    <w:p w14:paraId="4BC528C2" w14:textId="77777777" w:rsidR="00F36086" w:rsidRDefault="00F36086" w:rsidP="00C72690">
      <w:pPr>
        <w:jc w:val="center"/>
        <w:rPr>
          <w:b/>
          <w:bCs/>
        </w:rPr>
      </w:pPr>
    </w:p>
    <w:p w14:paraId="119D4ED8" w14:textId="77777777" w:rsidR="009E214D" w:rsidRDefault="009E214D" w:rsidP="00C72690">
      <w:pPr>
        <w:jc w:val="center"/>
        <w:rPr>
          <w:b/>
          <w:bCs/>
        </w:rPr>
      </w:pPr>
    </w:p>
    <w:p w14:paraId="36374E6A" w14:textId="77777777" w:rsidR="009E214D" w:rsidRDefault="009E214D" w:rsidP="00C72690">
      <w:pPr>
        <w:jc w:val="center"/>
        <w:rPr>
          <w:b/>
          <w:bCs/>
        </w:rPr>
      </w:pPr>
    </w:p>
    <w:p w14:paraId="0109CA9C" w14:textId="77777777" w:rsidR="00596738" w:rsidRDefault="00596738" w:rsidP="00C72690">
      <w:pPr>
        <w:jc w:val="center"/>
        <w:rPr>
          <w:rFonts w:ascii="Arial" w:hAnsi="Arial" w:cs="Arial"/>
          <w:b/>
          <w:bCs/>
          <w:sz w:val="32"/>
          <w:szCs w:val="32"/>
        </w:rPr>
      </w:pPr>
    </w:p>
    <w:p w14:paraId="0DC1FE78" w14:textId="5769630D" w:rsidR="00B36A5B" w:rsidRPr="009E214D" w:rsidRDefault="00B36A5B" w:rsidP="00900F99">
      <w:pPr>
        <w:pStyle w:val="Heading3"/>
      </w:pPr>
      <w:bookmarkStart w:id="14" w:name="_Toc224080859"/>
      <w:r w:rsidRPr="009E214D">
        <w:t>Conclusion</w:t>
      </w:r>
      <w:bookmarkEnd w:id="14"/>
    </w:p>
    <w:p w14:paraId="664BFBD0" w14:textId="77777777" w:rsidR="00B36A5B" w:rsidRPr="00B36A5B" w:rsidRDefault="00B36A5B" w:rsidP="00B36A5B">
      <w:pPr>
        <w:jc w:val="both"/>
        <w:rPr>
          <w:b/>
          <w:bCs/>
        </w:rPr>
      </w:pPr>
    </w:p>
    <w:p w14:paraId="100B4E64" w14:textId="77777777" w:rsidR="00C72690" w:rsidRPr="00596738" w:rsidRDefault="00C72690" w:rsidP="00C72690">
      <w:pPr>
        <w:spacing w:line="360" w:lineRule="auto"/>
        <w:jc w:val="both"/>
        <w:rPr>
          <w:rFonts w:ascii="Arial" w:hAnsi="Arial" w:cs="Arial"/>
          <w:bCs/>
          <w:color w:val="000000"/>
          <w:sz w:val="22"/>
          <w:szCs w:val="22"/>
        </w:rPr>
      </w:pPr>
      <w:r w:rsidRPr="00596738">
        <w:rPr>
          <w:rFonts w:ascii="Arial" w:hAnsi="Arial" w:cs="Arial"/>
          <w:bCs/>
          <w:color w:val="000000"/>
          <w:sz w:val="22"/>
          <w:szCs w:val="22"/>
        </w:rPr>
        <w:t>This report explored strategic growth options for Innocent Drinks in the global health beverage industry. The analysis revealed a rising consumer interest in healthy, natural, and plant-based drinks, highlighting promising prospects for future expansion.</w:t>
      </w:r>
    </w:p>
    <w:p w14:paraId="6E81F9CC" w14:textId="77777777" w:rsidR="00C72690" w:rsidRPr="00596738" w:rsidRDefault="00C72690" w:rsidP="00C72690">
      <w:pPr>
        <w:spacing w:line="360" w:lineRule="auto"/>
        <w:jc w:val="both"/>
        <w:rPr>
          <w:rFonts w:ascii="Arial" w:hAnsi="Arial" w:cs="Arial"/>
          <w:bCs/>
          <w:sz w:val="22"/>
          <w:szCs w:val="22"/>
        </w:rPr>
      </w:pPr>
      <w:r w:rsidRPr="00596738">
        <w:rPr>
          <w:rFonts w:ascii="Arial" w:hAnsi="Arial" w:cs="Arial"/>
          <w:bCs/>
          <w:sz w:val="22"/>
          <w:szCs w:val="22"/>
        </w:rPr>
        <w:t>Using tools like the Ansoff Matrix and SFA Framework, the report proposed pursuing both product and market development strategies. This means broadening the range of plant-based and functional beverages while entering additional international markets.</w:t>
      </w:r>
    </w:p>
    <w:p w14:paraId="0278EE91" w14:textId="77777777" w:rsidR="00C72690" w:rsidRPr="00596738" w:rsidRDefault="00C72690" w:rsidP="00C72690">
      <w:pPr>
        <w:spacing w:line="360" w:lineRule="auto"/>
        <w:jc w:val="both"/>
        <w:rPr>
          <w:rFonts w:ascii="Arial" w:hAnsi="Arial" w:cs="Arial"/>
          <w:bCs/>
          <w:color w:val="000000"/>
          <w:sz w:val="22"/>
          <w:szCs w:val="22"/>
        </w:rPr>
      </w:pPr>
      <w:r w:rsidRPr="00596738">
        <w:rPr>
          <w:rFonts w:ascii="Arial" w:hAnsi="Arial" w:cs="Arial"/>
          <w:bCs/>
          <w:color w:val="000000"/>
          <w:sz w:val="22"/>
          <w:szCs w:val="22"/>
        </w:rPr>
        <w:t>The recommended strategy closely reflects Innocent Drinks’ mission to offer natural and sustainable products that encourage healthy living. Stakeholder reviews and planning confirmed the approach is feasible and advantageous for important groups involved.</w:t>
      </w:r>
    </w:p>
    <w:p w14:paraId="70454489" w14:textId="6D2D6B44" w:rsidR="00B36A5B" w:rsidRPr="00596738" w:rsidRDefault="00C72690" w:rsidP="00C72690">
      <w:pPr>
        <w:spacing w:line="360" w:lineRule="auto"/>
        <w:jc w:val="both"/>
        <w:rPr>
          <w:rFonts w:ascii="Arial" w:hAnsi="Arial" w:cs="Arial"/>
          <w:bCs/>
          <w:sz w:val="22"/>
          <w:szCs w:val="22"/>
        </w:rPr>
      </w:pPr>
      <w:r w:rsidRPr="00596738">
        <w:rPr>
          <w:rFonts w:ascii="Arial" w:hAnsi="Arial" w:cs="Arial"/>
          <w:bCs/>
          <w:sz w:val="22"/>
          <w:szCs w:val="22"/>
        </w:rPr>
        <w:t>By continuing to innovate and upholding its ethical standards and commitment to sustainability, Innocent Drinks is positioned to reinforce its competitive edge and achieve lasting, sustainable growth.</w:t>
      </w:r>
    </w:p>
    <w:p w14:paraId="238F3745" w14:textId="77777777" w:rsidR="004578B3" w:rsidRPr="00596738" w:rsidRDefault="004578B3" w:rsidP="00C72690">
      <w:pPr>
        <w:spacing w:line="360" w:lineRule="auto"/>
        <w:jc w:val="both"/>
        <w:rPr>
          <w:rFonts w:ascii="Arial" w:hAnsi="Arial" w:cs="Arial"/>
          <w:bCs/>
          <w:sz w:val="22"/>
          <w:szCs w:val="22"/>
        </w:rPr>
      </w:pPr>
    </w:p>
    <w:p w14:paraId="12A6E205" w14:textId="77777777" w:rsidR="004578B3" w:rsidRPr="00596738" w:rsidRDefault="004578B3" w:rsidP="00C72690">
      <w:pPr>
        <w:spacing w:line="360" w:lineRule="auto"/>
        <w:jc w:val="both"/>
        <w:rPr>
          <w:rFonts w:ascii="Arial" w:hAnsi="Arial" w:cs="Arial"/>
          <w:bCs/>
          <w:sz w:val="22"/>
          <w:szCs w:val="22"/>
        </w:rPr>
      </w:pPr>
    </w:p>
    <w:p w14:paraId="64FFB2A6" w14:textId="77777777" w:rsidR="004578B3" w:rsidRPr="00596738" w:rsidRDefault="004578B3" w:rsidP="00C72690">
      <w:pPr>
        <w:spacing w:line="360" w:lineRule="auto"/>
        <w:jc w:val="both"/>
        <w:rPr>
          <w:rFonts w:ascii="Arial" w:hAnsi="Arial" w:cs="Arial"/>
          <w:bCs/>
          <w:sz w:val="22"/>
          <w:szCs w:val="22"/>
        </w:rPr>
      </w:pPr>
    </w:p>
    <w:p w14:paraId="77C2953B" w14:textId="77777777" w:rsidR="004578B3" w:rsidRPr="00596738" w:rsidRDefault="004578B3" w:rsidP="00C72690">
      <w:pPr>
        <w:spacing w:line="360" w:lineRule="auto"/>
        <w:jc w:val="both"/>
        <w:rPr>
          <w:rFonts w:ascii="Arial" w:hAnsi="Arial" w:cs="Arial"/>
          <w:bCs/>
          <w:sz w:val="22"/>
          <w:szCs w:val="22"/>
        </w:rPr>
      </w:pPr>
    </w:p>
    <w:p w14:paraId="0C392635" w14:textId="77777777" w:rsidR="004578B3" w:rsidRDefault="004578B3" w:rsidP="00C72690">
      <w:pPr>
        <w:spacing w:line="360" w:lineRule="auto"/>
        <w:jc w:val="both"/>
        <w:rPr>
          <w:rFonts w:ascii="Arial" w:hAnsi="Arial" w:cs="Arial"/>
          <w:bCs/>
        </w:rPr>
      </w:pPr>
    </w:p>
    <w:p w14:paraId="26B0B8D0" w14:textId="77777777" w:rsidR="004578B3" w:rsidRDefault="004578B3" w:rsidP="00C72690">
      <w:pPr>
        <w:spacing w:line="360" w:lineRule="auto"/>
        <w:jc w:val="both"/>
        <w:rPr>
          <w:rFonts w:ascii="Arial" w:hAnsi="Arial" w:cs="Arial"/>
          <w:bCs/>
        </w:rPr>
      </w:pPr>
    </w:p>
    <w:p w14:paraId="219EDF0B" w14:textId="77777777" w:rsidR="004578B3" w:rsidRDefault="004578B3" w:rsidP="00C72690">
      <w:pPr>
        <w:spacing w:line="360" w:lineRule="auto"/>
        <w:jc w:val="both"/>
        <w:rPr>
          <w:rFonts w:ascii="Arial" w:hAnsi="Arial" w:cs="Arial"/>
          <w:bCs/>
        </w:rPr>
      </w:pPr>
    </w:p>
    <w:p w14:paraId="242A45C4" w14:textId="77777777" w:rsidR="004578B3" w:rsidRDefault="004578B3" w:rsidP="00C72690">
      <w:pPr>
        <w:spacing w:line="360" w:lineRule="auto"/>
        <w:jc w:val="both"/>
        <w:rPr>
          <w:rFonts w:ascii="Arial" w:hAnsi="Arial" w:cs="Arial"/>
          <w:bCs/>
        </w:rPr>
      </w:pPr>
    </w:p>
    <w:p w14:paraId="50223A84" w14:textId="77777777" w:rsidR="004578B3" w:rsidRDefault="004578B3" w:rsidP="00C72690">
      <w:pPr>
        <w:spacing w:line="360" w:lineRule="auto"/>
        <w:jc w:val="both"/>
        <w:rPr>
          <w:rFonts w:ascii="Arial" w:hAnsi="Arial" w:cs="Arial"/>
          <w:bCs/>
        </w:rPr>
      </w:pPr>
    </w:p>
    <w:p w14:paraId="452FB250" w14:textId="77777777" w:rsidR="004578B3" w:rsidRDefault="004578B3" w:rsidP="00C72690">
      <w:pPr>
        <w:spacing w:line="360" w:lineRule="auto"/>
        <w:jc w:val="both"/>
        <w:rPr>
          <w:rFonts w:ascii="Arial" w:hAnsi="Arial" w:cs="Arial"/>
          <w:bCs/>
        </w:rPr>
      </w:pPr>
    </w:p>
    <w:p w14:paraId="798B32F3" w14:textId="77777777" w:rsidR="004578B3" w:rsidRDefault="004578B3" w:rsidP="00C72690">
      <w:pPr>
        <w:spacing w:line="360" w:lineRule="auto"/>
        <w:jc w:val="both"/>
        <w:rPr>
          <w:rFonts w:ascii="Arial" w:hAnsi="Arial" w:cs="Arial"/>
          <w:bCs/>
        </w:rPr>
      </w:pPr>
    </w:p>
    <w:p w14:paraId="50C112EA" w14:textId="77777777" w:rsidR="004578B3" w:rsidRDefault="004578B3" w:rsidP="00C72690">
      <w:pPr>
        <w:spacing w:line="360" w:lineRule="auto"/>
        <w:jc w:val="both"/>
        <w:rPr>
          <w:rFonts w:ascii="Arial" w:hAnsi="Arial" w:cs="Arial"/>
          <w:bCs/>
        </w:rPr>
      </w:pPr>
    </w:p>
    <w:p w14:paraId="795D6D0D" w14:textId="77777777" w:rsidR="004578B3" w:rsidRDefault="004578B3" w:rsidP="00C72690">
      <w:pPr>
        <w:spacing w:line="360" w:lineRule="auto"/>
        <w:jc w:val="both"/>
        <w:rPr>
          <w:rFonts w:ascii="Arial" w:hAnsi="Arial" w:cs="Arial"/>
          <w:bCs/>
        </w:rPr>
      </w:pPr>
    </w:p>
    <w:p w14:paraId="3D4FA100" w14:textId="77777777" w:rsidR="004578B3" w:rsidRDefault="004578B3" w:rsidP="00C72690">
      <w:pPr>
        <w:spacing w:line="360" w:lineRule="auto"/>
        <w:jc w:val="both"/>
        <w:rPr>
          <w:rFonts w:ascii="Arial" w:hAnsi="Arial" w:cs="Arial"/>
          <w:bCs/>
        </w:rPr>
      </w:pPr>
    </w:p>
    <w:p w14:paraId="64FA160F" w14:textId="77777777" w:rsidR="004578B3" w:rsidRDefault="004578B3" w:rsidP="00C72690">
      <w:pPr>
        <w:spacing w:line="360" w:lineRule="auto"/>
        <w:jc w:val="both"/>
        <w:rPr>
          <w:rFonts w:ascii="Arial" w:hAnsi="Arial" w:cs="Arial"/>
          <w:bCs/>
        </w:rPr>
      </w:pPr>
    </w:p>
    <w:p w14:paraId="0372D195" w14:textId="77777777" w:rsidR="004578B3" w:rsidRDefault="004578B3" w:rsidP="00C72690">
      <w:pPr>
        <w:spacing w:line="360" w:lineRule="auto"/>
        <w:jc w:val="both"/>
        <w:rPr>
          <w:rFonts w:ascii="Arial" w:hAnsi="Arial" w:cs="Arial"/>
          <w:bCs/>
        </w:rPr>
      </w:pPr>
    </w:p>
    <w:p w14:paraId="12AE0C3C" w14:textId="77777777" w:rsidR="004578B3" w:rsidRDefault="004578B3" w:rsidP="00C72690">
      <w:pPr>
        <w:spacing w:line="360" w:lineRule="auto"/>
        <w:jc w:val="both"/>
        <w:rPr>
          <w:rFonts w:ascii="Arial" w:hAnsi="Arial" w:cs="Arial"/>
          <w:bCs/>
        </w:rPr>
      </w:pPr>
    </w:p>
    <w:p w14:paraId="47073082" w14:textId="77777777" w:rsidR="004578B3" w:rsidRDefault="004578B3" w:rsidP="00C72690">
      <w:pPr>
        <w:spacing w:line="360" w:lineRule="auto"/>
        <w:jc w:val="both"/>
        <w:rPr>
          <w:rFonts w:ascii="Arial" w:hAnsi="Arial" w:cs="Arial"/>
          <w:bCs/>
        </w:rPr>
      </w:pPr>
    </w:p>
    <w:p w14:paraId="2555D0CA" w14:textId="77777777" w:rsidR="004578B3" w:rsidRDefault="004578B3" w:rsidP="00C72690">
      <w:pPr>
        <w:spacing w:line="360" w:lineRule="auto"/>
        <w:jc w:val="both"/>
        <w:rPr>
          <w:rFonts w:ascii="Arial" w:hAnsi="Arial" w:cs="Arial"/>
          <w:bCs/>
        </w:rPr>
      </w:pPr>
    </w:p>
    <w:p w14:paraId="38FF89C3" w14:textId="77777777" w:rsidR="004578B3" w:rsidRDefault="004578B3" w:rsidP="00C72690">
      <w:pPr>
        <w:spacing w:line="360" w:lineRule="auto"/>
        <w:jc w:val="both"/>
        <w:rPr>
          <w:rFonts w:ascii="Arial" w:hAnsi="Arial" w:cs="Arial"/>
          <w:bCs/>
        </w:rPr>
      </w:pPr>
    </w:p>
    <w:p w14:paraId="57534659" w14:textId="77777777" w:rsidR="004578B3" w:rsidRDefault="004578B3" w:rsidP="00C72690">
      <w:pPr>
        <w:spacing w:line="360" w:lineRule="auto"/>
        <w:jc w:val="both"/>
        <w:rPr>
          <w:rFonts w:ascii="Arial" w:hAnsi="Arial" w:cs="Arial"/>
          <w:bCs/>
        </w:rPr>
      </w:pPr>
    </w:p>
    <w:p w14:paraId="1DD7B7DD" w14:textId="77777777" w:rsidR="004578B3" w:rsidRDefault="004578B3" w:rsidP="00C72690">
      <w:pPr>
        <w:spacing w:line="360" w:lineRule="auto"/>
        <w:jc w:val="both"/>
        <w:rPr>
          <w:rFonts w:ascii="Arial" w:hAnsi="Arial" w:cs="Arial"/>
          <w:bCs/>
        </w:rPr>
      </w:pPr>
    </w:p>
    <w:p w14:paraId="23BAFC2F" w14:textId="77777777" w:rsidR="00596738" w:rsidRDefault="00596738" w:rsidP="00A5422C">
      <w:pPr>
        <w:spacing w:line="360" w:lineRule="auto"/>
        <w:jc w:val="center"/>
        <w:rPr>
          <w:rFonts w:ascii="Arial" w:hAnsi="Arial" w:cs="Arial"/>
          <w:b/>
          <w:bCs/>
          <w:sz w:val="32"/>
          <w:szCs w:val="32"/>
          <w:lang w:val="en-GB"/>
        </w:rPr>
      </w:pPr>
    </w:p>
    <w:p w14:paraId="53FBE204" w14:textId="69314F45" w:rsidR="004578B3" w:rsidRPr="004578B3" w:rsidRDefault="004578B3" w:rsidP="00900F99">
      <w:pPr>
        <w:pStyle w:val="Heading3"/>
        <w:rPr>
          <w:lang w:val="en-GB"/>
        </w:rPr>
      </w:pPr>
      <w:bookmarkStart w:id="15" w:name="_Toc224080860"/>
      <w:r w:rsidRPr="004578B3">
        <w:rPr>
          <w:lang w:val="en-GB"/>
        </w:rPr>
        <w:t>Reference</w:t>
      </w:r>
      <w:bookmarkEnd w:id="15"/>
    </w:p>
    <w:p w14:paraId="011A8474"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Ansoff, H.I. (1957) </w:t>
      </w:r>
      <w:r w:rsidRPr="004578B3">
        <w:rPr>
          <w:rFonts w:ascii="Arial" w:hAnsi="Arial" w:cs="Arial"/>
          <w:bCs/>
          <w:i/>
          <w:iCs/>
          <w:sz w:val="22"/>
          <w:szCs w:val="22"/>
          <w:lang w:val="en-GB"/>
        </w:rPr>
        <w:t>Strategies for diversification</w:t>
      </w:r>
      <w:r w:rsidRPr="004578B3">
        <w:rPr>
          <w:rFonts w:ascii="Arial" w:hAnsi="Arial" w:cs="Arial"/>
          <w:bCs/>
          <w:sz w:val="22"/>
          <w:szCs w:val="22"/>
          <w:lang w:val="en-GB"/>
        </w:rPr>
        <w:t>. Harvard Business Review.</w:t>
      </w:r>
    </w:p>
    <w:p w14:paraId="7158172D"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CMA (2023) </w:t>
      </w:r>
      <w:r w:rsidRPr="004578B3">
        <w:rPr>
          <w:rFonts w:ascii="Arial" w:hAnsi="Arial" w:cs="Arial"/>
          <w:bCs/>
          <w:i/>
          <w:iCs/>
          <w:sz w:val="22"/>
          <w:szCs w:val="22"/>
          <w:lang w:val="en-GB"/>
        </w:rPr>
        <w:t>Green Claims Code</w:t>
      </w:r>
      <w:r w:rsidRPr="004578B3">
        <w:rPr>
          <w:rFonts w:ascii="Arial" w:hAnsi="Arial" w:cs="Arial"/>
          <w:bCs/>
          <w:sz w:val="22"/>
          <w:szCs w:val="22"/>
          <w:lang w:val="en-GB"/>
        </w:rPr>
        <w:t>. London: Competition and Markets Authority.</w:t>
      </w:r>
    </w:p>
    <w:p w14:paraId="5B7E0CAA"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Euromonitor (2023) </w:t>
      </w:r>
      <w:r w:rsidRPr="004578B3">
        <w:rPr>
          <w:rFonts w:ascii="Arial" w:hAnsi="Arial" w:cs="Arial"/>
          <w:bCs/>
          <w:i/>
          <w:iCs/>
          <w:sz w:val="22"/>
          <w:szCs w:val="22"/>
          <w:lang w:val="en-GB"/>
        </w:rPr>
        <w:t>Global health beverage market report</w:t>
      </w:r>
      <w:r w:rsidRPr="004578B3">
        <w:rPr>
          <w:rFonts w:ascii="Arial" w:hAnsi="Arial" w:cs="Arial"/>
          <w:bCs/>
          <w:sz w:val="22"/>
          <w:szCs w:val="22"/>
          <w:lang w:val="en-GB"/>
        </w:rPr>
        <w:t>.</w:t>
      </w:r>
    </w:p>
    <w:p w14:paraId="0DB8A9C1"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Grundy, T. (2006) </w:t>
      </w:r>
      <w:r w:rsidRPr="004578B3">
        <w:rPr>
          <w:rFonts w:ascii="Arial" w:hAnsi="Arial" w:cs="Arial"/>
          <w:bCs/>
          <w:i/>
          <w:iCs/>
          <w:sz w:val="22"/>
          <w:szCs w:val="22"/>
          <w:lang w:val="en-GB"/>
        </w:rPr>
        <w:t>Rethinking and reinventing Michael Porter’s five forces model</w:t>
      </w:r>
      <w:r w:rsidRPr="004578B3">
        <w:rPr>
          <w:rFonts w:ascii="Arial" w:hAnsi="Arial" w:cs="Arial"/>
          <w:bCs/>
          <w:sz w:val="22"/>
          <w:szCs w:val="22"/>
          <w:lang w:val="en-GB"/>
        </w:rPr>
        <w:t>. Strategic Change.</w:t>
      </w:r>
    </w:p>
    <w:p w14:paraId="00551C58" w14:textId="36D446EC"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Gürel, </w:t>
      </w:r>
      <w:r w:rsidR="00ED5E11" w:rsidRPr="004578B3">
        <w:rPr>
          <w:rFonts w:ascii="Arial" w:hAnsi="Arial" w:cs="Arial"/>
          <w:bCs/>
          <w:sz w:val="22"/>
          <w:szCs w:val="22"/>
          <w:lang w:val="en-GB"/>
        </w:rPr>
        <w:t>E.,</w:t>
      </w:r>
      <w:r w:rsidRPr="004578B3">
        <w:rPr>
          <w:rFonts w:ascii="Arial" w:hAnsi="Arial" w:cs="Arial"/>
          <w:bCs/>
          <w:sz w:val="22"/>
          <w:szCs w:val="22"/>
          <w:lang w:val="en-GB"/>
        </w:rPr>
        <w:t xml:space="preserve"> and Tat, M. (2017) ‘SWOT analysis: a theoretical review’, </w:t>
      </w:r>
      <w:r w:rsidRPr="004578B3">
        <w:rPr>
          <w:rFonts w:ascii="Arial" w:hAnsi="Arial" w:cs="Arial"/>
          <w:bCs/>
          <w:i/>
          <w:iCs/>
          <w:sz w:val="22"/>
          <w:szCs w:val="22"/>
          <w:lang w:val="en-GB"/>
        </w:rPr>
        <w:t>Journal of International Social Research</w:t>
      </w:r>
      <w:r w:rsidRPr="004578B3">
        <w:rPr>
          <w:rFonts w:ascii="Arial" w:hAnsi="Arial" w:cs="Arial"/>
          <w:bCs/>
          <w:sz w:val="22"/>
          <w:szCs w:val="22"/>
          <w:lang w:val="en-GB"/>
        </w:rPr>
        <w:t>.</w:t>
      </w:r>
    </w:p>
    <w:p w14:paraId="5C2D1D88" w14:textId="6B9F0FA9"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Hill, </w:t>
      </w:r>
      <w:r w:rsidR="00ED5E11" w:rsidRPr="004578B3">
        <w:rPr>
          <w:rFonts w:ascii="Arial" w:hAnsi="Arial" w:cs="Arial"/>
          <w:bCs/>
          <w:sz w:val="22"/>
          <w:szCs w:val="22"/>
          <w:lang w:val="en-GB"/>
        </w:rPr>
        <w:t>T.,</w:t>
      </w:r>
      <w:r w:rsidRPr="004578B3">
        <w:rPr>
          <w:rFonts w:ascii="Arial" w:hAnsi="Arial" w:cs="Arial"/>
          <w:bCs/>
          <w:sz w:val="22"/>
          <w:szCs w:val="22"/>
          <w:lang w:val="en-GB"/>
        </w:rPr>
        <w:t xml:space="preserve"> and Westbrook, R. (1997) ‘SWOT analysis: It’s time for a product recall’, </w:t>
      </w:r>
      <w:r w:rsidRPr="004578B3">
        <w:rPr>
          <w:rFonts w:ascii="Arial" w:hAnsi="Arial" w:cs="Arial"/>
          <w:bCs/>
          <w:i/>
          <w:iCs/>
          <w:sz w:val="22"/>
          <w:szCs w:val="22"/>
          <w:lang w:val="en-GB"/>
        </w:rPr>
        <w:t>Long Range Planning</w:t>
      </w:r>
      <w:r w:rsidRPr="004578B3">
        <w:rPr>
          <w:rFonts w:ascii="Arial" w:hAnsi="Arial" w:cs="Arial"/>
          <w:bCs/>
          <w:sz w:val="22"/>
          <w:szCs w:val="22"/>
          <w:lang w:val="en-GB"/>
        </w:rPr>
        <w:t>.</w:t>
      </w:r>
    </w:p>
    <w:p w14:paraId="49D2C1C6"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HM Government (2023) </w:t>
      </w:r>
      <w:r w:rsidRPr="004578B3">
        <w:rPr>
          <w:rFonts w:ascii="Arial" w:hAnsi="Arial" w:cs="Arial"/>
          <w:bCs/>
          <w:i/>
          <w:iCs/>
          <w:sz w:val="22"/>
          <w:szCs w:val="22"/>
          <w:lang w:val="en-GB"/>
        </w:rPr>
        <w:t>Soft Drinks Industry Levy guidance</w:t>
      </w:r>
      <w:r w:rsidRPr="004578B3">
        <w:rPr>
          <w:rFonts w:ascii="Arial" w:hAnsi="Arial" w:cs="Arial"/>
          <w:bCs/>
          <w:sz w:val="22"/>
          <w:szCs w:val="22"/>
          <w:lang w:val="en-GB"/>
        </w:rPr>
        <w:t>.</w:t>
      </w:r>
    </w:p>
    <w:p w14:paraId="3560A937"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Innocent Drinks (2023) </w:t>
      </w:r>
      <w:r w:rsidRPr="004578B3">
        <w:rPr>
          <w:rFonts w:ascii="Arial" w:hAnsi="Arial" w:cs="Arial"/>
          <w:bCs/>
          <w:i/>
          <w:iCs/>
          <w:sz w:val="22"/>
          <w:szCs w:val="22"/>
          <w:lang w:val="en-GB"/>
        </w:rPr>
        <w:t>Sustainability Report</w:t>
      </w:r>
      <w:r w:rsidRPr="004578B3">
        <w:rPr>
          <w:rFonts w:ascii="Arial" w:hAnsi="Arial" w:cs="Arial"/>
          <w:bCs/>
          <w:sz w:val="22"/>
          <w:szCs w:val="22"/>
          <w:lang w:val="en-GB"/>
        </w:rPr>
        <w:t>.</w:t>
      </w:r>
    </w:p>
    <w:p w14:paraId="5848661D"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Innocent Drinks (2024) </w:t>
      </w:r>
      <w:r w:rsidRPr="004578B3">
        <w:rPr>
          <w:rFonts w:ascii="Arial" w:hAnsi="Arial" w:cs="Arial"/>
          <w:bCs/>
          <w:i/>
          <w:iCs/>
          <w:sz w:val="22"/>
          <w:szCs w:val="22"/>
          <w:lang w:val="en-GB"/>
        </w:rPr>
        <w:t>Company information and sustainability commitments</w:t>
      </w:r>
      <w:r w:rsidRPr="004578B3">
        <w:rPr>
          <w:rFonts w:ascii="Arial" w:hAnsi="Arial" w:cs="Arial"/>
          <w:bCs/>
          <w:sz w:val="22"/>
          <w:szCs w:val="22"/>
          <w:lang w:val="en-GB"/>
        </w:rPr>
        <w:t>.</w:t>
      </w:r>
    </w:p>
    <w:p w14:paraId="6C825D25" w14:textId="52C903D3"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Johnson, G., Scholes, </w:t>
      </w:r>
      <w:r w:rsidR="00ED5E11" w:rsidRPr="004578B3">
        <w:rPr>
          <w:rFonts w:ascii="Arial" w:hAnsi="Arial" w:cs="Arial"/>
          <w:bCs/>
          <w:sz w:val="22"/>
          <w:szCs w:val="22"/>
          <w:lang w:val="en-GB"/>
        </w:rPr>
        <w:t>K.,</w:t>
      </w:r>
      <w:r w:rsidRPr="004578B3">
        <w:rPr>
          <w:rFonts w:ascii="Arial" w:hAnsi="Arial" w:cs="Arial"/>
          <w:bCs/>
          <w:sz w:val="22"/>
          <w:szCs w:val="22"/>
          <w:lang w:val="en-GB"/>
        </w:rPr>
        <w:t xml:space="preserve"> and Whittington, R. (2017) </w:t>
      </w:r>
      <w:r w:rsidRPr="004578B3">
        <w:rPr>
          <w:rFonts w:ascii="Arial" w:hAnsi="Arial" w:cs="Arial"/>
          <w:bCs/>
          <w:i/>
          <w:iCs/>
          <w:sz w:val="22"/>
          <w:szCs w:val="22"/>
          <w:lang w:val="en-GB"/>
        </w:rPr>
        <w:t>Exploring Strategy</w:t>
      </w:r>
      <w:r w:rsidRPr="004578B3">
        <w:rPr>
          <w:rFonts w:ascii="Arial" w:hAnsi="Arial" w:cs="Arial"/>
          <w:bCs/>
          <w:sz w:val="22"/>
          <w:szCs w:val="22"/>
          <w:lang w:val="en-GB"/>
        </w:rPr>
        <w:t>. 11th edn. Pearson.</w:t>
      </w:r>
    </w:p>
    <w:p w14:paraId="603C42E2"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Mendelow, A. (1991) ‘Stakeholder mapping’, </w:t>
      </w:r>
      <w:r w:rsidRPr="004578B3">
        <w:rPr>
          <w:rFonts w:ascii="Arial" w:hAnsi="Arial" w:cs="Arial"/>
          <w:bCs/>
          <w:i/>
          <w:iCs/>
          <w:sz w:val="22"/>
          <w:szCs w:val="22"/>
          <w:lang w:val="en-GB"/>
        </w:rPr>
        <w:t>Proceedings of the Second International Conference on Information Systems</w:t>
      </w:r>
      <w:r w:rsidRPr="004578B3">
        <w:rPr>
          <w:rFonts w:ascii="Arial" w:hAnsi="Arial" w:cs="Arial"/>
          <w:bCs/>
          <w:sz w:val="22"/>
          <w:szCs w:val="22"/>
          <w:lang w:val="en-GB"/>
        </w:rPr>
        <w:t>.</w:t>
      </w:r>
    </w:p>
    <w:p w14:paraId="02DECE6B"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Mintel (2023) </w:t>
      </w:r>
      <w:r w:rsidRPr="004578B3">
        <w:rPr>
          <w:rFonts w:ascii="Arial" w:hAnsi="Arial" w:cs="Arial"/>
          <w:bCs/>
          <w:i/>
          <w:iCs/>
          <w:sz w:val="22"/>
          <w:szCs w:val="22"/>
          <w:lang w:val="en-GB"/>
        </w:rPr>
        <w:t>Plant-based drinks market report</w:t>
      </w:r>
      <w:r w:rsidRPr="004578B3">
        <w:rPr>
          <w:rFonts w:ascii="Arial" w:hAnsi="Arial" w:cs="Arial"/>
          <w:bCs/>
          <w:sz w:val="22"/>
          <w:szCs w:val="22"/>
          <w:lang w:val="en-GB"/>
        </w:rPr>
        <w:t>.</w:t>
      </w:r>
    </w:p>
    <w:p w14:paraId="38A18B14"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Mintel (2024) </w:t>
      </w:r>
      <w:r w:rsidRPr="004578B3">
        <w:rPr>
          <w:rFonts w:ascii="Arial" w:hAnsi="Arial" w:cs="Arial"/>
          <w:bCs/>
          <w:i/>
          <w:iCs/>
          <w:sz w:val="22"/>
          <w:szCs w:val="22"/>
          <w:lang w:val="en-GB"/>
        </w:rPr>
        <w:t>UK smoothie and juice market report</w:t>
      </w:r>
      <w:r w:rsidRPr="004578B3">
        <w:rPr>
          <w:rFonts w:ascii="Arial" w:hAnsi="Arial" w:cs="Arial"/>
          <w:bCs/>
          <w:sz w:val="22"/>
          <w:szCs w:val="22"/>
          <w:lang w:val="en-GB"/>
        </w:rPr>
        <w:t>.</w:t>
      </w:r>
    </w:p>
    <w:p w14:paraId="28615E8D"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OECD (2023) </w:t>
      </w:r>
      <w:r w:rsidRPr="004578B3">
        <w:rPr>
          <w:rFonts w:ascii="Arial" w:hAnsi="Arial" w:cs="Arial"/>
          <w:bCs/>
          <w:i/>
          <w:iCs/>
          <w:sz w:val="22"/>
          <w:szCs w:val="22"/>
          <w:lang w:val="en-GB"/>
        </w:rPr>
        <w:t>Global agricultural outlook</w:t>
      </w:r>
      <w:r w:rsidRPr="004578B3">
        <w:rPr>
          <w:rFonts w:ascii="Arial" w:hAnsi="Arial" w:cs="Arial"/>
          <w:bCs/>
          <w:sz w:val="22"/>
          <w:szCs w:val="22"/>
          <w:lang w:val="en-GB"/>
        </w:rPr>
        <w:t>.</w:t>
      </w:r>
    </w:p>
    <w:p w14:paraId="3A75215D"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Porter, M.E. (1979) ‘How competitive forces shape strategy’, </w:t>
      </w:r>
      <w:r w:rsidRPr="004578B3">
        <w:rPr>
          <w:rFonts w:ascii="Arial" w:hAnsi="Arial" w:cs="Arial"/>
          <w:bCs/>
          <w:i/>
          <w:iCs/>
          <w:sz w:val="22"/>
          <w:szCs w:val="22"/>
          <w:lang w:val="en-GB"/>
        </w:rPr>
        <w:t>Harvard Business Review</w:t>
      </w:r>
      <w:r w:rsidRPr="004578B3">
        <w:rPr>
          <w:rFonts w:ascii="Arial" w:hAnsi="Arial" w:cs="Arial"/>
          <w:bCs/>
          <w:sz w:val="22"/>
          <w:szCs w:val="22"/>
          <w:lang w:val="en-GB"/>
        </w:rPr>
        <w:t>.</w:t>
      </w:r>
    </w:p>
    <w:p w14:paraId="3A8DB3F8"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Porter, M.E. (2008) </w:t>
      </w:r>
      <w:r w:rsidRPr="004578B3">
        <w:rPr>
          <w:rFonts w:ascii="Arial" w:hAnsi="Arial" w:cs="Arial"/>
          <w:bCs/>
          <w:i/>
          <w:iCs/>
          <w:sz w:val="22"/>
          <w:szCs w:val="22"/>
          <w:lang w:val="en-GB"/>
        </w:rPr>
        <w:t>Competitive strategy: techniques for analysing industries and competitors</w:t>
      </w:r>
      <w:r w:rsidRPr="004578B3">
        <w:rPr>
          <w:rFonts w:ascii="Arial" w:hAnsi="Arial" w:cs="Arial"/>
          <w:bCs/>
          <w:sz w:val="22"/>
          <w:szCs w:val="22"/>
          <w:lang w:val="en-GB"/>
        </w:rPr>
        <w:t>. Free Press.</w:t>
      </w:r>
    </w:p>
    <w:p w14:paraId="693DF9FF"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Statista (2024) </w:t>
      </w:r>
      <w:r w:rsidRPr="004578B3">
        <w:rPr>
          <w:rFonts w:ascii="Arial" w:hAnsi="Arial" w:cs="Arial"/>
          <w:bCs/>
          <w:i/>
          <w:iCs/>
          <w:sz w:val="22"/>
          <w:szCs w:val="22"/>
          <w:lang w:val="en-GB"/>
        </w:rPr>
        <w:t>Functional beverage market statistics</w:t>
      </w:r>
      <w:r w:rsidRPr="004578B3">
        <w:rPr>
          <w:rFonts w:ascii="Arial" w:hAnsi="Arial" w:cs="Arial"/>
          <w:bCs/>
          <w:sz w:val="22"/>
          <w:szCs w:val="22"/>
          <w:lang w:val="en-GB"/>
        </w:rPr>
        <w:t>.</w:t>
      </w:r>
    </w:p>
    <w:p w14:paraId="09ACA1BA" w14:textId="77777777"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 xml:space="preserve">WWF (2023) </w:t>
      </w:r>
      <w:r w:rsidRPr="004578B3">
        <w:rPr>
          <w:rFonts w:ascii="Arial" w:hAnsi="Arial" w:cs="Arial"/>
          <w:bCs/>
          <w:i/>
          <w:iCs/>
          <w:sz w:val="22"/>
          <w:szCs w:val="22"/>
          <w:lang w:val="en-GB"/>
        </w:rPr>
        <w:t>Climate impacts on agricultural supply chains</w:t>
      </w:r>
      <w:r w:rsidRPr="004578B3">
        <w:rPr>
          <w:rFonts w:ascii="Arial" w:hAnsi="Arial" w:cs="Arial"/>
          <w:bCs/>
          <w:sz w:val="22"/>
          <w:szCs w:val="22"/>
          <w:lang w:val="en-GB"/>
        </w:rPr>
        <w:t>.</w:t>
      </w:r>
    </w:p>
    <w:p w14:paraId="3EC51A3D" w14:textId="71710A7D" w:rsidR="004578B3" w:rsidRPr="004578B3" w:rsidRDefault="004578B3" w:rsidP="00A5422C">
      <w:pPr>
        <w:spacing w:line="360" w:lineRule="auto"/>
        <w:jc w:val="both"/>
        <w:rPr>
          <w:rFonts w:ascii="Arial" w:hAnsi="Arial" w:cs="Arial"/>
          <w:bCs/>
          <w:sz w:val="22"/>
          <w:szCs w:val="22"/>
          <w:lang w:val="en-GB"/>
        </w:rPr>
      </w:pPr>
      <w:r w:rsidRPr="004578B3">
        <w:rPr>
          <w:rFonts w:ascii="Arial" w:hAnsi="Arial" w:cs="Arial"/>
          <w:bCs/>
          <w:sz w:val="22"/>
          <w:szCs w:val="22"/>
          <w:lang w:val="en-GB"/>
        </w:rPr>
        <w:t>Yüksel, I. (2012) ‘Developing a multi-</w:t>
      </w:r>
      <w:r w:rsidR="00A5422C" w:rsidRPr="004578B3">
        <w:rPr>
          <w:rFonts w:ascii="Arial" w:hAnsi="Arial" w:cs="Arial"/>
          <w:bCs/>
          <w:sz w:val="22"/>
          <w:szCs w:val="22"/>
          <w:lang w:val="en-GB"/>
        </w:rPr>
        <w:t>criteria decision-making</w:t>
      </w:r>
      <w:r w:rsidRPr="004578B3">
        <w:rPr>
          <w:rFonts w:ascii="Arial" w:hAnsi="Arial" w:cs="Arial"/>
          <w:bCs/>
          <w:sz w:val="22"/>
          <w:szCs w:val="22"/>
          <w:lang w:val="en-GB"/>
        </w:rPr>
        <w:t xml:space="preserve"> model for PESTEL analysis’, </w:t>
      </w:r>
      <w:r w:rsidRPr="004578B3">
        <w:rPr>
          <w:rFonts w:ascii="Arial" w:hAnsi="Arial" w:cs="Arial"/>
          <w:bCs/>
          <w:i/>
          <w:iCs/>
          <w:sz w:val="22"/>
          <w:szCs w:val="22"/>
          <w:lang w:val="en-GB"/>
        </w:rPr>
        <w:t>International Journal of Business and Management</w:t>
      </w:r>
      <w:r w:rsidRPr="004578B3">
        <w:rPr>
          <w:rFonts w:ascii="Arial" w:hAnsi="Arial" w:cs="Arial"/>
          <w:bCs/>
          <w:sz w:val="22"/>
          <w:szCs w:val="22"/>
          <w:lang w:val="en-GB"/>
        </w:rPr>
        <w:t>.</w:t>
      </w:r>
    </w:p>
    <w:p w14:paraId="45197D2A" w14:textId="77777777" w:rsidR="004578B3" w:rsidRDefault="004578B3" w:rsidP="00C72690">
      <w:pPr>
        <w:spacing w:line="360" w:lineRule="auto"/>
        <w:jc w:val="both"/>
        <w:rPr>
          <w:rFonts w:ascii="Arial" w:hAnsi="Arial" w:cs="Arial"/>
          <w:bCs/>
        </w:rPr>
      </w:pPr>
    </w:p>
    <w:p w14:paraId="1C7EECE4" w14:textId="77777777" w:rsidR="004578B3" w:rsidRDefault="004578B3" w:rsidP="00C72690">
      <w:pPr>
        <w:spacing w:line="360" w:lineRule="auto"/>
        <w:jc w:val="both"/>
        <w:rPr>
          <w:rFonts w:ascii="Arial" w:hAnsi="Arial" w:cs="Arial"/>
          <w:bCs/>
        </w:rPr>
      </w:pPr>
    </w:p>
    <w:p w14:paraId="19CDDECD" w14:textId="77777777" w:rsidR="004578B3" w:rsidRPr="00C72690" w:rsidRDefault="004578B3" w:rsidP="00C72690">
      <w:pPr>
        <w:spacing w:line="360" w:lineRule="auto"/>
        <w:jc w:val="both"/>
        <w:rPr>
          <w:rFonts w:ascii="Arial" w:hAnsi="Arial" w:cs="Arial"/>
          <w:bCs/>
        </w:rPr>
      </w:pPr>
    </w:p>
    <w:sectPr w:rsidR="004578B3" w:rsidRPr="00C72690" w:rsidSect="0084301B">
      <w:footerReference w:type="default" r:id="rId20"/>
      <w:pgSz w:w="12240" w:h="15840" w:code="1"/>
      <w:pgMar w:top="720" w:right="720" w:bottom="0" w:left="72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17E88" w14:textId="77777777" w:rsidR="00213BDD" w:rsidRDefault="00213BDD" w:rsidP="00E74B29">
      <w:r>
        <w:separator/>
      </w:r>
    </w:p>
  </w:endnote>
  <w:endnote w:type="continuationSeparator" w:id="0">
    <w:p w14:paraId="0D7E7C46" w14:textId="77777777" w:rsidR="00213BDD" w:rsidRDefault="00213BDD"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2224533"/>
      <w:docPartObj>
        <w:docPartGallery w:val="Page Numbers (Bottom of Page)"/>
        <w:docPartUnique/>
      </w:docPartObj>
    </w:sdtPr>
    <w:sdtEndPr>
      <w:rPr>
        <w:noProof/>
      </w:rPr>
    </w:sdtEndPr>
    <w:sdtContent>
      <w:p w14:paraId="4DE435A9" w14:textId="7F013660" w:rsidR="00E40494" w:rsidRDefault="00E404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299F64" w14:textId="77777777" w:rsidR="00E40494" w:rsidRDefault="00E40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DB47A" w14:textId="77777777" w:rsidR="00213BDD" w:rsidRDefault="00213BDD" w:rsidP="00E74B29">
      <w:r>
        <w:separator/>
      </w:r>
    </w:p>
  </w:footnote>
  <w:footnote w:type="continuationSeparator" w:id="0">
    <w:p w14:paraId="26E71276" w14:textId="77777777" w:rsidR="00213BDD" w:rsidRDefault="00213BDD"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215C6E73"/>
    <w:multiLevelType w:val="multilevel"/>
    <w:tmpl w:val="FE5A4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EB5FD7"/>
    <w:multiLevelType w:val="multilevel"/>
    <w:tmpl w:val="23F0F8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9F722C"/>
    <w:multiLevelType w:val="hybridMultilevel"/>
    <w:tmpl w:val="CA247B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FD4C8C"/>
    <w:multiLevelType w:val="hybridMultilevel"/>
    <w:tmpl w:val="D2C6B0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3B3351"/>
    <w:multiLevelType w:val="hybridMultilevel"/>
    <w:tmpl w:val="E520C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495468">
    <w:abstractNumId w:val="0"/>
  </w:num>
  <w:num w:numId="2" w16cid:durableId="780223568">
    <w:abstractNumId w:val="5"/>
  </w:num>
  <w:num w:numId="3" w16cid:durableId="971517817">
    <w:abstractNumId w:val="1"/>
  </w:num>
  <w:num w:numId="4" w16cid:durableId="1944149839">
    <w:abstractNumId w:val="2"/>
  </w:num>
  <w:num w:numId="5" w16cid:durableId="1772432181">
    <w:abstractNumId w:val="4"/>
  </w:num>
  <w:num w:numId="6" w16cid:durableId="19875872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D20"/>
    <w:rsid w:val="00016063"/>
    <w:rsid w:val="0002786E"/>
    <w:rsid w:val="00034B6D"/>
    <w:rsid w:val="00034BE6"/>
    <w:rsid w:val="00056084"/>
    <w:rsid w:val="00061925"/>
    <w:rsid w:val="00064FDF"/>
    <w:rsid w:val="000806C2"/>
    <w:rsid w:val="00080DFD"/>
    <w:rsid w:val="00081821"/>
    <w:rsid w:val="00086FA5"/>
    <w:rsid w:val="00092041"/>
    <w:rsid w:val="00097324"/>
    <w:rsid w:val="000A2014"/>
    <w:rsid w:val="000A7082"/>
    <w:rsid w:val="000B1473"/>
    <w:rsid w:val="000C204B"/>
    <w:rsid w:val="000C5B6B"/>
    <w:rsid w:val="000D0643"/>
    <w:rsid w:val="000E4641"/>
    <w:rsid w:val="000F2A75"/>
    <w:rsid w:val="00102E5F"/>
    <w:rsid w:val="001107B8"/>
    <w:rsid w:val="001122DA"/>
    <w:rsid w:val="00113168"/>
    <w:rsid w:val="001266FD"/>
    <w:rsid w:val="001315DC"/>
    <w:rsid w:val="001451EA"/>
    <w:rsid w:val="00151F66"/>
    <w:rsid w:val="001526F4"/>
    <w:rsid w:val="00154FFC"/>
    <w:rsid w:val="00161565"/>
    <w:rsid w:val="00167113"/>
    <w:rsid w:val="0017666B"/>
    <w:rsid w:val="00177F8D"/>
    <w:rsid w:val="00185F4A"/>
    <w:rsid w:val="001904BF"/>
    <w:rsid w:val="00190E5C"/>
    <w:rsid w:val="001B1292"/>
    <w:rsid w:val="001B2C31"/>
    <w:rsid w:val="001D27F0"/>
    <w:rsid w:val="001D3CA2"/>
    <w:rsid w:val="001E097E"/>
    <w:rsid w:val="001E35C2"/>
    <w:rsid w:val="001F1645"/>
    <w:rsid w:val="001F4B42"/>
    <w:rsid w:val="001F653E"/>
    <w:rsid w:val="00202362"/>
    <w:rsid w:val="002037C5"/>
    <w:rsid w:val="00207449"/>
    <w:rsid w:val="00213BDD"/>
    <w:rsid w:val="00214C92"/>
    <w:rsid w:val="00224269"/>
    <w:rsid w:val="0022523A"/>
    <w:rsid w:val="002258F6"/>
    <w:rsid w:val="0022625F"/>
    <w:rsid w:val="002277D8"/>
    <w:rsid w:val="002356C3"/>
    <w:rsid w:val="00253FF4"/>
    <w:rsid w:val="002543A8"/>
    <w:rsid w:val="00254DD2"/>
    <w:rsid w:val="00261553"/>
    <w:rsid w:val="00286042"/>
    <w:rsid w:val="00292EA1"/>
    <w:rsid w:val="002947D3"/>
    <w:rsid w:val="002A0AD6"/>
    <w:rsid w:val="002A2F86"/>
    <w:rsid w:val="002B49A7"/>
    <w:rsid w:val="002B667F"/>
    <w:rsid w:val="002B66C8"/>
    <w:rsid w:val="002C1C5C"/>
    <w:rsid w:val="002C617C"/>
    <w:rsid w:val="002D2200"/>
    <w:rsid w:val="002F5026"/>
    <w:rsid w:val="002F7459"/>
    <w:rsid w:val="003029F8"/>
    <w:rsid w:val="003043D4"/>
    <w:rsid w:val="00307261"/>
    <w:rsid w:val="00315C72"/>
    <w:rsid w:val="00321724"/>
    <w:rsid w:val="00341A9D"/>
    <w:rsid w:val="00360696"/>
    <w:rsid w:val="003608BA"/>
    <w:rsid w:val="00377D67"/>
    <w:rsid w:val="0038092F"/>
    <w:rsid w:val="0038481F"/>
    <w:rsid w:val="00390D20"/>
    <w:rsid w:val="00394388"/>
    <w:rsid w:val="0039466F"/>
    <w:rsid w:val="003A2D7E"/>
    <w:rsid w:val="003A3E6F"/>
    <w:rsid w:val="003B3837"/>
    <w:rsid w:val="003B450B"/>
    <w:rsid w:val="003C429A"/>
    <w:rsid w:val="003C5135"/>
    <w:rsid w:val="003C5655"/>
    <w:rsid w:val="003D6B4A"/>
    <w:rsid w:val="003E1797"/>
    <w:rsid w:val="003E25DE"/>
    <w:rsid w:val="003E7B34"/>
    <w:rsid w:val="003F0C95"/>
    <w:rsid w:val="0040564B"/>
    <w:rsid w:val="00410B8D"/>
    <w:rsid w:val="00412B3E"/>
    <w:rsid w:val="004358CE"/>
    <w:rsid w:val="00453EB1"/>
    <w:rsid w:val="004578B3"/>
    <w:rsid w:val="00461287"/>
    <w:rsid w:val="0048120C"/>
    <w:rsid w:val="00483078"/>
    <w:rsid w:val="00483B86"/>
    <w:rsid w:val="004909D9"/>
    <w:rsid w:val="00493B7C"/>
    <w:rsid w:val="0049512F"/>
    <w:rsid w:val="00497F4F"/>
    <w:rsid w:val="004B3BCB"/>
    <w:rsid w:val="004C5781"/>
    <w:rsid w:val="004D7B98"/>
    <w:rsid w:val="004E1A50"/>
    <w:rsid w:val="004E2067"/>
    <w:rsid w:val="004F2EE4"/>
    <w:rsid w:val="004F6C45"/>
    <w:rsid w:val="005023FF"/>
    <w:rsid w:val="00504837"/>
    <w:rsid w:val="00512791"/>
    <w:rsid w:val="00516E23"/>
    <w:rsid w:val="00521481"/>
    <w:rsid w:val="00534185"/>
    <w:rsid w:val="005508A3"/>
    <w:rsid w:val="00561F77"/>
    <w:rsid w:val="00564708"/>
    <w:rsid w:val="00581455"/>
    <w:rsid w:val="00596738"/>
    <w:rsid w:val="005A0B7F"/>
    <w:rsid w:val="005A2320"/>
    <w:rsid w:val="005A31D1"/>
    <w:rsid w:val="005B7B08"/>
    <w:rsid w:val="005D1EFD"/>
    <w:rsid w:val="005E065B"/>
    <w:rsid w:val="005E1235"/>
    <w:rsid w:val="005E598B"/>
    <w:rsid w:val="005E7CC7"/>
    <w:rsid w:val="005F48A9"/>
    <w:rsid w:val="006046EF"/>
    <w:rsid w:val="00605807"/>
    <w:rsid w:val="00610AD0"/>
    <w:rsid w:val="006116CB"/>
    <w:rsid w:val="00613833"/>
    <w:rsid w:val="00620AB1"/>
    <w:rsid w:val="00624F1D"/>
    <w:rsid w:val="00635B87"/>
    <w:rsid w:val="006363D7"/>
    <w:rsid w:val="00644815"/>
    <w:rsid w:val="00644F05"/>
    <w:rsid w:val="0065396A"/>
    <w:rsid w:val="00665110"/>
    <w:rsid w:val="006709F1"/>
    <w:rsid w:val="0067135E"/>
    <w:rsid w:val="00672774"/>
    <w:rsid w:val="00680E4F"/>
    <w:rsid w:val="00682DF3"/>
    <w:rsid w:val="006929F8"/>
    <w:rsid w:val="00694E1D"/>
    <w:rsid w:val="006A6533"/>
    <w:rsid w:val="006C60E6"/>
    <w:rsid w:val="006C76B8"/>
    <w:rsid w:val="006D5044"/>
    <w:rsid w:val="006D6903"/>
    <w:rsid w:val="006E1DA2"/>
    <w:rsid w:val="006F437A"/>
    <w:rsid w:val="007077E0"/>
    <w:rsid w:val="00707876"/>
    <w:rsid w:val="007277B7"/>
    <w:rsid w:val="00736317"/>
    <w:rsid w:val="0074785C"/>
    <w:rsid w:val="00750470"/>
    <w:rsid w:val="00757C55"/>
    <w:rsid w:val="00770037"/>
    <w:rsid w:val="007746AD"/>
    <w:rsid w:val="00793027"/>
    <w:rsid w:val="00796F1E"/>
    <w:rsid w:val="007A15C7"/>
    <w:rsid w:val="007B0206"/>
    <w:rsid w:val="007B71BF"/>
    <w:rsid w:val="007D251C"/>
    <w:rsid w:val="007E4D87"/>
    <w:rsid w:val="007E7573"/>
    <w:rsid w:val="00803FF7"/>
    <w:rsid w:val="008137C7"/>
    <w:rsid w:val="00813FC6"/>
    <w:rsid w:val="00820A35"/>
    <w:rsid w:val="00822699"/>
    <w:rsid w:val="00832A20"/>
    <w:rsid w:val="00837914"/>
    <w:rsid w:val="0084301B"/>
    <w:rsid w:val="00845FA3"/>
    <w:rsid w:val="008500EA"/>
    <w:rsid w:val="00851BD8"/>
    <w:rsid w:val="0085781F"/>
    <w:rsid w:val="00874FE7"/>
    <w:rsid w:val="00875A29"/>
    <w:rsid w:val="00894996"/>
    <w:rsid w:val="00895493"/>
    <w:rsid w:val="008A6721"/>
    <w:rsid w:val="008B5DD6"/>
    <w:rsid w:val="008C05EE"/>
    <w:rsid w:val="008C18C1"/>
    <w:rsid w:val="008C6408"/>
    <w:rsid w:val="008D2021"/>
    <w:rsid w:val="008D65DB"/>
    <w:rsid w:val="008E3309"/>
    <w:rsid w:val="008E4250"/>
    <w:rsid w:val="00900F99"/>
    <w:rsid w:val="00910163"/>
    <w:rsid w:val="00911979"/>
    <w:rsid w:val="009136B3"/>
    <w:rsid w:val="00923F78"/>
    <w:rsid w:val="00946498"/>
    <w:rsid w:val="00951EC6"/>
    <w:rsid w:val="00952393"/>
    <w:rsid w:val="00952F7D"/>
    <w:rsid w:val="00954C16"/>
    <w:rsid w:val="0095748A"/>
    <w:rsid w:val="00985479"/>
    <w:rsid w:val="0098691D"/>
    <w:rsid w:val="00990A6D"/>
    <w:rsid w:val="009913D5"/>
    <w:rsid w:val="00997AEC"/>
    <w:rsid w:val="009A38BA"/>
    <w:rsid w:val="009B7360"/>
    <w:rsid w:val="009E214D"/>
    <w:rsid w:val="00A3600E"/>
    <w:rsid w:val="00A366C9"/>
    <w:rsid w:val="00A45746"/>
    <w:rsid w:val="00A52F86"/>
    <w:rsid w:val="00A5422C"/>
    <w:rsid w:val="00A571CF"/>
    <w:rsid w:val="00A61A31"/>
    <w:rsid w:val="00A70308"/>
    <w:rsid w:val="00A76040"/>
    <w:rsid w:val="00A8238E"/>
    <w:rsid w:val="00A82E2E"/>
    <w:rsid w:val="00A93BBA"/>
    <w:rsid w:val="00AA5391"/>
    <w:rsid w:val="00AB1402"/>
    <w:rsid w:val="00AB48B0"/>
    <w:rsid w:val="00AB5E36"/>
    <w:rsid w:val="00AB7AF6"/>
    <w:rsid w:val="00AC1ED8"/>
    <w:rsid w:val="00AD5DF0"/>
    <w:rsid w:val="00AD5E4A"/>
    <w:rsid w:val="00AD65E5"/>
    <w:rsid w:val="00AF5051"/>
    <w:rsid w:val="00AF5E64"/>
    <w:rsid w:val="00B00EF9"/>
    <w:rsid w:val="00B106C2"/>
    <w:rsid w:val="00B257F7"/>
    <w:rsid w:val="00B36A5B"/>
    <w:rsid w:val="00B43953"/>
    <w:rsid w:val="00B43E11"/>
    <w:rsid w:val="00B458DF"/>
    <w:rsid w:val="00B45A0D"/>
    <w:rsid w:val="00B53A6C"/>
    <w:rsid w:val="00B60525"/>
    <w:rsid w:val="00B642F9"/>
    <w:rsid w:val="00B73447"/>
    <w:rsid w:val="00B774F6"/>
    <w:rsid w:val="00B82A10"/>
    <w:rsid w:val="00B83CBF"/>
    <w:rsid w:val="00BA6DAA"/>
    <w:rsid w:val="00BB6E73"/>
    <w:rsid w:val="00BC1E80"/>
    <w:rsid w:val="00BC24C9"/>
    <w:rsid w:val="00BD0F93"/>
    <w:rsid w:val="00BD7BFD"/>
    <w:rsid w:val="00BE53A3"/>
    <w:rsid w:val="00C075F9"/>
    <w:rsid w:val="00C1607A"/>
    <w:rsid w:val="00C16B99"/>
    <w:rsid w:val="00C217A0"/>
    <w:rsid w:val="00C2755B"/>
    <w:rsid w:val="00C303C9"/>
    <w:rsid w:val="00C36A87"/>
    <w:rsid w:val="00C44F35"/>
    <w:rsid w:val="00C46B13"/>
    <w:rsid w:val="00C72690"/>
    <w:rsid w:val="00C729E7"/>
    <w:rsid w:val="00C8445D"/>
    <w:rsid w:val="00C855C9"/>
    <w:rsid w:val="00C85703"/>
    <w:rsid w:val="00CA491C"/>
    <w:rsid w:val="00CC4A6F"/>
    <w:rsid w:val="00CC6088"/>
    <w:rsid w:val="00CD50F1"/>
    <w:rsid w:val="00CE2D0F"/>
    <w:rsid w:val="00CE3894"/>
    <w:rsid w:val="00CE608F"/>
    <w:rsid w:val="00D02602"/>
    <w:rsid w:val="00D07373"/>
    <w:rsid w:val="00D103E4"/>
    <w:rsid w:val="00D17C6F"/>
    <w:rsid w:val="00D20DB9"/>
    <w:rsid w:val="00D210CD"/>
    <w:rsid w:val="00D318E5"/>
    <w:rsid w:val="00D43125"/>
    <w:rsid w:val="00D47A8A"/>
    <w:rsid w:val="00D64A10"/>
    <w:rsid w:val="00D66A3A"/>
    <w:rsid w:val="00D71C2B"/>
    <w:rsid w:val="00D76783"/>
    <w:rsid w:val="00D8179C"/>
    <w:rsid w:val="00D92145"/>
    <w:rsid w:val="00D94E61"/>
    <w:rsid w:val="00D94ED7"/>
    <w:rsid w:val="00D94EDF"/>
    <w:rsid w:val="00D96ABB"/>
    <w:rsid w:val="00DA1315"/>
    <w:rsid w:val="00DC01CB"/>
    <w:rsid w:val="00DC48D2"/>
    <w:rsid w:val="00DC530F"/>
    <w:rsid w:val="00DC7753"/>
    <w:rsid w:val="00DD5BB0"/>
    <w:rsid w:val="00DE4ACA"/>
    <w:rsid w:val="00DF198B"/>
    <w:rsid w:val="00E0397B"/>
    <w:rsid w:val="00E066A3"/>
    <w:rsid w:val="00E101E9"/>
    <w:rsid w:val="00E11389"/>
    <w:rsid w:val="00E144FE"/>
    <w:rsid w:val="00E205F1"/>
    <w:rsid w:val="00E34ED7"/>
    <w:rsid w:val="00E40494"/>
    <w:rsid w:val="00E46445"/>
    <w:rsid w:val="00E472E7"/>
    <w:rsid w:val="00E56FFF"/>
    <w:rsid w:val="00E615DA"/>
    <w:rsid w:val="00E67913"/>
    <w:rsid w:val="00E74B29"/>
    <w:rsid w:val="00E90B59"/>
    <w:rsid w:val="00E91826"/>
    <w:rsid w:val="00E96765"/>
    <w:rsid w:val="00EA0337"/>
    <w:rsid w:val="00EB5093"/>
    <w:rsid w:val="00EB7C2B"/>
    <w:rsid w:val="00EC4ADC"/>
    <w:rsid w:val="00ED5E11"/>
    <w:rsid w:val="00EE1805"/>
    <w:rsid w:val="00EE1819"/>
    <w:rsid w:val="00EE7559"/>
    <w:rsid w:val="00EF0EDD"/>
    <w:rsid w:val="00EF2851"/>
    <w:rsid w:val="00F14D2F"/>
    <w:rsid w:val="00F209B1"/>
    <w:rsid w:val="00F36086"/>
    <w:rsid w:val="00F372D9"/>
    <w:rsid w:val="00F40EAD"/>
    <w:rsid w:val="00F43D9E"/>
    <w:rsid w:val="00F51AE3"/>
    <w:rsid w:val="00F677D8"/>
    <w:rsid w:val="00F707AC"/>
    <w:rsid w:val="00F736F8"/>
    <w:rsid w:val="00F761A9"/>
    <w:rsid w:val="00F81D32"/>
    <w:rsid w:val="00F90434"/>
    <w:rsid w:val="00FB2F1A"/>
    <w:rsid w:val="00FC75AF"/>
    <w:rsid w:val="00FE42A6"/>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6F185"/>
  <w15:chartTrackingRefBased/>
  <w15:docId w15:val="{96D75395-87AA-481F-91AF-CDCDA7B25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581455"/>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9"/>
    <w:qFormat/>
    <w:rsid w:val="00874FE7"/>
    <w:pPr>
      <w:jc w:val="center"/>
      <w:outlineLvl w:val="1"/>
    </w:pPr>
    <w:rPr>
      <w:b/>
      <w:sz w:val="48"/>
      <w:szCs w:val="48"/>
    </w:rPr>
  </w:style>
  <w:style w:type="paragraph" w:styleId="Heading3">
    <w:name w:val="heading 3"/>
    <w:basedOn w:val="Heading2"/>
    <w:next w:val="Normal"/>
    <w:link w:val="Heading3Char"/>
    <w:uiPriority w:val="9"/>
    <w:qFormat/>
    <w:rsid w:val="00874FE7"/>
    <w:pPr>
      <w:spacing w:after="240"/>
      <w:outlineLvl w:val="2"/>
    </w:pPr>
    <w:rPr>
      <w:b w:val="0"/>
      <w:sz w:val="36"/>
      <w:szCs w:val="36"/>
    </w:rPr>
  </w:style>
  <w:style w:type="paragraph" w:styleId="Heading4">
    <w:name w:val="heading 4"/>
    <w:basedOn w:val="Normal"/>
    <w:next w:val="Normal"/>
    <w:link w:val="Heading4Char"/>
    <w:uiPriority w:val="9"/>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9"/>
    <w:rsid w:val="00874FE7"/>
    <w:rPr>
      <w:b/>
      <w:sz w:val="48"/>
      <w:szCs w:val="48"/>
    </w:rPr>
  </w:style>
  <w:style w:type="character" w:customStyle="1" w:styleId="Heading3Char">
    <w:name w:val="Heading 3 Char"/>
    <w:basedOn w:val="DefaultParagraphFont"/>
    <w:link w:val="Heading3"/>
    <w:uiPriority w:val="9"/>
    <w:rsid w:val="00874FE7"/>
    <w:rPr>
      <w:sz w:val="36"/>
      <w:szCs w:val="36"/>
    </w:rPr>
  </w:style>
  <w:style w:type="character" w:customStyle="1" w:styleId="Heading4Char">
    <w:name w:val="Heading 4 Char"/>
    <w:basedOn w:val="DefaultParagraphFont"/>
    <w:link w:val="Heading4"/>
    <w:uiPriority w:val="9"/>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qFormat/>
    <w:rsid w:val="00EF0EDD"/>
    <w:pPr>
      <w:spacing w:after="160" w:line="259" w:lineRule="auto"/>
      <w:ind w:left="720"/>
      <w:contextualSpacing/>
    </w:pPr>
    <w:rPr>
      <w:kern w:val="2"/>
      <w:sz w:val="22"/>
      <w:szCs w:val="22"/>
      <w:lang w:val="en-GB"/>
      <w14:ligatures w14:val="standardContextual"/>
    </w:rPr>
  </w:style>
  <w:style w:type="table" w:styleId="GridTable1Light-Accent2">
    <w:name w:val="Grid Table 1 Light Accent 2"/>
    <w:basedOn w:val="TableNormal"/>
    <w:uiPriority w:val="46"/>
    <w:rsid w:val="007B0206"/>
    <w:tblPr>
      <w:tblStyleRowBandSize w:val="1"/>
      <w:tblStyleColBandSize w:val="1"/>
      <w:tblBorders>
        <w:top w:val="single" w:sz="4" w:space="0" w:color="9BA4E1" w:themeColor="accent2" w:themeTint="66"/>
        <w:left w:val="single" w:sz="4" w:space="0" w:color="9BA4E1" w:themeColor="accent2" w:themeTint="66"/>
        <w:bottom w:val="single" w:sz="4" w:space="0" w:color="9BA4E1" w:themeColor="accent2" w:themeTint="66"/>
        <w:right w:val="single" w:sz="4" w:space="0" w:color="9BA4E1" w:themeColor="accent2" w:themeTint="66"/>
        <w:insideH w:val="single" w:sz="4" w:space="0" w:color="9BA4E1" w:themeColor="accent2" w:themeTint="66"/>
        <w:insideV w:val="single" w:sz="4" w:space="0" w:color="9BA4E1" w:themeColor="accent2" w:themeTint="66"/>
      </w:tblBorders>
    </w:tblPr>
    <w:tblStylePr w:type="firstRow">
      <w:rPr>
        <w:b/>
        <w:bCs/>
      </w:rPr>
      <w:tblPr/>
      <w:tcPr>
        <w:tcBorders>
          <w:bottom w:val="single" w:sz="12" w:space="0" w:color="6976D2" w:themeColor="accent2" w:themeTint="99"/>
        </w:tcBorders>
      </w:tcPr>
    </w:tblStylePr>
    <w:tblStylePr w:type="lastRow">
      <w:rPr>
        <w:b/>
        <w:bCs/>
      </w:rPr>
      <w:tblPr/>
      <w:tcPr>
        <w:tcBorders>
          <w:top w:val="double" w:sz="2" w:space="0" w:color="6976D2" w:themeColor="accent2"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6A6533"/>
    <w:tblPr>
      <w:tblStyleRowBandSize w:val="1"/>
      <w:tblStyleColBandSize w:val="1"/>
      <w:tblBorders>
        <w:top w:val="single" w:sz="4" w:space="0" w:color="65ADE8" w:themeColor="accent3" w:themeTint="99"/>
        <w:left w:val="single" w:sz="4" w:space="0" w:color="65ADE8" w:themeColor="accent3" w:themeTint="99"/>
        <w:bottom w:val="single" w:sz="4" w:space="0" w:color="65ADE8" w:themeColor="accent3" w:themeTint="99"/>
        <w:right w:val="single" w:sz="4" w:space="0" w:color="65ADE8" w:themeColor="accent3" w:themeTint="99"/>
        <w:insideH w:val="single" w:sz="4" w:space="0" w:color="65ADE8" w:themeColor="accent3" w:themeTint="99"/>
        <w:insideV w:val="single" w:sz="4" w:space="0" w:color="65ADE8" w:themeColor="accent3" w:themeTint="99"/>
      </w:tblBorders>
    </w:tblPr>
    <w:tblStylePr w:type="firstRow">
      <w:rPr>
        <w:b/>
        <w:bCs/>
        <w:color w:val="FFFFFF" w:themeColor="background1"/>
      </w:rPr>
      <w:tblPr/>
      <w:tcPr>
        <w:tcBorders>
          <w:top w:val="single" w:sz="4" w:space="0" w:color="1C75BC" w:themeColor="accent3"/>
          <w:left w:val="single" w:sz="4" w:space="0" w:color="1C75BC" w:themeColor="accent3"/>
          <w:bottom w:val="single" w:sz="4" w:space="0" w:color="1C75BC" w:themeColor="accent3"/>
          <w:right w:val="single" w:sz="4" w:space="0" w:color="1C75BC" w:themeColor="accent3"/>
          <w:insideH w:val="nil"/>
          <w:insideV w:val="nil"/>
        </w:tcBorders>
        <w:shd w:val="clear" w:color="auto" w:fill="1C75BC" w:themeFill="accent3"/>
      </w:tcPr>
    </w:tblStylePr>
    <w:tblStylePr w:type="lastRow">
      <w:rPr>
        <w:b/>
        <w:bCs/>
      </w:rPr>
      <w:tblPr/>
      <w:tcPr>
        <w:tcBorders>
          <w:top w:val="double" w:sz="4" w:space="0" w:color="1C75BC" w:themeColor="accent3"/>
        </w:tcBorders>
      </w:tcPr>
    </w:tblStylePr>
    <w:tblStylePr w:type="firstCol">
      <w:rPr>
        <w:b/>
        <w:bCs/>
      </w:rPr>
    </w:tblStylePr>
    <w:tblStylePr w:type="lastCol">
      <w:rPr>
        <w:b/>
        <w:bCs/>
      </w:rPr>
    </w:tblStylePr>
    <w:tblStylePr w:type="band1Vert">
      <w:tblPr/>
      <w:tcPr>
        <w:shd w:val="clear" w:color="auto" w:fill="CBE3F7" w:themeFill="accent3" w:themeFillTint="33"/>
      </w:tcPr>
    </w:tblStylePr>
    <w:tblStylePr w:type="band1Horz">
      <w:tblPr/>
      <w:tcPr>
        <w:shd w:val="clear" w:color="auto" w:fill="CBE3F7" w:themeFill="accent3" w:themeFillTint="33"/>
      </w:tcPr>
    </w:tblStylePr>
  </w:style>
  <w:style w:type="table" w:styleId="GridTable4-Accent4">
    <w:name w:val="Grid Table 4 Accent 4"/>
    <w:basedOn w:val="TableNormal"/>
    <w:uiPriority w:val="49"/>
    <w:rsid w:val="006A6533"/>
    <w:tblPr>
      <w:tblStyleRowBandSize w:val="1"/>
      <w:tblStyleColBandSize w:val="1"/>
      <w:tblBorders>
        <w:top w:val="single" w:sz="4" w:space="0" w:color="7DCBED" w:themeColor="accent4" w:themeTint="99"/>
        <w:left w:val="single" w:sz="4" w:space="0" w:color="7DCBED" w:themeColor="accent4" w:themeTint="99"/>
        <w:bottom w:val="single" w:sz="4" w:space="0" w:color="7DCBED" w:themeColor="accent4" w:themeTint="99"/>
        <w:right w:val="single" w:sz="4" w:space="0" w:color="7DCBED" w:themeColor="accent4" w:themeTint="99"/>
        <w:insideH w:val="single" w:sz="4" w:space="0" w:color="7DCBED" w:themeColor="accent4" w:themeTint="99"/>
        <w:insideV w:val="single" w:sz="4" w:space="0" w:color="7DCBED" w:themeColor="accent4" w:themeTint="99"/>
      </w:tblBorders>
    </w:tblPr>
    <w:tblStylePr w:type="firstRow">
      <w:rPr>
        <w:b/>
        <w:bCs/>
        <w:color w:val="FFFFFF" w:themeColor="background1"/>
      </w:rPr>
      <w:tblPr/>
      <w:tcPr>
        <w:tcBorders>
          <w:top w:val="single" w:sz="4" w:space="0" w:color="27AAE1" w:themeColor="accent4"/>
          <w:left w:val="single" w:sz="4" w:space="0" w:color="27AAE1" w:themeColor="accent4"/>
          <w:bottom w:val="single" w:sz="4" w:space="0" w:color="27AAE1" w:themeColor="accent4"/>
          <w:right w:val="single" w:sz="4" w:space="0" w:color="27AAE1" w:themeColor="accent4"/>
          <w:insideH w:val="nil"/>
          <w:insideV w:val="nil"/>
        </w:tcBorders>
        <w:shd w:val="clear" w:color="auto" w:fill="27AAE1" w:themeFill="accent4"/>
      </w:tcPr>
    </w:tblStylePr>
    <w:tblStylePr w:type="lastRow">
      <w:rPr>
        <w:b/>
        <w:bCs/>
      </w:rPr>
      <w:tblPr/>
      <w:tcPr>
        <w:tcBorders>
          <w:top w:val="double" w:sz="4" w:space="0" w:color="27AAE1" w:themeColor="accent4"/>
        </w:tcBorders>
      </w:tcPr>
    </w:tblStylePr>
    <w:tblStylePr w:type="firstCol">
      <w:rPr>
        <w:b/>
        <w:bCs/>
      </w:rPr>
    </w:tblStylePr>
    <w:tblStylePr w:type="lastCol">
      <w:rPr>
        <w:b/>
        <w:bCs/>
      </w:rPr>
    </w:tblStylePr>
    <w:tblStylePr w:type="band1Vert">
      <w:tblPr/>
      <w:tcPr>
        <w:shd w:val="clear" w:color="auto" w:fill="D3EDF9" w:themeFill="accent4" w:themeFillTint="33"/>
      </w:tcPr>
    </w:tblStylePr>
    <w:tblStylePr w:type="band1Horz">
      <w:tblPr/>
      <w:tcPr>
        <w:shd w:val="clear" w:color="auto" w:fill="D3EDF9" w:themeFill="accent4" w:themeFillTint="33"/>
      </w:tcPr>
    </w:tblStylePr>
  </w:style>
  <w:style w:type="table" w:styleId="GridTable4-Accent6">
    <w:name w:val="Grid Table 4 Accent 6"/>
    <w:basedOn w:val="TableNormal"/>
    <w:uiPriority w:val="49"/>
    <w:rsid w:val="006A6533"/>
    <w:tblPr>
      <w:tblStyleRowBandSize w:val="1"/>
      <w:tblStyleColBandSize w:val="1"/>
      <w:tblBorders>
        <w:top w:val="single" w:sz="4" w:space="0" w:color="5CD2FF" w:themeColor="accent6" w:themeTint="99"/>
        <w:left w:val="single" w:sz="4" w:space="0" w:color="5CD2FF" w:themeColor="accent6" w:themeTint="99"/>
        <w:bottom w:val="single" w:sz="4" w:space="0" w:color="5CD2FF" w:themeColor="accent6" w:themeTint="99"/>
        <w:right w:val="single" w:sz="4" w:space="0" w:color="5CD2FF" w:themeColor="accent6" w:themeTint="99"/>
        <w:insideH w:val="single" w:sz="4" w:space="0" w:color="5CD2FF" w:themeColor="accent6" w:themeTint="99"/>
        <w:insideV w:val="single" w:sz="4" w:space="0" w:color="5CD2FF" w:themeColor="accent6" w:themeTint="99"/>
      </w:tblBorders>
    </w:tblPr>
    <w:tblStylePr w:type="firstRow">
      <w:rPr>
        <w:b/>
        <w:bCs/>
        <w:color w:val="FFFFFF" w:themeColor="background1"/>
      </w:rPr>
      <w:tblPr/>
      <w:tcPr>
        <w:tcBorders>
          <w:top w:val="single" w:sz="4" w:space="0" w:color="00AEEF" w:themeColor="accent6"/>
          <w:left w:val="single" w:sz="4" w:space="0" w:color="00AEEF" w:themeColor="accent6"/>
          <w:bottom w:val="single" w:sz="4" w:space="0" w:color="00AEEF" w:themeColor="accent6"/>
          <w:right w:val="single" w:sz="4" w:space="0" w:color="00AEEF" w:themeColor="accent6"/>
          <w:insideH w:val="nil"/>
          <w:insideV w:val="nil"/>
        </w:tcBorders>
        <w:shd w:val="clear" w:color="auto" w:fill="00AEEF" w:themeFill="accent6"/>
      </w:tcPr>
    </w:tblStylePr>
    <w:tblStylePr w:type="lastRow">
      <w:rPr>
        <w:b/>
        <w:bCs/>
      </w:rPr>
      <w:tblPr/>
      <w:tcPr>
        <w:tcBorders>
          <w:top w:val="double" w:sz="4" w:space="0" w:color="00AEEF" w:themeColor="accent6"/>
        </w:tcBorders>
      </w:tcPr>
    </w:tblStylePr>
    <w:tblStylePr w:type="firstCol">
      <w:rPr>
        <w:b/>
        <w:bCs/>
      </w:rPr>
    </w:tblStylePr>
    <w:tblStylePr w:type="lastCol">
      <w:rPr>
        <w:b/>
        <w:bCs/>
      </w:rPr>
    </w:tblStylePr>
    <w:tblStylePr w:type="band1Vert">
      <w:tblPr/>
      <w:tcPr>
        <w:shd w:val="clear" w:color="auto" w:fill="C8F0FF" w:themeFill="accent6" w:themeFillTint="33"/>
      </w:tcPr>
    </w:tblStylePr>
    <w:tblStylePr w:type="band1Horz">
      <w:tblPr/>
      <w:tcPr>
        <w:shd w:val="clear" w:color="auto" w:fill="C8F0FF" w:themeFill="accent6" w:themeFillTint="33"/>
      </w:tcPr>
    </w:tblStylePr>
  </w:style>
  <w:style w:type="table" w:styleId="GridTable5Dark-Accent6">
    <w:name w:val="Grid Table 5 Dark Accent 6"/>
    <w:basedOn w:val="TableNormal"/>
    <w:uiPriority w:val="50"/>
    <w:rsid w:val="001451E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8F0FF"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EEF"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EEF"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EEF"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EEF" w:themeFill="accent6"/>
      </w:tcPr>
    </w:tblStylePr>
    <w:tblStylePr w:type="band1Vert">
      <w:tblPr/>
      <w:tcPr>
        <w:shd w:val="clear" w:color="auto" w:fill="92E1FF" w:themeFill="accent6" w:themeFillTint="66"/>
      </w:tcPr>
    </w:tblStylePr>
    <w:tblStylePr w:type="band1Horz">
      <w:tblPr/>
      <w:tcPr>
        <w:shd w:val="clear" w:color="auto" w:fill="92E1FF" w:themeFill="accent6" w:themeFillTint="66"/>
      </w:tcPr>
    </w:tblStylePr>
  </w:style>
  <w:style w:type="table" w:styleId="GridTable4">
    <w:name w:val="Grid Table 4"/>
    <w:basedOn w:val="TableNormal"/>
    <w:uiPriority w:val="49"/>
    <w:rsid w:val="00E11389"/>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E11389"/>
    <w:tblPr>
      <w:tblStyleRowBandSize w:val="1"/>
      <w:tblStyleColBandSize w:val="1"/>
      <w:tblBorders>
        <w:top w:val="single" w:sz="4" w:space="0" w:color="87A6AC" w:themeColor="accent1" w:themeTint="99"/>
        <w:left w:val="single" w:sz="4" w:space="0" w:color="87A6AC" w:themeColor="accent1" w:themeTint="99"/>
        <w:bottom w:val="single" w:sz="4" w:space="0" w:color="87A6AC" w:themeColor="accent1" w:themeTint="99"/>
        <w:right w:val="single" w:sz="4" w:space="0" w:color="87A6AC" w:themeColor="accent1" w:themeTint="99"/>
        <w:insideH w:val="single" w:sz="4" w:space="0" w:color="87A6AC" w:themeColor="accent1" w:themeTint="99"/>
        <w:insideV w:val="single" w:sz="4" w:space="0" w:color="87A6AC" w:themeColor="accent1" w:themeTint="99"/>
      </w:tblBorders>
    </w:tblPr>
    <w:tblStylePr w:type="firstRow">
      <w:rPr>
        <w:b/>
        <w:bCs/>
        <w:color w:val="FFFFFF" w:themeColor="background1"/>
      </w:rPr>
      <w:tblPr/>
      <w:tcPr>
        <w:tcBorders>
          <w:top w:val="single" w:sz="4" w:space="0" w:color="476166" w:themeColor="accent1"/>
          <w:left w:val="single" w:sz="4" w:space="0" w:color="476166" w:themeColor="accent1"/>
          <w:bottom w:val="single" w:sz="4" w:space="0" w:color="476166" w:themeColor="accent1"/>
          <w:right w:val="single" w:sz="4" w:space="0" w:color="476166" w:themeColor="accent1"/>
          <w:insideH w:val="nil"/>
          <w:insideV w:val="nil"/>
        </w:tcBorders>
        <w:shd w:val="clear" w:color="auto" w:fill="476166" w:themeFill="accent1"/>
      </w:tcPr>
    </w:tblStylePr>
    <w:tblStylePr w:type="lastRow">
      <w:rPr>
        <w:b/>
        <w:bCs/>
      </w:rPr>
      <w:tblPr/>
      <w:tcPr>
        <w:tcBorders>
          <w:top w:val="double" w:sz="4" w:space="0" w:color="476166" w:themeColor="accent1"/>
        </w:tcBorders>
      </w:tcPr>
    </w:tblStylePr>
    <w:tblStylePr w:type="firstCol">
      <w:rPr>
        <w:b/>
        <w:bCs/>
      </w:rPr>
    </w:tblStylePr>
    <w:tblStylePr w:type="lastCol">
      <w:rPr>
        <w:b/>
        <w:bCs/>
      </w:rPr>
    </w:tblStylePr>
    <w:tblStylePr w:type="band1Vert">
      <w:tblPr/>
      <w:tcPr>
        <w:shd w:val="clear" w:color="auto" w:fill="D7E1E3" w:themeFill="accent1" w:themeFillTint="33"/>
      </w:tcPr>
    </w:tblStylePr>
    <w:tblStylePr w:type="band1Horz">
      <w:tblPr/>
      <w:tcPr>
        <w:shd w:val="clear" w:color="auto" w:fill="D7E1E3" w:themeFill="accent1" w:themeFillTint="33"/>
      </w:tcPr>
    </w:tblStylePr>
  </w:style>
  <w:style w:type="paragraph" w:styleId="Title">
    <w:name w:val="Title"/>
    <w:basedOn w:val="Normal"/>
    <w:link w:val="TitleChar"/>
    <w:uiPriority w:val="10"/>
    <w:qFormat/>
    <w:rsid w:val="00BA6DAA"/>
    <w:pPr>
      <w:spacing w:before="100" w:beforeAutospacing="1" w:after="100" w:afterAutospacing="1"/>
    </w:pPr>
    <w:rPr>
      <w:rFonts w:ascii="Times New Roman" w:eastAsiaTheme="minorEastAsia" w:hAnsi="Times New Roman" w:cs="Times New Roman"/>
      <w:lang w:val="en-GB" w:eastAsia="en-GB"/>
    </w:rPr>
  </w:style>
  <w:style w:type="character" w:customStyle="1" w:styleId="TitleChar">
    <w:name w:val="Title Char"/>
    <w:basedOn w:val="DefaultParagraphFont"/>
    <w:link w:val="Title"/>
    <w:uiPriority w:val="10"/>
    <w:rsid w:val="00BA6DAA"/>
    <w:rPr>
      <w:rFonts w:ascii="Times New Roman" w:eastAsiaTheme="minorEastAsia" w:hAnsi="Times New Roman" w:cs="Times New Roman"/>
      <w:lang w:val="en-GB" w:eastAsia="en-GB"/>
    </w:rPr>
  </w:style>
  <w:style w:type="paragraph" w:styleId="Subtitle">
    <w:name w:val="Subtitle"/>
    <w:basedOn w:val="Normal"/>
    <w:link w:val="SubtitleChar"/>
    <w:uiPriority w:val="11"/>
    <w:qFormat/>
    <w:rsid w:val="00BA6DAA"/>
    <w:pPr>
      <w:spacing w:before="100" w:beforeAutospacing="1" w:after="100" w:afterAutospacing="1"/>
    </w:pPr>
    <w:rPr>
      <w:rFonts w:ascii="Times New Roman" w:eastAsiaTheme="minorEastAsia" w:hAnsi="Times New Roman" w:cs="Times New Roman"/>
      <w:lang w:val="en-GB" w:eastAsia="en-GB"/>
    </w:rPr>
  </w:style>
  <w:style w:type="character" w:customStyle="1" w:styleId="SubtitleChar">
    <w:name w:val="Subtitle Char"/>
    <w:basedOn w:val="DefaultParagraphFont"/>
    <w:link w:val="Subtitle"/>
    <w:uiPriority w:val="11"/>
    <w:rsid w:val="00BA6DAA"/>
    <w:rPr>
      <w:rFonts w:ascii="Times New Roman" w:eastAsiaTheme="minorEastAsia" w:hAnsi="Times New Roman" w:cs="Times New Roman"/>
      <w:lang w:val="en-GB" w:eastAsia="en-GB"/>
    </w:rPr>
  </w:style>
  <w:style w:type="table" w:styleId="PlainTable1">
    <w:name w:val="Plain Table 1"/>
    <w:basedOn w:val="TableNormal"/>
    <w:uiPriority w:val="41"/>
    <w:rsid w:val="002B49A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
    <w:name w:val="Grid Table 5 Dark"/>
    <w:basedOn w:val="TableNormal"/>
    <w:uiPriority w:val="50"/>
    <w:rsid w:val="00E066A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1Light-Accent1">
    <w:name w:val="List Table 1 Light Accent 1"/>
    <w:basedOn w:val="TableNormal"/>
    <w:uiPriority w:val="46"/>
    <w:rsid w:val="00E066A3"/>
    <w:tblPr>
      <w:tblStyleRowBandSize w:val="1"/>
      <w:tblStyleColBandSize w:val="1"/>
    </w:tblPr>
    <w:tblStylePr w:type="firstRow">
      <w:rPr>
        <w:b/>
        <w:bCs/>
      </w:rPr>
      <w:tblPr/>
      <w:tcPr>
        <w:tcBorders>
          <w:bottom w:val="single" w:sz="4" w:space="0" w:color="87A6AC" w:themeColor="accent1" w:themeTint="99"/>
        </w:tcBorders>
      </w:tcPr>
    </w:tblStylePr>
    <w:tblStylePr w:type="lastRow">
      <w:rPr>
        <w:b/>
        <w:bCs/>
      </w:rPr>
      <w:tblPr/>
      <w:tcPr>
        <w:tcBorders>
          <w:top w:val="single" w:sz="4" w:space="0" w:color="87A6AC" w:themeColor="accent1" w:themeTint="99"/>
        </w:tcBorders>
      </w:tcPr>
    </w:tblStylePr>
    <w:tblStylePr w:type="firstCol">
      <w:rPr>
        <w:b/>
        <w:bCs/>
      </w:rPr>
    </w:tblStylePr>
    <w:tblStylePr w:type="lastCol">
      <w:rPr>
        <w:b/>
        <w:bCs/>
      </w:rPr>
    </w:tblStylePr>
    <w:tblStylePr w:type="band1Vert">
      <w:tblPr/>
      <w:tcPr>
        <w:shd w:val="clear" w:color="auto" w:fill="D7E1E3" w:themeFill="accent1" w:themeFillTint="33"/>
      </w:tcPr>
    </w:tblStylePr>
    <w:tblStylePr w:type="band1Horz">
      <w:tblPr/>
      <w:tcPr>
        <w:shd w:val="clear" w:color="auto" w:fill="D7E1E3" w:themeFill="accent1" w:themeFillTint="33"/>
      </w:tcPr>
    </w:tblStylePr>
  </w:style>
  <w:style w:type="table" w:styleId="ListTable5Dark-Accent1">
    <w:name w:val="List Table 5 Dark Accent 1"/>
    <w:basedOn w:val="TableNormal"/>
    <w:uiPriority w:val="50"/>
    <w:rsid w:val="00E066A3"/>
    <w:rPr>
      <w:color w:val="FFFFFF" w:themeColor="background1"/>
    </w:rPr>
    <w:tblPr>
      <w:tblStyleRowBandSize w:val="1"/>
      <w:tblStyleColBandSize w:val="1"/>
      <w:tblBorders>
        <w:top w:val="single" w:sz="24" w:space="0" w:color="476166" w:themeColor="accent1"/>
        <w:left w:val="single" w:sz="24" w:space="0" w:color="476166" w:themeColor="accent1"/>
        <w:bottom w:val="single" w:sz="24" w:space="0" w:color="476166" w:themeColor="accent1"/>
        <w:right w:val="single" w:sz="24" w:space="0" w:color="476166" w:themeColor="accent1"/>
      </w:tblBorders>
    </w:tblPr>
    <w:tcPr>
      <w:shd w:val="clear" w:color="auto" w:fill="476166"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1">
    <w:name w:val="Grid Table 5 Dark Accent 1"/>
    <w:basedOn w:val="TableNormal"/>
    <w:uiPriority w:val="50"/>
    <w:rsid w:val="00803FF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1E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7616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7616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7616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76166" w:themeFill="accent1"/>
      </w:tcPr>
    </w:tblStylePr>
    <w:tblStylePr w:type="band1Vert">
      <w:tblPr/>
      <w:tcPr>
        <w:shd w:val="clear" w:color="auto" w:fill="AFC3C7" w:themeFill="accent1" w:themeFillTint="66"/>
      </w:tcPr>
    </w:tblStylePr>
    <w:tblStylePr w:type="band1Horz">
      <w:tblPr/>
      <w:tcPr>
        <w:shd w:val="clear" w:color="auto" w:fill="AFC3C7" w:themeFill="accent1" w:themeFillTint="66"/>
      </w:tcPr>
    </w:tblStylePr>
  </w:style>
  <w:style w:type="table" w:styleId="GridTable5Dark-Accent2">
    <w:name w:val="Grid Table 5 Dark Accent 2"/>
    <w:basedOn w:val="TableNormal"/>
    <w:uiPriority w:val="50"/>
    <w:rsid w:val="002037C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DD1F0"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B389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B389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B389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B3890" w:themeFill="accent2"/>
      </w:tcPr>
    </w:tblStylePr>
    <w:tblStylePr w:type="band1Vert">
      <w:tblPr/>
      <w:tcPr>
        <w:shd w:val="clear" w:color="auto" w:fill="9BA4E1" w:themeFill="accent2" w:themeFillTint="66"/>
      </w:tcPr>
    </w:tblStylePr>
    <w:tblStylePr w:type="band1Horz">
      <w:tblPr/>
      <w:tcPr>
        <w:shd w:val="clear" w:color="auto" w:fill="9BA4E1" w:themeFill="accent2" w:themeFillTint="66"/>
      </w:tcPr>
    </w:tblStylePr>
  </w:style>
  <w:style w:type="table" w:styleId="GridTable1Light-Accent6">
    <w:name w:val="Grid Table 1 Light Accent 6"/>
    <w:basedOn w:val="TableNormal"/>
    <w:uiPriority w:val="46"/>
    <w:rsid w:val="002037C5"/>
    <w:tblPr>
      <w:tblStyleRowBandSize w:val="1"/>
      <w:tblStyleColBandSize w:val="1"/>
      <w:tblBorders>
        <w:top w:val="single" w:sz="4" w:space="0" w:color="92E1FF" w:themeColor="accent6" w:themeTint="66"/>
        <w:left w:val="single" w:sz="4" w:space="0" w:color="92E1FF" w:themeColor="accent6" w:themeTint="66"/>
        <w:bottom w:val="single" w:sz="4" w:space="0" w:color="92E1FF" w:themeColor="accent6" w:themeTint="66"/>
        <w:right w:val="single" w:sz="4" w:space="0" w:color="92E1FF" w:themeColor="accent6" w:themeTint="66"/>
        <w:insideH w:val="single" w:sz="4" w:space="0" w:color="92E1FF" w:themeColor="accent6" w:themeTint="66"/>
        <w:insideV w:val="single" w:sz="4" w:space="0" w:color="92E1FF" w:themeColor="accent6" w:themeTint="66"/>
      </w:tblBorders>
    </w:tblPr>
    <w:tblStylePr w:type="firstRow">
      <w:rPr>
        <w:b/>
        <w:bCs/>
      </w:rPr>
      <w:tblPr/>
      <w:tcPr>
        <w:tcBorders>
          <w:bottom w:val="single" w:sz="12" w:space="0" w:color="5CD2FF" w:themeColor="accent6" w:themeTint="99"/>
        </w:tcBorders>
      </w:tcPr>
    </w:tblStylePr>
    <w:tblStylePr w:type="lastRow">
      <w:rPr>
        <w:b/>
        <w:bCs/>
      </w:rPr>
      <w:tblPr/>
      <w:tcPr>
        <w:tcBorders>
          <w:top w:val="double" w:sz="2" w:space="0" w:color="5CD2FF" w:themeColor="accent6" w:themeTint="99"/>
        </w:tcBorders>
      </w:tcPr>
    </w:tblStylePr>
    <w:tblStylePr w:type="firstCol">
      <w:rPr>
        <w:b/>
        <w:bCs/>
      </w:rPr>
    </w:tblStylePr>
    <w:tblStylePr w:type="lastCol">
      <w:rPr>
        <w:b/>
        <w:bCs/>
      </w:rPr>
    </w:tblStylePr>
  </w:style>
  <w:style w:type="table" w:styleId="ListTable5Dark-Accent5">
    <w:name w:val="List Table 5 Dark Accent 5"/>
    <w:basedOn w:val="TableNormal"/>
    <w:uiPriority w:val="50"/>
    <w:rsid w:val="002037C5"/>
    <w:rPr>
      <w:color w:val="FFFFFF" w:themeColor="background1"/>
    </w:rPr>
    <w:tblPr>
      <w:tblStyleRowBandSize w:val="1"/>
      <w:tblStyleColBandSize w:val="1"/>
      <w:tblBorders>
        <w:top w:val="single" w:sz="24" w:space="0" w:color="EBF1F7" w:themeColor="accent5"/>
        <w:left w:val="single" w:sz="24" w:space="0" w:color="EBF1F7" w:themeColor="accent5"/>
        <w:bottom w:val="single" w:sz="24" w:space="0" w:color="EBF1F7" w:themeColor="accent5"/>
        <w:right w:val="single" w:sz="24" w:space="0" w:color="EBF1F7" w:themeColor="accent5"/>
      </w:tblBorders>
    </w:tblPr>
    <w:tcPr>
      <w:shd w:val="clear" w:color="auto" w:fill="EBF1F7"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PlainTable5">
    <w:name w:val="Plain Table 5"/>
    <w:basedOn w:val="TableNormal"/>
    <w:uiPriority w:val="45"/>
    <w:rsid w:val="006D5044"/>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6D5044"/>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D103E4"/>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D103E4"/>
    <w:pPr>
      <w:spacing w:after="100"/>
    </w:pPr>
  </w:style>
  <w:style w:type="paragraph" w:styleId="TOC2">
    <w:name w:val="toc 2"/>
    <w:basedOn w:val="Normal"/>
    <w:next w:val="Normal"/>
    <w:autoRedefine/>
    <w:uiPriority w:val="39"/>
    <w:rsid w:val="00D103E4"/>
    <w:pPr>
      <w:spacing w:after="100"/>
      <w:ind w:left="240"/>
    </w:pPr>
  </w:style>
  <w:style w:type="paragraph" w:styleId="TOC3">
    <w:name w:val="toc 3"/>
    <w:basedOn w:val="Normal"/>
    <w:next w:val="Normal"/>
    <w:autoRedefine/>
    <w:uiPriority w:val="39"/>
    <w:rsid w:val="00D103E4"/>
    <w:pPr>
      <w:spacing w:after="100"/>
      <w:ind w:left="480"/>
    </w:pPr>
  </w:style>
  <w:style w:type="character" w:styleId="Hyperlink">
    <w:name w:val="Hyperlink"/>
    <w:basedOn w:val="DefaultParagraphFont"/>
    <w:uiPriority w:val="99"/>
    <w:unhideWhenUsed/>
    <w:rsid w:val="00D103E4"/>
    <w:rPr>
      <w:color w:val="0000FF" w:themeColor="hyperlink"/>
      <w:u w:val="single"/>
    </w:rPr>
  </w:style>
  <w:style w:type="table" w:styleId="GridTable5Dark-Accent3">
    <w:name w:val="Grid Table 5 Dark Accent 3"/>
    <w:basedOn w:val="TableNormal"/>
    <w:uiPriority w:val="50"/>
    <w:rsid w:val="00E56FF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BE3F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C75BC"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C75BC"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C75BC"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C75BC" w:themeFill="accent3"/>
      </w:tcPr>
    </w:tblStylePr>
    <w:tblStylePr w:type="band1Vert">
      <w:tblPr/>
      <w:tcPr>
        <w:shd w:val="clear" w:color="auto" w:fill="98C8EF" w:themeFill="accent3" w:themeFillTint="66"/>
      </w:tcPr>
    </w:tblStylePr>
    <w:tblStylePr w:type="band1Horz">
      <w:tblPr/>
      <w:tcPr>
        <w:shd w:val="clear" w:color="auto" w:fill="98C8EF" w:themeFill="accent3" w:themeFillTint="66"/>
      </w:tcPr>
    </w:tblStylePr>
  </w:style>
  <w:style w:type="paragraph" w:styleId="NoSpacing">
    <w:name w:val="No Spacing"/>
    <w:link w:val="NoSpacingChar"/>
    <w:uiPriority w:val="1"/>
    <w:qFormat/>
    <w:rsid w:val="0084301B"/>
    <w:rPr>
      <w:rFonts w:eastAsiaTheme="minorEastAsia"/>
      <w:sz w:val="22"/>
      <w:szCs w:val="22"/>
    </w:rPr>
  </w:style>
  <w:style w:type="character" w:customStyle="1" w:styleId="NoSpacingChar">
    <w:name w:val="No Spacing Char"/>
    <w:basedOn w:val="DefaultParagraphFont"/>
    <w:link w:val="NoSpacing"/>
    <w:uiPriority w:val="1"/>
    <w:rsid w:val="0084301B"/>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diagramData" Target="diagrams/data1.xml"/><Relationship Id="rId10" Type="http://schemas.openxmlformats.org/officeDocument/2006/relationships/footnotes" Target="foot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cid:image001.png@01D0EA4A.2BD679A0"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dmi\AppData\Roaming\Microsoft\Templates\Modern%20student%20report.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89CBAB-EE2C-4B9D-A5B2-FBEB5D0D3326}" type="doc">
      <dgm:prSet loTypeId="urn:microsoft.com/office/officeart/2005/8/layout/matrix1" loCatId="matrix" qsTypeId="urn:microsoft.com/office/officeart/2005/8/quickstyle/3d3" qsCatId="3D" csTypeId="urn:microsoft.com/office/officeart/2005/8/colors/accent1_2" csCatId="accent1" phldr="1"/>
      <dgm:spPr/>
      <dgm:t>
        <a:bodyPr/>
        <a:lstStyle/>
        <a:p>
          <a:endParaRPr lang="en-GB"/>
        </a:p>
      </dgm:t>
    </dgm:pt>
    <dgm:pt modelId="{53B81D5A-7CE7-490F-A49A-784C27F9BF0F}">
      <dgm:prSet phldrT="[Text]" custT="1"/>
      <dgm:spPr/>
      <dgm:t>
        <a:bodyPr/>
        <a:lstStyle/>
        <a:p>
          <a:r>
            <a:rPr lang="en-GB" sz="1600" b="1">
              <a:latin typeface="Arial" panose="020B0604020202020204" pitchFamily="34" charset="0"/>
              <a:cs typeface="Arial" panose="020B0604020202020204" pitchFamily="34" charset="0"/>
            </a:rPr>
            <a:t>Concepts and Strategies </a:t>
          </a:r>
        </a:p>
      </dgm:t>
    </dgm:pt>
    <dgm:pt modelId="{6A9E24F5-6802-44C5-A68B-A5222CAB5F2A}" type="parTrans" cxnId="{EC7F398A-BED8-4F14-9DA6-937E1BBF6F85}">
      <dgm:prSet/>
      <dgm:spPr/>
      <dgm:t>
        <a:bodyPr/>
        <a:lstStyle/>
        <a:p>
          <a:endParaRPr lang="en-GB"/>
        </a:p>
      </dgm:t>
    </dgm:pt>
    <dgm:pt modelId="{548DEEB4-79F3-44D0-9EB0-DCC38FDFE052}" type="sibTrans" cxnId="{EC7F398A-BED8-4F14-9DA6-937E1BBF6F85}">
      <dgm:prSet/>
      <dgm:spPr/>
      <dgm:t>
        <a:bodyPr/>
        <a:lstStyle/>
        <a:p>
          <a:endParaRPr lang="en-GB"/>
        </a:p>
      </dgm:t>
    </dgm:pt>
    <dgm:pt modelId="{B80292D8-0EA3-4883-801F-7C2081084D4B}">
      <dgm:prSet phldrT="[Text]" custT="1"/>
      <dgm:spPr/>
      <dgm:t>
        <a:bodyPr/>
        <a:lstStyle/>
        <a:p>
          <a:pPr algn="ctr"/>
          <a:r>
            <a:rPr lang="en-GB" sz="1200" b="1">
              <a:latin typeface="Arial" panose="020B0604020202020204" pitchFamily="34" charset="0"/>
              <a:cs typeface="Arial" panose="020B0604020202020204" pitchFamily="34" charset="0"/>
            </a:rPr>
            <a:t>Market Penetration</a:t>
          </a:r>
          <a:r>
            <a:rPr lang="en-GB" sz="1100"/>
            <a:t>:</a:t>
          </a:r>
        </a:p>
        <a:p>
          <a:pPr algn="ctr"/>
          <a:endParaRPr lang="en-GB" sz="1100"/>
        </a:p>
        <a:p>
          <a:pPr algn="just"/>
          <a:r>
            <a:rPr lang="en-US" sz="1100"/>
            <a:t> </a:t>
          </a:r>
          <a:r>
            <a:rPr lang="en-US" sz="1100">
              <a:latin typeface="Arial" panose="020B0604020202020204" pitchFamily="34" charset="0"/>
              <a:cs typeface="Arial" panose="020B0604020202020204" pitchFamily="34" charset="0"/>
            </a:rPr>
            <a:t>Is a growth strategy where a business tries to increase its share in existing markets. This can be done with more effective marketing, changing prices, or improving how products reach customers. Innocent Drinks already has strong brand awareness in the UK and Europe. While more advertising could help attract new customers, the smoothie market in these regions is already crowded and mature. As a result, the opportunity for growth through market penetration may be limited. According to Euromonitor (2023), the smoothie category is not growing quickly in these markets.</a:t>
          </a:r>
          <a:endParaRPr lang="en-GB" sz="1100">
            <a:latin typeface="Arial" panose="020B0604020202020204" pitchFamily="34" charset="0"/>
            <a:cs typeface="Arial" panose="020B0604020202020204" pitchFamily="34" charset="0"/>
          </a:endParaRPr>
        </a:p>
      </dgm:t>
    </dgm:pt>
    <dgm:pt modelId="{FF4B4D7C-D5B4-4999-89A2-A270C28ED9EA}" type="parTrans" cxnId="{5923A31F-1806-4968-89DF-F20D35DB34D1}">
      <dgm:prSet/>
      <dgm:spPr/>
      <dgm:t>
        <a:bodyPr/>
        <a:lstStyle/>
        <a:p>
          <a:endParaRPr lang="en-GB"/>
        </a:p>
      </dgm:t>
    </dgm:pt>
    <dgm:pt modelId="{C4962505-DF31-4482-B338-6368B2EF1924}" type="sibTrans" cxnId="{5923A31F-1806-4968-89DF-F20D35DB34D1}">
      <dgm:prSet/>
      <dgm:spPr/>
      <dgm:t>
        <a:bodyPr/>
        <a:lstStyle/>
        <a:p>
          <a:endParaRPr lang="en-GB"/>
        </a:p>
      </dgm:t>
    </dgm:pt>
    <dgm:pt modelId="{660413B1-A716-4117-8D89-92AE046E73B7}">
      <dgm:prSet phldrT="[Text]" custT="1"/>
      <dgm:spPr/>
      <dgm:t>
        <a:bodyPr/>
        <a:lstStyle/>
        <a:p>
          <a:pPr algn="ctr"/>
          <a:r>
            <a:rPr lang="en-GB" sz="1200" b="1">
              <a:latin typeface="Arial" panose="020B0604020202020204" pitchFamily="34" charset="0"/>
              <a:cs typeface="Arial" panose="020B0604020202020204" pitchFamily="34" charset="0"/>
            </a:rPr>
            <a:t>Product Developement:</a:t>
          </a:r>
        </a:p>
        <a:p>
          <a:pPr algn="ctr"/>
          <a:endParaRPr lang="en-GB" sz="1200" b="1">
            <a:latin typeface="Arial" panose="020B0604020202020204" pitchFamily="34" charset="0"/>
            <a:cs typeface="Arial" panose="020B0604020202020204" pitchFamily="34" charset="0"/>
          </a:endParaRPr>
        </a:p>
        <a:p>
          <a:pPr algn="just"/>
          <a:r>
            <a:rPr lang="en-GB" sz="1100">
              <a:latin typeface="Arial" panose="020B0604020202020204" pitchFamily="34" charset="0"/>
              <a:cs typeface="Arial" panose="020B0604020202020204" pitchFamily="34" charset="0"/>
            </a:rPr>
            <a:t> I</a:t>
          </a:r>
          <a:r>
            <a:rPr lang="en-US" sz="1100">
              <a:latin typeface="Arial" panose="020B0604020202020204" pitchFamily="34" charset="0"/>
              <a:cs typeface="Arial" panose="020B0604020202020204" pitchFamily="34" charset="0"/>
            </a:rPr>
            <a:t>s about creating new products for markets where the business already operates. For Innocent Drinks, this could mean making new types of drinks, such as smoothies with added vitamins, protein drinks, or probiotic beverages that help with immunity and digestion. Consumers are increasingly interested in health and wellness, which has made functional drinks popular (Mintel, 2023). By developing new products that meet these needs, Innocent Drinks can use its trusted brand to appeal to customers looking for healthier options</a:t>
          </a:r>
          <a:endParaRPr lang="en-GB" sz="1100">
            <a:latin typeface="Arial" panose="020B0604020202020204" pitchFamily="34" charset="0"/>
            <a:cs typeface="Arial" panose="020B0604020202020204" pitchFamily="34" charset="0"/>
          </a:endParaRPr>
        </a:p>
      </dgm:t>
    </dgm:pt>
    <dgm:pt modelId="{0DCFDEF9-018A-4EB7-90F5-F8FD8FE0AD06}" type="parTrans" cxnId="{CBA80BBD-7C93-4C70-9784-D46A96B0DED4}">
      <dgm:prSet/>
      <dgm:spPr/>
      <dgm:t>
        <a:bodyPr/>
        <a:lstStyle/>
        <a:p>
          <a:endParaRPr lang="en-GB"/>
        </a:p>
      </dgm:t>
    </dgm:pt>
    <dgm:pt modelId="{32F1DFD1-A8D2-4D6A-95FB-E49597FB18B7}" type="sibTrans" cxnId="{CBA80BBD-7C93-4C70-9784-D46A96B0DED4}">
      <dgm:prSet/>
      <dgm:spPr/>
      <dgm:t>
        <a:bodyPr/>
        <a:lstStyle/>
        <a:p>
          <a:endParaRPr lang="en-GB"/>
        </a:p>
      </dgm:t>
    </dgm:pt>
    <dgm:pt modelId="{8134EE48-853A-4EB7-BD06-8271BB06C89C}">
      <dgm:prSet phldrT="[Text]"/>
      <dgm:spPr/>
      <dgm:t>
        <a:bodyPr/>
        <a:lstStyle/>
        <a:p>
          <a:pPr algn="ctr"/>
          <a:r>
            <a:rPr lang="en-GB" b="1">
              <a:latin typeface="Arial" panose="020B0604020202020204" pitchFamily="34" charset="0"/>
              <a:cs typeface="Arial" panose="020B0604020202020204" pitchFamily="34" charset="0"/>
            </a:rPr>
            <a:t>Market Developement:</a:t>
          </a:r>
        </a:p>
        <a:p>
          <a:pPr algn="ctr"/>
          <a:endParaRPr lang="en-GB" b="1">
            <a:latin typeface="Arial" panose="020B0604020202020204" pitchFamily="34" charset="0"/>
            <a:cs typeface="Arial" panose="020B0604020202020204" pitchFamily="34" charset="0"/>
          </a:endParaRPr>
        </a:p>
        <a:p>
          <a:pPr algn="just"/>
          <a:r>
            <a:rPr lang="en-US">
              <a:latin typeface="Arial" panose="020B0604020202020204" pitchFamily="34" charset="0"/>
              <a:cs typeface="Arial" panose="020B0604020202020204" pitchFamily="34" charset="0"/>
            </a:rPr>
            <a:t>Means selling existing products in new markets. Innocent Drinks already sells in several European countries, but there are opportunities to enter new regions. For example, Asia-Pacific and North America have seen a rise in the popularity of plant-based and natural drinks (Statista, 2024). By expanding into these areas, Innocent Drinks could grow its business internationally and reach more customers</a:t>
          </a:r>
          <a:r>
            <a:rPr lang="en-US"/>
            <a:t>.</a:t>
          </a:r>
          <a:endParaRPr lang="en-GB"/>
        </a:p>
        <a:p>
          <a:pPr algn="ctr"/>
          <a:endParaRPr lang="en-GB"/>
        </a:p>
      </dgm:t>
    </dgm:pt>
    <dgm:pt modelId="{DA4173AE-C01A-4EE1-AB56-976DFF7901FA}" type="parTrans" cxnId="{84201495-502F-4563-B3F5-BB1BACBCD860}">
      <dgm:prSet/>
      <dgm:spPr/>
      <dgm:t>
        <a:bodyPr/>
        <a:lstStyle/>
        <a:p>
          <a:endParaRPr lang="en-GB"/>
        </a:p>
      </dgm:t>
    </dgm:pt>
    <dgm:pt modelId="{B060F51B-D9FC-4D44-8D2A-3F612F80F089}" type="sibTrans" cxnId="{84201495-502F-4563-B3F5-BB1BACBCD860}">
      <dgm:prSet/>
      <dgm:spPr/>
      <dgm:t>
        <a:bodyPr/>
        <a:lstStyle/>
        <a:p>
          <a:endParaRPr lang="en-GB"/>
        </a:p>
      </dgm:t>
    </dgm:pt>
    <dgm:pt modelId="{85937E59-08EF-4180-AA25-1FF543CE6107}">
      <dgm:prSet phldrT="[Text]"/>
      <dgm:spPr/>
      <dgm:t>
        <a:bodyPr/>
        <a:lstStyle/>
        <a:p>
          <a:pPr algn="ctr"/>
          <a:r>
            <a:rPr lang="en-GB" b="1">
              <a:latin typeface="Arial" panose="020B0604020202020204" pitchFamily="34" charset="0"/>
              <a:cs typeface="Arial" panose="020B0604020202020204" pitchFamily="34" charset="0"/>
            </a:rPr>
            <a:t>Diversification:</a:t>
          </a:r>
        </a:p>
        <a:p>
          <a:pPr algn="ctr"/>
          <a:endParaRPr lang="en-GB" b="1">
            <a:latin typeface="Arial" panose="020B0604020202020204" pitchFamily="34" charset="0"/>
            <a:cs typeface="Arial" panose="020B0604020202020204" pitchFamily="34" charset="0"/>
          </a:endParaRPr>
        </a:p>
        <a:p>
          <a:pPr algn="just"/>
          <a:r>
            <a:rPr lang="en-US">
              <a:latin typeface="Arial" panose="020B0604020202020204" pitchFamily="34" charset="0"/>
              <a:cs typeface="Arial" panose="020B0604020202020204" pitchFamily="34" charset="0"/>
            </a:rPr>
            <a:t>Diversification is when a company creates new products for new markets. This strategy can bring high rewards, but it is also risky because the company may not know much about the new market or product type (Johnson, Scholes &amp; Whittington, 2017). For Innocent Drinks, moving away from its main focus on healthy beverages could weaken its brand and confuse customers about what the company stands for.</a:t>
          </a:r>
          <a:endParaRPr lang="en-GB">
            <a:latin typeface="Arial" panose="020B0604020202020204" pitchFamily="34" charset="0"/>
            <a:cs typeface="Arial" panose="020B0604020202020204" pitchFamily="34" charset="0"/>
          </a:endParaRPr>
        </a:p>
        <a:p>
          <a:pPr algn="ctr"/>
          <a:endParaRPr lang="en-GB"/>
        </a:p>
      </dgm:t>
    </dgm:pt>
    <dgm:pt modelId="{86DD4292-FBCE-4598-B803-0005EB400304}" type="parTrans" cxnId="{90E8283C-2FAF-4E39-81D1-9C3070F03C4F}">
      <dgm:prSet/>
      <dgm:spPr/>
      <dgm:t>
        <a:bodyPr/>
        <a:lstStyle/>
        <a:p>
          <a:endParaRPr lang="en-GB"/>
        </a:p>
      </dgm:t>
    </dgm:pt>
    <dgm:pt modelId="{91C9994F-1D0E-4621-900C-87D4218A1FCA}" type="sibTrans" cxnId="{90E8283C-2FAF-4E39-81D1-9C3070F03C4F}">
      <dgm:prSet/>
      <dgm:spPr/>
      <dgm:t>
        <a:bodyPr/>
        <a:lstStyle/>
        <a:p>
          <a:endParaRPr lang="en-GB"/>
        </a:p>
      </dgm:t>
    </dgm:pt>
    <dgm:pt modelId="{59C28291-F720-4B78-A1ED-436FB1B5E8EB}">
      <dgm:prSet/>
      <dgm:spPr/>
    </dgm:pt>
    <dgm:pt modelId="{D7E4A1D0-F97A-4C23-A4AE-539A30DC0E77}" type="parTrans" cxnId="{1DEA4754-E137-4794-BE79-5DDED35EB959}">
      <dgm:prSet/>
      <dgm:spPr/>
      <dgm:t>
        <a:bodyPr/>
        <a:lstStyle/>
        <a:p>
          <a:endParaRPr lang="en-GB"/>
        </a:p>
      </dgm:t>
    </dgm:pt>
    <dgm:pt modelId="{42EA34C4-3B04-47AE-B466-329EB2D05B16}" type="sibTrans" cxnId="{1DEA4754-E137-4794-BE79-5DDED35EB959}">
      <dgm:prSet/>
      <dgm:spPr/>
      <dgm:t>
        <a:bodyPr/>
        <a:lstStyle/>
        <a:p>
          <a:endParaRPr lang="en-GB"/>
        </a:p>
      </dgm:t>
    </dgm:pt>
    <dgm:pt modelId="{52A90DDB-F5F1-4B5C-B8F6-E5BF005EA483}" type="pres">
      <dgm:prSet presAssocID="{C389CBAB-EE2C-4B9D-A5B2-FBEB5D0D3326}" presName="diagram" presStyleCnt="0">
        <dgm:presLayoutVars>
          <dgm:chMax val="1"/>
          <dgm:dir/>
          <dgm:animLvl val="ctr"/>
          <dgm:resizeHandles val="exact"/>
        </dgm:presLayoutVars>
      </dgm:prSet>
      <dgm:spPr/>
    </dgm:pt>
    <dgm:pt modelId="{0EC80ADC-5C3E-48AC-936B-AFCF18F90B05}" type="pres">
      <dgm:prSet presAssocID="{C389CBAB-EE2C-4B9D-A5B2-FBEB5D0D3326}" presName="matrix" presStyleCnt="0"/>
      <dgm:spPr/>
    </dgm:pt>
    <dgm:pt modelId="{62F36926-999F-401F-8507-CF06CD34CBD7}" type="pres">
      <dgm:prSet presAssocID="{C389CBAB-EE2C-4B9D-A5B2-FBEB5D0D3326}" presName="tile1" presStyleLbl="node1" presStyleIdx="0" presStyleCnt="4"/>
      <dgm:spPr/>
    </dgm:pt>
    <dgm:pt modelId="{0E496839-8155-46A7-8933-59AC32901203}" type="pres">
      <dgm:prSet presAssocID="{C389CBAB-EE2C-4B9D-A5B2-FBEB5D0D3326}" presName="tile1text" presStyleLbl="node1" presStyleIdx="0" presStyleCnt="4">
        <dgm:presLayoutVars>
          <dgm:chMax val="0"/>
          <dgm:chPref val="0"/>
          <dgm:bulletEnabled val="1"/>
        </dgm:presLayoutVars>
      </dgm:prSet>
      <dgm:spPr/>
    </dgm:pt>
    <dgm:pt modelId="{8CF158F9-E882-4F86-B92B-DAB9207FDA95}" type="pres">
      <dgm:prSet presAssocID="{C389CBAB-EE2C-4B9D-A5B2-FBEB5D0D3326}" presName="tile2" presStyleLbl="node1" presStyleIdx="1" presStyleCnt="4"/>
      <dgm:spPr/>
    </dgm:pt>
    <dgm:pt modelId="{A491B7A3-FE30-46C3-B400-0F50F6BCA586}" type="pres">
      <dgm:prSet presAssocID="{C389CBAB-EE2C-4B9D-A5B2-FBEB5D0D3326}" presName="tile2text" presStyleLbl="node1" presStyleIdx="1" presStyleCnt="4">
        <dgm:presLayoutVars>
          <dgm:chMax val="0"/>
          <dgm:chPref val="0"/>
          <dgm:bulletEnabled val="1"/>
        </dgm:presLayoutVars>
      </dgm:prSet>
      <dgm:spPr/>
    </dgm:pt>
    <dgm:pt modelId="{5A67224C-C278-4156-8925-AA9CC8820744}" type="pres">
      <dgm:prSet presAssocID="{C389CBAB-EE2C-4B9D-A5B2-FBEB5D0D3326}" presName="tile3" presStyleLbl="node1" presStyleIdx="2" presStyleCnt="4"/>
      <dgm:spPr/>
    </dgm:pt>
    <dgm:pt modelId="{9A27D79C-DB30-4A9D-91F5-611CBB2BA892}" type="pres">
      <dgm:prSet presAssocID="{C389CBAB-EE2C-4B9D-A5B2-FBEB5D0D3326}" presName="tile3text" presStyleLbl="node1" presStyleIdx="2" presStyleCnt="4">
        <dgm:presLayoutVars>
          <dgm:chMax val="0"/>
          <dgm:chPref val="0"/>
          <dgm:bulletEnabled val="1"/>
        </dgm:presLayoutVars>
      </dgm:prSet>
      <dgm:spPr/>
    </dgm:pt>
    <dgm:pt modelId="{D09E3FB3-01C2-43E0-8D85-FF8573BB788D}" type="pres">
      <dgm:prSet presAssocID="{C389CBAB-EE2C-4B9D-A5B2-FBEB5D0D3326}" presName="tile4" presStyleLbl="node1" presStyleIdx="3" presStyleCnt="4"/>
      <dgm:spPr/>
    </dgm:pt>
    <dgm:pt modelId="{A40A6D6C-08F2-4EF3-ABBF-77CBCD5AACCE}" type="pres">
      <dgm:prSet presAssocID="{C389CBAB-EE2C-4B9D-A5B2-FBEB5D0D3326}" presName="tile4text" presStyleLbl="node1" presStyleIdx="3" presStyleCnt="4">
        <dgm:presLayoutVars>
          <dgm:chMax val="0"/>
          <dgm:chPref val="0"/>
          <dgm:bulletEnabled val="1"/>
        </dgm:presLayoutVars>
      </dgm:prSet>
      <dgm:spPr/>
    </dgm:pt>
    <dgm:pt modelId="{3124A726-50CF-4DAA-A02C-3AA5F89C959D}" type="pres">
      <dgm:prSet presAssocID="{C389CBAB-EE2C-4B9D-A5B2-FBEB5D0D3326}" presName="centerTile" presStyleLbl="fgShp" presStyleIdx="0" presStyleCnt="1">
        <dgm:presLayoutVars>
          <dgm:chMax val="0"/>
          <dgm:chPref val="0"/>
        </dgm:presLayoutVars>
      </dgm:prSet>
      <dgm:spPr/>
    </dgm:pt>
  </dgm:ptLst>
  <dgm:cxnLst>
    <dgm:cxn modelId="{5923A31F-1806-4968-89DF-F20D35DB34D1}" srcId="{53B81D5A-7CE7-490F-A49A-784C27F9BF0F}" destId="{B80292D8-0EA3-4883-801F-7C2081084D4B}" srcOrd="0" destOrd="0" parTransId="{FF4B4D7C-D5B4-4999-89A2-A270C28ED9EA}" sibTransId="{C4962505-DF31-4482-B338-6368B2EF1924}"/>
    <dgm:cxn modelId="{90E8283C-2FAF-4E39-81D1-9C3070F03C4F}" srcId="{53B81D5A-7CE7-490F-A49A-784C27F9BF0F}" destId="{85937E59-08EF-4180-AA25-1FF543CE6107}" srcOrd="3" destOrd="0" parTransId="{86DD4292-FBCE-4598-B803-0005EB400304}" sibTransId="{91C9994F-1D0E-4621-900C-87D4218A1FCA}"/>
    <dgm:cxn modelId="{7B3EDE63-0D8B-4066-B942-1237EB2F6515}" type="presOf" srcId="{C389CBAB-EE2C-4B9D-A5B2-FBEB5D0D3326}" destId="{52A90DDB-F5F1-4B5C-B8F6-E5BF005EA483}" srcOrd="0" destOrd="0" presId="urn:microsoft.com/office/officeart/2005/8/layout/matrix1"/>
    <dgm:cxn modelId="{1A0B0246-9F9B-4C01-A0F4-AA7640C1FE1A}" type="presOf" srcId="{53B81D5A-7CE7-490F-A49A-784C27F9BF0F}" destId="{3124A726-50CF-4DAA-A02C-3AA5F89C959D}" srcOrd="0" destOrd="0" presId="urn:microsoft.com/office/officeart/2005/8/layout/matrix1"/>
    <dgm:cxn modelId="{3039C851-6068-4554-B776-B980B1831E97}" type="presOf" srcId="{8134EE48-853A-4EB7-BD06-8271BB06C89C}" destId="{5A67224C-C278-4156-8925-AA9CC8820744}" srcOrd="0" destOrd="0" presId="urn:microsoft.com/office/officeart/2005/8/layout/matrix1"/>
    <dgm:cxn modelId="{1DEA4754-E137-4794-BE79-5DDED35EB959}" srcId="{C389CBAB-EE2C-4B9D-A5B2-FBEB5D0D3326}" destId="{59C28291-F720-4B78-A1ED-436FB1B5E8EB}" srcOrd="1" destOrd="0" parTransId="{D7E4A1D0-F97A-4C23-A4AE-539A30DC0E77}" sibTransId="{42EA34C4-3B04-47AE-B466-329EB2D05B16}"/>
    <dgm:cxn modelId="{2FCF7D56-17D4-46DA-A7C3-65ACC7FE9B88}" type="presOf" srcId="{B80292D8-0EA3-4883-801F-7C2081084D4B}" destId="{62F36926-999F-401F-8507-CF06CD34CBD7}" srcOrd="0" destOrd="0" presId="urn:microsoft.com/office/officeart/2005/8/layout/matrix1"/>
    <dgm:cxn modelId="{E0FB7D7F-A582-42E3-A847-2A5C2E1BECB0}" type="presOf" srcId="{85937E59-08EF-4180-AA25-1FF543CE6107}" destId="{D09E3FB3-01C2-43E0-8D85-FF8573BB788D}" srcOrd="0" destOrd="0" presId="urn:microsoft.com/office/officeart/2005/8/layout/matrix1"/>
    <dgm:cxn modelId="{EC7F398A-BED8-4F14-9DA6-937E1BBF6F85}" srcId="{C389CBAB-EE2C-4B9D-A5B2-FBEB5D0D3326}" destId="{53B81D5A-7CE7-490F-A49A-784C27F9BF0F}" srcOrd="0" destOrd="0" parTransId="{6A9E24F5-6802-44C5-A68B-A5222CAB5F2A}" sibTransId="{548DEEB4-79F3-44D0-9EB0-DCC38FDFE052}"/>
    <dgm:cxn modelId="{84201495-502F-4563-B3F5-BB1BACBCD860}" srcId="{53B81D5A-7CE7-490F-A49A-784C27F9BF0F}" destId="{8134EE48-853A-4EB7-BD06-8271BB06C89C}" srcOrd="2" destOrd="0" parTransId="{DA4173AE-C01A-4EE1-AB56-976DFF7901FA}" sibTransId="{B060F51B-D9FC-4D44-8D2A-3F612F80F089}"/>
    <dgm:cxn modelId="{07B33B97-17E6-4B8E-B9C8-E7DF0F3ED202}" type="presOf" srcId="{660413B1-A716-4117-8D89-92AE046E73B7}" destId="{A491B7A3-FE30-46C3-B400-0F50F6BCA586}" srcOrd="1" destOrd="0" presId="urn:microsoft.com/office/officeart/2005/8/layout/matrix1"/>
    <dgm:cxn modelId="{6A807D99-F934-448E-BC0F-3A67DB970BB3}" type="presOf" srcId="{85937E59-08EF-4180-AA25-1FF543CE6107}" destId="{A40A6D6C-08F2-4EF3-ABBF-77CBCD5AACCE}" srcOrd="1" destOrd="0" presId="urn:microsoft.com/office/officeart/2005/8/layout/matrix1"/>
    <dgm:cxn modelId="{FF6F1A9C-A4E1-4D13-8AF6-0D50F1A39B7E}" type="presOf" srcId="{8134EE48-853A-4EB7-BD06-8271BB06C89C}" destId="{9A27D79C-DB30-4A9D-91F5-611CBB2BA892}" srcOrd="1" destOrd="0" presId="urn:microsoft.com/office/officeart/2005/8/layout/matrix1"/>
    <dgm:cxn modelId="{CBA80BBD-7C93-4C70-9784-D46A96B0DED4}" srcId="{53B81D5A-7CE7-490F-A49A-784C27F9BF0F}" destId="{660413B1-A716-4117-8D89-92AE046E73B7}" srcOrd="1" destOrd="0" parTransId="{0DCFDEF9-018A-4EB7-90F5-F8FD8FE0AD06}" sibTransId="{32F1DFD1-A8D2-4D6A-95FB-E49597FB18B7}"/>
    <dgm:cxn modelId="{891ACDED-EC4F-4859-9D98-B3496CB4407C}" type="presOf" srcId="{660413B1-A716-4117-8D89-92AE046E73B7}" destId="{8CF158F9-E882-4F86-B92B-DAB9207FDA95}" srcOrd="0" destOrd="0" presId="urn:microsoft.com/office/officeart/2005/8/layout/matrix1"/>
    <dgm:cxn modelId="{D7B476EF-2555-4870-96CB-EFD602E2F66E}" type="presOf" srcId="{B80292D8-0EA3-4883-801F-7C2081084D4B}" destId="{0E496839-8155-46A7-8933-59AC32901203}" srcOrd="1" destOrd="0" presId="urn:microsoft.com/office/officeart/2005/8/layout/matrix1"/>
    <dgm:cxn modelId="{AC2DD4DD-D433-435F-BACD-AE1912823A75}" type="presParOf" srcId="{52A90DDB-F5F1-4B5C-B8F6-E5BF005EA483}" destId="{0EC80ADC-5C3E-48AC-936B-AFCF18F90B05}" srcOrd="0" destOrd="0" presId="urn:microsoft.com/office/officeart/2005/8/layout/matrix1"/>
    <dgm:cxn modelId="{CD501316-40CF-42E3-A70E-E52E14DD0893}" type="presParOf" srcId="{0EC80ADC-5C3E-48AC-936B-AFCF18F90B05}" destId="{62F36926-999F-401F-8507-CF06CD34CBD7}" srcOrd="0" destOrd="0" presId="urn:microsoft.com/office/officeart/2005/8/layout/matrix1"/>
    <dgm:cxn modelId="{75C620D8-6915-4DF9-B624-3D57CA7DFC68}" type="presParOf" srcId="{0EC80ADC-5C3E-48AC-936B-AFCF18F90B05}" destId="{0E496839-8155-46A7-8933-59AC32901203}" srcOrd="1" destOrd="0" presId="urn:microsoft.com/office/officeart/2005/8/layout/matrix1"/>
    <dgm:cxn modelId="{4798C68E-6CC9-4340-B89E-970F3686C81C}" type="presParOf" srcId="{0EC80ADC-5C3E-48AC-936B-AFCF18F90B05}" destId="{8CF158F9-E882-4F86-B92B-DAB9207FDA95}" srcOrd="2" destOrd="0" presId="urn:microsoft.com/office/officeart/2005/8/layout/matrix1"/>
    <dgm:cxn modelId="{13F9501F-144E-4A05-99CE-03A7DF2B28C4}" type="presParOf" srcId="{0EC80ADC-5C3E-48AC-936B-AFCF18F90B05}" destId="{A491B7A3-FE30-46C3-B400-0F50F6BCA586}" srcOrd="3" destOrd="0" presId="urn:microsoft.com/office/officeart/2005/8/layout/matrix1"/>
    <dgm:cxn modelId="{0AB5DAA7-C44E-4726-BFA0-FAF6A42C8702}" type="presParOf" srcId="{0EC80ADC-5C3E-48AC-936B-AFCF18F90B05}" destId="{5A67224C-C278-4156-8925-AA9CC8820744}" srcOrd="4" destOrd="0" presId="urn:microsoft.com/office/officeart/2005/8/layout/matrix1"/>
    <dgm:cxn modelId="{A6672EB1-779C-48FB-AA4B-2AB2EFF7EA0A}" type="presParOf" srcId="{0EC80ADC-5C3E-48AC-936B-AFCF18F90B05}" destId="{9A27D79C-DB30-4A9D-91F5-611CBB2BA892}" srcOrd="5" destOrd="0" presId="urn:microsoft.com/office/officeart/2005/8/layout/matrix1"/>
    <dgm:cxn modelId="{82351EBB-103F-47BC-9D97-87CFC2657F31}" type="presParOf" srcId="{0EC80ADC-5C3E-48AC-936B-AFCF18F90B05}" destId="{D09E3FB3-01C2-43E0-8D85-FF8573BB788D}" srcOrd="6" destOrd="0" presId="urn:microsoft.com/office/officeart/2005/8/layout/matrix1"/>
    <dgm:cxn modelId="{ECD2B2C4-2E76-4487-98D5-CD74706972AB}" type="presParOf" srcId="{0EC80ADC-5C3E-48AC-936B-AFCF18F90B05}" destId="{A40A6D6C-08F2-4EF3-ABBF-77CBCD5AACCE}" srcOrd="7" destOrd="0" presId="urn:microsoft.com/office/officeart/2005/8/layout/matrix1"/>
    <dgm:cxn modelId="{42887620-9102-4559-A96B-C18645A17B20}" type="presParOf" srcId="{52A90DDB-F5F1-4B5C-B8F6-E5BF005EA483}" destId="{3124A726-50CF-4DAA-A02C-3AA5F89C959D}" srcOrd="1" destOrd="0" presId="urn:microsoft.com/office/officeart/2005/8/layout/matrix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F36926-999F-401F-8507-CF06CD34CBD7}">
      <dsp:nvSpPr>
        <dsp:cNvPr id="0" name=""/>
        <dsp:cNvSpPr/>
      </dsp:nvSpPr>
      <dsp:spPr>
        <a:xfrm rot="16200000">
          <a:off x="174961" y="-174961"/>
          <a:ext cx="3083560" cy="3433482"/>
        </a:xfrm>
        <a:prstGeom prst="round1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Market Penetration</a:t>
          </a:r>
          <a:r>
            <a:rPr lang="en-GB" sz="1100" kern="1200"/>
            <a:t>:</a:t>
          </a:r>
        </a:p>
        <a:p>
          <a:pPr marL="0" lvl="0" indent="0" algn="ctr" defTabSz="533400">
            <a:lnSpc>
              <a:spcPct val="90000"/>
            </a:lnSpc>
            <a:spcBef>
              <a:spcPct val="0"/>
            </a:spcBef>
            <a:spcAft>
              <a:spcPct val="35000"/>
            </a:spcAft>
            <a:buNone/>
          </a:pPr>
          <a:endParaRPr lang="en-GB" sz="1100" kern="1200"/>
        </a:p>
        <a:p>
          <a:pPr marL="0" lvl="0" indent="0" algn="just" defTabSz="533400">
            <a:lnSpc>
              <a:spcPct val="90000"/>
            </a:lnSpc>
            <a:spcBef>
              <a:spcPct val="0"/>
            </a:spcBef>
            <a:spcAft>
              <a:spcPct val="35000"/>
            </a:spcAft>
            <a:buNone/>
          </a:pPr>
          <a:r>
            <a:rPr lang="en-US" sz="1100" kern="1200"/>
            <a:t> </a:t>
          </a:r>
          <a:r>
            <a:rPr lang="en-US" sz="1100" kern="1200">
              <a:latin typeface="Arial" panose="020B0604020202020204" pitchFamily="34" charset="0"/>
              <a:cs typeface="Arial" panose="020B0604020202020204" pitchFamily="34" charset="0"/>
            </a:rPr>
            <a:t>Is a growth strategy where a business tries to increase its share in existing markets. This can be done with more effective marketing, changing prices, or improving how products reach customers. Innocent Drinks already has strong brand awareness in the UK and Europe. While more advertising could help attract new customers, the smoothie market in these regions is already crowded and mature. As a result, the opportunity for growth through market penetration may be limited. According to Euromonitor (2023), the smoothie category is not growing quickly in these markets.</a:t>
          </a:r>
          <a:endParaRPr lang="en-GB" sz="1100" kern="1200">
            <a:latin typeface="Arial" panose="020B0604020202020204" pitchFamily="34" charset="0"/>
            <a:cs typeface="Arial" panose="020B0604020202020204" pitchFamily="34" charset="0"/>
          </a:endParaRPr>
        </a:p>
      </dsp:txBody>
      <dsp:txXfrm rot="5400000">
        <a:off x="0" y="0"/>
        <a:ext cx="3433482" cy="2312670"/>
      </dsp:txXfrm>
    </dsp:sp>
    <dsp:sp modelId="{8CF158F9-E882-4F86-B92B-DAB9207FDA95}">
      <dsp:nvSpPr>
        <dsp:cNvPr id="0" name=""/>
        <dsp:cNvSpPr/>
      </dsp:nvSpPr>
      <dsp:spPr>
        <a:xfrm>
          <a:off x="3433482" y="0"/>
          <a:ext cx="3433482" cy="3083560"/>
        </a:xfrm>
        <a:prstGeom prst="round1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Product Developement:</a:t>
          </a:r>
        </a:p>
        <a:p>
          <a:pPr marL="0" lvl="0" indent="0" algn="ctr" defTabSz="533400">
            <a:lnSpc>
              <a:spcPct val="90000"/>
            </a:lnSpc>
            <a:spcBef>
              <a:spcPct val="0"/>
            </a:spcBef>
            <a:spcAft>
              <a:spcPct val="35000"/>
            </a:spcAft>
            <a:buNone/>
          </a:pPr>
          <a:endParaRPr lang="en-GB" sz="1200" b="1" kern="1200">
            <a:latin typeface="Arial" panose="020B0604020202020204" pitchFamily="34" charset="0"/>
            <a:cs typeface="Arial" panose="020B0604020202020204" pitchFamily="34" charset="0"/>
          </a:endParaRPr>
        </a:p>
        <a:p>
          <a:pPr marL="0" lvl="0" indent="0" algn="just"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I</a:t>
          </a:r>
          <a:r>
            <a:rPr lang="en-US" sz="1100" kern="1200">
              <a:latin typeface="Arial" panose="020B0604020202020204" pitchFamily="34" charset="0"/>
              <a:cs typeface="Arial" panose="020B0604020202020204" pitchFamily="34" charset="0"/>
            </a:rPr>
            <a:t>s about creating new products for markets where the business already operates. For Innocent Drinks, this could mean making new types of drinks, such as smoothies with added vitamins, protein drinks, or probiotic beverages that help with immunity and digestion. Consumers are increasingly interested in health and wellness, which has made functional drinks popular (Mintel, 2023). By developing new products that meet these needs, Innocent Drinks can use its trusted brand to appeal to customers looking for healthier options</a:t>
          </a:r>
          <a:endParaRPr lang="en-GB" sz="1100" kern="1200">
            <a:latin typeface="Arial" panose="020B0604020202020204" pitchFamily="34" charset="0"/>
            <a:cs typeface="Arial" panose="020B0604020202020204" pitchFamily="34" charset="0"/>
          </a:endParaRPr>
        </a:p>
      </dsp:txBody>
      <dsp:txXfrm>
        <a:off x="3433482" y="0"/>
        <a:ext cx="3433482" cy="2312670"/>
      </dsp:txXfrm>
    </dsp:sp>
    <dsp:sp modelId="{5A67224C-C278-4156-8925-AA9CC8820744}">
      <dsp:nvSpPr>
        <dsp:cNvPr id="0" name=""/>
        <dsp:cNvSpPr/>
      </dsp:nvSpPr>
      <dsp:spPr>
        <a:xfrm rot="10800000">
          <a:off x="0" y="3083560"/>
          <a:ext cx="3433482" cy="3083560"/>
        </a:xfrm>
        <a:prstGeom prst="round1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Market Developement:</a:t>
          </a:r>
        </a:p>
        <a:p>
          <a:pPr marL="0" lvl="0" indent="0" algn="ctr" defTabSz="533400">
            <a:lnSpc>
              <a:spcPct val="90000"/>
            </a:lnSpc>
            <a:spcBef>
              <a:spcPct val="0"/>
            </a:spcBef>
            <a:spcAft>
              <a:spcPct val="35000"/>
            </a:spcAft>
            <a:buNone/>
          </a:pPr>
          <a:endParaRPr lang="en-GB" sz="1200" b="1" kern="1200">
            <a:latin typeface="Arial" panose="020B0604020202020204" pitchFamily="34" charset="0"/>
            <a:cs typeface="Arial" panose="020B0604020202020204" pitchFamily="34" charset="0"/>
          </a:endParaRPr>
        </a:p>
        <a:p>
          <a:pPr marL="0" lvl="0" indent="0" algn="just"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Means selling existing products in new markets. Innocent Drinks already sells in several European countries, but there are opportunities to enter new regions. For example, Asia-Pacific and North America have seen a rise in the popularity of plant-based and natural drinks (Statista, 2024). By expanding into these areas, Innocent Drinks could grow its business internationally and reach more customers</a:t>
          </a:r>
          <a:r>
            <a:rPr lang="en-US" sz="1200" kern="1200"/>
            <a:t>.</a:t>
          </a:r>
          <a:endParaRPr lang="en-GB" sz="1200" kern="1200"/>
        </a:p>
        <a:p>
          <a:pPr marL="0" lvl="0" indent="0" algn="ctr" defTabSz="533400">
            <a:lnSpc>
              <a:spcPct val="90000"/>
            </a:lnSpc>
            <a:spcBef>
              <a:spcPct val="0"/>
            </a:spcBef>
            <a:spcAft>
              <a:spcPct val="35000"/>
            </a:spcAft>
            <a:buNone/>
          </a:pPr>
          <a:endParaRPr lang="en-GB" sz="1200" kern="1200"/>
        </a:p>
      </dsp:txBody>
      <dsp:txXfrm rot="10800000">
        <a:off x="0" y="3854450"/>
        <a:ext cx="3433482" cy="2312670"/>
      </dsp:txXfrm>
    </dsp:sp>
    <dsp:sp modelId="{D09E3FB3-01C2-43E0-8D85-FF8573BB788D}">
      <dsp:nvSpPr>
        <dsp:cNvPr id="0" name=""/>
        <dsp:cNvSpPr/>
      </dsp:nvSpPr>
      <dsp:spPr>
        <a:xfrm rot="5400000">
          <a:off x="3608443" y="2908598"/>
          <a:ext cx="3083560" cy="3433482"/>
        </a:xfrm>
        <a:prstGeom prst="round1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Diversification:</a:t>
          </a:r>
        </a:p>
        <a:p>
          <a:pPr marL="0" lvl="0" indent="0" algn="ctr" defTabSz="533400">
            <a:lnSpc>
              <a:spcPct val="90000"/>
            </a:lnSpc>
            <a:spcBef>
              <a:spcPct val="0"/>
            </a:spcBef>
            <a:spcAft>
              <a:spcPct val="35000"/>
            </a:spcAft>
            <a:buNone/>
          </a:pPr>
          <a:endParaRPr lang="en-GB" sz="1200" b="1" kern="1200">
            <a:latin typeface="Arial" panose="020B0604020202020204" pitchFamily="34" charset="0"/>
            <a:cs typeface="Arial" panose="020B0604020202020204" pitchFamily="34" charset="0"/>
          </a:endParaRPr>
        </a:p>
        <a:p>
          <a:pPr marL="0" lvl="0" indent="0" algn="just"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Diversification is when a company creates new products for new markets. This strategy can bring high rewards, but it is also risky because the company may not know much about the new market or product type (Johnson, Scholes &amp; Whittington, 2017). For Innocent Drinks, moving away from its main focus on healthy beverages could weaken its brand and confuse customers about what the company stands for.</a:t>
          </a:r>
          <a:endParaRPr lang="en-GB" sz="1200"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GB" sz="1200" kern="1200"/>
        </a:p>
      </dsp:txBody>
      <dsp:txXfrm rot="-5400000">
        <a:off x="3433482" y="3854449"/>
        <a:ext cx="3433482" cy="2312670"/>
      </dsp:txXfrm>
    </dsp:sp>
    <dsp:sp modelId="{3124A726-50CF-4DAA-A02C-3AA5F89C959D}">
      <dsp:nvSpPr>
        <dsp:cNvPr id="0" name=""/>
        <dsp:cNvSpPr/>
      </dsp:nvSpPr>
      <dsp:spPr>
        <a:xfrm>
          <a:off x="2403437" y="2312670"/>
          <a:ext cx="2060089" cy="1541780"/>
        </a:xfrm>
        <a:prstGeom prst="roundRect">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Concepts and Strategies </a:t>
          </a:r>
        </a:p>
      </dsp:txBody>
      <dsp:txXfrm>
        <a:off x="2478700" y="2387933"/>
        <a:ext cx="1909563" cy="139125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Assignment Title:	Individual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EE4F67-B1F7-49EE-9E64-9B41914C7C02}">
  <ds:schemaRefs>
    <ds:schemaRef ds:uri="http://schemas.openxmlformats.org/officeDocument/2006/bibliography"/>
  </ds:schemaRefs>
</ds:datastoreItem>
</file>

<file path=customXml/itemProps3.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5.xml><?xml version="1.0" encoding="utf-8"?>
<ds:datastoreItem xmlns:ds="http://schemas.openxmlformats.org/officeDocument/2006/customXml" ds:itemID="{E5839996-CCC2-4B4B-BB45-A9C641419A3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Template>
  <TotalTime>0</TotalTime>
  <Pages>18</Pages>
  <Words>4046</Words>
  <Characters>23067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Individual Report of</dc:title>
  <dc:subject>Innocent Drink</dc:subject>
  <dc:creator>Student: Aldmira da Mota (2322676) Lecture: Yohan Mendis</dc:creator>
  <cp:keywords/>
  <dc:description/>
  <cp:lastModifiedBy>Aldmira Mota</cp:lastModifiedBy>
  <cp:revision>2</cp:revision>
  <dcterms:created xsi:type="dcterms:W3CDTF">2026-03-11T00:47:00Z</dcterms:created>
  <dcterms:modified xsi:type="dcterms:W3CDTF">2026-03-11T00:47:00Z</dcterms:modified>
  <cp:category>Module: Strategic Management for Business (LCLM  6001)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