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93F06" w14:textId="3EC3B7EA" w:rsidR="00A929BF" w:rsidRDefault="009C180C">
      <w:r>
        <w:rPr>
          <w:noProof/>
        </w:rPr>
        <w:drawing>
          <wp:inline distT="0" distB="0" distL="0" distR="0" wp14:anchorId="7573671E" wp14:editId="036D7F63">
            <wp:extent cx="2867634" cy="1938020"/>
            <wp:effectExtent l="0" t="0" r="9525" b="5080"/>
            <wp:docPr id="1570775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775834" name="Picture 1570775834"/>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71390" cy="1940558"/>
                    </a:xfrm>
                    <a:prstGeom prst="rect">
                      <a:avLst/>
                    </a:prstGeom>
                  </pic:spPr>
                </pic:pic>
              </a:graphicData>
            </a:graphic>
          </wp:inline>
        </w:drawing>
      </w:r>
    </w:p>
    <w:p w14:paraId="2EB45975" w14:textId="77777777" w:rsidR="009C180C" w:rsidRDefault="009C180C"/>
    <w:p w14:paraId="2C2D289D" w14:textId="77777777" w:rsidR="009C180C" w:rsidRDefault="009C180C"/>
    <w:p w14:paraId="38D30B61" w14:textId="52B5041A" w:rsidR="009C180C" w:rsidRPr="009C180C" w:rsidRDefault="009C180C" w:rsidP="009C180C">
      <w:pPr>
        <w:jc w:val="center"/>
        <w:rPr>
          <w:b/>
          <w:bCs/>
          <w:sz w:val="32"/>
          <w:szCs w:val="32"/>
        </w:rPr>
      </w:pPr>
      <w:r w:rsidRPr="009C180C">
        <w:rPr>
          <w:b/>
          <w:bCs/>
          <w:sz w:val="32"/>
          <w:szCs w:val="32"/>
        </w:rPr>
        <w:t>STUDENT NAME: RALUCA IOANA SERBAN</w:t>
      </w:r>
    </w:p>
    <w:p w14:paraId="0B042DA3" w14:textId="63190A82" w:rsidR="009C180C" w:rsidRPr="009C180C" w:rsidRDefault="009C180C" w:rsidP="009C180C">
      <w:pPr>
        <w:jc w:val="center"/>
        <w:rPr>
          <w:b/>
          <w:bCs/>
          <w:sz w:val="32"/>
          <w:szCs w:val="32"/>
        </w:rPr>
      </w:pPr>
      <w:r w:rsidRPr="009C180C">
        <w:rPr>
          <w:b/>
          <w:bCs/>
          <w:sz w:val="32"/>
          <w:szCs w:val="32"/>
        </w:rPr>
        <w:t>STUDENT ID: 2213917</w:t>
      </w:r>
    </w:p>
    <w:p w14:paraId="11A403D9" w14:textId="15AD5E2E" w:rsidR="009C180C" w:rsidRPr="009C180C" w:rsidRDefault="009C180C" w:rsidP="009C180C">
      <w:pPr>
        <w:jc w:val="center"/>
        <w:rPr>
          <w:b/>
          <w:bCs/>
          <w:sz w:val="32"/>
          <w:szCs w:val="32"/>
        </w:rPr>
      </w:pPr>
      <w:r w:rsidRPr="009C180C">
        <w:rPr>
          <w:b/>
          <w:bCs/>
          <w:sz w:val="32"/>
          <w:szCs w:val="32"/>
        </w:rPr>
        <w:t>MODULE CODE: LCBB6015</w:t>
      </w:r>
    </w:p>
    <w:p w14:paraId="015AA77E" w14:textId="03CD38CF" w:rsidR="009C180C" w:rsidRDefault="009C180C" w:rsidP="009C180C">
      <w:pPr>
        <w:jc w:val="center"/>
        <w:rPr>
          <w:b/>
          <w:bCs/>
          <w:sz w:val="32"/>
          <w:szCs w:val="32"/>
        </w:rPr>
      </w:pPr>
      <w:r w:rsidRPr="009C180C">
        <w:rPr>
          <w:b/>
          <w:bCs/>
          <w:sz w:val="32"/>
          <w:szCs w:val="32"/>
        </w:rPr>
        <w:t>WORDS: 2,000</w:t>
      </w:r>
    </w:p>
    <w:p w14:paraId="797A89AB" w14:textId="77777777" w:rsidR="009C180C" w:rsidRDefault="009C180C" w:rsidP="009C180C">
      <w:pPr>
        <w:rPr>
          <w:b/>
          <w:bCs/>
          <w:sz w:val="32"/>
          <w:szCs w:val="32"/>
        </w:rPr>
      </w:pPr>
    </w:p>
    <w:p w14:paraId="1ACAF3FF" w14:textId="77777777" w:rsidR="009C180C" w:rsidRDefault="009C180C" w:rsidP="009C180C">
      <w:pPr>
        <w:jc w:val="center"/>
        <w:rPr>
          <w:b/>
          <w:bCs/>
          <w:sz w:val="32"/>
          <w:szCs w:val="32"/>
        </w:rPr>
      </w:pPr>
    </w:p>
    <w:p w14:paraId="11887CDA" w14:textId="77777777" w:rsidR="009C180C" w:rsidRDefault="009C180C" w:rsidP="009C180C">
      <w:pPr>
        <w:jc w:val="center"/>
        <w:rPr>
          <w:b/>
          <w:bCs/>
          <w:sz w:val="32"/>
          <w:szCs w:val="32"/>
        </w:rPr>
      </w:pPr>
    </w:p>
    <w:p w14:paraId="45927465" w14:textId="77777777" w:rsidR="009C180C" w:rsidRDefault="009C180C" w:rsidP="009C180C">
      <w:pPr>
        <w:jc w:val="center"/>
        <w:rPr>
          <w:b/>
          <w:bCs/>
          <w:sz w:val="32"/>
          <w:szCs w:val="32"/>
        </w:rPr>
      </w:pPr>
    </w:p>
    <w:p w14:paraId="65272C2A" w14:textId="77777777" w:rsidR="009C180C" w:rsidRDefault="009C180C" w:rsidP="009C180C">
      <w:pPr>
        <w:jc w:val="center"/>
        <w:rPr>
          <w:b/>
          <w:bCs/>
          <w:sz w:val="32"/>
          <w:szCs w:val="32"/>
        </w:rPr>
      </w:pPr>
    </w:p>
    <w:p w14:paraId="788356EB" w14:textId="77777777" w:rsidR="009C180C" w:rsidRDefault="009C180C" w:rsidP="009C180C">
      <w:pPr>
        <w:jc w:val="center"/>
        <w:rPr>
          <w:b/>
          <w:bCs/>
          <w:sz w:val="32"/>
          <w:szCs w:val="32"/>
        </w:rPr>
      </w:pPr>
    </w:p>
    <w:p w14:paraId="60373F22" w14:textId="77777777" w:rsidR="009C180C" w:rsidRDefault="009C180C" w:rsidP="009C180C">
      <w:pPr>
        <w:jc w:val="center"/>
        <w:rPr>
          <w:b/>
          <w:bCs/>
          <w:sz w:val="32"/>
          <w:szCs w:val="32"/>
        </w:rPr>
      </w:pPr>
    </w:p>
    <w:p w14:paraId="758A2F5E" w14:textId="77777777" w:rsidR="009C180C" w:rsidRDefault="009C180C" w:rsidP="009C180C">
      <w:pPr>
        <w:jc w:val="center"/>
        <w:rPr>
          <w:b/>
          <w:bCs/>
          <w:sz w:val="32"/>
          <w:szCs w:val="32"/>
        </w:rPr>
      </w:pPr>
    </w:p>
    <w:p w14:paraId="57CEDA5F" w14:textId="77777777" w:rsidR="009C180C" w:rsidRDefault="009C180C" w:rsidP="009C180C">
      <w:pPr>
        <w:jc w:val="center"/>
        <w:rPr>
          <w:b/>
          <w:bCs/>
          <w:sz w:val="32"/>
          <w:szCs w:val="32"/>
        </w:rPr>
      </w:pPr>
    </w:p>
    <w:p w14:paraId="47D29364" w14:textId="77777777" w:rsidR="009C180C" w:rsidRDefault="009C180C" w:rsidP="009C180C">
      <w:pPr>
        <w:jc w:val="center"/>
        <w:rPr>
          <w:b/>
          <w:bCs/>
          <w:sz w:val="32"/>
          <w:szCs w:val="32"/>
        </w:rPr>
      </w:pPr>
    </w:p>
    <w:p w14:paraId="20CA2A06" w14:textId="77777777" w:rsidR="009C180C" w:rsidRDefault="009C180C" w:rsidP="009C180C">
      <w:pPr>
        <w:jc w:val="center"/>
        <w:rPr>
          <w:b/>
          <w:bCs/>
          <w:sz w:val="32"/>
          <w:szCs w:val="32"/>
        </w:rPr>
      </w:pPr>
    </w:p>
    <w:p w14:paraId="4C8BEB0B" w14:textId="77777777" w:rsidR="009C180C" w:rsidRDefault="009C180C" w:rsidP="009C180C">
      <w:pPr>
        <w:jc w:val="center"/>
        <w:rPr>
          <w:b/>
          <w:bCs/>
          <w:sz w:val="32"/>
          <w:szCs w:val="32"/>
        </w:rPr>
      </w:pPr>
    </w:p>
    <w:sdt>
      <w:sdtPr>
        <w:id w:val="-101036185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2C5A1B7" w14:textId="02F09080" w:rsidR="003B0D58" w:rsidRDefault="003B0D58">
          <w:pPr>
            <w:pStyle w:val="TOCHeading"/>
          </w:pPr>
          <w:r>
            <w:t>Table of Contents</w:t>
          </w:r>
        </w:p>
        <w:p w14:paraId="28037773" w14:textId="11079AC6" w:rsidR="003B0D58" w:rsidRDefault="003B0D58">
          <w:pPr>
            <w:pStyle w:val="TOC2"/>
            <w:tabs>
              <w:tab w:val="right" w:leader="dot" w:pos="9016"/>
            </w:tabs>
            <w:rPr>
              <w:noProof/>
            </w:rPr>
          </w:pPr>
          <w:r>
            <w:fldChar w:fldCharType="begin"/>
          </w:r>
          <w:r>
            <w:instrText xml:space="preserve"> TOC \o "1-3" \h \z \u </w:instrText>
          </w:r>
          <w:r>
            <w:fldChar w:fldCharType="separate"/>
          </w:r>
          <w:hyperlink w:anchor="_Toc235783650" w:history="1">
            <w:r w:rsidRPr="00265FB6">
              <w:rPr>
                <w:rStyle w:val="Hyperlink"/>
                <w:noProof/>
              </w:rPr>
              <w:t>Executive Summary</w:t>
            </w:r>
            <w:r>
              <w:rPr>
                <w:noProof/>
                <w:webHidden/>
              </w:rPr>
              <w:tab/>
            </w:r>
            <w:r>
              <w:rPr>
                <w:noProof/>
                <w:webHidden/>
              </w:rPr>
              <w:fldChar w:fldCharType="begin"/>
            </w:r>
            <w:r>
              <w:rPr>
                <w:noProof/>
                <w:webHidden/>
              </w:rPr>
              <w:instrText xml:space="preserve"> PAGEREF _Toc235783650 \h </w:instrText>
            </w:r>
            <w:r>
              <w:rPr>
                <w:noProof/>
                <w:webHidden/>
              </w:rPr>
            </w:r>
            <w:r>
              <w:rPr>
                <w:noProof/>
                <w:webHidden/>
              </w:rPr>
              <w:fldChar w:fldCharType="separate"/>
            </w:r>
            <w:r>
              <w:rPr>
                <w:noProof/>
                <w:webHidden/>
              </w:rPr>
              <w:t>3</w:t>
            </w:r>
            <w:r>
              <w:rPr>
                <w:noProof/>
                <w:webHidden/>
              </w:rPr>
              <w:fldChar w:fldCharType="end"/>
            </w:r>
          </w:hyperlink>
        </w:p>
        <w:p w14:paraId="280A4D06" w14:textId="26DD0217" w:rsidR="003B0D58" w:rsidRDefault="003B0D58">
          <w:pPr>
            <w:pStyle w:val="TOC2"/>
            <w:tabs>
              <w:tab w:val="right" w:leader="dot" w:pos="9016"/>
            </w:tabs>
            <w:rPr>
              <w:noProof/>
            </w:rPr>
          </w:pPr>
          <w:hyperlink w:anchor="_Toc235783651" w:history="1">
            <w:r w:rsidRPr="00265FB6">
              <w:rPr>
                <w:rStyle w:val="Hyperlink"/>
                <w:noProof/>
              </w:rPr>
              <w:t>Introduction</w:t>
            </w:r>
            <w:r>
              <w:rPr>
                <w:noProof/>
                <w:webHidden/>
              </w:rPr>
              <w:tab/>
            </w:r>
            <w:r>
              <w:rPr>
                <w:noProof/>
                <w:webHidden/>
              </w:rPr>
              <w:fldChar w:fldCharType="begin"/>
            </w:r>
            <w:r>
              <w:rPr>
                <w:noProof/>
                <w:webHidden/>
              </w:rPr>
              <w:instrText xml:space="preserve"> PAGEREF _Toc235783651 \h </w:instrText>
            </w:r>
            <w:r>
              <w:rPr>
                <w:noProof/>
                <w:webHidden/>
              </w:rPr>
            </w:r>
            <w:r>
              <w:rPr>
                <w:noProof/>
                <w:webHidden/>
              </w:rPr>
              <w:fldChar w:fldCharType="separate"/>
            </w:r>
            <w:r>
              <w:rPr>
                <w:noProof/>
                <w:webHidden/>
              </w:rPr>
              <w:t>4</w:t>
            </w:r>
            <w:r>
              <w:rPr>
                <w:noProof/>
                <w:webHidden/>
              </w:rPr>
              <w:fldChar w:fldCharType="end"/>
            </w:r>
          </w:hyperlink>
        </w:p>
        <w:p w14:paraId="2E399548" w14:textId="05C18F6E" w:rsidR="003B0D58" w:rsidRDefault="003B0D58">
          <w:pPr>
            <w:pStyle w:val="TOC2"/>
            <w:tabs>
              <w:tab w:val="right" w:leader="dot" w:pos="9016"/>
            </w:tabs>
            <w:rPr>
              <w:noProof/>
            </w:rPr>
          </w:pPr>
          <w:hyperlink w:anchor="_Toc235783652" w:history="1">
            <w:r w:rsidRPr="00265FB6">
              <w:rPr>
                <w:rStyle w:val="Hyperlink"/>
                <w:noProof/>
              </w:rPr>
              <w:t>Overview and background of Porsche AG</w:t>
            </w:r>
            <w:r>
              <w:rPr>
                <w:noProof/>
                <w:webHidden/>
              </w:rPr>
              <w:tab/>
            </w:r>
            <w:r>
              <w:rPr>
                <w:noProof/>
                <w:webHidden/>
              </w:rPr>
              <w:fldChar w:fldCharType="begin"/>
            </w:r>
            <w:r>
              <w:rPr>
                <w:noProof/>
                <w:webHidden/>
              </w:rPr>
              <w:instrText xml:space="preserve"> PAGEREF _Toc235783652 \h </w:instrText>
            </w:r>
            <w:r>
              <w:rPr>
                <w:noProof/>
                <w:webHidden/>
              </w:rPr>
            </w:r>
            <w:r>
              <w:rPr>
                <w:noProof/>
                <w:webHidden/>
              </w:rPr>
              <w:fldChar w:fldCharType="separate"/>
            </w:r>
            <w:r>
              <w:rPr>
                <w:noProof/>
                <w:webHidden/>
              </w:rPr>
              <w:t>5</w:t>
            </w:r>
            <w:r>
              <w:rPr>
                <w:noProof/>
                <w:webHidden/>
              </w:rPr>
              <w:fldChar w:fldCharType="end"/>
            </w:r>
          </w:hyperlink>
        </w:p>
        <w:p w14:paraId="7220A42D" w14:textId="63EDCF00" w:rsidR="003B0D58" w:rsidRDefault="003B0D58">
          <w:pPr>
            <w:pStyle w:val="TOC2"/>
            <w:tabs>
              <w:tab w:val="right" w:leader="dot" w:pos="9016"/>
            </w:tabs>
            <w:rPr>
              <w:noProof/>
            </w:rPr>
          </w:pPr>
          <w:hyperlink w:anchor="_Toc235783653" w:history="1">
            <w:r w:rsidRPr="00265FB6">
              <w:rPr>
                <w:rStyle w:val="Hyperlink"/>
                <w:noProof/>
              </w:rPr>
              <w:t>Strategic Intent: Vision, Mission and Objectives</w:t>
            </w:r>
            <w:r>
              <w:rPr>
                <w:noProof/>
                <w:webHidden/>
              </w:rPr>
              <w:tab/>
            </w:r>
            <w:r>
              <w:rPr>
                <w:noProof/>
                <w:webHidden/>
              </w:rPr>
              <w:fldChar w:fldCharType="begin"/>
            </w:r>
            <w:r>
              <w:rPr>
                <w:noProof/>
                <w:webHidden/>
              </w:rPr>
              <w:instrText xml:space="preserve"> PAGEREF _Toc235783653 \h </w:instrText>
            </w:r>
            <w:r>
              <w:rPr>
                <w:noProof/>
                <w:webHidden/>
              </w:rPr>
            </w:r>
            <w:r>
              <w:rPr>
                <w:noProof/>
                <w:webHidden/>
              </w:rPr>
              <w:fldChar w:fldCharType="separate"/>
            </w:r>
            <w:r>
              <w:rPr>
                <w:noProof/>
                <w:webHidden/>
              </w:rPr>
              <w:t>6</w:t>
            </w:r>
            <w:r>
              <w:rPr>
                <w:noProof/>
                <w:webHidden/>
              </w:rPr>
              <w:fldChar w:fldCharType="end"/>
            </w:r>
          </w:hyperlink>
        </w:p>
        <w:p w14:paraId="694734F3" w14:textId="5044DE04" w:rsidR="003B0D58" w:rsidRDefault="003B0D58">
          <w:pPr>
            <w:pStyle w:val="TOC2"/>
            <w:tabs>
              <w:tab w:val="right" w:leader="dot" w:pos="9016"/>
            </w:tabs>
            <w:rPr>
              <w:noProof/>
            </w:rPr>
          </w:pPr>
          <w:hyperlink w:anchor="_Toc235783654" w:history="1">
            <w:r w:rsidRPr="00265FB6">
              <w:rPr>
                <w:rStyle w:val="Hyperlink"/>
                <w:noProof/>
              </w:rPr>
              <w:t>Porsche’s Current Performance</w:t>
            </w:r>
            <w:r>
              <w:rPr>
                <w:noProof/>
                <w:webHidden/>
              </w:rPr>
              <w:tab/>
            </w:r>
            <w:r>
              <w:rPr>
                <w:noProof/>
                <w:webHidden/>
              </w:rPr>
              <w:fldChar w:fldCharType="begin"/>
            </w:r>
            <w:r>
              <w:rPr>
                <w:noProof/>
                <w:webHidden/>
              </w:rPr>
              <w:instrText xml:space="preserve"> PAGEREF _Toc235783654 \h </w:instrText>
            </w:r>
            <w:r>
              <w:rPr>
                <w:noProof/>
                <w:webHidden/>
              </w:rPr>
            </w:r>
            <w:r>
              <w:rPr>
                <w:noProof/>
                <w:webHidden/>
              </w:rPr>
              <w:fldChar w:fldCharType="separate"/>
            </w:r>
            <w:r>
              <w:rPr>
                <w:noProof/>
                <w:webHidden/>
              </w:rPr>
              <w:t>6</w:t>
            </w:r>
            <w:r>
              <w:rPr>
                <w:noProof/>
                <w:webHidden/>
              </w:rPr>
              <w:fldChar w:fldCharType="end"/>
            </w:r>
          </w:hyperlink>
        </w:p>
        <w:p w14:paraId="6BC74FFA" w14:textId="71243FF6" w:rsidR="003B0D58" w:rsidRDefault="003B0D58">
          <w:pPr>
            <w:pStyle w:val="TOC2"/>
            <w:tabs>
              <w:tab w:val="right" w:leader="dot" w:pos="9016"/>
            </w:tabs>
            <w:rPr>
              <w:noProof/>
            </w:rPr>
          </w:pPr>
          <w:hyperlink w:anchor="_Toc235783655" w:history="1">
            <w:r w:rsidRPr="00265FB6">
              <w:rPr>
                <w:rStyle w:val="Hyperlink"/>
                <w:noProof/>
              </w:rPr>
              <w:t>Strategy Analysis</w:t>
            </w:r>
            <w:r>
              <w:rPr>
                <w:noProof/>
                <w:webHidden/>
              </w:rPr>
              <w:tab/>
            </w:r>
            <w:r>
              <w:rPr>
                <w:noProof/>
                <w:webHidden/>
              </w:rPr>
              <w:fldChar w:fldCharType="begin"/>
            </w:r>
            <w:r>
              <w:rPr>
                <w:noProof/>
                <w:webHidden/>
              </w:rPr>
              <w:instrText xml:space="preserve"> PAGEREF _Toc235783655 \h </w:instrText>
            </w:r>
            <w:r>
              <w:rPr>
                <w:noProof/>
                <w:webHidden/>
              </w:rPr>
            </w:r>
            <w:r>
              <w:rPr>
                <w:noProof/>
                <w:webHidden/>
              </w:rPr>
              <w:fldChar w:fldCharType="separate"/>
            </w:r>
            <w:r>
              <w:rPr>
                <w:noProof/>
                <w:webHidden/>
              </w:rPr>
              <w:t>7</w:t>
            </w:r>
            <w:r>
              <w:rPr>
                <w:noProof/>
                <w:webHidden/>
              </w:rPr>
              <w:fldChar w:fldCharType="end"/>
            </w:r>
          </w:hyperlink>
        </w:p>
        <w:p w14:paraId="585413C5" w14:textId="7CBE6A81" w:rsidR="003B0D58" w:rsidRDefault="003B0D58">
          <w:pPr>
            <w:pStyle w:val="TOC2"/>
            <w:tabs>
              <w:tab w:val="right" w:leader="dot" w:pos="9016"/>
            </w:tabs>
            <w:rPr>
              <w:noProof/>
            </w:rPr>
          </w:pPr>
          <w:hyperlink w:anchor="_Toc235783656" w:history="1">
            <w:r w:rsidRPr="00265FB6">
              <w:rPr>
                <w:rStyle w:val="Hyperlink"/>
                <w:noProof/>
              </w:rPr>
              <w:t>Internal Environmental Audit: SWOT, VRIO and Value Chain</w:t>
            </w:r>
            <w:r>
              <w:rPr>
                <w:noProof/>
                <w:webHidden/>
              </w:rPr>
              <w:tab/>
            </w:r>
            <w:r>
              <w:rPr>
                <w:noProof/>
                <w:webHidden/>
              </w:rPr>
              <w:fldChar w:fldCharType="begin"/>
            </w:r>
            <w:r>
              <w:rPr>
                <w:noProof/>
                <w:webHidden/>
              </w:rPr>
              <w:instrText xml:space="preserve"> PAGEREF _Toc235783656 \h </w:instrText>
            </w:r>
            <w:r>
              <w:rPr>
                <w:noProof/>
                <w:webHidden/>
              </w:rPr>
            </w:r>
            <w:r>
              <w:rPr>
                <w:noProof/>
                <w:webHidden/>
              </w:rPr>
              <w:fldChar w:fldCharType="separate"/>
            </w:r>
            <w:r>
              <w:rPr>
                <w:noProof/>
                <w:webHidden/>
              </w:rPr>
              <w:t>9</w:t>
            </w:r>
            <w:r>
              <w:rPr>
                <w:noProof/>
                <w:webHidden/>
              </w:rPr>
              <w:fldChar w:fldCharType="end"/>
            </w:r>
          </w:hyperlink>
        </w:p>
        <w:p w14:paraId="2C87406A" w14:textId="5FE18578" w:rsidR="003B0D58" w:rsidRDefault="003B0D58">
          <w:pPr>
            <w:pStyle w:val="TOC2"/>
            <w:tabs>
              <w:tab w:val="right" w:leader="dot" w:pos="9016"/>
            </w:tabs>
            <w:rPr>
              <w:noProof/>
            </w:rPr>
          </w:pPr>
          <w:hyperlink w:anchor="_Toc235783657" w:history="1">
            <w:r w:rsidRPr="00265FB6">
              <w:rPr>
                <w:rStyle w:val="Hyperlink"/>
                <w:noProof/>
              </w:rPr>
              <w:t>Strategy Formulation: Proposed Strategic Choice</w:t>
            </w:r>
            <w:r>
              <w:rPr>
                <w:noProof/>
                <w:webHidden/>
              </w:rPr>
              <w:tab/>
            </w:r>
            <w:r>
              <w:rPr>
                <w:noProof/>
                <w:webHidden/>
              </w:rPr>
              <w:fldChar w:fldCharType="begin"/>
            </w:r>
            <w:r>
              <w:rPr>
                <w:noProof/>
                <w:webHidden/>
              </w:rPr>
              <w:instrText xml:space="preserve"> PAGEREF _Toc235783657 \h </w:instrText>
            </w:r>
            <w:r>
              <w:rPr>
                <w:noProof/>
                <w:webHidden/>
              </w:rPr>
            </w:r>
            <w:r>
              <w:rPr>
                <w:noProof/>
                <w:webHidden/>
              </w:rPr>
              <w:fldChar w:fldCharType="separate"/>
            </w:r>
            <w:r>
              <w:rPr>
                <w:noProof/>
                <w:webHidden/>
              </w:rPr>
              <w:t>11</w:t>
            </w:r>
            <w:r>
              <w:rPr>
                <w:noProof/>
                <w:webHidden/>
              </w:rPr>
              <w:fldChar w:fldCharType="end"/>
            </w:r>
          </w:hyperlink>
        </w:p>
        <w:p w14:paraId="5BBEDFCC" w14:textId="0BF1D956" w:rsidR="003B0D58" w:rsidRDefault="003B0D58">
          <w:pPr>
            <w:pStyle w:val="TOC2"/>
            <w:tabs>
              <w:tab w:val="right" w:leader="dot" w:pos="9016"/>
            </w:tabs>
            <w:rPr>
              <w:noProof/>
            </w:rPr>
          </w:pPr>
          <w:hyperlink w:anchor="_Toc235783658" w:history="1">
            <w:r w:rsidRPr="00265FB6">
              <w:rPr>
                <w:rStyle w:val="Hyperlink"/>
                <w:noProof/>
              </w:rPr>
              <w:t>Conclusion and Recommendations</w:t>
            </w:r>
            <w:r>
              <w:rPr>
                <w:noProof/>
                <w:webHidden/>
              </w:rPr>
              <w:tab/>
            </w:r>
            <w:r>
              <w:rPr>
                <w:noProof/>
                <w:webHidden/>
              </w:rPr>
              <w:fldChar w:fldCharType="begin"/>
            </w:r>
            <w:r>
              <w:rPr>
                <w:noProof/>
                <w:webHidden/>
              </w:rPr>
              <w:instrText xml:space="preserve"> PAGEREF _Toc235783658 \h </w:instrText>
            </w:r>
            <w:r>
              <w:rPr>
                <w:noProof/>
                <w:webHidden/>
              </w:rPr>
            </w:r>
            <w:r>
              <w:rPr>
                <w:noProof/>
                <w:webHidden/>
              </w:rPr>
              <w:fldChar w:fldCharType="separate"/>
            </w:r>
            <w:r>
              <w:rPr>
                <w:noProof/>
                <w:webHidden/>
              </w:rPr>
              <w:t>11</w:t>
            </w:r>
            <w:r>
              <w:rPr>
                <w:noProof/>
                <w:webHidden/>
              </w:rPr>
              <w:fldChar w:fldCharType="end"/>
            </w:r>
          </w:hyperlink>
        </w:p>
        <w:p w14:paraId="449C8547" w14:textId="139CB15B" w:rsidR="003B0D58" w:rsidRDefault="003B0D58">
          <w:pPr>
            <w:pStyle w:val="TOC2"/>
            <w:tabs>
              <w:tab w:val="right" w:leader="dot" w:pos="9016"/>
            </w:tabs>
            <w:rPr>
              <w:noProof/>
            </w:rPr>
          </w:pPr>
          <w:hyperlink w:anchor="_Toc235783659" w:history="1">
            <w:r w:rsidRPr="00265FB6">
              <w:rPr>
                <w:rStyle w:val="Hyperlink"/>
                <w:noProof/>
              </w:rPr>
              <w:t>References</w:t>
            </w:r>
            <w:r>
              <w:rPr>
                <w:noProof/>
                <w:webHidden/>
              </w:rPr>
              <w:tab/>
            </w:r>
            <w:r>
              <w:rPr>
                <w:noProof/>
                <w:webHidden/>
              </w:rPr>
              <w:fldChar w:fldCharType="begin"/>
            </w:r>
            <w:r>
              <w:rPr>
                <w:noProof/>
                <w:webHidden/>
              </w:rPr>
              <w:instrText xml:space="preserve"> PAGEREF _Toc235783659 \h </w:instrText>
            </w:r>
            <w:r>
              <w:rPr>
                <w:noProof/>
                <w:webHidden/>
              </w:rPr>
            </w:r>
            <w:r>
              <w:rPr>
                <w:noProof/>
                <w:webHidden/>
              </w:rPr>
              <w:fldChar w:fldCharType="separate"/>
            </w:r>
            <w:r>
              <w:rPr>
                <w:noProof/>
                <w:webHidden/>
              </w:rPr>
              <w:t>13</w:t>
            </w:r>
            <w:r>
              <w:rPr>
                <w:noProof/>
                <w:webHidden/>
              </w:rPr>
              <w:fldChar w:fldCharType="end"/>
            </w:r>
          </w:hyperlink>
        </w:p>
        <w:p w14:paraId="12D9A5F3" w14:textId="7D4CB60A" w:rsidR="003B0D58" w:rsidRDefault="003B0D58">
          <w:r>
            <w:rPr>
              <w:b/>
              <w:bCs/>
            </w:rPr>
            <w:fldChar w:fldCharType="end"/>
          </w:r>
        </w:p>
      </w:sdtContent>
    </w:sdt>
    <w:p w14:paraId="52CABC39" w14:textId="77777777" w:rsidR="009C180C" w:rsidRPr="003B0D58" w:rsidRDefault="009C180C" w:rsidP="003B0D58">
      <w:pPr>
        <w:rPr>
          <w:rFonts w:ascii="Arial" w:hAnsi="Arial" w:cs="Arial"/>
          <w:b/>
          <w:bCs/>
        </w:rPr>
      </w:pPr>
    </w:p>
    <w:p w14:paraId="10E6BA77" w14:textId="77777777" w:rsidR="009C180C" w:rsidRDefault="009C180C" w:rsidP="009C180C">
      <w:pPr>
        <w:jc w:val="center"/>
        <w:rPr>
          <w:b/>
          <w:bCs/>
          <w:sz w:val="32"/>
          <w:szCs w:val="32"/>
        </w:rPr>
      </w:pPr>
    </w:p>
    <w:p w14:paraId="61761194" w14:textId="77777777" w:rsidR="009C180C" w:rsidRDefault="009C180C" w:rsidP="009C180C">
      <w:pPr>
        <w:jc w:val="center"/>
        <w:rPr>
          <w:b/>
          <w:bCs/>
          <w:sz w:val="32"/>
          <w:szCs w:val="32"/>
        </w:rPr>
      </w:pPr>
    </w:p>
    <w:p w14:paraId="0A19651F" w14:textId="77777777" w:rsidR="009C180C" w:rsidRDefault="009C180C" w:rsidP="009C180C">
      <w:pPr>
        <w:jc w:val="center"/>
        <w:rPr>
          <w:b/>
          <w:bCs/>
          <w:sz w:val="32"/>
          <w:szCs w:val="32"/>
        </w:rPr>
      </w:pPr>
    </w:p>
    <w:p w14:paraId="0BD3ABAA" w14:textId="77777777" w:rsidR="009C180C" w:rsidRDefault="009C180C" w:rsidP="009C180C">
      <w:pPr>
        <w:jc w:val="center"/>
        <w:rPr>
          <w:b/>
          <w:bCs/>
          <w:sz w:val="32"/>
          <w:szCs w:val="32"/>
        </w:rPr>
      </w:pPr>
    </w:p>
    <w:p w14:paraId="459F70A4" w14:textId="77777777" w:rsidR="009C180C" w:rsidRDefault="009C180C" w:rsidP="009C180C">
      <w:pPr>
        <w:jc w:val="center"/>
        <w:rPr>
          <w:b/>
          <w:bCs/>
          <w:sz w:val="32"/>
          <w:szCs w:val="32"/>
        </w:rPr>
      </w:pPr>
    </w:p>
    <w:p w14:paraId="776610A9" w14:textId="77777777" w:rsidR="009C180C" w:rsidRDefault="009C180C" w:rsidP="009C180C">
      <w:pPr>
        <w:jc w:val="center"/>
        <w:rPr>
          <w:b/>
          <w:bCs/>
          <w:sz w:val="32"/>
          <w:szCs w:val="32"/>
        </w:rPr>
      </w:pPr>
    </w:p>
    <w:p w14:paraId="2D55245F" w14:textId="77777777" w:rsidR="009C180C" w:rsidRDefault="009C180C" w:rsidP="009C180C">
      <w:pPr>
        <w:jc w:val="center"/>
        <w:rPr>
          <w:b/>
          <w:bCs/>
          <w:sz w:val="32"/>
          <w:szCs w:val="32"/>
        </w:rPr>
      </w:pPr>
    </w:p>
    <w:p w14:paraId="4541574B" w14:textId="77777777" w:rsidR="009C180C" w:rsidRDefault="009C180C" w:rsidP="009C180C">
      <w:pPr>
        <w:jc w:val="center"/>
        <w:rPr>
          <w:b/>
          <w:bCs/>
          <w:sz w:val="32"/>
          <w:szCs w:val="32"/>
        </w:rPr>
      </w:pPr>
    </w:p>
    <w:p w14:paraId="0E9D1254" w14:textId="77777777" w:rsidR="009C180C" w:rsidRDefault="009C180C" w:rsidP="009C180C">
      <w:pPr>
        <w:jc w:val="center"/>
        <w:rPr>
          <w:b/>
          <w:bCs/>
          <w:sz w:val="32"/>
          <w:szCs w:val="32"/>
        </w:rPr>
      </w:pPr>
    </w:p>
    <w:p w14:paraId="135C775C" w14:textId="77777777" w:rsidR="009C180C" w:rsidRDefault="009C180C" w:rsidP="009C180C">
      <w:pPr>
        <w:jc w:val="center"/>
        <w:rPr>
          <w:b/>
          <w:bCs/>
          <w:sz w:val="32"/>
          <w:szCs w:val="32"/>
        </w:rPr>
      </w:pPr>
    </w:p>
    <w:p w14:paraId="24D86B24" w14:textId="77777777" w:rsidR="009C180C" w:rsidRDefault="009C180C" w:rsidP="009C180C">
      <w:pPr>
        <w:jc w:val="center"/>
        <w:rPr>
          <w:b/>
          <w:bCs/>
          <w:sz w:val="32"/>
          <w:szCs w:val="32"/>
        </w:rPr>
      </w:pPr>
    </w:p>
    <w:p w14:paraId="66FF0C77" w14:textId="77777777" w:rsidR="009C180C" w:rsidRDefault="009C180C" w:rsidP="003B0D58">
      <w:pPr>
        <w:rPr>
          <w:b/>
          <w:bCs/>
          <w:sz w:val="32"/>
          <w:szCs w:val="32"/>
        </w:rPr>
      </w:pPr>
    </w:p>
    <w:p w14:paraId="23C106E4" w14:textId="77777777" w:rsidR="009C180C" w:rsidRDefault="009C180C" w:rsidP="009C180C">
      <w:pPr>
        <w:jc w:val="center"/>
        <w:rPr>
          <w:b/>
          <w:bCs/>
          <w:sz w:val="32"/>
          <w:szCs w:val="32"/>
        </w:rPr>
      </w:pPr>
    </w:p>
    <w:p w14:paraId="00B81F5D" w14:textId="77777777" w:rsidR="009C180C" w:rsidRDefault="009C180C" w:rsidP="009C180C">
      <w:pPr>
        <w:jc w:val="center"/>
        <w:rPr>
          <w:b/>
          <w:bCs/>
          <w:sz w:val="32"/>
          <w:szCs w:val="32"/>
        </w:rPr>
      </w:pPr>
    </w:p>
    <w:p w14:paraId="55D05D6A" w14:textId="77777777" w:rsidR="009C180C" w:rsidRPr="009C180C" w:rsidRDefault="009C180C" w:rsidP="009C180C">
      <w:pPr>
        <w:rPr>
          <w:rFonts w:ascii="Arial" w:hAnsi="Arial" w:cs="Arial"/>
          <w:b/>
          <w:bCs/>
        </w:rPr>
      </w:pPr>
      <w:r w:rsidRPr="009C180C">
        <w:rPr>
          <w:rFonts w:ascii="Arial" w:hAnsi="Arial" w:cs="Arial"/>
          <w:b/>
          <w:bCs/>
        </w:rPr>
        <w:t>Strategy Formulation Plan for Porsche AG in the Global Automotive Industry</w:t>
      </w:r>
    </w:p>
    <w:p w14:paraId="359C8007" w14:textId="77777777" w:rsidR="009C180C" w:rsidRDefault="009C180C" w:rsidP="009C180C">
      <w:pPr>
        <w:rPr>
          <w:rFonts w:ascii="Arial" w:hAnsi="Arial" w:cs="Arial"/>
          <w:b/>
          <w:bCs/>
        </w:rPr>
      </w:pPr>
    </w:p>
    <w:p w14:paraId="5BF67795" w14:textId="337A5CE1" w:rsidR="003B0D58" w:rsidRDefault="003B0D58" w:rsidP="009C180C">
      <w:pPr>
        <w:rPr>
          <w:rFonts w:ascii="Arial" w:hAnsi="Arial" w:cs="Arial"/>
          <w:b/>
          <w:bCs/>
        </w:rPr>
      </w:pPr>
      <w:r>
        <w:rPr>
          <w:rFonts w:ascii="Arial" w:hAnsi="Arial" w:cs="Arial"/>
          <w:b/>
          <w:bCs/>
          <w:noProof/>
        </w:rPr>
        <w:drawing>
          <wp:inline distT="0" distB="0" distL="0" distR="0" wp14:anchorId="7849FCFA" wp14:editId="57882BC1">
            <wp:extent cx="3064510" cy="2161347"/>
            <wp:effectExtent l="0" t="0" r="2540" b="0"/>
            <wp:docPr id="9873249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324919" name="Picture 2"/>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064510" cy="2161347"/>
                    </a:xfrm>
                    <a:prstGeom prst="rect">
                      <a:avLst/>
                    </a:prstGeom>
                  </pic:spPr>
                </pic:pic>
              </a:graphicData>
            </a:graphic>
          </wp:inline>
        </w:drawing>
      </w:r>
    </w:p>
    <w:p w14:paraId="4FE8622F" w14:textId="15ECAC1B" w:rsidR="009C180C" w:rsidRPr="00163207" w:rsidRDefault="009C180C" w:rsidP="00163207">
      <w:pPr>
        <w:pStyle w:val="Heading2"/>
        <w:rPr>
          <w:sz w:val="24"/>
          <w:szCs w:val="24"/>
        </w:rPr>
      </w:pPr>
      <w:r w:rsidRPr="009C180C">
        <w:t xml:space="preserve"> </w:t>
      </w:r>
      <w:bookmarkStart w:id="0" w:name="_Toc235783650"/>
      <w:r w:rsidRPr="00163207">
        <w:rPr>
          <w:sz w:val="24"/>
          <w:szCs w:val="24"/>
        </w:rPr>
        <w:t>Executive Summary</w:t>
      </w:r>
      <w:bookmarkEnd w:id="0"/>
    </w:p>
    <w:p w14:paraId="210B9685" w14:textId="77777777" w:rsidR="009C180C" w:rsidRPr="00163207" w:rsidRDefault="009C180C" w:rsidP="00163207">
      <w:pPr>
        <w:spacing w:line="360" w:lineRule="auto"/>
        <w:jc w:val="both"/>
        <w:rPr>
          <w:rFonts w:ascii="Arial" w:hAnsi="Arial" w:cs="Arial"/>
        </w:rPr>
      </w:pPr>
    </w:p>
    <w:p w14:paraId="7ED54686" w14:textId="31B88EBE" w:rsidR="0063355E" w:rsidRPr="00163207" w:rsidRDefault="0063355E" w:rsidP="00163207">
      <w:pPr>
        <w:spacing w:line="360" w:lineRule="auto"/>
        <w:jc w:val="both"/>
        <w:rPr>
          <w:rFonts w:ascii="Arial" w:hAnsi="Arial" w:cs="Arial"/>
        </w:rPr>
      </w:pPr>
      <w:r w:rsidRPr="00163207">
        <w:rPr>
          <w:rFonts w:ascii="Arial" w:hAnsi="Arial" w:cs="Arial"/>
        </w:rPr>
        <w:t xml:space="preserve">The global automotive industry has been witnessing mega trends such as electrification, digitalisation, and artificial intelligence. In recent years, environmental regulations are becoming more stringent, consumer preferences are evolving, and geopolitical uncertainties are increasing. When combined, these factors have begun to contribute to a major structural change in the global automotive industry. As a top-end manufacturer, Porsche AG faces strategic challenges from these developments. They mostly rely on engineering excellence, performance, exclusivity and brand heritage for their competitive advantage. Consequently, </w:t>
      </w:r>
      <w:r w:rsidR="00163207" w:rsidRPr="00163207">
        <w:rPr>
          <w:rFonts w:ascii="Arial" w:hAnsi="Arial" w:cs="Arial"/>
        </w:rPr>
        <w:t>based on</w:t>
      </w:r>
      <w:r w:rsidRPr="00163207">
        <w:rPr>
          <w:rFonts w:ascii="Arial" w:hAnsi="Arial" w:cs="Arial"/>
        </w:rPr>
        <w:t xml:space="preserve"> this report</w:t>
      </w:r>
      <w:r w:rsidR="00163207">
        <w:rPr>
          <w:rFonts w:ascii="Arial" w:hAnsi="Arial" w:cs="Arial"/>
        </w:rPr>
        <w:t>.</w:t>
      </w:r>
    </w:p>
    <w:p w14:paraId="6845A226" w14:textId="737C3FC1" w:rsidR="0063355E" w:rsidRPr="00163207" w:rsidRDefault="0063355E" w:rsidP="00163207">
      <w:pPr>
        <w:spacing w:line="360" w:lineRule="auto"/>
        <w:jc w:val="both"/>
        <w:rPr>
          <w:rFonts w:ascii="Arial" w:hAnsi="Arial" w:cs="Arial"/>
        </w:rPr>
      </w:pPr>
      <w:r w:rsidRPr="00163207">
        <w:rPr>
          <w:rFonts w:ascii="Arial" w:hAnsi="Arial" w:cs="Arial"/>
        </w:rPr>
        <w:t xml:space="preserve">The study shows that Porsche has some strong competitive strengths like brand equity, premium pricing, engineering capability, customer loyalty and differentiated products. Nevertheless, its present standing is at risk due to deteriorating financial metrics, slumping demand from China, exposure to U.S. tariffs, a costly technological transition, and uncertainty regarding the anticipated speed of electric vehicle (EV) take-up. Porsche revenues decreased from </w:t>
      </w:r>
      <w:r w:rsidRPr="00163207">
        <w:rPr>
          <w:rFonts w:ascii="Arial" w:hAnsi="Arial" w:cs="Arial"/>
        </w:rPr>
        <w:t>£</w:t>
      </w:r>
      <w:r w:rsidRPr="00163207">
        <w:rPr>
          <w:rFonts w:ascii="Arial" w:hAnsi="Arial" w:cs="Arial"/>
        </w:rPr>
        <w:t xml:space="preserve">40.1 billion in 2024 to </w:t>
      </w:r>
      <w:r w:rsidRPr="00163207">
        <w:rPr>
          <w:rFonts w:ascii="Arial" w:hAnsi="Arial" w:cs="Arial"/>
        </w:rPr>
        <w:t>£</w:t>
      </w:r>
      <w:r w:rsidRPr="00163207">
        <w:rPr>
          <w:rFonts w:ascii="Arial" w:hAnsi="Arial" w:cs="Arial"/>
        </w:rPr>
        <w:t>36.3 billion in 2025, as well as an operating return on sales drop.</w:t>
      </w:r>
    </w:p>
    <w:p w14:paraId="172AFDC1" w14:textId="526A7CDF" w:rsidR="009C180C" w:rsidRDefault="0063355E" w:rsidP="00163207">
      <w:pPr>
        <w:spacing w:line="360" w:lineRule="auto"/>
        <w:jc w:val="both"/>
        <w:rPr>
          <w:rFonts w:ascii="Arial" w:hAnsi="Arial" w:cs="Arial"/>
        </w:rPr>
      </w:pPr>
      <w:r w:rsidRPr="00163207">
        <w:rPr>
          <w:rFonts w:ascii="Arial" w:hAnsi="Arial" w:cs="Arial"/>
        </w:rPr>
        <w:t xml:space="preserve">As per the report, the strategy that need to be taken is Flexible Premium Electrification and Digital Differentiation. Porsche should continue to invest in electrification technology but not go too far down any powertrain path. Flexible ICE, hybrid and </w:t>
      </w:r>
      <w:r w:rsidRPr="00163207">
        <w:rPr>
          <w:rFonts w:ascii="Arial" w:hAnsi="Arial" w:cs="Arial"/>
        </w:rPr>
        <w:lastRenderedPageBreak/>
        <w:t>electric products ought to be backed by more powerful software, AI-enabled customer experiences, purposeful partnerships. This tactic might protect Porsche’s distinctive luxury-performance positioning, but with greater resilience in a less certain car situation.</w:t>
      </w:r>
    </w:p>
    <w:p w14:paraId="55E11190" w14:textId="77777777" w:rsidR="00163207" w:rsidRDefault="00163207" w:rsidP="00163207">
      <w:pPr>
        <w:spacing w:line="360" w:lineRule="auto"/>
        <w:jc w:val="both"/>
        <w:rPr>
          <w:rFonts w:ascii="Arial" w:hAnsi="Arial" w:cs="Arial"/>
        </w:rPr>
      </w:pPr>
    </w:p>
    <w:p w14:paraId="5AA767C4" w14:textId="77777777" w:rsidR="00163207" w:rsidRDefault="00163207" w:rsidP="00163207">
      <w:pPr>
        <w:spacing w:line="360" w:lineRule="auto"/>
        <w:jc w:val="both"/>
        <w:rPr>
          <w:rFonts w:ascii="Arial" w:hAnsi="Arial" w:cs="Arial"/>
        </w:rPr>
      </w:pPr>
    </w:p>
    <w:p w14:paraId="5FFC1620" w14:textId="77777777" w:rsidR="00163207" w:rsidRPr="00163207" w:rsidRDefault="00163207" w:rsidP="00163207">
      <w:pPr>
        <w:spacing w:line="360" w:lineRule="auto"/>
        <w:jc w:val="both"/>
        <w:rPr>
          <w:rFonts w:ascii="Arial" w:hAnsi="Arial" w:cs="Arial"/>
        </w:rPr>
      </w:pPr>
    </w:p>
    <w:p w14:paraId="67559360" w14:textId="1E87671F" w:rsidR="009C180C" w:rsidRPr="00163207" w:rsidRDefault="009C180C" w:rsidP="00163207">
      <w:pPr>
        <w:pStyle w:val="Heading2"/>
      </w:pPr>
      <w:bookmarkStart w:id="1" w:name="_Toc235783651"/>
      <w:r w:rsidRPr="00163207">
        <w:t>Introduction</w:t>
      </w:r>
      <w:bookmarkEnd w:id="1"/>
      <w:r w:rsidRPr="00163207">
        <w:t xml:space="preserve"> </w:t>
      </w:r>
    </w:p>
    <w:p w14:paraId="5903C7E7" w14:textId="77777777" w:rsidR="009C180C" w:rsidRPr="00163207" w:rsidRDefault="009C180C" w:rsidP="00163207">
      <w:pPr>
        <w:spacing w:line="360" w:lineRule="auto"/>
        <w:jc w:val="both"/>
        <w:rPr>
          <w:rFonts w:ascii="Arial" w:hAnsi="Arial" w:cs="Arial"/>
        </w:rPr>
      </w:pPr>
    </w:p>
    <w:p w14:paraId="52C24C15" w14:textId="18D4019B" w:rsidR="0063355E" w:rsidRPr="00163207" w:rsidRDefault="0063355E" w:rsidP="00163207">
      <w:pPr>
        <w:spacing w:line="360" w:lineRule="auto"/>
        <w:jc w:val="both"/>
        <w:rPr>
          <w:rFonts w:ascii="Arial" w:hAnsi="Arial" w:cs="Arial"/>
        </w:rPr>
      </w:pPr>
      <w:r w:rsidRPr="00163207">
        <w:rPr>
          <w:rFonts w:ascii="Arial" w:hAnsi="Arial" w:cs="Arial"/>
        </w:rPr>
        <w:t xml:space="preserve">Strategic management involves the constant management of the organisation and </w:t>
      </w:r>
      <w:proofErr w:type="gramStart"/>
      <w:r w:rsidRPr="00163207">
        <w:rPr>
          <w:rFonts w:ascii="Arial" w:hAnsi="Arial" w:cs="Arial"/>
        </w:rPr>
        <w:t>all of</w:t>
      </w:r>
      <w:proofErr w:type="gramEnd"/>
      <w:r w:rsidRPr="00163207">
        <w:rPr>
          <w:rFonts w:ascii="Arial" w:hAnsi="Arial" w:cs="Arial"/>
        </w:rPr>
        <w:t xml:space="preserve"> its diverse functions and strategies </w:t>
      </w:r>
      <w:r w:rsidR="00163207" w:rsidRPr="00163207">
        <w:rPr>
          <w:rFonts w:ascii="Arial" w:hAnsi="Arial" w:cs="Arial"/>
        </w:rPr>
        <w:t>to</w:t>
      </w:r>
      <w:r w:rsidRPr="00163207">
        <w:rPr>
          <w:rFonts w:ascii="Arial" w:hAnsi="Arial" w:cs="Arial"/>
        </w:rPr>
        <w:t xml:space="preserve"> analyse its competitors and be better than them. When strategic management is applied, it can help organisations achieve consumer satisfaction as well as attain other objectives. </w:t>
      </w:r>
      <w:r w:rsidR="00163207">
        <w:rPr>
          <w:rFonts w:ascii="Arial" w:hAnsi="Arial" w:cs="Arial"/>
        </w:rPr>
        <w:t>(</w:t>
      </w:r>
      <w:r w:rsidRPr="00163207">
        <w:rPr>
          <w:rFonts w:ascii="Arial" w:hAnsi="Arial" w:cs="Arial"/>
        </w:rPr>
        <w:t xml:space="preserve">Johnson </w:t>
      </w:r>
      <w:r w:rsidR="00163207" w:rsidRPr="00163207">
        <w:rPr>
          <w:rFonts w:ascii="Arial" w:hAnsi="Arial" w:cs="Arial"/>
        </w:rPr>
        <w:t>et al.,</w:t>
      </w:r>
      <w:r w:rsidR="00163207">
        <w:rPr>
          <w:rFonts w:ascii="Arial" w:hAnsi="Arial" w:cs="Arial"/>
        </w:rPr>
        <w:t xml:space="preserve"> </w:t>
      </w:r>
      <w:r w:rsidRPr="00163207">
        <w:rPr>
          <w:rFonts w:ascii="Arial" w:hAnsi="Arial" w:cs="Arial"/>
        </w:rPr>
        <w:t xml:space="preserve">2020) argue that strategy is about the long-term direction of an organisation and the choice of strategy. To achieve organizational goals while adapting to an evolving environment. Likewise, </w:t>
      </w:r>
      <w:r w:rsidR="00163207">
        <w:rPr>
          <w:rFonts w:ascii="Arial" w:hAnsi="Arial" w:cs="Arial"/>
        </w:rPr>
        <w:t>(</w:t>
      </w:r>
      <w:r w:rsidRPr="00163207">
        <w:rPr>
          <w:rFonts w:ascii="Arial" w:hAnsi="Arial" w:cs="Arial"/>
        </w:rPr>
        <w:t>Davids</w:t>
      </w:r>
      <w:r w:rsidR="00163207">
        <w:rPr>
          <w:rFonts w:ascii="Arial" w:hAnsi="Arial" w:cs="Arial"/>
        </w:rPr>
        <w:t xml:space="preserve">, </w:t>
      </w:r>
      <w:r w:rsidRPr="00163207">
        <w:rPr>
          <w:rFonts w:ascii="Arial" w:hAnsi="Arial" w:cs="Arial"/>
        </w:rPr>
        <w:t>2020</w:t>
      </w:r>
      <w:r w:rsidR="00163207">
        <w:rPr>
          <w:rFonts w:ascii="Arial" w:hAnsi="Arial" w:cs="Arial"/>
        </w:rPr>
        <w:t>)</w:t>
      </w:r>
      <w:r w:rsidRPr="00163207">
        <w:rPr>
          <w:rFonts w:ascii="Arial" w:hAnsi="Arial" w:cs="Arial"/>
        </w:rPr>
        <w:t xml:space="preserve"> argue that strategic management combines strategy formulation, strategy implementation and strategy evaluation into a single continuous process.  </w:t>
      </w:r>
    </w:p>
    <w:p w14:paraId="6FA60572" w14:textId="184E434B" w:rsidR="0063355E" w:rsidRPr="00163207" w:rsidRDefault="0063355E" w:rsidP="00163207">
      <w:pPr>
        <w:spacing w:line="360" w:lineRule="auto"/>
        <w:jc w:val="both"/>
        <w:rPr>
          <w:rFonts w:ascii="Arial" w:hAnsi="Arial" w:cs="Arial"/>
        </w:rPr>
      </w:pPr>
      <w:r w:rsidRPr="00163207">
        <w:rPr>
          <w:rFonts w:ascii="Arial" w:hAnsi="Arial" w:cs="Arial"/>
        </w:rPr>
        <w:t>Electric Vehicles (EV) manufacture vehicles that use electric motors for propulsion, with rechargeable batteries as energy storage. Also, they do not emit any harmful gases and do not use petrol or diesel. So, they will be recharging through electric fuel stations. Therefore, any vehicle, that either fully or partially moves by electric power, is an electric vehicle.</w:t>
      </w:r>
    </w:p>
    <w:p w14:paraId="35B720A3" w14:textId="1A8D9695" w:rsidR="0063355E" w:rsidRPr="00163207" w:rsidRDefault="0063355E" w:rsidP="00163207">
      <w:pPr>
        <w:spacing w:line="360" w:lineRule="auto"/>
        <w:jc w:val="both"/>
        <w:rPr>
          <w:rFonts w:ascii="Arial" w:hAnsi="Arial" w:cs="Arial"/>
        </w:rPr>
      </w:pPr>
      <w:r w:rsidRPr="00163207">
        <w:rPr>
          <w:rFonts w:ascii="Arial" w:hAnsi="Arial" w:cs="Arial"/>
        </w:rPr>
        <w:t xml:space="preserve">The aim of this report is to come up with a suitable future strategy for Porsche AG. The report assesses Porsche’s strategy and performance at the outset. It performs external environmental analysis with the help of PESTEL and Porter’s 5 Forces. Next, the report does internal environmental evaluation through SWOT, VRIO and Value Chain analysis. </w:t>
      </w:r>
      <w:r w:rsidR="00163207" w:rsidRPr="00163207">
        <w:rPr>
          <w:rFonts w:ascii="Arial" w:hAnsi="Arial" w:cs="Arial"/>
        </w:rPr>
        <w:t>Finally</w:t>
      </w:r>
      <w:r w:rsidRPr="00163207">
        <w:rPr>
          <w:rFonts w:ascii="Arial" w:hAnsi="Arial" w:cs="Arial"/>
        </w:rPr>
        <w:t xml:space="preserve">, the strategic alternatives are discussed and recommendations offered to build long-term Porsche </w:t>
      </w:r>
      <w:r w:rsidR="00163207" w:rsidRPr="00163207">
        <w:rPr>
          <w:rFonts w:ascii="Arial" w:hAnsi="Arial" w:cs="Arial"/>
        </w:rPr>
        <w:t>based on</w:t>
      </w:r>
      <w:r w:rsidRPr="00163207">
        <w:rPr>
          <w:rFonts w:ascii="Arial" w:hAnsi="Arial" w:cs="Arial"/>
        </w:rPr>
        <w:t xml:space="preserve"> these results.</w:t>
      </w:r>
    </w:p>
    <w:p w14:paraId="3DBFEA73" w14:textId="77777777" w:rsidR="0063355E" w:rsidRPr="00163207" w:rsidRDefault="0063355E" w:rsidP="00163207">
      <w:pPr>
        <w:pStyle w:val="Heading2"/>
      </w:pPr>
    </w:p>
    <w:p w14:paraId="4A18DD56" w14:textId="758854B3" w:rsidR="009C180C" w:rsidRPr="00163207" w:rsidRDefault="009C180C" w:rsidP="00163207">
      <w:pPr>
        <w:pStyle w:val="Heading2"/>
      </w:pPr>
      <w:r w:rsidRPr="00163207">
        <w:t xml:space="preserve"> </w:t>
      </w:r>
      <w:bookmarkStart w:id="2" w:name="_Toc235783652"/>
      <w:r w:rsidRPr="00163207">
        <w:t xml:space="preserve">Overview and </w:t>
      </w:r>
      <w:r w:rsidR="00163207" w:rsidRPr="00163207">
        <w:t>background</w:t>
      </w:r>
      <w:r w:rsidRPr="00163207">
        <w:t xml:space="preserve"> of Porsche AG</w:t>
      </w:r>
      <w:bookmarkEnd w:id="2"/>
    </w:p>
    <w:p w14:paraId="36F00AF4" w14:textId="77777777" w:rsidR="009C180C" w:rsidRPr="00163207" w:rsidRDefault="009C180C" w:rsidP="00163207">
      <w:pPr>
        <w:pStyle w:val="Heading2"/>
      </w:pPr>
    </w:p>
    <w:p w14:paraId="587A0902" w14:textId="7C93FCAD" w:rsidR="0063355E" w:rsidRPr="00163207" w:rsidRDefault="0063355E" w:rsidP="00163207">
      <w:pPr>
        <w:spacing w:line="360" w:lineRule="auto"/>
        <w:jc w:val="both"/>
        <w:rPr>
          <w:rFonts w:ascii="Arial" w:hAnsi="Arial" w:cs="Arial"/>
        </w:rPr>
      </w:pPr>
      <w:r w:rsidRPr="00163207">
        <w:rPr>
          <w:rFonts w:ascii="Arial" w:hAnsi="Arial" w:cs="Arial"/>
        </w:rPr>
        <w:t>Doctor of engineering honoris causa. F. Porsche AG, or simply Porsche, is a German manufacturer of premium and luxury sports cars, based in Stuttgart-</w:t>
      </w:r>
      <w:proofErr w:type="spellStart"/>
      <w:r w:rsidRPr="00163207">
        <w:rPr>
          <w:rFonts w:ascii="Arial" w:hAnsi="Arial" w:cs="Arial"/>
        </w:rPr>
        <w:t>Zuffenhausen</w:t>
      </w:r>
      <w:proofErr w:type="spellEnd"/>
      <w:r w:rsidRPr="00163207">
        <w:rPr>
          <w:rFonts w:ascii="Arial" w:hAnsi="Arial" w:cs="Arial"/>
        </w:rPr>
        <w:t xml:space="preserve">. The historical origin of Porsche </w:t>
      </w:r>
      <w:r w:rsidR="00163207" w:rsidRPr="00163207">
        <w:rPr>
          <w:rFonts w:ascii="Arial" w:hAnsi="Arial" w:cs="Arial"/>
        </w:rPr>
        <w:t>dates to</w:t>
      </w:r>
      <w:r w:rsidRPr="00163207">
        <w:rPr>
          <w:rFonts w:ascii="Arial" w:hAnsi="Arial" w:cs="Arial"/>
        </w:rPr>
        <w:t xml:space="preserve"> the year 1931. The production of Porsche-badged sports cars began after the launch of Porsche 356. Today, Porsche is an international company integrated in premium automotive industry.</w:t>
      </w:r>
    </w:p>
    <w:p w14:paraId="5CB87E39" w14:textId="77777777" w:rsidR="0063355E" w:rsidRPr="00163207" w:rsidRDefault="0063355E" w:rsidP="00163207">
      <w:pPr>
        <w:spacing w:line="360" w:lineRule="auto"/>
        <w:jc w:val="both"/>
        <w:rPr>
          <w:rFonts w:ascii="Arial" w:hAnsi="Arial" w:cs="Arial"/>
        </w:rPr>
      </w:pPr>
    </w:p>
    <w:p w14:paraId="22B70D80" w14:textId="545176BA" w:rsidR="0063355E" w:rsidRPr="00163207" w:rsidRDefault="0063355E" w:rsidP="00163207">
      <w:pPr>
        <w:spacing w:line="360" w:lineRule="auto"/>
        <w:jc w:val="both"/>
        <w:rPr>
          <w:rFonts w:ascii="Arial" w:hAnsi="Arial" w:cs="Arial"/>
        </w:rPr>
      </w:pPr>
      <w:r w:rsidRPr="00163207">
        <w:rPr>
          <w:rFonts w:ascii="Arial" w:hAnsi="Arial" w:cs="Arial"/>
        </w:rPr>
        <w:t>Porsche sells auto cars like 911 sports car, 718 models, Panamera, Cayenne, Macan and Taycan. As a result of these products, the company enjoys presence in many premium segments with a robust performance-orientated image. Essential to the Porsche Collection and brand image is the 911; other vehicles like the Cayenne and Macan have helped expand it beyond just sports cars.</w:t>
      </w:r>
    </w:p>
    <w:p w14:paraId="33627A57" w14:textId="67575E78" w:rsidR="009C180C" w:rsidRPr="00163207" w:rsidRDefault="0063355E" w:rsidP="00163207">
      <w:pPr>
        <w:spacing w:line="360" w:lineRule="auto"/>
        <w:jc w:val="both"/>
        <w:rPr>
          <w:rFonts w:ascii="Arial" w:hAnsi="Arial" w:cs="Arial"/>
        </w:rPr>
      </w:pPr>
      <w:r w:rsidRPr="00163207">
        <w:rPr>
          <w:rFonts w:ascii="Arial" w:hAnsi="Arial" w:cs="Arial"/>
        </w:rPr>
        <w:t xml:space="preserve">Porsche's business model involves more than making cars. The company creates value with financial services, after sales activities, personalisation and digital offerings. Moreover, the company utilizes motorsport as both a technological development environment and a marketing vehicle </w:t>
      </w:r>
      <w:r w:rsidR="00163207" w:rsidRPr="00163207">
        <w:rPr>
          <w:rFonts w:ascii="Arial" w:hAnsi="Arial" w:cs="Arial"/>
        </w:rPr>
        <w:t>to</w:t>
      </w:r>
      <w:r w:rsidRPr="00163207">
        <w:rPr>
          <w:rFonts w:ascii="Arial" w:hAnsi="Arial" w:cs="Arial"/>
        </w:rPr>
        <w:t xml:space="preserve"> strengthen associations between the brand and high-speed engineering.</w:t>
      </w:r>
    </w:p>
    <w:p w14:paraId="7C1B19F1" w14:textId="77777777" w:rsidR="0063355E" w:rsidRPr="00163207" w:rsidRDefault="0063355E" w:rsidP="00163207">
      <w:pPr>
        <w:spacing w:line="360" w:lineRule="auto"/>
        <w:jc w:val="both"/>
        <w:rPr>
          <w:rFonts w:ascii="Arial" w:hAnsi="Arial" w:cs="Arial"/>
        </w:rPr>
      </w:pPr>
    </w:p>
    <w:p w14:paraId="59BB74B4" w14:textId="4B82B789" w:rsidR="009C180C" w:rsidRPr="00163207" w:rsidRDefault="0063355E" w:rsidP="00163207">
      <w:pPr>
        <w:spacing w:line="360" w:lineRule="auto"/>
        <w:jc w:val="both"/>
        <w:rPr>
          <w:rFonts w:ascii="Arial" w:hAnsi="Arial" w:cs="Arial"/>
        </w:rPr>
      </w:pPr>
      <w:r w:rsidRPr="00163207">
        <w:rPr>
          <w:rFonts w:ascii="Arial" w:hAnsi="Arial" w:cs="Arial"/>
        </w:rPr>
        <w:t>Porsche AG’s relation to Volkswagen Group provides potential economies of scale in vehicle architectures, purchasing technology, etc. However, Porsche has a specific market position that is characterized by exclusivity and premium differentiation. In addition, the main competition includes Ferrari, Mercedes-AMG, BMW M, Audi, Maserati and more recently, the performance electric. Thus, Porsche must safeguard its traditional brand heritage while simultaneously adjusting its products and capabilities to suit a technology.</w:t>
      </w:r>
    </w:p>
    <w:p w14:paraId="3C843412" w14:textId="77777777" w:rsidR="0063355E" w:rsidRPr="00163207" w:rsidRDefault="0063355E" w:rsidP="00163207">
      <w:pPr>
        <w:spacing w:line="360" w:lineRule="auto"/>
        <w:jc w:val="both"/>
        <w:rPr>
          <w:rFonts w:ascii="Arial" w:hAnsi="Arial" w:cs="Arial"/>
        </w:rPr>
      </w:pPr>
    </w:p>
    <w:p w14:paraId="0778F91B" w14:textId="513248DF" w:rsidR="009C180C" w:rsidRPr="00163207" w:rsidRDefault="009C180C" w:rsidP="00163207">
      <w:pPr>
        <w:pStyle w:val="Heading2"/>
      </w:pPr>
      <w:r w:rsidRPr="00163207">
        <w:lastRenderedPageBreak/>
        <w:t xml:space="preserve"> </w:t>
      </w:r>
      <w:bookmarkStart w:id="3" w:name="_Toc235783653"/>
      <w:r w:rsidRPr="00163207">
        <w:t>Strategic Intent: Vision, Mission and Objectives</w:t>
      </w:r>
      <w:bookmarkEnd w:id="3"/>
    </w:p>
    <w:p w14:paraId="46F940DF" w14:textId="77777777" w:rsidR="009C180C" w:rsidRPr="00163207" w:rsidRDefault="009C180C" w:rsidP="00163207">
      <w:pPr>
        <w:spacing w:line="360" w:lineRule="auto"/>
        <w:jc w:val="both"/>
        <w:rPr>
          <w:rFonts w:ascii="Arial" w:hAnsi="Arial" w:cs="Arial"/>
        </w:rPr>
      </w:pPr>
    </w:p>
    <w:p w14:paraId="139B465B" w14:textId="447A453B" w:rsidR="0063355E" w:rsidRPr="00163207" w:rsidRDefault="0063355E" w:rsidP="00163207">
      <w:pPr>
        <w:spacing w:line="360" w:lineRule="auto"/>
        <w:jc w:val="both"/>
        <w:rPr>
          <w:rFonts w:ascii="Arial" w:hAnsi="Arial" w:cs="Arial"/>
        </w:rPr>
      </w:pPr>
      <w:r w:rsidRPr="00163207">
        <w:rPr>
          <w:rFonts w:ascii="Arial" w:hAnsi="Arial" w:cs="Arial"/>
        </w:rPr>
        <w:t xml:space="preserve">The long-term usefulness of strategic direction is to give clarity. It is the reason why it sets out what an organisation will seek to do and how to compete. </w:t>
      </w:r>
      <w:r w:rsidR="00163207">
        <w:rPr>
          <w:rFonts w:ascii="Arial" w:hAnsi="Arial" w:cs="Arial"/>
        </w:rPr>
        <w:t>(</w:t>
      </w:r>
      <w:r w:rsidRPr="00163207">
        <w:rPr>
          <w:rFonts w:ascii="Arial" w:hAnsi="Arial" w:cs="Arial"/>
        </w:rPr>
        <w:t>Hamel and Prahalad</w:t>
      </w:r>
      <w:r w:rsidR="00163207">
        <w:rPr>
          <w:rFonts w:ascii="Arial" w:hAnsi="Arial" w:cs="Arial"/>
        </w:rPr>
        <w:t xml:space="preserve">, </w:t>
      </w:r>
      <w:r w:rsidRPr="00163207">
        <w:rPr>
          <w:rFonts w:ascii="Arial" w:hAnsi="Arial" w:cs="Arial"/>
        </w:rPr>
        <w:t>1989) say that this strategic intent allows organisations to endorse to the pursuit of daring long term positions. While they develop the resources and capabilities necessary to attain these positions. The focus has been on making strategic developments in sports car development. Much more specifically, highly desirable.</w:t>
      </w:r>
    </w:p>
    <w:p w14:paraId="46E6DF0F" w14:textId="77777777" w:rsidR="0063355E" w:rsidRPr="00163207" w:rsidRDefault="0063355E" w:rsidP="00163207">
      <w:pPr>
        <w:spacing w:line="360" w:lineRule="auto"/>
        <w:jc w:val="both"/>
        <w:rPr>
          <w:rFonts w:ascii="Arial" w:hAnsi="Arial" w:cs="Arial"/>
        </w:rPr>
      </w:pPr>
    </w:p>
    <w:p w14:paraId="2CB36EBD" w14:textId="55FA248B" w:rsidR="0063355E" w:rsidRPr="00163207" w:rsidRDefault="0063355E" w:rsidP="00163207">
      <w:pPr>
        <w:spacing w:line="360" w:lineRule="auto"/>
        <w:jc w:val="both"/>
        <w:rPr>
          <w:rFonts w:ascii="Arial" w:hAnsi="Arial" w:cs="Arial"/>
        </w:rPr>
      </w:pPr>
      <w:r w:rsidRPr="00163207">
        <w:rPr>
          <w:rFonts w:ascii="Arial" w:hAnsi="Arial" w:cs="Arial"/>
        </w:rPr>
        <w:t xml:space="preserve">Consequently, Porsche can be said to have strategy beyond transport. Customers usually invest in a Porsche, seen from affective, practical and symbolic perspective. According to </w:t>
      </w:r>
      <w:r w:rsidR="00163207">
        <w:rPr>
          <w:rFonts w:ascii="Arial" w:hAnsi="Arial" w:cs="Arial"/>
        </w:rPr>
        <w:t>(</w:t>
      </w:r>
      <w:proofErr w:type="gramStart"/>
      <w:r w:rsidRPr="00163207">
        <w:rPr>
          <w:rFonts w:ascii="Arial" w:hAnsi="Arial" w:cs="Arial"/>
        </w:rPr>
        <w:t xml:space="preserve">Porter </w:t>
      </w:r>
      <w:r w:rsidR="00163207">
        <w:rPr>
          <w:rFonts w:ascii="Arial" w:hAnsi="Arial" w:cs="Arial"/>
        </w:rPr>
        <w:t>,</w:t>
      </w:r>
      <w:proofErr w:type="gramEnd"/>
      <w:r w:rsidR="00163207">
        <w:rPr>
          <w:rFonts w:ascii="Arial" w:hAnsi="Arial" w:cs="Arial"/>
        </w:rPr>
        <w:t xml:space="preserve"> </w:t>
      </w:r>
      <w:r w:rsidRPr="00163207">
        <w:rPr>
          <w:rFonts w:ascii="Arial" w:hAnsi="Arial" w:cs="Arial"/>
        </w:rPr>
        <w:t xml:space="preserve">1985), firms that benefit from a differentiation strategy achieve a competitive advantage by providing those attributes that customers perceive to be unique and valuable. </w:t>
      </w:r>
    </w:p>
    <w:p w14:paraId="74DB08CA" w14:textId="77777777" w:rsidR="0063355E" w:rsidRPr="00163207" w:rsidRDefault="0063355E" w:rsidP="00163207">
      <w:pPr>
        <w:spacing w:line="360" w:lineRule="auto"/>
        <w:jc w:val="both"/>
        <w:rPr>
          <w:rFonts w:ascii="Arial" w:hAnsi="Arial" w:cs="Arial"/>
        </w:rPr>
      </w:pPr>
      <w:r w:rsidRPr="00163207">
        <w:rPr>
          <w:rFonts w:ascii="Arial" w:hAnsi="Arial" w:cs="Arial"/>
        </w:rPr>
        <w:t xml:space="preserve">Porsche has set modern targets that must still allow for sustainability and innovation. Electrification has thus become crucial to the company’s product strategy. As the adoption of EVs occurs at different speeds across the markets Porsche has adapted its strategy. As a result, this showcases a product strategy that is progressively becoming more flexible rather than relying on a pre-established transition schedule. </w:t>
      </w:r>
    </w:p>
    <w:p w14:paraId="7CE17B67" w14:textId="62DD3483" w:rsidR="0063355E" w:rsidRPr="00163207" w:rsidRDefault="0063355E" w:rsidP="00163207">
      <w:pPr>
        <w:spacing w:line="360" w:lineRule="auto"/>
        <w:jc w:val="both"/>
        <w:rPr>
          <w:rFonts w:ascii="Arial" w:hAnsi="Arial" w:cs="Arial"/>
        </w:rPr>
      </w:pPr>
      <w:r w:rsidRPr="00163207">
        <w:rPr>
          <w:rFonts w:ascii="Arial" w:hAnsi="Arial" w:cs="Arial"/>
        </w:rPr>
        <w:t xml:space="preserve">As a result, an organization’s strategic objectives would need to maintain premium profitability and brand </w:t>
      </w:r>
      <w:r w:rsidRPr="00163207">
        <w:rPr>
          <w:rFonts w:ascii="Arial" w:hAnsi="Arial" w:cs="Arial"/>
        </w:rPr>
        <w:t>desirability and</w:t>
      </w:r>
      <w:r w:rsidRPr="00163207">
        <w:rPr>
          <w:rFonts w:ascii="Arial" w:hAnsi="Arial" w:cs="Arial"/>
        </w:rPr>
        <w:t xml:space="preserve"> so guarantee product competitive performance. Developing electrified products, enhancing software competencies, minimising environmental impact in the value chain and securing customers are other objectives. Ensuring that electrification and digitalisation strengthen Porsche’s performance identity rather than dilute it is our strategic challenge.</w:t>
      </w:r>
    </w:p>
    <w:p w14:paraId="76AECCCC" w14:textId="77777777" w:rsidR="0063355E" w:rsidRPr="00163207" w:rsidRDefault="0063355E" w:rsidP="00163207">
      <w:pPr>
        <w:spacing w:line="360" w:lineRule="auto"/>
        <w:jc w:val="both"/>
        <w:rPr>
          <w:rFonts w:ascii="Arial" w:hAnsi="Arial" w:cs="Arial"/>
        </w:rPr>
      </w:pPr>
    </w:p>
    <w:p w14:paraId="06E4069B" w14:textId="77777777" w:rsidR="0063355E" w:rsidRPr="00163207" w:rsidRDefault="0063355E" w:rsidP="00163207">
      <w:pPr>
        <w:spacing w:line="360" w:lineRule="auto"/>
        <w:jc w:val="both"/>
        <w:rPr>
          <w:rFonts w:ascii="Arial" w:hAnsi="Arial" w:cs="Arial"/>
        </w:rPr>
      </w:pPr>
    </w:p>
    <w:p w14:paraId="0BF96431" w14:textId="7FD3B288" w:rsidR="009C180C" w:rsidRPr="00163207" w:rsidRDefault="009C180C" w:rsidP="00163207">
      <w:pPr>
        <w:pStyle w:val="Heading2"/>
      </w:pPr>
      <w:r w:rsidRPr="00163207">
        <w:t xml:space="preserve"> </w:t>
      </w:r>
      <w:bookmarkStart w:id="4" w:name="_Toc235783654"/>
      <w:r w:rsidRPr="00163207">
        <w:t>Porsche’s Current Performance</w:t>
      </w:r>
      <w:bookmarkEnd w:id="4"/>
    </w:p>
    <w:p w14:paraId="798570CE" w14:textId="77777777" w:rsidR="009C180C" w:rsidRPr="00163207" w:rsidRDefault="009C180C" w:rsidP="00163207">
      <w:pPr>
        <w:spacing w:line="360" w:lineRule="auto"/>
        <w:jc w:val="both"/>
        <w:rPr>
          <w:rFonts w:ascii="Arial" w:hAnsi="Arial" w:cs="Arial"/>
        </w:rPr>
      </w:pPr>
    </w:p>
    <w:p w14:paraId="6E2FDEED" w14:textId="773408B1" w:rsidR="0063355E" w:rsidRPr="00163207" w:rsidRDefault="0063355E" w:rsidP="00163207">
      <w:pPr>
        <w:spacing w:line="360" w:lineRule="auto"/>
        <w:jc w:val="both"/>
        <w:rPr>
          <w:rFonts w:ascii="Arial" w:hAnsi="Arial" w:cs="Arial"/>
        </w:rPr>
      </w:pPr>
      <w:r w:rsidRPr="00163207">
        <w:rPr>
          <w:rFonts w:ascii="Arial" w:hAnsi="Arial" w:cs="Arial"/>
        </w:rPr>
        <w:lastRenderedPageBreak/>
        <w:t xml:space="preserve">In 2025 Porsche, delivered 279,449 vehicles compared with 310,718 in 2024. Sales revenue dipped by about 9.5 per cent from €40.1 billion in 2024 to </w:t>
      </w:r>
      <w:r w:rsidRPr="00163207">
        <w:rPr>
          <w:rFonts w:ascii="Arial" w:hAnsi="Arial" w:cs="Arial"/>
        </w:rPr>
        <w:t>£</w:t>
      </w:r>
      <w:r w:rsidRPr="00163207">
        <w:rPr>
          <w:rFonts w:ascii="Arial" w:hAnsi="Arial" w:cs="Arial"/>
        </w:rPr>
        <w:t xml:space="preserve">36.3 billion in 2025 (Porsche AG, 2026a). Operating profit was reduced from </w:t>
      </w:r>
      <w:r w:rsidRPr="00163207">
        <w:rPr>
          <w:rFonts w:ascii="Arial" w:hAnsi="Arial" w:cs="Arial"/>
        </w:rPr>
        <w:t>£</w:t>
      </w:r>
      <w:r w:rsidRPr="00163207">
        <w:rPr>
          <w:rFonts w:ascii="Arial" w:hAnsi="Arial" w:cs="Arial"/>
        </w:rPr>
        <w:t xml:space="preserve">5.64 billion to around </w:t>
      </w:r>
      <w:r w:rsidRPr="00163207">
        <w:rPr>
          <w:rFonts w:ascii="Arial" w:hAnsi="Arial" w:cs="Arial"/>
        </w:rPr>
        <w:t>£</w:t>
      </w:r>
      <w:r w:rsidRPr="00163207">
        <w:rPr>
          <w:rFonts w:ascii="Arial" w:hAnsi="Arial" w:cs="Arial"/>
        </w:rPr>
        <w:t>413 million; the return on sales fell from 14.1 per cent to 1.1 per cent (Porsche AG, 2026b) The data indicates a significant negative drop in short-term financial performance.</w:t>
      </w:r>
    </w:p>
    <w:p w14:paraId="28FA1E1B" w14:textId="604B316B" w:rsidR="0063355E" w:rsidRPr="00163207" w:rsidRDefault="0063355E" w:rsidP="00163207">
      <w:pPr>
        <w:spacing w:line="360" w:lineRule="auto"/>
        <w:jc w:val="both"/>
        <w:rPr>
          <w:rFonts w:ascii="Arial" w:hAnsi="Arial" w:cs="Arial"/>
        </w:rPr>
      </w:pPr>
      <w:r w:rsidRPr="00163207">
        <w:rPr>
          <w:rFonts w:ascii="Arial" w:hAnsi="Arial" w:cs="Arial"/>
        </w:rPr>
        <w:t xml:space="preserve">A variety of externally generated and strategic factors influenced these results. Porsche faced </w:t>
      </w:r>
      <w:r w:rsidR="00163207" w:rsidRPr="00163207">
        <w:rPr>
          <w:rFonts w:ascii="Arial" w:hAnsi="Arial" w:cs="Arial"/>
        </w:rPr>
        <w:t>difficulty</w:t>
      </w:r>
      <w:r w:rsidRPr="00163207">
        <w:rPr>
          <w:rFonts w:ascii="Arial" w:hAnsi="Arial" w:cs="Arial"/>
        </w:rPr>
        <w:t xml:space="preserve"> in China, where demand in the luxury segment weakened and competition at home intensified.</w:t>
      </w:r>
    </w:p>
    <w:p w14:paraId="28869436" w14:textId="7832A0C9" w:rsidR="0063355E" w:rsidRPr="00163207" w:rsidRDefault="0063355E" w:rsidP="00163207">
      <w:pPr>
        <w:spacing w:line="360" w:lineRule="auto"/>
        <w:jc w:val="both"/>
        <w:rPr>
          <w:rFonts w:ascii="Arial" w:hAnsi="Arial" w:cs="Arial"/>
        </w:rPr>
      </w:pPr>
      <w:r w:rsidRPr="00163207">
        <w:rPr>
          <w:rFonts w:ascii="Arial" w:hAnsi="Arial" w:cs="Arial"/>
        </w:rPr>
        <w:t xml:space="preserve">Porsche had a tough time in China especially as demand in the luxury segment softened and domestic competition intensified. US import duties also resulted in substantial costs. Porsche said that tariffs cut around </w:t>
      </w:r>
      <w:r w:rsidRPr="00163207">
        <w:rPr>
          <w:rFonts w:ascii="Arial" w:hAnsi="Arial" w:cs="Arial"/>
        </w:rPr>
        <w:t>£</w:t>
      </w:r>
      <w:r w:rsidRPr="00163207">
        <w:rPr>
          <w:rFonts w:ascii="Arial" w:hAnsi="Arial" w:cs="Arial"/>
        </w:rPr>
        <w:t xml:space="preserve">0.7 billion from 2025 operating profit, while costs of around </w:t>
      </w:r>
      <w:r w:rsidRPr="00163207">
        <w:rPr>
          <w:rFonts w:ascii="Arial" w:hAnsi="Arial" w:cs="Arial"/>
        </w:rPr>
        <w:t>£</w:t>
      </w:r>
      <w:r w:rsidRPr="00163207">
        <w:rPr>
          <w:rFonts w:ascii="Arial" w:hAnsi="Arial" w:cs="Arial"/>
        </w:rPr>
        <w:t>0.7 billion arose due to restructuring battery activities (Porsche AG, 2026).</w:t>
      </w:r>
    </w:p>
    <w:p w14:paraId="290E07AC" w14:textId="09EC2DF1" w:rsidR="0063355E" w:rsidRPr="00163207" w:rsidRDefault="0063355E" w:rsidP="00163207">
      <w:pPr>
        <w:spacing w:line="360" w:lineRule="auto"/>
        <w:jc w:val="both"/>
        <w:rPr>
          <w:rFonts w:ascii="Arial" w:hAnsi="Arial" w:cs="Arial"/>
        </w:rPr>
      </w:pPr>
      <w:r w:rsidRPr="00163207">
        <w:rPr>
          <w:rFonts w:ascii="Arial" w:hAnsi="Arial" w:cs="Arial"/>
        </w:rPr>
        <w:t>Still, the essential competitive position of the firm has key strengths. According to the 2026a database launched by Porsche AG, the deliveries of the 911 increased to 51683 by 2025 compared to 50941 in 2024. Porsche continues to manufacture the Macan</w:t>
      </w:r>
      <w:r w:rsidRPr="00163207">
        <w:rPr>
          <w:rFonts w:ascii="Arial" w:hAnsi="Arial" w:cs="Arial"/>
        </w:rPr>
        <w:t>.</w:t>
      </w:r>
    </w:p>
    <w:p w14:paraId="6C089FDA" w14:textId="11A14727" w:rsidR="009C180C" w:rsidRPr="00163207" w:rsidRDefault="0063355E" w:rsidP="00163207">
      <w:pPr>
        <w:spacing w:line="360" w:lineRule="auto"/>
        <w:jc w:val="both"/>
        <w:rPr>
          <w:rFonts w:ascii="Arial" w:hAnsi="Arial" w:cs="Arial"/>
        </w:rPr>
      </w:pPr>
      <w:r w:rsidRPr="00163207">
        <w:rPr>
          <w:rFonts w:ascii="Arial" w:hAnsi="Arial" w:cs="Arial"/>
        </w:rPr>
        <w:t xml:space="preserve">Porsche has significantly stepped up its electrification game. According to </w:t>
      </w:r>
      <w:r w:rsidR="00163207">
        <w:rPr>
          <w:rFonts w:ascii="Arial" w:hAnsi="Arial" w:cs="Arial"/>
        </w:rPr>
        <w:t>(</w:t>
      </w:r>
      <w:r w:rsidRPr="00163207">
        <w:rPr>
          <w:rFonts w:ascii="Arial" w:hAnsi="Arial" w:cs="Arial"/>
        </w:rPr>
        <w:t>Porsche AG, 2026) Battery electric vehicles saw 22.2 per cent share of its automotive sales in 2025 as compared to 12.7 per cent in 2024. According to the IEA’s Global EV Outlook 2026, global EV sales increased by approximately 20 percent in 2025 to over 20 million units. The performance of Porsche should therefore not be viewed merely as organizational decline. Rather, it indicates the altitude of strategic transition cost combined with adverse market environment.  It is thus a strategic priority to return profitability without diminishing the investment in future competitiveness.</w:t>
      </w:r>
    </w:p>
    <w:p w14:paraId="3F749974" w14:textId="77777777" w:rsidR="0063355E" w:rsidRPr="00163207" w:rsidRDefault="0063355E" w:rsidP="00163207">
      <w:pPr>
        <w:spacing w:line="360" w:lineRule="auto"/>
        <w:jc w:val="both"/>
        <w:rPr>
          <w:rFonts w:ascii="Arial" w:hAnsi="Arial" w:cs="Arial"/>
        </w:rPr>
      </w:pPr>
    </w:p>
    <w:p w14:paraId="21E95B71" w14:textId="40E0B228" w:rsidR="009C180C" w:rsidRPr="00163207" w:rsidRDefault="009C180C" w:rsidP="00163207">
      <w:pPr>
        <w:pStyle w:val="Heading2"/>
      </w:pPr>
      <w:bookmarkStart w:id="5" w:name="_Toc235783655"/>
      <w:r w:rsidRPr="00163207">
        <w:t>Strategy Analysis</w:t>
      </w:r>
      <w:bookmarkEnd w:id="5"/>
    </w:p>
    <w:p w14:paraId="1065D199" w14:textId="77777777" w:rsidR="009C180C" w:rsidRPr="00163207" w:rsidRDefault="009C180C" w:rsidP="00163207">
      <w:pPr>
        <w:spacing w:line="360" w:lineRule="auto"/>
        <w:jc w:val="both"/>
        <w:rPr>
          <w:rFonts w:ascii="Arial" w:hAnsi="Arial" w:cs="Arial"/>
        </w:rPr>
      </w:pPr>
    </w:p>
    <w:p w14:paraId="2D26A25D" w14:textId="23243A89" w:rsidR="009C180C" w:rsidRPr="00163207" w:rsidRDefault="009C180C" w:rsidP="00163207">
      <w:pPr>
        <w:spacing w:line="360" w:lineRule="auto"/>
        <w:jc w:val="both"/>
        <w:rPr>
          <w:rFonts w:ascii="Arial" w:hAnsi="Arial" w:cs="Arial"/>
          <w:b/>
          <w:bCs/>
        </w:rPr>
      </w:pPr>
      <w:r w:rsidRPr="00163207">
        <w:rPr>
          <w:rFonts w:ascii="Arial" w:hAnsi="Arial" w:cs="Arial"/>
          <w:b/>
          <w:bCs/>
        </w:rPr>
        <w:t>External Environmental Audit: PESTEL and Porter’s Five Forces</w:t>
      </w:r>
    </w:p>
    <w:p w14:paraId="3E2FA413" w14:textId="77777777" w:rsidR="009C180C" w:rsidRPr="00163207" w:rsidRDefault="009C180C" w:rsidP="00163207">
      <w:pPr>
        <w:spacing w:line="360" w:lineRule="auto"/>
        <w:jc w:val="both"/>
        <w:rPr>
          <w:rFonts w:ascii="Arial" w:hAnsi="Arial" w:cs="Arial"/>
        </w:rPr>
      </w:pPr>
    </w:p>
    <w:p w14:paraId="5B727139" w14:textId="3FE663F3" w:rsidR="001D0EC5" w:rsidRPr="00163207" w:rsidRDefault="001D0EC5" w:rsidP="00163207">
      <w:pPr>
        <w:spacing w:line="360" w:lineRule="auto"/>
        <w:jc w:val="both"/>
        <w:rPr>
          <w:rFonts w:ascii="Arial" w:hAnsi="Arial" w:cs="Arial"/>
        </w:rPr>
      </w:pPr>
      <w:r w:rsidRPr="00163207">
        <w:rPr>
          <w:rFonts w:ascii="Arial" w:hAnsi="Arial" w:cs="Arial"/>
        </w:rPr>
        <w:lastRenderedPageBreak/>
        <w:t>Porsche's latest PESTEL Analysis depicts a section which showcases the macroenvironment which is getting complicated for it to operate. Geopolitical tensions, trade restrictions and industrial policies are influential factors from a political perspective. Policies are impacting global markets’ automotive supply chains. This clearly illustrates how tariffs can bring down a Porsche. The IEA is referenced in 2025.</w:t>
      </w:r>
    </w:p>
    <w:p w14:paraId="3C12D45C" w14:textId="08525976" w:rsidR="001D0EC5" w:rsidRPr="00163207" w:rsidRDefault="001D0EC5" w:rsidP="00163207">
      <w:pPr>
        <w:spacing w:line="360" w:lineRule="auto"/>
        <w:jc w:val="both"/>
        <w:rPr>
          <w:rFonts w:ascii="Arial" w:hAnsi="Arial" w:cs="Arial"/>
        </w:rPr>
      </w:pPr>
      <w:r w:rsidRPr="00163207">
        <w:rPr>
          <w:rFonts w:ascii="Arial" w:hAnsi="Arial" w:cs="Arial"/>
        </w:rPr>
        <w:t>Economic forces are also important. Luxury cars depend heavily on consumer confidence, which in turn is linked to interest rates, foreign exchange rates and economic growth. Porsche reasons for weak demand in China show that producers are hurt more than consumers at times. However, high income consumers may prove to be more resilient than mass market segments thus enabling the premium pricing of Porsche</w:t>
      </w:r>
      <w:r w:rsidRPr="00163207">
        <w:rPr>
          <w:rFonts w:ascii="Arial" w:hAnsi="Arial" w:cs="Arial"/>
        </w:rPr>
        <w:t>.</w:t>
      </w:r>
    </w:p>
    <w:p w14:paraId="21CD2ED9" w14:textId="77777777" w:rsidR="001D0EC5" w:rsidRPr="00163207" w:rsidRDefault="001D0EC5" w:rsidP="00163207">
      <w:pPr>
        <w:spacing w:line="360" w:lineRule="auto"/>
        <w:jc w:val="both"/>
        <w:rPr>
          <w:rFonts w:ascii="Arial" w:hAnsi="Arial" w:cs="Arial"/>
        </w:rPr>
      </w:pPr>
    </w:p>
    <w:p w14:paraId="5F1A3886" w14:textId="04953460" w:rsidR="001D0EC5" w:rsidRPr="00163207" w:rsidRDefault="001D0EC5" w:rsidP="00163207">
      <w:pPr>
        <w:spacing w:line="360" w:lineRule="auto"/>
        <w:jc w:val="both"/>
        <w:rPr>
          <w:rFonts w:ascii="Arial" w:hAnsi="Arial" w:cs="Arial"/>
        </w:rPr>
      </w:pPr>
      <w:r w:rsidRPr="00163207">
        <w:rPr>
          <w:rFonts w:ascii="Arial" w:hAnsi="Arial" w:cs="Arial"/>
        </w:rPr>
        <w:t xml:space="preserve">As consumers become more committed to sustainability, digital technology and mobility, social factors change. Premium consumers who are younger may expect connectivity and special digital experience on top of mechanical performance. Besides, it is necessary for Porsche to take into consideration the emotional character while changing its value proposition. </w:t>
      </w:r>
    </w:p>
    <w:p w14:paraId="21750D23" w14:textId="6B070B35" w:rsidR="001D0EC5" w:rsidRPr="00163207" w:rsidRDefault="001D0EC5" w:rsidP="00163207">
      <w:pPr>
        <w:spacing w:line="360" w:lineRule="auto"/>
        <w:jc w:val="both"/>
        <w:rPr>
          <w:rFonts w:ascii="Arial" w:hAnsi="Arial" w:cs="Arial"/>
        </w:rPr>
      </w:pPr>
      <w:r w:rsidRPr="00163207">
        <w:rPr>
          <w:rFonts w:ascii="Arial" w:hAnsi="Arial" w:cs="Arial"/>
        </w:rPr>
        <w:t>Possibly more disruptive than any major force in the industry are technological forces. Electric vehicles (EVs), battery creation, artificial intelligence (AI), autonomous driving, and software-defined vehicles involve high research and development costs. In addition, at the global level IEA (2025) (2026) over 17 million electric cars were sold in 2024 (IEA, 2025), and it is expected that this number will rise to over 20 million 2025 (IEA.</w:t>
      </w:r>
    </w:p>
    <w:p w14:paraId="521B9575" w14:textId="77777777" w:rsidR="001D0EC5" w:rsidRPr="00163207" w:rsidRDefault="001D0EC5" w:rsidP="00163207">
      <w:pPr>
        <w:spacing w:line="360" w:lineRule="auto"/>
        <w:jc w:val="both"/>
        <w:rPr>
          <w:rFonts w:ascii="Arial" w:hAnsi="Arial" w:cs="Arial"/>
        </w:rPr>
      </w:pPr>
      <w:r w:rsidRPr="00163207">
        <w:rPr>
          <w:rFonts w:ascii="Arial" w:hAnsi="Arial" w:cs="Arial"/>
        </w:rPr>
        <w:t>Environmental factors are strengthening the argument for electrification. Behavioural changes at consumer, manufacturer and corporate levels reflect climate change concerns. These legal pressures convey the same message. Manufacturers are facing increasingly stringent requirements imposed by European CO</w:t>
      </w:r>
      <w:r w:rsidRPr="00163207">
        <w:rPr>
          <w:rFonts w:ascii="Cambria Math" w:hAnsi="Cambria Math" w:cs="Cambria Math"/>
        </w:rPr>
        <w:t>₂</w:t>
      </w:r>
      <w:r w:rsidRPr="00163207">
        <w:rPr>
          <w:rFonts w:ascii="Arial" w:hAnsi="Arial" w:cs="Arial"/>
        </w:rPr>
        <w:t xml:space="preserve"> standards, which compel Porsche to gradually lower its fleet emissions (European Commission, 2026).</w:t>
      </w:r>
    </w:p>
    <w:p w14:paraId="2E0D2936" w14:textId="3336ABBD" w:rsidR="001D0EC5" w:rsidRPr="00163207" w:rsidRDefault="001D0EC5" w:rsidP="00163207">
      <w:pPr>
        <w:spacing w:line="360" w:lineRule="auto"/>
        <w:jc w:val="both"/>
        <w:rPr>
          <w:rFonts w:ascii="Arial" w:hAnsi="Arial" w:cs="Arial"/>
        </w:rPr>
      </w:pPr>
      <w:r w:rsidRPr="00163207">
        <w:rPr>
          <w:rFonts w:ascii="Arial" w:hAnsi="Arial" w:cs="Arial"/>
        </w:rPr>
        <w:t>Five Forces also gives us a peek at Porsche’s competitors</w:t>
      </w:r>
      <w:r w:rsidR="00163207">
        <w:rPr>
          <w:rFonts w:ascii="Arial" w:hAnsi="Arial" w:cs="Arial"/>
        </w:rPr>
        <w:t xml:space="preserve"> </w:t>
      </w:r>
      <w:r w:rsidR="00163207">
        <w:rPr>
          <w:rFonts w:ascii="Arial" w:hAnsi="Arial" w:cs="Arial"/>
        </w:rPr>
        <w:t>(</w:t>
      </w:r>
      <w:r w:rsidR="00163207" w:rsidRPr="00163207">
        <w:rPr>
          <w:rFonts w:ascii="Arial" w:hAnsi="Arial" w:cs="Arial"/>
        </w:rPr>
        <w:t xml:space="preserve">Porter’s </w:t>
      </w:r>
      <w:r w:rsidR="00163207">
        <w:rPr>
          <w:rFonts w:ascii="Arial" w:hAnsi="Arial" w:cs="Arial"/>
        </w:rPr>
        <w:t>,</w:t>
      </w:r>
      <w:r w:rsidR="00163207" w:rsidRPr="00163207">
        <w:rPr>
          <w:rFonts w:ascii="Arial" w:hAnsi="Arial" w:cs="Arial"/>
        </w:rPr>
        <w:t>1980</w:t>
      </w:r>
      <w:r w:rsidR="003B0D58" w:rsidRPr="00163207">
        <w:rPr>
          <w:rFonts w:ascii="Arial" w:hAnsi="Arial" w:cs="Arial"/>
        </w:rPr>
        <w:t>) There’s</w:t>
      </w:r>
      <w:r w:rsidRPr="00163207">
        <w:rPr>
          <w:rFonts w:ascii="Arial" w:hAnsi="Arial" w:cs="Arial"/>
        </w:rPr>
        <w:t xml:space="preserve"> significant competition. Premium customers are being targeted by established manufacturers like Ferrari, Mercedes-Benz and BMW, as well as new EV </w:t>
      </w:r>
      <w:r w:rsidRPr="00163207">
        <w:rPr>
          <w:rFonts w:ascii="Arial" w:hAnsi="Arial" w:cs="Arial"/>
        </w:rPr>
        <w:lastRenderedPageBreak/>
        <w:t xml:space="preserve">manufacturers. Chinese manufacturers are placing more competitive pressure on Western car makers, especially </w:t>
      </w:r>
      <w:r w:rsidR="003B0D58" w:rsidRPr="00163207">
        <w:rPr>
          <w:rFonts w:ascii="Arial" w:hAnsi="Arial" w:cs="Arial"/>
        </w:rPr>
        <w:t>about</w:t>
      </w:r>
      <w:r w:rsidRPr="00163207">
        <w:rPr>
          <w:rFonts w:ascii="Arial" w:hAnsi="Arial" w:cs="Arial"/>
        </w:rPr>
        <w:t xml:space="preserve"> the rapid innovation of batteries and digital technologies.</w:t>
      </w:r>
    </w:p>
    <w:p w14:paraId="49F2D5DB" w14:textId="77777777" w:rsidR="001D0EC5" w:rsidRPr="00163207" w:rsidRDefault="001D0EC5" w:rsidP="00163207">
      <w:pPr>
        <w:spacing w:line="360" w:lineRule="auto"/>
        <w:jc w:val="both"/>
        <w:rPr>
          <w:rFonts w:ascii="Arial" w:hAnsi="Arial" w:cs="Arial"/>
        </w:rPr>
      </w:pPr>
      <w:r w:rsidRPr="00163207">
        <w:rPr>
          <w:rFonts w:ascii="Arial" w:hAnsi="Arial" w:cs="Arial"/>
        </w:rPr>
        <w:t>Moderate threat of new entrants exists. To fabricate automobiles, the manufacturers require a huge capital investment, technology, regulations, and branding. These accessibility obstacles offer Porsche safeguarding. Nonetheless, technology-centric manufacturers have been able to disrupt incumbents due to EV architecture.</w:t>
      </w:r>
    </w:p>
    <w:p w14:paraId="23835244" w14:textId="77777777" w:rsidR="001D0EC5" w:rsidRPr="00163207" w:rsidRDefault="001D0EC5" w:rsidP="00163207">
      <w:pPr>
        <w:spacing w:line="360" w:lineRule="auto"/>
        <w:jc w:val="both"/>
        <w:rPr>
          <w:rFonts w:ascii="Arial" w:hAnsi="Arial" w:cs="Arial"/>
        </w:rPr>
      </w:pPr>
      <w:r w:rsidRPr="00163207">
        <w:rPr>
          <w:rFonts w:ascii="Arial" w:hAnsi="Arial" w:cs="Arial"/>
        </w:rPr>
        <w:t>Sellers are moderately high power There is high power relative to semiconductors, batteries and other specialised technology components.  Supply shortages can disrupt the production process. Dependence grows as advanced tech supplier consolidation increases. Volkswagen Group purchasing power, supplier diversification and strategic alliances help mitigate this risk.</w:t>
      </w:r>
    </w:p>
    <w:p w14:paraId="451AE33D" w14:textId="01C7CF6E" w:rsidR="009C180C" w:rsidRPr="00163207" w:rsidRDefault="001D0EC5" w:rsidP="00163207">
      <w:pPr>
        <w:spacing w:line="360" w:lineRule="auto"/>
        <w:jc w:val="both"/>
        <w:rPr>
          <w:rFonts w:ascii="Arial" w:hAnsi="Arial" w:cs="Arial"/>
        </w:rPr>
      </w:pPr>
      <w:r w:rsidRPr="00163207">
        <w:rPr>
          <w:rFonts w:ascii="Arial" w:hAnsi="Arial" w:cs="Arial"/>
        </w:rPr>
        <w:t>The power of the buyers is moderate in this case because premium consumers have choices. However, Porsche has brand loyalty and product differentiation which makes the buyers a little less price sensitive. Ultimately, substitutes pose a moderate threat due to the presence of public transport and mobility services offering alternatives to owning a vehicle. Yet, the provision of emotional and status benefits by Porsche vehicles is a thing which a mobility service can’t offer easily.</w:t>
      </w:r>
    </w:p>
    <w:p w14:paraId="338C7A19" w14:textId="2ABB57F1" w:rsidR="009C180C" w:rsidRPr="00163207" w:rsidRDefault="009C180C" w:rsidP="003B0D58">
      <w:pPr>
        <w:pStyle w:val="Heading2"/>
      </w:pPr>
      <w:r w:rsidRPr="00163207">
        <w:t xml:space="preserve"> </w:t>
      </w:r>
      <w:bookmarkStart w:id="6" w:name="_Toc235783656"/>
      <w:r w:rsidRPr="00163207">
        <w:t>Internal Environmental Audit: SWOT, VRIO and Value Chain</w:t>
      </w:r>
      <w:bookmarkEnd w:id="6"/>
    </w:p>
    <w:p w14:paraId="2F34E0E2" w14:textId="77777777" w:rsidR="009C180C" w:rsidRPr="00163207" w:rsidRDefault="009C180C" w:rsidP="00163207">
      <w:pPr>
        <w:spacing w:line="360" w:lineRule="auto"/>
        <w:jc w:val="both"/>
        <w:rPr>
          <w:rFonts w:ascii="Arial" w:hAnsi="Arial" w:cs="Arial"/>
        </w:rPr>
      </w:pPr>
    </w:p>
    <w:p w14:paraId="5C127DB1" w14:textId="6DCC9E3A" w:rsidR="001D0EC5" w:rsidRPr="00163207" w:rsidRDefault="001D0EC5" w:rsidP="00163207">
      <w:pPr>
        <w:spacing w:line="360" w:lineRule="auto"/>
        <w:jc w:val="both"/>
        <w:rPr>
          <w:rFonts w:ascii="Arial" w:hAnsi="Arial" w:cs="Arial"/>
        </w:rPr>
      </w:pPr>
      <w:r w:rsidRPr="00163207">
        <w:rPr>
          <w:rFonts w:ascii="Arial" w:hAnsi="Arial" w:cs="Arial"/>
        </w:rPr>
        <w:t>Brand of Porsche is one of the major strengths identified in the SWOT analysis of Porsche. The legacy of engineering brilliance, motorsport talents, and unique design facilitates significant differentiation. Porsche enjoys remarkable customer loyalty, granting it pricing power. Through Volkswagen Group, it has access to a larger pool of technology as well as purchasing power</w:t>
      </w:r>
      <w:r w:rsidR="003B0D58">
        <w:rPr>
          <w:rFonts w:ascii="Arial" w:hAnsi="Arial" w:cs="Arial"/>
        </w:rPr>
        <w:t>.</w:t>
      </w:r>
    </w:p>
    <w:p w14:paraId="313800BD" w14:textId="11D36BBC" w:rsidR="001D0EC5" w:rsidRPr="00163207" w:rsidRDefault="001D0EC5" w:rsidP="00163207">
      <w:pPr>
        <w:spacing w:line="360" w:lineRule="auto"/>
        <w:jc w:val="both"/>
        <w:rPr>
          <w:rFonts w:ascii="Arial" w:hAnsi="Arial" w:cs="Arial"/>
        </w:rPr>
      </w:pPr>
      <w:r w:rsidRPr="00163207">
        <w:rPr>
          <w:rFonts w:ascii="Arial" w:hAnsi="Arial" w:cs="Arial"/>
        </w:rPr>
        <w:t xml:space="preserve">Porsche’s production costs are relatively high and thus a weakness. Demand of Premium Consumer </w:t>
      </w:r>
      <w:r w:rsidR="003B0D58" w:rsidRPr="00163207">
        <w:rPr>
          <w:rFonts w:ascii="Arial" w:hAnsi="Arial" w:cs="Arial"/>
        </w:rPr>
        <w:t>wilful</w:t>
      </w:r>
      <w:r w:rsidRPr="00163207">
        <w:rPr>
          <w:rFonts w:ascii="Arial" w:hAnsi="Arial" w:cs="Arial"/>
        </w:rPr>
        <w:t xml:space="preserve"> dictate. Regulatory changes may affect high-performance combustion vehicle industry resilience. Recent financial results show some exposure to transition costs. Porsche cannot assume its historical mechanical-engineering capabilities automatically translate to competitive advantage in software and AI.</w:t>
      </w:r>
    </w:p>
    <w:p w14:paraId="2BBE17B1" w14:textId="76D8D001" w:rsidR="001D0EC5" w:rsidRPr="00163207" w:rsidRDefault="001D0EC5" w:rsidP="00163207">
      <w:pPr>
        <w:spacing w:line="360" w:lineRule="auto"/>
        <w:jc w:val="both"/>
        <w:rPr>
          <w:rFonts w:ascii="Arial" w:hAnsi="Arial" w:cs="Arial"/>
        </w:rPr>
      </w:pPr>
      <w:r w:rsidRPr="00163207">
        <w:rPr>
          <w:rFonts w:ascii="Arial" w:hAnsi="Arial" w:cs="Arial"/>
        </w:rPr>
        <w:lastRenderedPageBreak/>
        <w:t>The automotive industry will see players rewarded with more opportunities as internationalisation of EVs, connected services, personalisation, AI and recurring digital revenues emerge. The growing EV market will offer an opportunity for a re-imagining of performance, for an electric future. The automakers will have to contend with numerous threats going ahead. These.</w:t>
      </w:r>
    </w:p>
    <w:p w14:paraId="43F55A16" w14:textId="4D16C712" w:rsidR="009C180C" w:rsidRPr="00163207" w:rsidRDefault="001D0EC5" w:rsidP="00163207">
      <w:pPr>
        <w:spacing w:line="360" w:lineRule="auto"/>
        <w:jc w:val="both"/>
        <w:rPr>
          <w:rFonts w:ascii="Arial" w:hAnsi="Arial" w:cs="Arial"/>
        </w:rPr>
      </w:pPr>
      <w:r w:rsidRPr="00163207">
        <w:rPr>
          <w:rFonts w:ascii="Arial" w:hAnsi="Arial" w:cs="Arial"/>
        </w:rPr>
        <w:t xml:space="preserve">The VRIO framework by </w:t>
      </w:r>
      <w:r w:rsidR="003B0D58">
        <w:rPr>
          <w:rFonts w:ascii="Arial" w:hAnsi="Arial" w:cs="Arial"/>
        </w:rPr>
        <w:t>(</w:t>
      </w:r>
      <w:proofErr w:type="gramStart"/>
      <w:r w:rsidRPr="00163207">
        <w:rPr>
          <w:rFonts w:ascii="Arial" w:hAnsi="Arial" w:cs="Arial"/>
        </w:rPr>
        <w:t xml:space="preserve">Barney </w:t>
      </w:r>
      <w:r w:rsidR="003B0D58">
        <w:rPr>
          <w:rFonts w:ascii="Arial" w:hAnsi="Arial" w:cs="Arial"/>
        </w:rPr>
        <w:t>,</w:t>
      </w:r>
      <w:proofErr w:type="gramEnd"/>
      <w:r w:rsidR="003B0D58">
        <w:rPr>
          <w:rFonts w:ascii="Arial" w:hAnsi="Arial" w:cs="Arial"/>
        </w:rPr>
        <w:t xml:space="preserve"> </w:t>
      </w:r>
      <w:r w:rsidRPr="00163207">
        <w:rPr>
          <w:rFonts w:ascii="Arial" w:hAnsi="Arial" w:cs="Arial"/>
        </w:rPr>
        <w:t xml:space="preserve">1991) allows for a more in-depth analysis of Porsche resources. </w:t>
      </w:r>
      <w:r w:rsidR="003B0D58" w:rsidRPr="00163207">
        <w:rPr>
          <w:rFonts w:ascii="Arial" w:hAnsi="Arial" w:cs="Arial"/>
        </w:rPr>
        <w:t>Since</w:t>
      </w:r>
      <w:r w:rsidRPr="00163207">
        <w:rPr>
          <w:rFonts w:ascii="Arial" w:hAnsi="Arial" w:cs="Arial"/>
        </w:rPr>
        <w:t xml:space="preserve"> the Porsche brand enables the company to charge a premium price as well as customer loyalty, it is indeed a resource of value. The combination of motorsport pedigree design recognition and performance credibility enjoyed by Porsche is one that only few automotive brands can really claim.  Besides, since the brand is not an artifact of single technologies, but a result of decades of accumulated history, it is difficult to imitate. Porsche’s resources have been exploited fully through marketing, motorsport, dealerships, product design etc. Brand equity is a competitive advantage that can be sustained.</w:t>
      </w:r>
    </w:p>
    <w:p w14:paraId="4EF71973" w14:textId="77777777" w:rsidR="001D0EC5" w:rsidRPr="00163207" w:rsidRDefault="001D0EC5" w:rsidP="00163207">
      <w:pPr>
        <w:spacing w:line="360" w:lineRule="auto"/>
        <w:jc w:val="both"/>
        <w:rPr>
          <w:rFonts w:ascii="Arial" w:hAnsi="Arial" w:cs="Arial"/>
        </w:rPr>
      </w:pPr>
    </w:p>
    <w:p w14:paraId="30C93522" w14:textId="67585E8B" w:rsidR="00163207" w:rsidRPr="00163207" w:rsidRDefault="00163207" w:rsidP="00163207">
      <w:pPr>
        <w:spacing w:line="360" w:lineRule="auto"/>
        <w:jc w:val="both"/>
        <w:rPr>
          <w:rFonts w:ascii="Arial" w:hAnsi="Arial" w:cs="Arial"/>
        </w:rPr>
      </w:pPr>
      <w:r w:rsidRPr="00163207">
        <w:rPr>
          <w:rFonts w:ascii="Arial" w:hAnsi="Arial" w:cs="Arial"/>
        </w:rPr>
        <w:t xml:space="preserve">Having engineering expertise is valuable, although possibly not so scarce since competitors have significant technological competence. Software </w:t>
      </w:r>
      <w:r w:rsidR="003B0D58" w:rsidRPr="00163207">
        <w:rPr>
          <w:rFonts w:ascii="Arial" w:hAnsi="Arial" w:cs="Arial"/>
        </w:rPr>
        <w:t>is</w:t>
      </w:r>
      <w:r w:rsidRPr="00163207">
        <w:rPr>
          <w:rFonts w:ascii="Arial" w:hAnsi="Arial" w:cs="Arial"/>
        </w:rPr>
        <w:t xml:space="preserve"> becoming increasingly important competitive advantage enabler as digital ecosystems rather than mechanical engineering are the main sources of innovations.</w:t>
      </w:r>
    </w:p>
    <w:p w14:paraId="320827CD" w14:textId="64C76AA1" w:rsidR="00163207" w:rsidRPr="00163207" w:rsidRDefault="00163207" w:rsidP="00163207">
      <w:pPr>
        <w:spacing w:line="360" w:lineRule="auto"/>
        <w:jc w:val="both"/>
        <w:rPr>
          <w:rFonts w:ascii="Arial" w:hAnsi="Arial" w:cs="Arial"/>
        </w:rPr>
      </w:pPr>
      <w:r w:rsidRPr="00163207">
        <w:rPr>
          <w:rFonts w:ascii="Arial" w:hAnsi="Arial" w:cs="Arial"/>
        </w:rPr>
        <w:t xml:space="preserve">According to </w:t>
      </w:r>
      <w:r w:rsidR="003B0D58">
        <w:rPr>
          <w:rFonts w:ascii="Arial" w:hAnsi="Arial" w:cs="Arial"/>
        </w:rPr>
        <w:t>(</w:t>
      </w:r>
      <w:r w:rsidRPr="00163207">
        <w:rPr>
          <w:rFonts w:ascii="Arial" w:hAnsi="Arial" w:cs="Arial"/>
        </w:rPr>
        <w:t xml:space="preserve">Porter’s Value </w:t>
      </w:r>
      <w:r w:rsidR="003B0D58" w:rsidRPr="00163207">
        <w:rPr>
          <w:rFonts w:ascii="Arial" w:hAnsi="Arial" w:cs="Arial"/>
        </w:rPr>
        <w:t>Chain,</w:t>
      </w:r>
      <w:r w:rsidR="003B0D58">
        <w:rPr>
          <w:rFonts w:ascii="Arial" w:hAnsi="Arial" w:cs="Arial"/>
        </w:rPr>
        <w:t xml:space="preserve"> </w:t>
      </w:r>
      <w:r w:rsidRPr="00163207">
        <w:rPr>
          <w:rFonts w:ascii="Arial" w:hAnsi="Arial" w:cs="Arial"/>
        </w:rPr>
        <w:t xml:space="preserve">1985), Porsche creates value through such operations as the development of the product, procurement component parts, manufacture of the product, marketing and sales, distribution and after-sales services.  Research and development </w:t>
      </w:r>
      <w:r w:rsidR="003B0D58" w:rsidRPr="00163207">
        <w:rPr>
          <w:rFonts w:ascii="Arial" w:hAnsi="Arial" w:cs="Arial"/>
        </w:rPr>
        <w:t>create</w:t>
      </w:r>
      <w:r w:rsidRPr="00163207">
        <w:rPr>
          <w:rFonts w:ascii="Arial" w:hAnsi="Arial" w:cs="Arial"/>
        </w:rPr>
        <w:t xml:space="preserve"> differences through performance and design. Careful management of manufacturing enhances perceived quality. Marketing efforts transform the essence of motorsport and brand identity into desirability.  To cap it all off, after-sales services and personalisation build a relationship.</w:t>
      </w:r>
    </w:p>
    <w:p w14:paraId="7DEBC420" w14:textId="77777777" w:rsidR="00163207" w:rsidRPr="00163207" w:rsidRDefault="00163207" w:rsidP="00163207">
      <w:pPr>
        <w:spacing w:line="360" w:lineRule="auto"/>
        <w:jc w:val="both"/>
        <w:rPr>
          <w:rFonts w:ascii="Arial" w:hAnsi="Arial" w:cs="Arial"/>
        </w:rPr>
      </w:pPr>
    </w:p>
    <w:p w14:paraId="6CC1D07C" w14:textId="4AF189C4" w:rsidR="00163207" w:rsidRPr="00163207" w:rsidRDefault="00163207" w:rsidP="00163207">
      <w:pPr>
        <w:spacing w:line="360" w:lineRule="auto"/>
        <w:jc w:val="both"/>
        <w:rPr>
          <w:rFonts w:ascii="Arial" w:hAnsi="Arial" w:cs="Arial"/>
        </w:rPr>
      </w:pPr>
      <w:r w:rsidRPr="00163207">
        <w:rPr>
          <w:rFonts w:ascii="Arial" w:hAnsi="Arial" w:cs="Arial"/>
        </w:rPr>
        <w:t>The internal analysis indicates that Porsche should not compete through cost leadership. In fact, their best resources support further differentiation. The strategic challenge is to ascertain how Porsche might translate its current premium differentiation in electric and software-defined mobility</w:t>
      </w:r>
      <w:r w:rsidRPr="00163207">
        <w:rPr>
          <w:rFonts w:ascii="Arial" w:hAnsi="Arial" w:cs="Arial"/>
        </w:rPr>
        <w:t>.</w:t>
      </w:r>
    </w:p>
    <w:p w14:paraId="4BA710D5" w14:textId="77777777" w:rsidR="00163207" w:rsidRPr="00163207" w:rsidRDefault="00163207" w:rsidP="00163207">
      <w:pPr>
        <w:spacing w:line="360" w:lineRule="auto"/>
        <w:jc w:val="both"/>
        <w:rPr>
          <w:rFonts w:ascii="Arial" w:hAnsi="Arial" w:cs="Arial"/>
        </w:rPr>
      </w:pPr>
    </w:p>
    <w:p w14:paraId="04A480E7" w14:textId="6268057A" w:rsidR="009C180C" w:rsidRPr="00163207" w:rsidRDefault="009C180C" w:rsidP="003B0D58">
      <w:pPr>
        <w:pStyle w:val="Heading2"/>
      </w:pPr>
      <w:bookmarkStart w:id="7" w:name="_Toc235783657"/>
      <w:r w:rsidRPr="00163207">
        <w:t>Strategy Formulation: Proposed Strategic Choice</w:t>
      </w:r>
      <w:bookmarkEnd w:id="7"/>
    </w:p>
    <w:p w14:paraId="35F1CD80" w14:textId="77777777" w:rsidR="009C180C" w:rsidRPr="00163207" w:rsidRDefault="009C180C" w:rsidP="00163207">
      <w:pPr>
        <w:spacing w:line="360" w:lineRule="auto"/>
        <w:jc w:val="both"/>
        <w:rPr>
          <w:rFonts w:ascii="Arial" w:hAnsi="Arial" w:cs="Arial"/>
        </w:rPr>
      </w:pPr>
    </w:p>
    <w:p w14:paraId="6628F216" w14:textId="7B8CC66B" w:rsidR="009C180C" w:rsidRPr="00163207" w:rsidRDefault="00163207" w:rsidP="00163207">
      <w:pPr>
        <w:spacing w:line="360" w:lineRule="auto"/>
        <w:jc w:val="both"/>
        <w:rPr>
          <w:rFonts w:ascii="Arial" w:hAnsi="Arial" w:cs="Arial"/>
        </w:rPr>
      </w:pPr>
      <w:r w:rsidRPr="00163207">
        <w:rPr>
          <w:rFonts w:ascii="Arial" w:hAnsi="Arial" w:cs="Arial"/>
        </w:rPr>
        <w:t xml:space="preserve">Porsche </w:t>
      </w:r>
      <w:r w:rsidR="003B0D58" w:rsidRPr="00163207">
        <w:rPr>
          <w:rFonts w:ascii="Arial" w:hAnsi="Arial" w:cs="Arial"/>
        </w:rPr>
        <w:t>must</w:t>
      </w:r>
      <w:r w:rsidRPr="00163207">
        <w:rPr>
          <w:rFonts w:ascii="Arial" w:hAnsi="Arial" w:cs="Arial"/>
        </w:rPr>
        <w:t xml:space="preserve"> develop a strategy that safeguards its customers, brand identity, and innovative potential while fully engineering a transition of its value proposition. The environmental analysis indicates that Porsche should choose a Flexible Premium as well as an Electrification and Digital Differentiation Strategy. The high-performance hybrid concept combines continued BEV development with selected combustion products, where legally and commercially possible. The recognition of uncertainty in the speed of EV adoption. Porsche risks facing demand volatility if there is a short-term total reliance on BEVs. If electrification is not enough, the risk of regulations and competitors would grow. By enabling Porsche to adapt to varying levels of uptake across regions, strategic flexibility provides </w:t>
      </w:r>
      <w:r w:rsidRPr="00163207">
        <w:rPr>
          <w:rFonts w:ascii="Arial" w:hAnsi="Arial" w:cs="Arial"/>
        </w:rPr>
        <w:t>real option</w:t>
      </w:r>
      <w:r w:rsidRPr="00163207">
        <w:rPr>
          <w:rFonts w:ascii="Arial" w:hAnsi="Arial" w:cs="Arial"/>
        </w:rPr>
        <w:t xml:space="preserve"> value. Porsche ought to set apart its EVs through performance, not by competing on price. Porsche should embody its traditional capabilities in battery management, charging speed, handling and driving experience in the EV market. The electric Macan's success can help smooth the transition. Porsche should enhance and expand services powered by software and add ones using AI for personalisation. With the help of digital performance characteristics, predictive maintenance and personalized customer service, one can expect added revenues. Where developing technology internally would involve unmanageable costs, partnerships should be pursued. Ultimately, the strategy should be to supply-chain resilience. Porsche should decentralize its sourcing of batteries and chips while also leveraging the Volkswagen Group scale wherever differentiation is not compromised.</w:t>
      </w:r>
    </w:p>
    <w:p w14:paraId="6D64B7AE" w14:textId="77777777" w:rsidR="00163207" w:rsidRPr="00163207" w:rsidRDefault="00163207" w:rsidP="00163207">
      <w:pPr>
        <w:spacing w:line="360" w:lineRule="auto"/>
        <w:jc w:val="both"/>
        <w:rPr>
          <w:rFonts w:ascii="Arial" w:hAnsi="Arial" w:cs="Arial"/>
        </w:rPr>
      </w:pPr>
    </w:p>
    <w:p w14:paraId="4BDC2E67" w14:textId="681E72A9" w:rsidR="009C180C" w:rsidRPr="00163207" w:rsidRDefault="009C180C" w:rsidP="003B0D58">
      <w:pPr>
        <w:pStyle w:val="Heading2"/>
      </w:pPr>
      <w:bookmarkStart w:id="8" w:name="_Toc235783658"/>
      <w:r w:rsidRPr="00163207">
        <w:t>Conclusion and Recommendations</w:t>
      </w:r>
      <w:bookmarkEnd w:id="8"/>
    </w:p>
    <w:p w14:paraId="58ECFB49" w14:textId="77777777" w:rsidR="009C180C" w:rsidRPr="00163207" w:rsidRDefault="009C180C" w:rsidP="00163207">
      <w:pPr>
        <w:spacing w:line="360" w:lineRule="auto"/>
        <w:jc w:val="both"/>
        <w:rPr>
          <w:rFonts w:ascii="Arial" w:hAnsi="Arial" w:cs="Arial"/>
        </w:rPr>
      </w:pPr>
    </w:p>
    <w:p w14:paraId="0C58E33F" w14:textId="77777777" w:rsidR="00163207" w:rsidRPr="00163207" w:rsidRDefault="00163207" w:rsidP="00163207">
      <w:pPr>
        <w:spacing w:line="360" w:lineRule="auto"/>
        <w:jc w:val="both"/>
        <w:rPr>
          <w:rFonts w:ascii="Arial" w:hAnsi="Arial" w:cs="Arial"/>
        </w:rPr>
      </w:pPr>
      <w:r w:rsidRPr="00163207">
        <w:rPr>
          <w:rFonts w:ascii="Arial" w:hAnsi="Arial" w:cs="Arial"/>
        </w:rPr>
        <w:t xml:space="preserve">According to this report, Porsche faces competition at one of the most disruptive times in automotive history.  The competition in the auto industry is changing due to many factors like electrification, software-defined vehicles.  Porsche has substantial </w:t>
      </w:r>
      <w:r w:rsidRPr="00163207">
        <w:rPr>
          <w:rFonts w:ascii="Arial" w:hAnsi="Arial" w:cs="Arial"/>
        </w:rPr>
        <w:lastRenderedPageBreak/>
        <w:t>advantages through its brand, engineering heritage, loyal customers, premium pricing, differentiated products and more.</w:t>
      </w:r>
    </w:p>
    <w:p w14:paraId="4912A40E" w14:textId="036790AE" w:rsidR="00163207" w:rsidRPr="00163207" w:rsidRDefault="00163207" w:rsidP="00163207">
      <w:pPr>
        <w:spacing w:line="360" w:lineRule="auto"/>
        <w:jc w:val="both"/>
        <w:rPr>
          <w:rFonts w:ascii="Arial" w:hAnsi="Arial" w:cs="Arial"/>
        </w:rPr>
      </w:pPr>
      <w:r w:rsidRPr="00163207">
        <w:rPr>
          <w:rFonts w:ascii="Arial" w:hAnsi="Arial" w:cs="Arial"/>
        </w:rPr>
        <w:t xml:space="preserve"> Yet, looking at the years 2025 of the firm, these historic advantages will not suffice. The external analysis found severe threats from </w:t>
      </w:r>
      <w:r w:rsidR="003B0D58" w:rsidRPr="00163207">
        <w:rPr>
          <w:rFonts w:ascii="Arial" w:hAnsi="Arial" w:cs="Arial"/>
        </w:rPr>
        <w:t>highly</w:t>
      </w:r>
      <w:r w:rsidRPr="00163207">
        <w:rPr>
          <w:rFonts w:ascii="Arial" w:hAnsi="Arial" w:cs="Arial"/>
        </w:rPr>
        <w:t xml:space="preserve"> competitive rivalry and regulation as well as technological disruption and supply-chain uncertainty. An internal analysis demonstrates brand Porsche applicable to VRIO criteria to have sustainable competitive advantage. Nevertheless, software and battery capabilities must be further developed. Thus, Porsche should go for flexible premium </w:t>
      </w:r>
      <w:r w:rsidRPr="00163207">
        <w:rPr>
          <w:rFonts w:ascii="Arial" w:hAnsi="Arial" w:cs="Arial"/>
        </w:rPr>
        <w:t>electrisation</w:t>
      </w:r>
      <w:r w:rsidRPr="00163207">
        <w:rPr>
          <w:rFonts w:ascii="Arial" w:hAnsi="Arial" w:cs="Arial"/>
        </w:rPr>
        <w:t xml:space="preserve"> not either an abandonment of EV investment or an exclusive dependence on BEVs prior to market conditions justifying this. Investments should be geared to high-performance electric technology, AI, software-defined customer experiences. At the same time, Porsche should keep profitable hybrids and select combustion products where regulation and customer demand permits. In the end, Porsche must not become a mass-market tech maker. It makes new technologies unmistakably Porsche, which is their sustainable advantage.</w:t>
      </w:r>
    </w:p>
    <w:p w14:paraId="6B2C8174" w14:textId="77777777" w:rsidR="00163207" w:rsidRPr="00163207" w:rsidRDefault="00163207" w:rsidP="00163207">
      <w:pPr>
        <w:spacing w:line="360" w:lineRule="auto"/>
        <w:jc w:val="both"/>
        <w:rPr>
          <w:rFonts w:ascii="Arial" w:hAnsi="Arial" w:cs="Arial"/>
        </w:rPr>
      </w:pPr>
    </w:p>
    <w:p w14:paraId="0D4DD7E8" w14:textId="77777777" w:rsidR="009C180C" w:rsidRPr="00163207" w:rsidRDefault="009C180C" w:rsidP="00163207">
      <w:pPr>
        <w:spacing w:line="360" w:lineRule="auto"/>
        <w:jc w:val="both"/>
        <w:rPr>
          <w:rFonts w:ascii="Arial" w:hAnsi="Arial" w:cs="Arial"/>
        </w:rPr>
      </w:pPr>
    </w:p>
    <w:p w14:paraId="503E347B" w14:textId="77777777" w:rsidR="00163207" w:rsidRPr="00163207" w:rsidRDefault="00163207" w:rsidP="00163207">
      <w:pPr>
        <w:spacing w:line="360" w:lineRule="auto"/>
        <w:jc w:val="both"/>
        <w:rPr>
          <w:rFonts w:ascii="Arial" w:hAnsi="Arial" w:cs="Arial"/>
        </w:rPr>
      </w:pPr>
    </w:p>
    <w:p w14:paraId="568ADE45" w14:textId="77777777" w:rsidR="00163207" w:rsidRPr="00163207" w:rsidRDefault="00163207" w:rsidP="00163207">
      <w:pPr>
        <w:spacing w:line="360" w:lineRule="auto"/>
        <w:jc w:val="both"/>
        <w:rPr>
          <w:rFonts w:ascii="Arial" w:hAnsi="Arial" w:cs="Arial"/>
        </w:rPr>
      </w:pPr>
    </w:p>
    <w:p w14:paraId="7EC712A8" w14:textId="77777777" w:rsidR="00163207" w:rsidRPr="00163207" w:rsidRDefault="00163207" w:rsidP="00163207">
      <w:pPr>
        <w:spacing w:line="360" w:lineRule="auto"/>
        <w:jc w:val="both"/>
        <w:rPr>
          <w:rFonts w:ascii="Arial" w:hAnsi="Arial" w:cs="Arial"/>
        </w:rPr>
      </w:pPr>
    </w:p>
    <w:p w14:paraId="12BAD03D" w14:textId="77777777" w:rsidR="00163207" w:rsidRPr="00163207" w:rsidRDefault="00163207" w:rsidP="00163207">
      <w:pPr>
        <w:spacing w:line="360" w:lineRule="auto"/>
        <w:jc w:val="both"/>
        <w:rPr>
          <w:rFonts w:ascii="Arial" w:hAnsi="Arial" w:cs="Arial"/>
        </w:rPr>
      </w:pPr>
    </w:p>
    <w:p w14:paraId="7FA350BD" w14:textId="77777777" w:rsidR="00163207" w:rsidRPr="00163207" w:rsidRDefault="00163207" w:rsidP="00163207">
      <w:pPr>
        <w:spacing w:line="360" w:lineRule="auto"/>
        <w:jc w:val="both"/>
        <w:rPr>
          <w:rFonts w:ascii="Arial" w:hAnsi="Arial" w:cs="Arial"/>
        </w:rPr>
      </w:pPr>
    </w:p>
    <w:p w14:paraId="12D1FF0A" w14:textId="77777777" w:rsidR="00163207" w:rsidRPr="00163207" w:rsidRDefault="00163207" w:rsidP="00163207">
      <w:pPr>
        <w:spacing w:line="360" w:lineRule="auto"/>
        <w:jc w:val="both"/>
        <w:rPr>
          <w:rFonts w:ascii="Arial" w:hAnsi="Arial" w:cs="Arial"/>
        </w:rPr>
      </w:pPr>
    </w:p>
    <w:p w14:paraId="1ECCC0DE" w14:textId="77777777" w:rsidR="00163207" w:rsidRPr="00163207" w:rsidRDefault="00163207" w:rsidP="00163207">
      <w:pPr>
        <w:spacing w:line="360" w:lineRule="auto"/>
        <w:jc w:val="both"/>
        <w:rPr>
          <w:rFonts w:ascii="Arial" w:hAnsi="Arial" w:cs="Arial"/>
        </w:rPr>
      </w:pPr>
    </w:p>
    <w:p w14:paraId="69842DDA" w14:textId="77777777" w:rsidR="00163207" w:rsidRPr="00163207" w:rsidRDefault="00163207" w:rsidP="00163207">
      <w:pPr>
        <w:spacing w:line="360" w:lineRule="auto"/>
        <w:jc w:val="both"/>
        <w:rPr>
          <w:rFonts w:ascii="Arial" w:hAnsi="Arial" w:cs="Arial"/>
        </w:rPr>
      </w:pPr>
    </w:p>
    <w:p w14:paraId="3EA06212" w14:textId="77777777" w:rsidR="00163207" w:rsidRPr="00163207" w:rsidRDefault="00163207" w:rsidP="00163207">
      <w:pPr>
        <w:spacing w:line="360" w:lineRule="auto"/>
        <w:jc w:val="both"/>
        <w:rPr>
          <w:rFonts w:ascii="Arial" w:hAnsi="Arial" w:cs="Arial"/>
        </w:rPr>
      </w:pPr>
    </w:p>
    <w:p w14:paraId="6EB6A117" w14:textId="77777777" w:rsidR="00163207" w:rsidRPr="00163207" w:rsidRDefault="00163207" w:rsidP="00163207">
      <w:pPr>
        <w:spacing w:line="360" w:lineRule="auto"/>
        <w:jc w:val="both"/>
        <w:rPr>
          <w:rFonts w:ascii="Arial" w:hAnsi="Arial" w:cs="Arial"/>
        </w:rPr>
      </w:pPr>
    </w:p>
    <w:p w14:paraId="42B92DBA" w14:textId="77777777" w:rsidR="00163207" w:rsidRPr="00163207" w:rsidRDefault="00163207" w:rsidP="00163207">
      <w:pPr>
        <w:spacing w:line="360" w:lineRule="auto"/>
        <w:jc w:val="both"/>
        <w:rPr>
          <w:rFonts w:ascii="Arial" w:hAnsi="Arial" w:cs="Arial"/>
        </w:rPr>
      </w:pPr>
    </w:p>
    <w:p w14:paraId="31EC8CF4" w14:textId="77777777" w:rsidR="00163207" w:rsidRPr="00163207" w:rsidRDefault="00163207" w:rsidP="00163207">
      <w:pPr>
        <w:spacing w:line="360" w:lineRule="auto"/>
        <w:jc w:val="both"/>
        <w:rPr>
          <w:rFonts w:ascii="Arial" w:hAnsi="Arial" w:cs="Arial"/>
        </w:rPr>
      </w:pPr>
    </w:p>
    <w:p w14:paraId="1BB0F0B0" w14:textId="77777777" w:rsidR="00163207" w:rsidRPr="00163207" w:rsidRDefault="00163207" w:rsidP="00163207">
      <w:pPr>
        <w:spacing w:line="360" w:lineRule="auto"/>
        <w:jc w:val="both"/>
        <w:rPr>
          <w:rFonts w:ascii="Arial" w:hAnsi="Arial" w:cs="Arial"/>
        </w:rPr>
      </w:pPr>
    </w:p>
    <w:p w14:paraId="33CA105B" w14:textId="77777777" w:rsidR="00163207" w:rsidRDefault="00163207" w:rsidP="00163207">
      <w:pPr>
        <w:spacing w:line="360" w:lineRule="auto"/>
        <w:jc w:val="both"/>
        <w:rPr>
          <w:rFonts w:ascii="Arial" w:hAnsi="Arial" w:cs="Arial"/>
        </w:rPr>
      </w:pPr>
    </w:p>
    <w:p w14:paraId="4A4FBA79" w14:textId="77777777" w:rsidR="003B0D58" w:rsidRDefault="003B0D58" w:rsidP="00163207">
      <w:pPr>
        <w:spacing w:line="360" w:lineRule="auto"/>
        <w:jc w:val="both"/>
        <w:rPr>
          <w:rFonts w:ascii="Arial" w:hAnsi="Arial" w:cs="Arial"/>
        </w:rPr>
      </w:pPr>
    </w:p>
    <w:p w14:paraId="09AADC02" w14:textId="77777777" w:rsidR="003B0D58" w:rsidRDefault="003B0D58" w:rsidP="00163207">
      <w:pPr>
        <w:spacing w:line="360" w:lineRule="auto"/>
        <w:jc w:val="both"/>
        <w:rPr>
          <w:rFonts w:ascii="Arial" w:hAnsi="Arial" w:cs="Arial"/>
        </w:rPr>
      </w:pPr>
    </w:p>
    <w:p w14:paraId="3E5A41CD" w14:textId="77777777" w:rsidR="003B0D58" w:rsidRDefault="003B0D58" w:rsidP="00163207">
      <w:pPr>
        <w:spacing w:line="360" w:lineRule="auto"/>
        <w:jc w:val="both"/>
        <w:rPr>
          <w:rFonts w:ascii="Arial" w:hAnsi="Arial" w:cs="Arial"/>
        </w:rPr>
      </w:pPr>
    </w:p>
    <w:p w14:paraId="07F15C0C" w14:textId="77777777" w:rsidR="003B0D58" w:rsidRDefault="003B0D58" w:rsidP="00163207">
      <w:pPr>
        <w:spacing w:line="360" w:lineRule="auto"/>
        <w:jc w:val="both"/>
        <w:rPr>
          <w:rFonts w:ascii="Arial" w:hAnsi="Arial" w:cs="Arial"/>
        </w:rPr>
      </w:pPr>
    </w:p>
    <w:p w14:paraId="29397116" w14:textId="77777777" w:rsidR="003B0D58" w:rsidRPr="00163207" w:rsidRDefault="003B0D58" w:rsidP="00163207">
      <w:pPr>
        <w:spacing w:line="360" w:lineRule="auto"/>
        <w:jc w:val="both"/>
        <w:rPr>
          <w:rFonts w:ascii="Arial" w:hAnsi="Arial" w:cs="Arial"/>
        </w:rPr>
      </w:pPr>
    </w:p>
    <w:p w14:paraId="4D42EBFD" w14:textId="77777777" w:rsidR="00163207" w:rsidRPr="00163207" w:rsidRDefault="00163207" w:rsidP="00163207">
      <w:pPr>
        <w:spacing w:line="360" w:lineRule="auto"/>
        <w:jc w:val="both"/>
        <w:rPr>
          <w:rFonts w:ascii="Arial" w:hAnsi="Arial" w:cs="Arial"/>
        </w:rPr>
      </w:pPr>
    </w:p>
    <w:p w14:paraId="5C3273E5" w14:textId="77777777" w:rsidR="009C180C" w:rsidRPr="00163207" w:rsidRDefault="009C180C" w:rsidP="00163207">
      <w:pPr>
        <w:spacing w:line="360" w:lineRule="auto"/>
        <w:jc w:val="both"/>
        <w:rPr>
          <w:rFonts w:ascii="Arial" w:hAnsi="Arial" w:cs="Arial"/>
        </w:rPr>
      </w:pPr>
    </w:p>
    <w:p w14:paraId="2CAF8D70" w14:textId="77777777" w:rsidR="009C180C" w:rsidRPr="00163207" w:rsidRDefault="009C180C" w:rsidP="003B0D58">
      <w:pPr>
        <w:pStyle w:val="Heading2"/>
      </w:pPr>
      <w:bookmarkStart w:id="9" w:name="_Toc235783659"/>
      <w:r w:rsidRPr="00163207">
        <w:t>References</w:t>
      </w:r>
      <w:bookmarkEnd w:id="9"/>
    </w:p>
    <w:p w14:paraId="65D1D202" w14:textId="77777777" w:rsidR="009C180C" w:rsidRPr="00163207" w:rsidRDefault="009C180C" w:rsidP="00163207">
      <w:pPr>
        <w:spacing w:line="360" w:lineRule="auto"/>
        <w:jc w:val="both"/>
        <w:rPr>
          <w:rFonts w:ascii="Arial" w:hAnsi="Arial" w:cs="Arial"/>
        </w:rPr>
      </w:pPr>
    </w:p>
    <w:p w14:paraId="6E770CC1" w14:textId="262FE02A" w:rsidR="009C180C" w:rsidRPr="00163207" w:rsidRDefault="009C180C" w:rsidP="00163207">
      <w:pPr>
        <w:spacing w:line="360" w:lineRule="auto"/>
        <w:jc w:val="both"/>
        <w:rPr>
          <w:rFonts w:ascii="Arial" w:hAnsi="Arial" w:cs="Arial"/>
        </w:rPr>
      </w:pPr>
      <w:r w:rsidRPr="00163207">
        <w:rPr>
          <w:rFonts w:ascii="Arial" w:hAnsi="Arial" w:cs="Arial"/>
        </w:rPr>
        <w:t>Barney, J. (1991) ‘Firm resources and sustained competitive advantage’, Journal of Management, 17(1), pp. 99–120.</w:t>
      </w:r>
    </w:p>
    <w:p w14:paraId="42910120" w14:textId="2FE95A09" w:rsidR="009C180C" w:rsidRPr="00163207" w:rsidRDefault="009C180C" w:rsidP="00163207">
      <w:pPr>
        <w:spacing w:line="360" w:lineRule="auto"/>
        <w:jc w:val="both"/>
        <w:rPr>
          <w:rFonts w:ascii="Arial" w:hAnsi="Arial" w:cs="Arial"/>
        </w:rPr>
      </w:pPr>
      <w:r w:rsidRPr="00163207">
        <w:rPr>
          <w:rFonts w:ascii="Arial" w:hAnsi="Arial" w:cs="Arial"/>
        </w:rPr>
        <w:t xml:space="preserve">David, F.R., David, F.R. and David, M.E. (2020) Strategic Management: A Competitive Advantage Approach, Concepts and Cases. 17th </w:t>
      </w:r>
      <w:proofErr w:type="spellStart"/>
      <w:r w:rsidRPr="00163207">
        <w:rPr>
          <w:rFonts w:ascii="Arial" w:hAnsi="Arial" w:cs="Arial"/>
        </w:rPr>
        <w:t>edn</w:t>
      </w:r>
      <w:proofErr w:type="spellEnd"/>
      <w:r w:rsidRPr="00163207">
        <w:rPr>
          <w:rFonts w:ascii="Arial" w:hAnsi="Arial" w:cs="Arial"/>
        </w:rPr>
        <w:t>. Harlow: Pearson.</w:t>
      </w:r>
    </w:p>
    <w:p w14:paraId="1FCD3EB5" w14:textId="7885610E" w:rsidR="009C180C" w:rsidRPr="00163207" w:rsidRDefault="009C180C" w:rsidP="00163207">
      <w:pPr>
        <w:spacing w:line="360" w:lineRule="auto"/>
        <w:jc w:val="both"/>
        <w:rPr>
          <w:rFonts w:ascii="Arial" w:hAnsi="Arial" w:cs="Arial"/>
        </w:rPr>
      </w:pPr>
      <w:r w:rsidRPr="00163207">
        <w:rPr>
          <w:rFonts w:ascii="Arial" w:hAnsi="Arial" w:cs="Arial"/>
        </w:rPr>
        <w:t>European Commission (2026) CO</w:t>
      </w:r>
      <w:r w:rsidRPr="00163207">
        <w:rPr>
          <w:rFonts w:ascii="Cambria Math" w:hAnsi="Cambria Math" w:cs="Cambria Math"/>
        </w:rPr>
        <w:t>₂</w:t>
      </w:r>
      <w:r w:rsidRPr="00163207">
        <w:rPr>
          <w:rFonts w:ascii="Arial" w:hAnsi="Arial" w:cs="Arial"/>
        </w:rPr>
        <w:t xml:space="preserve"> emission performance standards for cars and vans. Brussels: European Commission.</w:t>
      </w:r>
    </w:p>
    <w:p w14:paraId="23B99360" w14:textId="58596505" w:rsidR="009C180C" w:rsidRPr="00163207" w:rsidRDefault="009C180C" w:rsidP="00163207">
      <w:pPr>
        <w:spacing w:line="360" w:lineRule="auto"/>
        <w:jc w:val="both"/>
        <w:rPr>
          <w:rFonts w:ascii="Arial" w:hAnsi="Arial" w:cs="Arial"/>
        </w:rPr>
      </w:pPr>
      <w:r w:rsidRPr="00163207">
        <w:rPr>
          <w:rFonts w:ascii="Arial" w:hAnsi="Arial" w:cs="Arial"/>
        </w:rPr>
        <w:t xml:space="preserve">Grant, R.M. (2022) Contemporary Strategy Analysis. 11th </w:t>
      </w:r>
      <w:proofErr w:type="spellStart"/>
      <w:r w:rsidRPr="00163207">
        <w:rPr>
          <w:rFonts w:ascii="Arial" w:hAnsi="Arial" w:cs="Arial"/>
        </w:rPr>
        <w:t>edn</w:t>
      </w:r>
      <w:proofErr w:type="spellEnd"/>
      <w:r w:rsidRPr="00163207">
        <w:rPr>
          <w:rFonts w:ascii="Arial" w:hAnsi="Arial" w:cs="Arial"/>
        </w:rPr>
        <w:t>. Chichester: Wiley.</w:t>
      </w:r>
    </w:p>
    <w:p w14:paraId="34DB1295" w14:textId="06ADE5E6" w:rsidR="009C180C" w:rsidRPr="00163207" w:rsidRDefault="009C180C" w:rsidP="00163207">
      <w:pPr>
        <w:spacing w:line="360" w:lineRule="auto"/>
        <w:jc w:val="both"/>
        <w:rPr>
          <w:rFonts w:ascii="Arial" w:hAnsi="Arial" w:cs="Arial"/>
        </w:rPr>
      </w:pPr>
      <w:r w:rsidRPr="00163207">
        <w:rPr>
          <w:rFonts w:ascii="Arial" w:hAnsi="Arial" w:cs="Arial"/>
        </w:rPr>
        <w:t>Hamel, G. and Prahalad, C.K. (1989) ‘Strategic intent’, Harvard Business Review, 67(3), pp. 63–76.</w:t>
      </w:r>
    </w:p>
    <w:p w14:paraId="5A0695DC" w14:textId="1F5B252D" w:rsidR="009C180C" w:rsidRPr="00163207" w:rsidRDefault="009C180C" w:rsidP="00163207">
      <w:pPr>
        <w:spacing w:line="360" w:lineRule="auto"/>
        <w:jc w:val="both"/>
        <w:rPr>
          <w:rFonts w:ascii="Arial" w:hAnsi="Arial" w:cs="Arial"/>
        </w:rPr>
      </w:pPr>
      <w:r w:rsidRPr="00163207">
        <w:rPr>
          <w:rFonts w:ascii="Arial" w:hAnsi="Arial" w:cs="Arial"/>
        </w:rPr>
        <w:t>IEA (2025) Global EV Outlook 2025: Expanding Sales in Diverse Markets. Paris: Inte</w:t>
      </w:r>
      <w:r w:rsidRPr="00163207">
        <w:rPr>
          <w:rFonts w:ascii="Arial" w:hAnsi="Arial" w:cs="Arial"/>
        </w:rPr>
        <w:t>r</w:t>
      </w:r>
      <w:r w:rsidRPr="00163207">
        <w:rPr>
          <w:rFonts w:ascii="Arial" w:hAnsi="Arial" w:cs="Arial"/>
        </w:rPr>
        <w:t>national Energy Agency.</w:t>
      </w:r>
    </w:p>
    <w:p w14:paraId="7F5CC4DC" w14:textId="4EF249DF" w:rsidR="009C180C" w:rsidRPr="00163207" w:rsidRDefault="009C180C" w:rsidP="00163207">
      <w:pPr>
        <w:spacing w:line="360" w:lineRule="auto"/>
        <w:jc w:val="both"/>
        <w:rPr>
          <w:rFonts w:ascii="Arial" w:hAnsi="Arial" w:cs="Arial"/>
        </w:rPr>
      </w:pPr>
      <w:r w:rsidRPr="00163207">
        <w:rPr>
          <w:rFonts w:ascii="Arial" w:hAnsi="Arial" w:cs="Arial"/>
        </w:rPr>
        <w:t>IEA (2026) Global EV Outlook 2026. Paris: International Energy Agency.</w:t>
      </w:r>
    </w:p>
    <w:p w14:paraId="06103A19" w14:textId="13EBE620" w:rsidR="009C180C" w:rsidRPr="00163207" w:rsidRDefault="009C180C" w:rsidP="00163207">
      <w:pPr>
        <w:spacing w:line="360" w:lineRule="auto"/>
        <w:jc w:val="both"/>
        <w:rPr>
          <w:rFonts w:ascii="Arial" w:hAnsi="Arial" w:cs="Arial"/>
        </w:rPr>
      </w:pPr>
      <w:r w:rsidRPr="00163207">
        <w:rPr>
          <w:rFonts w:ascii="Arial" w:hAnsi="Arial" w:cs="Arial"/>
        </w:rPr>
        <w:t xml:space="preserve">Johnson, G., Whittington, R., Scholes, K., Angwin, D. and </w:t>
      </w:r>
      <w:proofErr w:type="spellStart"/>
      <w:r w:rsidRPr="00163207">
        <w:rPr>
          <w:rFonts w:ascii="Arial" w:hAnsi="Arial" w:cs="Arial"/>
        </w:rPr>
        <w:t>Regnér</w:t>
      </w:r>
      <w:proofErr w:type="spellEnd"/>
      <w:r w:rsidRPr="00163207">
        <w:rPr>
          <w:rFonts w:ascii="Arial" w:hAnsi="Arial" w:cs="Arial"/>
        </w:rPr>
        <w:t xml:space="preserve">, P. (2020) Exploring Strategy. 12th </w:t>
      </w:r>
      <w:proofErr w:type="spellStart"/>
      <w:r w:rsidRPr="00163207">
        <w:rPr>
          <w:rFonts w:ascii="Arial" w:hAnsi="Arial" w:cs="Arial"/>
        </w:rPr>
        <w:t>edn</w:t>
      </w:r>
      <w:proofErr w:type="spellEnd"/>
      <w:r w:rsidRPr="00163207">
        <w:rPr>
          <w:rFonts w:ascii="Arial" w:hAnsi="Arial" w:cs="Arial"/>
        </w:rPr>
        <w:t>. Harlow: Pearson.</w:t>
      </w:r>
    </w:p>
    <w:p w14:paraId="63F35AFE" w14:textId="66A99CA9" w:rsidR="009C180C" w:rsidRPr="00163207" w:rsidRDefault="009C180C" w:rsidP="00163207">
      <w:pPr>
        <w:spacing w:line="360" w:lineRule="auto"/>
        <w:jc w:val="both"/>
        <w:rPr>
          <w:rFonts w:ascii="Arial" w:hAnsi="Arial" w:cs="Arial"/>
        </w:rPr>
      </w:pPr>
      <w:r w:rsidRPr="00163207">
        <w:rPr>
          <w:rFonts w:ascii="Arial" w:hAnsi="Arial" w:cs="Arial"/>
        </w:rPr>
        <w:lastRenderedPageBreak/>
        <w:t xml:space="preserve">Kotler, P., Keller, K.L. and Chernev, A. (2022) Marketing Management. 16th </w:t>
      </w:r>
      <w:proofErr w:type="spellStart"/>
      <w:r w:rsidRPr="00163207">
        <w:rPr>
          <w:rFonts w:ascii="Arial" w:hAnsi="Arial" w:cs="Arial"/>
        </w:rPr>
        <w:t>edn</w:t>
      </w:r>
      <w:proofErr w:type="spellEnd"/>
      <w:r w:rsidRPr="00163207">
        <w:rPr>
          <w:rFonts w:ascii="Arial" w:hAnsi="Arial" w:cs="Arial"/>
        </w:rPr>
        <w:t>. Harlow: Pearson.</w:t>
      </w:r>
    </w:p>
    <w:p w14:paraId="5573AED6" w14:textId="1AD1334C" w:rsidR="009C180C" w:rsidRPr="00163207" w:rsidRDefault="009C180C" w:rsidP="00163207">
      <w:pPr>
        <w:spacing w:line="360" w:lineRule="auto"/>
        <w:jc w:val="both"/>
        <w:rPr>
          <w:rFonts w:ascii="Arial" w:hAnsi="Arial" w:cs="Arial"/>
        </w:rPr>
      </w:pPr>
      <w:r w:rsidRPr="00163207">
        <w:rPr>
          <w:rFonts w:ascii="Arial" w:hAnsi="Arial" w:cs="Arial"/>
        </w:rPr>
        <w:t xml:space="preserve">Porsche AG (2026a) Annual and Sustainability Report 2025. Stuttgart: Dr. Ing. </w:t>
      </w:r>
      <w:proofErr w:type="spellStart"/>
      <w:r w:rsidRPr="00163207">
        <w:rPr>
          <w:rFonts w:ascii="Arial" w:hAnsi="Arial" w:cs="Arial"/>
        </w:rPr>
        <w:t>h.c.</w:t>
      </w:r>
      <w:proofErr w:type="spellEnd"/>
      <w:r w:rsidRPr="00163207">
        <w:rPr>
          <w:rFonts w:ascii="Arial" w:hAnsi="Arial" w:cs="Arial"/>
        </w:rPr>
        <w:t xml:space="preserve"> F. Porsche AG.</w:t>
      </w:r>
    </w:p>
    <w:p w14:paraId="75D9CBB9" w14:textId="5FD57408" w:rsidR="009C180C" w:rsidRPr="00163207" w:rsidRDefault="009C180C" w:rsidP="00163207">
      <w:pPr>
        <w:spacing w:line="360" w:lineRule="auto"/>
        <w:jc w:val="both"/>
        <w:rPr>
          <w:rFonts w:ascii="Arial" w:hAnsi="Arial" w:cs="Arial"/>
        </w:rPr>
      </w:pPr>
      <w:r w:rsidRPr="00163207">
        <w:rPr>
          <w:rFonts w:ascii="Arial" w:hAnsi="Arial" w:cs="Arial"/>
        </w:rPr>
        <w:t xml:space="preserve">Porsche AG (2026b) Key Financial Figures: Financial Year 2025. Stuttgart: Dr. Ing. </w:t>
      </w:r>
      <w:proofErr w:type="spellStart"/>
      <w:r w:rsidRPr="00163207">
        <w:rPr>
          <w:rFonts w:ascii="Arial" w:hAnsi="Arial" w:cs="Arial"/>
        </w:rPr>
        <w:t>h.c.</w:t>
      </w:r>
      <w:proofErr w:type="spellEnd"/>
      <w:r w:rsidRPr="00163207">
        <w:rPr>
          <w:rFonts w:ascii="Arial" w:hAnsi="Arial" w:cs="Arial"/>
        </w:rPr>
        <w:t xml:space="preserve"> F. Porsche AG.</w:t>
      </w:r>
    </w:p>
    <w:p w14:paraId="48CAAD85" w14:textId="0D967364" w:rsidR="009C180C" w:rsidRPr="00163207" w:rsidRDefault="009C180C" w:rsidP="00163207">
      <w:pPr>
        <w:spacing w:line="360" w:lineRule="auto"/>
        <w:jc w:val="both"/>
        <w:rPr>
          <w:rFonts w:ascii="Arial" w:hAnsi="Arial" w:cs="Arial"/>
        </w:rPr>
      </w:pPr>
      <w:r w:rsidRPr="00163207">
        <w:rPr>
          <w:rFonts w:ascii="Arial" w:hAnsi="Arial" w:cs="Arial"/>
        </w:rPr>
        <w:t xml:space="preserve">Porsche AG (2026c) Business Development 2025. Stuttgart: Dr. Ing. </w:t>
      </w:r>
      <w:proofErr w:type="spellStart"/>
      <w:r w:rsidRPr="00163207">
        <w:rPr>
          <w:rFonts w:ascii="Arial" w:hAnsi="Arial" w:cs="Arial"/>
        </w:rPr>
        <w:t>h.c.</w:t>
      </w:r>
      <w:proofErr w:type="spellEnd"/>
      <w:r w:rsidRPr="00163207">
        <w:rPr>
          <w:rFonts w:ascii="Arial" w:hAnsi="Arial" w:cs="Arial"/>
        </w:rPr>
        <w:t xml:space="preserve"> F. Porsche AG.</w:t>
      </w:r>
    </w:p>
    <w:p w14:paraId="2F556F67" w14:textId="68B901F3" w:rsidR="009C180C" w:rsidRPr="00163207" w:rsidRDefault="009C180C" w:rsidP="00163207">
      <w:pPr>
        <w:spacing w:line="360" w:lineRule="auto"/>
        <w:jc w:val="both"/>
        <w:rPr>
          <w:rFonts w:ascii="Arial" w:hAnsi="Arial" w:cs="Arial"/>
        </w:rPr>
      </w:pPr>
      <w:r w:rsidRPr="00163207">
        <w:rPr>
          <w:rFonts w:ascii="Arial" w:hAnsi="Arial" w:cs="Arial"/>
        </w:rPr>
        <w:t xml:space="preserve">Porter, M.E. (1980) Competitive Strategy: Techniques for </w:t>
      </w:r>
      <w:r w:rsidR="003B0D58" w:rsidRPr="00163207">
        <w:rPr>
          <w:rFonts w:ascii="Arial" w:hAnsi="Arial" w:cs="Arial"/>
        </w:rPr>
        <w:t>Analysing</w:t>
      </w:r>
      <w:r w:rsidRPr="00163207">
        <w:rPr>
          <w:rFonts w:ascii="Arial" w:hAnsi="Arial" w:cs="Arial"/>
        </w:rPr>
        <w:t xml:space="preserve"> Industries and Competitors. New York: Free Press</w:t>
      </w:r>
    </w:p>
    <w:p w14:paraId="34294DEF" w14:textId="1B75F580" w:rsidR="009C180C" w:rsidRPr="00163207" w:rsidRDefault="009C180C" w:rsidP="00163207">
      <w:pPr>
        <w:spacing w:line="360" w:lineRule="auto"/>
        <w:jc w:val="both"/>
        <w:rPr>
          <w:rFonts w:ascii="Arial" w:hAnsi="Arial" w:cs="Arial"/>
        </w:rPr>
      </w:pPr>
      <w:r w:rsidRPr="00163207">
        <w:rPr>
          <w:rFonts w:ascii="Arial" w:hAnsi="Arial" w:cs="Arial"/>
        </w:rPr>
        <w:t>Porter, M.E. (1985) Competitive Advantage: Creating and Sustaining Superior Performance. New York: Free Press.</w:t>
      </w:r>
    </w:p>
    <w:p w14:paraId="71CD8CCC" w14:textId="2F9FAB28" w:rsidR="009C180C" w:rsidRPr="00163207" w:rsidRDefault="009C180C" w:rsidP="00163207">
      <w:pPr>
        <w:spacing w:line="360" w:lineRule="auto"/>
        <w:jc w:val="both"/>
        <w:rPr>
          <w:rFonts w:ascii="Arial" w:hAnsi="Arial" w:cs="Arial"/>
        </w:rPr>
      </w:pPr>
      <w:r w:rsidRPr="00163207">
        <w:rPr>
          <w:rFonts w:ascii="Arial" w:hAnsi="Arial" w:cs="Arial"/>
        </w:rPr>
        <w:t xml:space="preserve">Teece, D.J., Pisano, G. and </w:t>
      </w:r>
      <w:proofErr w:type="spellStart"/>
      <w:r w:rsidRPr="00163207">
        <w:rPr>
          <w:rFonts w:ascii="Arial" w:hAnsi="Arial" w:cs="Arial"/>
        </w:rPr>
        <w:t>Shuen</w:t>
      </w:r>
      <w:proofErr w:type="spellEnd"/>
      <w:r w:rsidRPr="00163207">
        <w:rPr>
          <w:rFonts w:ascii="Arial" w:hAnsi="Arial" w:cs="Arial"/>
        </w:rPr>
        <w:t>, A. (1997) ‘Dynamic capabilities and strategic management’, Strategic Management Journal, 18(7), pp. 509–533.</w:t>
      </w:r>
    </w:p>
    <w:p w14:paraId="7F1389DD" w14:textId="77777777" w:rsidR="009C180C" w:rsidRPr="00163207" w:rsidRDefault="009C180C" w:rsidP="00163207">
      <w:pPr>
        <w:spacing w:line="360" w:lineRule="auto"/>
        <w:jc w:val="both"/>
        <w:rPr>
          <w:rFonts w:ascii="Arial" w:hAnsi="Arial" w:cs="Arial"/>
        </w:rPr>
      </w:pPr>
    </w:p>
    <w:p w14:paraId="3D5FBDB1" w14:textId="77777777" w:rsidR="009C180C" w:rsidRPr="00163207" w:rsidRDefault="009C180C" w:rsidP="00163207">
      <w:pPr>
        <w:spacing w:line="360" w:lineRule="auto"/>
        <w:jc w:val="both"/>
        <w:rPr>
          <w:rFonts w:ascii="Arial" w:hAnsi="Arial" w:cs="Arial"/>
        </w:rPr>
      </w:pPr>
    </w:p>
    <w:p w14:paraId="312C6912" w14:textId="77777777" w:rsidR="009C180C" w:rsidRPr="00163207" w:rsidRDefault="009C180C" w:rsidP="00163207">
      <w:pPr>
        <w:spacing w:line="360" w:lineRule="auto"/>
        <w:jc w:val="both"/>
        <w:rPr>
          <w:rFonts w:ascii="Arial" w:hAnsi="Arial" w:cs="Arial"/>
        </w:rPr>
      </w:pPr>
    </w:p>
    <w:p w14:paraId="7B3A446A" w14:textId="77777777" w:rsidR="009C180C" w:rsidRPr="00163207" w:rsidRDefault="009C180C" w:rsidP="00163207">
      <w:pPr>
        <w:spacing w:line="360" w:lineRule="auto"/>
        <w:jc w:val="both"/>
        <w:rPr>
          <w:rFonts w:ascii="Arial" w:hAnsi="Arial" w:cs="Arial"/>
        </w:rPr>
      </w:pPr>
    </w:p>
    <w:p w14:paraId="3FA6EFF8" w14:textId="77777777" w:rsidR="009C180C" w:rsidRPr="00163207" w:rsidRDefault="009C180C" w:rsidP="00163207">
      <w:pPr>
        <w:spacing w:line="360" w:lineRule="auto"/>
        <w:jc w:val="both"/>
        <w:rPr>
          <w:rFonts w:ascii="Arial" w:hAnsi="Arial" w:cs="Arial"/>
        </w:rPr>
      </w:pPr>
    </w:p>
    <w:p w14:paraId="73357647" w14:textId="77777777" w:rsidR="009C180C" w:rsidRPr="00163207" w:rsidRDefault="009C180C" w:rsidP="00163207">
      <w:pPr>
        <w:spacing w:line="360" w:lineRule="auto"/>
        <w:jc w:val="both"/>
        <w:rPr>
          <w:rFonts w:ascii="Arial" w:hAnsi="Arial" w:cs="Arial"/>
        </w:rPr>
      </w:pPr>
    </w:p>
    <w:p w14:paraId="6935FD5D" w14:textId="77777777" w:rsidR="009C180C" w:rsidRPr="00163207" w:rsidRDefault="009C180C" w:rsidP="00163207">
      <w:pPr>
        <w:spacing w:line="360" w:lineRule="auto"/>
        <w:jc w:val="both"/>
        <w:rPr>
          <w:rFonts w:ascii="Arial" w:hAnsi="Arial" w:cs="Arial"/>
        </w:rPr>
      </w:pPr>
    </w:p>
    <w:p w14:paraId="29C28033" w14:textId="77777777" w:rsidR="009C180C" w:rsidRPr="00163207" w:rsidRDefault="009C180C" w:rsidP="00163207">
      <w:pPr>
        <w:spacing w:line="360" w:lineRule="auto"/>
        <w:jc w:val="both"/>
        <w:rPr>
          <w:rFonts w:ascii="Arial" w:hAnsi="Arial" w:cs="Arial"/>
        </w:rPr>
      </w:pPr>
    </w:p>
    <w:p w14:paraId="5EBF0A96" w14:textId="77777777" w:rsidR="009C180C" w:rsidRPr="00163207" w:rsidRDefault="009C180C" w:rsidP="00163207">
      <w:pPr>
        <w:spacing w:line="360" w:lineRule="auto"/>
        <w:jc w:val="both"/>
        <w:rPr>
          <w:rFonts w:ascii="Arial" w:hAnsi="Arial" w:cs="Arial"/>
        </w:rPr>
      </w:pPr>
    </w:p>
    <w:p w14:paraId="1B857882" w14:textId="77777777" w:rsidR="009C180C" w:rsidRPr="00163207" w:rsidRDefault="009C180C" w:rsidP="00163207">
      <w:pPr>
        <w:spacing w:line="360" w:lineRule="auto"/>
        <w:jc w:val="both"/>
        <w:rPr>
          <w:rFonts w:ascii="Arial" w:hAnsi="Arial" w:cs="Arial"/>
        </w:rPr>
      </w:pPr>
    </w:p>
    <w:p w14:paraId="6C0102B0" w14:textId="77777777" w:rsidR="009C180C" w:rsidRPr="00163207" w:rsidRDefault="009C180C" w:rsidP="00163207">
      <w:pPr>
        <w:spacing w:line="360" w:lineRule="auto"/>
        <w:jc w:val="both"/>
        <w:rPr>
          <w:rFonts w:ascii="Arial" w:hAnsi="Arial" w:cs="Arial"/>
        </w:rPr>
      </w:pPr>
    </w:p>
    <w:p w14:paraId="5677F058" w14:textId="77777777" w:rsidR="009C180C" w:rsidRPr="00163207" w:rsidRDefault="009C180C" w:rsidP="00163207">
      <w:pPr>
        <w:spacing w:line="360" w:lineRule="auto"/>
        <w:jc w:val="both"/>
        <w:rPr>
          <w:rFonts w:ascii="Arial" w:hAnsi="Arial" w:cs="Arial"/>
        </w:rPr>
      </w:pPr>
    </w:p>
    <w:p w14:paraId="51FF041C" w14:textId="77777777" w:rsidR="009C180C" w:rsidRPr="00163207" w:rsidRDefault="009C180C" w:rsidP="00163207">
      <w:pPr>
        <w:spacing w:line="360" w:lineRule="auto"/>
        <w:jc w:val="both"/>
        <w:rPr>
          <w:rFonts w:ascii="Arial" w:hAnsi="Arial" w:cs="Arial"/>
        </w:rPr>
      </w:pPr>
    </w:p>
    <w:p w14:paraId="1E53E0D0" w14:textId="77777777" w:rsidR="009C180C" w:rsidRPr="00163207" w:rsidRDefault="009C180C" w:rsidP="00163207">
      <w:pPr>
        <w:spacing w:line="360" w:lineRule="auto"/>
        <w:jc w:val="both"/>
        <w:rPr>
          <w:rFonts w:ascii="Arial" w:hAnsi="Arial" w:cs="Arial"/>
        </w:rPr>
      </w:pPr>
    </w:p>
    <w:p w14:paraId="5A0B2C07" w14:textId="77777777" w:rsidR="009C180C" w:rsidRPr="00163207" w:rsidRDefault="009C180C" w:rsidP="00163207">
      <w:pPr>
        <w:spacing w:line="360" w:lineRule="auto"/>
        <w:jc w:val="both"/>
        <w:rPr>
          <w:rFonts w:ascii="Arial" w:hAnsi="Arial" w:cs="Arial"/>
        </w:rPr>
      </w:pPr>
    </w:p>
    <w:p w14:paraId="463453C6" w14:textId="77777777" w:rsidR="009C180C" w:rsidRPr="00163207" w:rsidRDefault="009C180C" w:rsidP="00163207">
      <w:pPr>
        <w:spacing w:line="360" w:lineRule="auto"/>
        <w:jc w:val="both"/>
        <w:rPr>
          <w:rFonts w:ascii="Arial" w:hAnsi="Arial" w:cs="Arial"/>
        </w:rPr>
      </w:pPr>
    </w:p>
    <w:p w14:paraId="75526346" w14:textId="77777777" w:rsidR="009C180C" w:rsidRPr="00163207" w:rsidRDefault="009C180C" w:rsidP="00163207">
      <w:pPr>
        <w:spacing w:line="360" w:lineRule="auto"/>
        <w:jc w:val="both"/>
        <w:rPr>
          <w:rFonts w:ascii="Arial" w:hAnsi="Arial" w:cs="Arial"/>
        </w:rPr>
      </w:pPr>
    </w:p>
    <w:p w14:paraId="3908AA61" w14:textId="77777777" w:rsidR="009C180C" w:rsidRPr="00163207" w:rsidRDefault="009C180C" w:rsidP="00163207">
      <w:pPr>
        <w:spacing w:line="360" w:lineRule="auto"/>
        <w:jc w:val="both"/>
        <w:rPr>
          <w:rFonts w:ascii="Arial" w:hAnsi="Arial" w:cs="Arial"/>
        </w:rPr>
      </w:pPr>
    </w:p>
    <w:p w14:paraId="092974C0" w14:textId="77777777" w:rsidR="009C180C" w:rsidRPr="009C180C" w:rsidRDefault="009C180C" w:rsidP="009C180C">
      <w:pPr>
        <w:rPr>
          <w:sz w:val="32"/>
          <w:szCs w:val="32"/>
        </w:rPr>
      </w:pPr>
    </w:p>
    <w:sectPr w:rsidR="009C180C" w:rsidRPr="009C180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E4949" w14:textId="77777777" w:rsidR="00E473C5" w:rsidRDefault="00E473C5" w:rsidP="009C180C">
      <w:pPr>
        <w:spacing w:after="0" w:line="240" w:lineRule="auto"/>
      </w:pPr>
      <w:r>
        <w:separator/>
      </w:r>
    </w:p>
  </w:endnote>
  <w:endnote w:type="continuationSeparator" w:id="0">
    <w:p w14:paraId="777F5AB2" w14:textId="77777777" w:rsidR="00E473C5" w:rsidRDefault="00E473C5" w:rsidP="009C1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5280380"/>
      <w:docPartObj>
        <w:docPartGallery w:val="Page Numbers (Bottom of Page)"/>
        <w:docPartUnique/>
      </w:docPartObj>
    </w:sdtPr>
    <w:sdtContent>
      <w:p w14:paraId="68B6AFA7" w14:textId="3F632CC9" w:rsidR="009C180C" w:rsidRDefault="009C180C">
        <w:pPr>
          <w:pStyle w:val="Footer"/>
          <w:jc w:val="right"/>
        </w:pPr>
        <w:r>
          <w:fldChar w:fldCharType="begin"/>
        </w:r>
        <w:r>
          <w:instrText>PAGE   \* MERGEFORMAT</w:instrText>
        </w:r>
        <w:r>
          <w:fldChar w:fldCharType="separate"/>
        </w:r>
        <w:r>
          <w:t>2</w:t>
        </w:r>
        <w:r>
          <w:fldChar w:fldCharType="end"/>
        </w:r>
      </w:p>
    </w:sdtContent>
  </w:sdt>
  <w:p w14:paraId="5C3A7CEC" w14:textId="77777777" w:rsidR="009C180C" w:rsidRDefault="009C1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BB3AA" w14:textId="77777777" w:rsidR="00E473C5" w:rsidRDefault="00E473C5" w:rsidP="009C180C">
      <w:pPr>
        <w:spacing w:after="0" w:line="240" w:lineRule="auto"/>
      </w:pPr>
      <w:r>
        <w:separator/>
      </w:r>
    </w:p>
  </w:footnote>
  <w:footnote w:type="continuationSeparator" w:id="0">
    <w:p w14:paraId="22E16E0A" w14:textId="77777777" w:rsidR="00E473C5" w:rsidRDefault="00E473C5" w:rsidP="009C18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80C"/>
    <w:rsid w:val="00163207"/>
    <w:rsid w:val="001D0EC5"/>
    <w:rsid w:val="00334952"/>
    <w:rsid w:val="003B0D58"/>
    <w:rsid w:val="0063355E"/>
    <w:rsid w:val="00951857"/>
    <w:rsid w:val="009C180C"/>
    <w:rsid w:val="00A929BF"/>
    <w:rsid w:val="00E47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62F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9C1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80C"/>
  </w:style>
  <w:style w:type="paragraph" w:styleId="Footer">
    <w:name w:val="footer"/>
    <w:basedOn w:val="Normal"/>
    <w:link w:val="FooterChar"/>
    <w:uiPriority w:val="99"/>
    <w:unhideWhenUsed/>
    <w:rsid w:val="009C1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80C"/>
  </w:style>
  <w:style w:type="character" w:styleId="Hyperlink">
    <w:name w:val="Hyperlink"/>
    <w:basedOn w:val="DefaultParagraphFont"/>
    <w:uiPriority w:val="99"/>
    <w:unhideWhenUsed/>
    <w:rsid w:val="003B0D58"/>
    <w:rPr>
      <w:color w:val="467886" w:themeColor="hyperlink"/>
      <w:u w:val="single"/>
    </w:rPr>
  </w:style>
  <w:style w:type="character" w:styleId="UnresolvedMention">
    <w:name w:val="Unresolved Mention"/>
    <w:basedOn w:val="DefaultParagraphFont"/>
    <w:uiPriority w:val="99"/>
    <w:semiHidden/>
    <w:unhideWhenUsed/>
    <w:rsid w:val="003B0D58"/>
    <w:rPr>
      <w:color w:val="605E5C"/>
      <w:shd w:val="clear" w:color="auto" w:fill="E1DFDD"/>
    </w:rPr>
  </w:style>
  <w:style w:type="paragraph" w:styleId="TOCHeading">
    <w:name w:val="TOC Heading"/>
    <w:basedOn w:val="Heading1"/>
    <w:next w:val="Normal"/>
    <w:uiPriority w:val="39"/>
    <w:unhideWhenUsed/>
    <w:qFormat/>
    <w:rsid w:val="003B0D58"/>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3B0D5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leanelectric.de/charge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43C9D-0B87-43C8-A349-4FB07B325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3214</Words>
  <Characters>18324</Characters>
  <Application>Microsoft Office Word</Application>
  <DocSecurity>0</DocSecurity>
  <Lines>152</Lines>
  <Paragraphs>42</Paragraphs>
  <ScaleCrop>false</ScaleCrop>
  <Company/>
  <LinksUpToDate>false</LinksUpToDate>
  <CharactersWithSpaces>21496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2026-07-24T08:07:00Z</dcterms:created>
  <dcterms:modified xsi:type="dcterms:W3CDTF">2026-07-24T08:08:00Z</dcterms:modified>
</cp:coreProperties>
</file>