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9E478" w14:textId="77777777" w:rsidR="0085703A" w:rsidRPr="00985A6A" w:rsidRDefault="0085703A" w:rsidP="006F353C">
      <w:pPr>
        <w:pStyle w:val="NormalWeb"/>
        <w:spacing w:before="0" w:beforeAutospacing="0" w:after="0" w:afterAutospacing="0"/>
        <w:ind w:left="-180" w:right="-334"/>
      </w:pPr>
      <w:r w:rsidRPr="00985A6A">
        <w:rPr>
          <w:noProof/>
        </w:rPr>
        <w:drawing>
          <wp:inline distT="0" distB="0" distL="0" distR="0" wp14:anchorId="52995026" wp14:editId="7233B254">
            <wp:extent cx="1907540" cy="634365"/>
            <wp:effectExtent l="19050" t="19050" r="0" b="0"/>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7540" cy="634365"/>
                    </a:xfrm>
                    <a:prstGeom prst="rect">
                      <a:avLst/>
                    </a:prstGeom>
                    <a:noFill/>
                    <a:ln w="19050" cmpd="sng">
                      <a:solidFill>
                        <a:srgbClr val="000000"/>
                      </a:solidFill>
                      <a:miter lim="800000"/>
                      <a:headEnd/>
                      <a:tailEnd/>
                    </a:ln>
                    <a:effectLst/>
                  </pic:spPr>
                </pic:pic>
              </a:graphicData>
            </a:graphic>
          </wp:inline>
        </w:drawing>
      </w:r>
    </w:p>
    <w:p w14:paraId="178EBAF8" w14:textId="77777777" w:rsidR="0085703A" w:rsidRPr="00985A6A" w:rsidRDefault="0085703A" w:rsidP="006F353C">
      <w:pPr>
        <w:pStyle w:val="NormalWeb"/>
        <w:spacing w:before="0" w:beforeAutospacing="0" w:after="0" w:afterAutospacing="0"/>
        <w:ind w:left="-180" w:right="-334"/>
      </w:pPr>
    </w:p>
    <w:p w14:paraId="59A77ACF" w14:textId="77777777" w:rsidR="0085703A" w:rsidRPr="00985A6A" w:rsidRDefault="0085703A" w:rsidP="006F353C">
      <w:pPr>
        <w:pStyle w:val="NormalWeb"/>
        <w:spacing w:before="0" w:beforeAutospacing="0" w:after="0" w:afterAutospacing="0"/>
        <w:ind w:left="-180" w:right="-334"/>
      </w:pPr>
    </w:p>
    <w:p w14:paraId="091F3251" w14:textId="77777777" w:rsidR="0085703A" w:rsidRPr="00985A6A" w:rsidRDefault="0085703A" w:rsidP="006F353C">
      <w:pPr>
        <w:pStyle w:val="NormalWeb"/>
        <w:spacing w:before="0" w:beforeAutospacing="0" w:after="0" w:afterAutospacing="0"/>
        <w:ind w:left="-180" w:right="-334"/>
        <w:jc w:val="center"/>
        <w:rPr>
          <w:rFonts w:ascii="Arial" w:hAnsi="Arial" w:cs="Arial"/>
          <w:b/>
          <w:sz w:val="28"/>
          <w:szCs w:val="28"/>
        </w:rPr>
      </w:pPr>
      <w:r w:rsidRPr="00985A6A">
        <w:rPr>
          <w:rFonts w:ascii="Arial" w:hAnsi="Arial" w:cs="Arial"/>
          <w:b/>
          <w:sz w:val="28"/>
          <w:szCs w:val="28"/>
        </w:rPr>
        <w:t xml:space="preserve">Postgraduate/Distance Learning </w:t>
      </w:r>
    </w:p>
    <w:p w14:paraId="0CD9FC1C" w14:textId="77777777" w:rsidR="0085703A" w:rsidRPr="00985A6A" w:rsidRDefault="0085703A" w:rsidP="006F353C">
      <w:pPr>
        <w:pStyle w:val="NormalWeb"/>
        <w:spacing w:before="0" w:beforeAutospacing="0" w:after="0" w:afterAutospacing="0"/>
        <w:ind w:left="-180" w:right="-334"/>
        <w:jc w:val="center"/>
        <w:rPr>
          <w:rFonts w:ascii="Arial" w:hAnsi="Arial" w:cs="Arial"/>
          <w:b/>
          <w:sz w:val="28"/>
          <w:szCs w:val="28"/>
        </w:rPr>
      </w:pPr>
      <w:r w:rsidRPr="00985A6A">
        <w:rPr>
          <w:rFonts w:ascii="Arial" w:hAnsi="Arial" w:cs="Arial"/>
          <w:b/>
          <w:sz w:val="28"/>
          <w:szCs w:val="28"/>
        </w:rPr>
        <w:t>Assignment coversheet &amp; feedback form</w:t>
      </w:r>
    </w:p>
    <w:p w14:paraId="21A977DE" w14:textId="77777777" w:rsidR="0085703A" w:rsidRPr="00985A6A" w:rsidRDefault="0085703A" w:rsidP="006F353C">
      <w:pPr>
        <w:spacing w:line="240" w:lineRule="auto"/>
        <w:rPr>
          <w:rFonts w:ascii="Arial" w:hAnsi="Arial" w:cs="Arial"/>
          <w:sz w:val="28"/>
          <w:szCs w:val="28"/>
        </w:rPr>
      </w:pPr>
    </w:p>
    <w:p w14:paraId="7D68543D" w14:textId="77777777" w:rsidR="0085703A" w:rsidRPr="00030CD5" w:rsidRDefault="0085703A" w:rsidP="006F353C">
      <w:pPr>
        <w:pStyle w:val="Heading3"/>
        <w:spacing w:before="0" w:after="0" w:line="240" w:lineRule="auto"/>
        <w:jc w:val="center"/>
        <w:rPr>
          <w:color w:val="000000" w:themeColor="text1"/>
        </w:rPr>
      </w:pPr>
      <w:r w:rsidRPr="00030CD5">
        <w:rPr>
          <w:color w:val="000000" w:themeColor="text1"/>
        </w:rPr>
        <w:t xml:space="preserve">THIS SHEET MUST BE THE FIRST PAGE OF THE ASSIGNMENT YOU ARE </w:t>
      </w:r>
      <w:proofErr w:type="gramStart"/>
      <w:r w:rsidRPr="00030CD5">
        <w:rPr>
          <w:color w:val="000000" w:themeColor="text1"/>
        </w:rPr>
        <w:t>SUBMITTING  (</w:t>
      </w:r>
      <w:proofErr w:type="gramEnd"/>
      <w:r w:rsidRPr="00030CD5">
        <w:rPr>
          <w:color w:val="000000" w:themeColor="text1"/>
        </w:rPr>
        <w:t>DO NOT SEND AS A SEPARATE FILE)</w:t>
      </w:r>
    </w:p>
    <w:p w14:paraId="2674AB23" w14:textId="77777777" w:rsidR="0085703A" w:rsidRPr="00985A6A" w:rsidRDefault="0085703A" w:rsidP="006F353C">
      <w:pPr>
        <w:pStyle w:val="Heading3"/>
        <w:spacing w:before="0" w:after="0" w:line="240" w:lineRule="auto"/>
        <w:jc w:val="center"/>
        <w:rPr>
          <w:rFonts w:ascii="Trebuchet MS" w:hAnsi="Trebuchet MS"/>
        </w:rPr>
      </w:pPr>
      <w:r w:rsidRPr="00985A6A">
        <w:rPr>
          <w:rFonts w:ascii="Trebuchet MS" w:hAnsi="Trebuchet MS"/>
          <w:noProof/>
        </w:rPr>
        <mc:AlternateContent>
          <mc:Choice Requires="wpi">
            <w:drawing>
              <wp:anchor distT="0" distB="0" distL="114300" distR="114300" simplePos="0" relativeHeight="251661312" behindDoc="0" locked="0" layoutInCell="1" allowOverlap="1" wp14:anchorId="6B869F86" wp14:editId="26A2DA95">
                <wp:simplePos x="0" y="0"/>
                <wp:positionH relativeFrom="column">
                  <wp:posOffset>-3030218</wp:posOffset>
                </wp:positionH>
                <wp:positionV relativeFrom="paragraph">
                  <wp:posOffset>5834732</wp:posOffset>
                </wp:positionV>
                <wp:extent cx="99720" cy="13680"/>
                <wp:effectExtent l="38100" t="38100" r="52705" b="43815"/>
                <wp:wrapNone/>
                <wp:docPr id="1491407396"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99720" cy="13680"/>
                      </w14:xfrm>
                    </w14:contentPart>
                  </a:graphicData>
                </a:graphic>
              </wp:anchor>
            </w:drawing>
          </mc:Choice>
          <mc:Fallback>
            <w:pict>
              <v:shapetype w14:anchorId="11E60D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39.1pt;margin-top:458.95pt;width:8.8pt;height:2.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">
                <v:imagedata r:id="rId9" o:title=""/>
              </v:shape>
            </w:pict>
          </mc:Fallback>
        </mc:AlternateConten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5703A" w:rsidRPr="00985A6A" w14:paraId="0649B4DA" w14:textId="77777777" w:rsidTr="0089160B">
        <w:trPr>
          <w:trHeight w:val="614"/>
        </w:trPr>
        <w:tc>
          <w:tcPr>
            <w:tcW w:w="8856" w:type="dxa"/>
            <w:gridSpan w:val="5"/>
          </w:tcPr>
          <w:p w14:paraId="64D624AC"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b/>
                <w:sz w:val="22"/>
                <w:szCs w:val="22"/>
              </w:rPr>
              <w:t>For completion by the student</w:t>
            </w:r>
            <w:r w:rsidRPr="00985A6A">
              <w:rPr>
                <w:rFonts w:ascii="Arial" w:hAnsi="Arial" w:cs="Arial"/>
                <w:sz w:val="22"/>
                <w:szCs w:val="22"/>
              </w:rPr>
              <w:t>:</w:t>
            </w:r>
          </w:p>
        </w:tc>
      </w:tr>
      <w:tr w:rsidR="0085703A" w:rsidRPr="00985A6A" w14:paraId="25FDCAA4" w14:textId="77777777" w:rsidTr="0089160B">
        <w:trPr>
          <w:trHeight w:val="718"/>
        </w:trPr>
        <w:tc>
          <w:tcPr>
            <w:tcW w:w="8856" w:type="dxa"/>
            <w:gridSpan w:val="5"/>
          </w:tcPr>
          <w:p w14:paraId="54ABC4EB"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sz w:val="22"/>
                <w:szCs w:val="22"/>
              </w:rPr>
              <w:t>Student Name:</w:t>
            </w:r>
          </w:p>
          <w:p w14:paraId="5CAE4E46" w14:textId="77777777" w:rsidR="0085703A" w:rsidRPr="00985A6A" w:rsidRDefault="0085703A" w:rsidP="006F353C">
            <w:pPr>
              <w:pStyle w:val="NormalWeb"/>
              <w:spacing w:before="0" w:beforeAutospacing="0" w:after="0" w:afterAutospacing="0"/>
              <w:ind w:right="34"/>
              <w:rPr>
                <w:rFonts w:ascii="Arial" w:hAnsi="Arial" w:cs="Arial"/>
                <w:b/>
                <w:bCs/>
                <w:sz w:val="22"/>
                <w:szCs w:val="22"/>
              </w:rPr>
            </w:pPr>
            <w:r w:rsidRPr="00985A6A">
              <w:rPr>
                <w:rFonts w:ascii="Arial" w:hAnsi="Arial" w:cs="Arial"/>
                <w:b/>
                <w:bCs/>
                <w:sz w:val="22"/>
                <w:szCs w:val="22"/>
              </w:rPr>
              <w:t>Karl M. Taps</w:t>
            </w:r>
          </w:p>
        </w:tc>
      </w:tr>
      <w:tr w:rsidR="0085703A" w:rsidRPr="00985A6A" w14:paraId="6EF3698F" w14:textId="77777777" w:rsidTr="0089160B">
        <w:trPr>
          <w:trHeight w:val="849"/>
        </w:trPr>
        <w:tc>
          <w:tcPr>
            <w:tcW w:w="4788" w:type="dxa"/>
          </w:tcPr>
          <w:p w14:paraId="1453CF0C"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sz w:val="22"/>
                <w:szCs w:val="22"/>
              </w:rPr>
              <w:t>Module code:</w:t>
            </w:r>
          </w:p>
          <w:p w14:paraId="6E3AAE30" w14:textId="77777777" w:rsidR="0085703A" w:rsidRPr="00985A6A" w:rsidRDefault="0085703A" w:rsidP="006F353C">
            <w:pPr>
              <w:pStyle w:val="NormalWeb"/>
              <w:spacing w:before="0" w:beforeAutospacing="0" w:after="0" w:afterAutospacing="0"/>
              <w:ind w:right="34"/>
              <w:rPr>
                <w:rFonts w:ascii="Arial" w:hAnsi="Arial" w:cs="Arial"/>
                <w:b/>
                <w:bCs/>
                <w:sz w:val="22"/>
                <w:szCs w:val="22"/>
              </w:rPr>
            </w:pPr>
            <w:r w:rsidRPr="00985A6A">
              <w:rPr>
                <w:rFonts w:ascii="Arial" w:hAnsi="Arial" w:cs="Arial"/>
                <w:b/>
                <w:bCs/>
                <w:sz w:val="22"/>
                <w:szCs w:val="22"/>
              </w:rPr>
              <w:t>HPCA7027</w:t>
            </w:r>
          </w:p>
          <w:p w14:paraId="5C39556E" w14:textId="77777777" w:rsidR="0085703A" w:rsidRPr="00985A6A" w:rsidRDefault="0085703A" w:rsidP="006F353C">
            <w:pPr>
              <w:pStyle w:val="NormalWeb"/>
              <w:spacing w:before="0" w:beforeAutospacing="0" w:after="0" w:afterAutospacing="0"/>
              <w:ind w:right="34"/>
              <w:rPr>
                <w:rFonts w:ascii="Arial" w:hAnsi="Arial" w:cs="Arial"/>
                <w:sz w:val="22"/>
                <w:szCs w:val="22"/>
              </w:rPr>
            </w:pPr>
          </w:p>
          <w:p w14:paraId="1E8F4FAE"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sz w:val="22"/>
                <w:szCs w:val="22"/>
              </w:rPr>
              <w:t>Module title:</w:t>
            </w:r>
          </w:p>
          <w:p w14:paraId="7AF07D34" w14:textId="77777777" w:rsidR="0085703A" w:rsidRPr="00985A6A" w:rsidRDefault="0085703A" w:rsidP="006F353C">
            <w:pPr>
              <w:pStyle w:val="NormalWeb"/>
              <w:spacing w:before="0" w:beforeAutospacing="0" w:after="0" w:afterAutospacing="0"/>
              <w:ind w:right="34"/>
              <w:rPr>
                <w:rFonts w:ascii="Arial" w:hAnsi="Arial" w:cs="Arial"/>
                <w:b/>
                <w:bCs/>
                <w:sz w:val="22"/>
                <w:szCs w:val="22"/>
              </w:rPr>
            </w:pPr>
            <w:r w:rsidRPr="00985A6A">
              <w:rPr>
                <w:rFonts w:ascii="Arial" w:hAnsi="Arial" w:cs="Arial"/>
                <w:b/>
                <w:bCs/>
                <w:sz w:val="22"/>
                <w:szCs w:val="22"/>
              </w:rPr>
              <w:t>Cosmology, Magic and Divination</w:t>
            </w:r>
          </w:p>
          <w:p w14:paraId="77004087" w14:textId="77777777" w:rsidR="0085703A" w:rsidRPr="00985A6A" w:rsidRDefault="0085703A" w:rsidP="006F353C">
            <w:pPr>
              <w:pStyle w:val="NormalWeb"/>
              <w:spacing w:before="0" w:beforeAutospacing="0" w:after="0" w:afterAutospacing="0"/>
              <w:ind w:right="34"/>
              <w:rPr>
                <w:rFonts w:ascii="Arial" w:hAnsi="Arial" w:cs="Arial"/>
                <w:sz w:val="22"/>
                <w:szCs w:val="22"/>
              </w:rPr>
            </w:pPr>
          </w:p>
          <w:p w14:paraId="5FB878FF" w14:textId="77777777" w:rsidR="0085703A" w:rsidRPr="00985A6A" w:rsidRDefault="0085703A" w:rsidP="006F353C">
            <w:pPr>
              <w:pStyle w:val="NormalWeb"/>
              <w:spacing w:before="0" w:beforeAutospacing="0" w:after="0" w:afterAutospacing="0"/>
              <w:ind w:right="34"/>
              <w:rPr>
                <w:rFonts w:ascii="Arial" w:hAnsi="Arial" w:cs="Arial"/>
                <w:sz w:val="22"/>
                <w:szCs w:val="22"/>
              </w:rPr>
            </w:pPr>
          </w:p>
        </w:tc>
        <w:tc>
          <w:tcPr>
            <w:tcW w:w="2266" w:type="dxa"/>
            <w:gridSpan w:val="3"/>
          </w:tcPr>
          <w:p w14:paraId="4306B583"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sz w:val="22"/>
                <w:szCs w:val="22"/>
              </w:rPr>
              <w:t>Student ID number:</w:t>
            </w:r>
          </w:p>
          <w:p w14:paraId="736E4B7D" w14:textId="77777777" w:rsidR="0085703A" w:rsidRPr="00985A6A" w:rsidRDefault="0085703A" w:rsidP="006F353C">
            <w:pPr>
              <w:pStyle w:val="NormalWeb"/>
              <w:spacing w:before="0" w:beforeAutospacing="0" w:after="0" w:afterAutospacing="0"/>
              <w:ind w:right="34"/>
              <w:rPr>
                <w:rFonts w:ascii="Arial" w:hAnsi="Arial" w:cs="Arial"/>
                <w:sz w:val="22"/>
                <w:szCs w:val="22"/>
              </w:rPr>
            </w:pPr>
          </w:p>
          <w:p w14:paraId="6952DFA3" w14:textId="77777777" w:rsidR="0085703A" w:rsidRPr="00985A6A" w:rsidRDefault="0085703A" w:rsidP="006F353C">
            <w:pPr>
              <w:pStyle w:val="NormalWeb"/>
              <w:spacing w:before="0" w:beforeAutospacing="0" w:after="0" w:afterAutospacing="0"/>
              <w:ind w:right="34"/>
              <w:rPr>
                <w:rFonts w:ascii="Arial" w:hAnsi="Arial" w:cs="Arial"/>
                <w:b/>
                <w:bCs/>
                <w:sz w:val="22"/>
                <w:szCs w:val="22"/>
              </w:rPr>
            </w:pPr>
            <w:r w:rsidRPr="00985A6A">
              <w:rPr>
                <w:rFonts w:ascii="Arial" w:hAnsi="Arial" w:cs="Arial"/>
                <w:b/>
                <w:bCs/>
                <w:sz w:val="22"/>
                <w:szCs w:val="22"/>
              </w:rPr>
              <w:t>2405557</w:t>
            </w:r>
          </w:p>
        </w:tc>
        <w:tc>
          <w:tcPr>
            <w:tcW w:w="1802" w:type="dxa"/>
          </w:tcPr>
          <w:p w14:paraId="2B5A5957"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sz w:val="22"/>
                <w:szCs w:val="22"/>
              </w:rPr>
              <w:t>Educational support needs:</w:t>
            </w:r>
          </w:p>
          <w:p w14:paraId="44223260"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sz w:val="22"/>
                <w:szCs w:val="22"/>
              </w:rPr>
              <w:t>Yes/No</w:t>
            </w:r>
          </w:p>
        </w:tc>
      </w:tr>
      <w:tr w:rsidR="0085703A" w:rsidRPr="00985A6A" w14:paraId="5AB05EDE" w14:textId="77777777" w:rsidTr="0089160B">
        <w:trPr>
          <w:trHeight w:val="1139"/>
        </w:trPr>
        <w:tc>
          <w:tcPr>
            <w:tcW w:w="8856" w:type="dxa"/>
            <w:gridSpan w:val="5"/>
          </w:tcPr>
          <w:p w14:paraId="0B25873E"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sz w:val="22"/>
                <w:szCs w:val="22"/>
              </w:rPr>
              <w:t>Module tutor:</w:t>
            </w:r>
          </w:p>
          <w:p w14:paraId="39C20567" w14:textId="77777777" w:rsidR="0085703A" w:rsidRPr="00985A6A" w:rsidRDefault="0085703A" w:rsidP="006F353C">
            <w:pPr>
              <w:pStyle w:val="NormalWeb"/>
              <w:spacing w:before="0" w:beforeAutospacing="0" w:after="0" w:afterAutospacing="0"/>
              <w:ind w:right="34"/>
              <w:rPr>
                <w:rFonts w:ascii="Arial" w:hAnsi="Arial" w:cs="Arial"/>
                <w:b/>
                <w:bCs/>
                <w:sz w:val="22"/>
                <w:szCs w:val="22"/>
              </w:rPr>
            </w:pPr>
            <w:r w:rsidRPr="00985A6A">
              <w:rPr>
                <w:rFonts w:ascii="Arial" w:hAnsi="Arial" w:cs="Arial"/>
                <w:b/>
                <w:bCs/>
                <w:sz w:val="22"/>
                <w:szCs w:val="22"/>
              </w:rPr>
              <w:t>Dr Dorian Greenbaum and Dr Dawn Collins</w:t>
            </w:r>
          </w:p>
          <w:p w14:paraId="63561CE1" w14:textId="77777777" w:rsidR="0085703A" w:rsidRPr="00985A6A" w:rsidRDefault="0085703A" w:rsidP="006F353C">
            <w:pPr>
              <w:pStyle w:val="NormalWeb"/>
              <w:spacing w:before="0" w:beforeAutospacing="0" w:after="0" w:afterAutospacing="0"/>
              <w:ind w:right="34"/>
              <w:rPr>
                <w:rFonts w:ascii="Arial" w:hAnsi="Arial" w:cs="Arial"/>
                <w:sz w:val="22"/>
                <w:szCs w:val="22"/>
              </w:rPr>
            </w:pPr>
          </w:p>
          <w:p w14:paraId="799EC31E"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sz w:val="22"/>
                <w:szCs w:val="22"/>
              </w:rPr>
              <w:t xml:space="preserve">Assignment due date:  </w:t>
            </w:r>
            <w:r w:rsidRPr="00985A6A">
              <w:rPr>
                <w:rFonts w:ascii="Arial" w:hAnsi="Arial" w:cs="Arial"/>
                <w:b/>
                <w:bCs/>
                <w:sz w:val="22"/>
                <w:szCs w:val="22"/>
              </w:rPr>
              <w:t xml:space="preserve">30 April 2025 </w:t>
            </w:r>
            <w:r w:rsidRPr="00985A6A">
              <w:rPr>
                <w:rFonts w:ascii="Arial" w:hAnsi="Arial" w:cs="Arial"/>
                <w:sz w:val="22"/>
                <w:szCs w:val="22"/>
              </w:rPr>
              <w:t>(approved differential due date)</w:t>
            </w:r>
          </w:p>
        </w:tc>
      </w:tr>
      <w:tr w:rsidR="0085703A" w:rsidRPr="00985A6A" w14:paraId="64B17E18" w14:textId="77777777" w:rsidTr="0089160B">
        <w:trPr>
          <w:trHeight w:val="978"/>
        </w:trPr>
        <w:tc>
          <w:tcPr>
            <w:tcW w:w="8856" w:type="dxa"/>
            <w:gridSpan w:val="5"/>
            <w:tcBorders>
              <w:bottom w:val="single" w:sz="4" w:space="0" w:color="000000"/>
            </w:tcBorders>
          </w:tcPr>
          <w:p w14:paraId="3B3445FD" w14:textId="77777777" w:rsidR="0085703A" w:rsidRPr="00985A6A" w:rsidRDefault="0085703A" w:rsidP="006F353C">
            <w:pPr>
              <w:spacing w:line="240" w:lineRule="auto"/>
              <w:rPr>
                <w:rFonts w:ascii="Arial" w:hAnsi="Arial" w:cs="Arial"/>
                <w:sz w:val="22"/>
                <w:szCs w:val="22"/>
              </w:rPr>
            </w:pPr>
            <w:r w:rsidRPr="00985A6A">
              <w:rPr>
                <w:rFonts w:ascii="Arial" w:hAnsi="Arial" w:cs="Arial"/>
                <w:sz w:val="22"/>
                <w:szCs w:val="22"/>
              </w:rPr>
              <w:t xml:space="preserve">If your module has multiple </w:t>
            </w:r>
            <w:proofErr w:type="gramStart"/>
            <w:r w:rsidRPr="00985A6A">
              <w:rPr>
                <w:rFonts w:ascii="Arial" w:hAnsi="Arial" w:cs="Arial"/>
                <w:sz w:val="22"/>
                <w:szCs w:val="22"/>
              </w:rPr>
              <w:t>submissions</w:t>
            </w:r>
            <w:proofErr w:type="gramEnd"/>
            <w:r w:rsidRPr="00985A6A">
              <w:rPr>
                <w:rFonts w:ascii="Arial" w:hAnsi="Arial" w:cs="Arial"/>
                <w:sz w:val="22"/>
                <w:szCs w:val="22"/>
              </w:rPr>
              <w:t xml:space="preserve"> please indicate which piece of work this is.</w:t>
            </w:r>
          </w:p>
          <w:p w14:paraId="5F6DBE7E" w14:textId="77777777" w:rsidR="0085703A" w:rsidRPr="00985A6A" w:rsidRDefault="0085703A" w:rsidP="006F353C">
            <w:pPr>
              <w:spacing w:line="240" w:lineRule="auto"/>
              <w:rPr>
                <w:rFonts w:ascii="Arial" w:hAnsi="Arial" w:cs="Arial"/>
                <w:sz w:val="22"/>
                <w:szCs w:val="22"/>
              </w:rPr>
            </w:pPr>
          </w:p>
          <w:p w14:paraId="1031E1D6" w14:textId="77777777" w:rsidR="0085703A" w:rsidRPr="00985A6A" w:rsidRDefault="0085703A" w:rsidP="006F353C">
            <w:pPr>
              <w:spacing w:line="240" w:lineRule="auto"/>
              <w:rPr>
                <w:rFonts w:ascii="Arial" w:hAnsi="Arial" w:cs="Arial"/>
                <w:sz w:val="22"/>
                <w:szCs w:val="22"/>
              </w:rPr>
            </w:pPr>
            <w:r w:rsidRPr="00985A6A">
              <w:rPr>
                <w:rFonts w:ascii="Arial" w:hAnsi="Arial" w:cs="Arial"/>
                <w:sz w:val="22"/>
                <w:szCs w:val="22"/>
              </w:rPr>
              <w:t>1</w:t>
            </w:r>
            <w:r w:rsidRPr="00985A6A">
              <w:rPr>
                <w:rFonts w:ascii="Arial" w:hAnsi="Arial" w:cs="Arial"/>
                <w:sz w:val="22"/>
                <w:szCs w:val="22"/>
                <w:vertAlign w:val="superscript"/>
              </w:rPr>
              <w:t xml:space="preserve">st </w:t>
            </w:r>
            <w:r w:rsidRPr="00985A6A">
              <w:rPr>
                <w:rFonts w:ascii="Arial" w:hAnsi="Arial" w:cs="Arial"/>
                <w:sz w:val="22"/>
                <w:szCs w:val="22"/>
              </w:rPr>
              <w:t xml:space="preserve"> </w:t>
            </w:r>
            <w:r w:rsidRPr="00985A6A">
              <w:rPr>
                <w:rFonts w:ascii="Arial" w:hAnsi="Arial" w:cs="Arial"/>
                <w:sz w:val="22"/>
                <w:szCs w:val="22"/>
              </w:rPr>
              <w:fldChar w:fldCharType="begin">
                <w:ffData>
                  <w:name w:val="Check14"/>
                  <w:enabled/>
                  <w:calcOnExit w:val="0"/>
                  <w:checkBox>
                    <w:sizeAuto/>
                    <w:default w:val="0"/>
                  </w:checkBox>
                </w:ffData>
              </w:fldChar>
            </w:r>
            <w:r w:rsidRPr="00985A6A">
              <w:rPr>
                <w:rFonts w:ascii="Arial" w:hAnsi="Arial" w:cs="Arial"/>
                <w:sz w:val="22"/>
                <w:szCs w:val="22"/>
              </w:rPr>
              <w:instrText xml:space="preserve"> FORMCHECKBOX </w:instrText>
            </w:r>
            <w:r w:rsidRPr="00985A6A">
              <w:rPr>
                <w:rFonts w:ascii="Arial" w:hAnsi="Arial" w:cs="Arial"/>
                <w:sz w:val="22"/>
                <w:szCs w:val="22"/>
              </w:rPr>
            </w:r>
            <w:r w:rsidRPr="00985A6A">
              <w:rPr>
                <w:rFonts w:ascii="Arial" w:hAnsi="Arial" w:cs="Arial"/>
                <w:sz w:val="22"/>
                <w:szCs w:val="22"/>
              </w:rPr>
              <w:fldChar w:fldCharType="separate"/>
            </w:r>
            <w:r w:rsidRPr="00985A6A">
              <w:rPr>
                <w:rFonts w:ascii="Arial" w:hAnsi="Arial" w:cs="Arial"/>
                <w:sz w:val="22"/>
                <w:szCs w:val="22"/>
              </w:rPr>
              <w:fldChar w:fldCharType="end"/>
            </w:r>
            <w:r w:rsidRPr="00985A6A">
              <w:rPr>
                <w:rFonts w:ascii="Arial" w:hAnsi="Arial" w:cs="Arial"/>
                <w:sz w:val="22"/>
                <w:szCs w:val="22"/>
              </w:rPr>
              <w:t xml:space="preserve">    2</w:t>
            </w:r>
            <w:r w:rsidRPr="00985A6A">
              <w:rPr>
                <w:rFonts w:ascii="Arial" w:hAnsi="Arial" w:cs="Arial"/>
                <w:sz w:val="22"/>
                <w:szCs w:val="22"/>
                <w:vertAlign w:val="superscript"/>
              </w:rPr>
              <w:t>nd</w:t>
            </w:r>
            <w:r w:rsidRPr="00985A6A">
              <w:rPr>
                <w:rFonts w:ascii="Arial" w:hAnsi="Arial" w:cs="Arial"/>
                <w:sz w:val="22"/>
                <w:szCs w:val="22"/>
              </w:rPr>
              <w:t xml:space="preserve">  </w:t>
            </w:r>
            <w:r w:rsidRPr="00985A6A">
              <w:rPr>
                <w:rFonts w:ascii="Arial" w:hAnsi="Arial" w:cs="Arial"/>
                <w:sz w:val="22"/>
                <w:szCs w:val="22"/>
              </w:rPr>
              <w:fldChar w:fldCharType="begin">
                <w:ffData>
                  <w:name w:val="Check14"/>
                  <w:enabled/>
                  <w:calcOnExit w:val="0"/>
                  <w:checkBox>
                    <w:sizeAuto/>
                    <w:default w:val="0"/>
                  </w:checkBox>
                </w:ffData>
              </w:fldChar>
            </w:r>
            <w:bookmarkStart w:id="0" w:name="Check14"/>
            <w:r w:rsidRPr="00985A6A">
              <w:rPr>
                <w:rFonts w:ascii="Arial" w:hAnsi="Arial" w:cs="Arial"/>
                <w:sz w:val="22"/>
                <w:szCs w:val="22"/>
              </w:rPr>
              <w:instrText xml:space="preserve"> FORMCHECKBOX </w:instrText>
            </w:r>
            <w:r w:rsidRPr="00985A6A">
              <w:rPr>
                <w:rFonts w:ascii="Arial" w:hAnsi="Arial" w:cs="Arial"/>
                <w:sz w:val="22"/>
                <w:szCs w:val="22"/>
              </w:rPr>
            </w:r>
            <w:r w:rsidRPr="00985A6A">
              <w:rPr>
                <w:rFonts w:ascii="Arial" w:hAnsi="Arial" w:cs="Arial"/>
                <w:sz w:val="22"/>
                <w:szCs w:val="22"/>
              </w:rPr>
              <w:fldChar w:fldCharType="separate"/>
            </w:r>
            <w:r w:rsidRPr="00985A6A">
              <w:rPr>
                <w:rFonts w:ascii="Arial" w:hAnsi="Arial" w:cs="Arial"/>
                <w:sz w:val="22"/>
                <w:szCs w:val="22"/>
              </w:rPr>
              <w:fldChar w:fldCharType="end"/>
            </w:r>
            <w:bookmarkEnd w:id="0"/>
            <w:r w:rsidRPr="00985A6A">
              <w:rPr>
                <w:rFonts w:ascii="Arial" w:hAnsi="Arial" w:cs="Arial"/>
                <w:sz w:val="22"/>
                <w:szCs w:val="22"/>
              </w:rPr>
              <w:t xml:space="preserve">     3</w:t>
            </w:r>
            <w:r w:rsidRPr="00985A6A">
              <w:rPr>
                <w:rFonts w:ascii="Arial" w:hAnsi="Arial" w:cs="Arial"/>
                <w:sz w:val="22"/>
                <w:szCs w:val="22"/>
                <w:vertAlign w:val="superscript"/>
              </w:rPr>
              <w:t>rd</w:t>
            </w:r>
            <w:r w:rsidRPr="00985A6A">
              <w:rPr>
                <w:rFonts w:ascii="Arial" w:hAnsi="Arial" w:cs="Arial"/>
                <w:sz w:val="22"/>
                <w:szCs w:val="22"/>
              </w:rPr>
              <w:t xml:space="preserve">  </w:t>
            </w:r>
            <w:r w:rsidRPr="00985A6A">
              <w:rPr>
                <w:rFonts w:ascii="Arial" w:hAnsi="Arial" w:cs="Arial"/>
                <w:sz w:val="22"/>
                <w:szCs w:val="22"/>
              </w:rPr>
              <w:fldChar w:fldCharType="begin">
                <w:ffData>
                  <w:name w:val="Check15"/>
                  <w:enabled/>
                  <w:calcOnExit w:val="0"/>
                  <w:checkBox>
                    <w:sizeAuto/>
                    <w:default w:val="0"/>
                  </w:checkBox>
                </w:ffData>
              </w:fldChar>
            </w:r>
            <w:bookmarkStart w:id="1" w:name="Check15"/>
            <w:r w:rsidRPr="00985A6A">
              <w:rPr>
                <w:rFonts w:ascii="Arial" w:hAnsi="Arial" w:cs="Arial"/>
                <w:sz w:val="22"/>
                <w:szCs w:val="22"/>
              </w:rPr>
              <w:instrText xml:space="preserve"> FORMCHECKBOX </w:instrText>
            </w:r>
            <w:r w:rsidRPr="00985A6A">
              <w:rPr>
                <w:rFonts w:ascii="Arial" w:hAnsi="Arial" w:cs="Arial"/>
                <w:sz w:val="22"/>
                <w:szCs w:val="22"/>
              </w:rPr>
            </w:r>
            <w:r w:rsidRPr="00985A6A">
              <w:rPr>
                <w:rFonts w:ascii="Arial" w:hAnsi="Arial" w:cs="Arial"/>
                <w:sz w:val="22"/>
                <w:szCs w:val="22"/>
              </w:rPr>
              <w:fldChar w:fldCharType="separate"/>
            </w:r>
            <w:r w:rsidRPr="00985A6A">
              <w:rPr>
                <w:rFonts w:ascii="Arial" w:hAnsi="Arial" w:cs="Arial"/>
                <w:sz w:val="22"/>
                <w:szCs w:val="22"/>
              </w:rPr>
              <w:fldChar w:fldCharType="end"/>
            </w:r>
            <w:bookmarkEnd w:id="1"/>
            <w:r w:rsidRPr="00985A6A">
              <w:rPr>
                <w:rFonts w:ascii="Arial" w:hAnsi="Arial" w:cs="Arial"/>
                <w:sz w:val="22"/>
                <w:szCs w:val="22"/>
              </w:rPr>
              <w:t xml:space="preserve">      4</w:t>
            </w:r>
            <w:r w:rsidRPr="00985A6A">
              <w:rPr>
                <w:rFonts w:ascii="Arial" w:hAnsi="Arial" w:cs="Arial"/>
                <w:sz w:val="22"/>
                <w:szCs w:val="22"/>
                <w:vertAlign w:val="superscript"/>
              </w:rPr>
              <w:t>th</w:t>
            </w:r>
            <w:r w:rsidRPr="00985A6A">
              <w:rPr>
                <w:rFonts w:ascii="Arial" w:hAnsi="Arial" w:cs="Arial"/>
                <w:sz w:val="22"/>
                <w:szCs w:val="22"/>
              </w:rPr>
              <w:t xml:space="preserve"> </w:t>
            </w:r>
            <w:r w:rsidRPr="00985A6A">
              <w:rPr>
                <w:rFonts w:ascii="Arial" w:hAnsi="Arial" w:cs="Arial"/>
                <w:sz w:val="22"/>
                <w:szCs w:val="22"/>
              </w:rPr>
              <w:fldChar w:fldCharType="begin">
                <w:ffData>
                  <w:name w:val="Check16"/>
                  <w:enabled/>
                  <w:calcOnExit w:val="0"/>
                  <w:checkBox>
                    <w:sizeAuto/>
                    <w:default w:val="0"/>
                  </w:checkBox>
                </w:ffData>
              </w:fldChar>
            </w:r>
            <w:bookmarkStart w:id="2" w:name="Check16"/>
            <w:r w:rsidRPr="00985A6A">
              <w:rPr>
                <w:rFonts w:ascii="Arial" w:hAnsi="Arial" w:cs="Arial"/>
                <w:sz w:val="22"/>
                <w:szCs w:val="22"/>
              </w:rPr>
              <w:instrText xml:space="preserve"> FORMCHECKBOX </w:instrText>
            </w:r>
            <w:r w:rsidRPr="00985A6A">
              <w:rPr>
                <w:rFonts w:ascii="Arial" w:hAnsi="Arial" w:cs="Arial"/>
                <w:sz w:val="22"/>
                <w:szCs w:val="22"/>
              </w:rPr>
            </w:r>
            <w:r w:rsidRPr="00985A6A">
              <w:rPr>
                <w:rFonts w:ascii="Arial" w:hAnsi="Arial" w:cs="Arial"/>
                <w:sz w:val="22"/>
                <w:szCs w:val="22"/>
              </w:rPr>
              <w:fldChar w:fldCharType="separate"/>
            </w:r>
            <w:r w:rsidRPr="00985A6A">
              <w:rPr>
                <w:rFonts w:ascii="Arial" w:hAnsi="Arial" w:cs="Arial"/>
                <w:sz w:val="22"/>
                <w:szCs w:val="22"/>
              </w:rPr>
              <w:fldChar w:fldCharType="end"/>
            </w:r>
            <w:bookmarkEnd w:id="2"/>
            <w:r w:rsidRPr="00985A6A">
              <w:rPr>
                <w:rFonts w:ascii="Arial" w:hAnsi="Arial" w:cs="Arial"/>
                <w:sz w:val="22"/>
                <w:szCs w:val="22"/>
              </w:rPr>
              <w:t xml:space="preserve">      5</w:t>
            </w:r>
            <w:r w:rsidRPr="00985A6A">
              <w:rPr>
                <w:rFonts w:ascii="Arial" w:hAnsi="Arial" w:cs="Arial"/>
                <w:sz w:val="22"/>
                <w:szCs w:val="22"/>
                <w:vertAlign w:val="superscript"/>
              </w:rPr>
              <w:t>th</w:t>
            </w:r>
            <w:r w:rsidRPr="00985A6A">
              <w:rPr>
                <w:rFonts w:ascii="Arial" w:hAnsi="Arial" w:cs="Arial"/>
                <w:sz w:val="22"/>
                <w:szCs w:val="22"/>
              </w:rPr>
              <w:t xml:space="preserve"> </w:t>
            </w:r>
            <w:r w:rsidRPr="00985A6A">
              <w:rPr>
                <w:rFonts w:ascii="Arial" w:hAnsi="Arial" w:cs="Arial"/>
                <w:sz w:val="22"/>
                <w:szCs w:val="22"/>
              </w:rPr>
              <w:fldChar w:fldCharType="begin">
                <w:ffData>
                  <w:name w:val="Check17"/>
                  <w:enabled/>
                  <w:calcOnExit w:val="0"/>
                  <w:checkBox>
                    <w:sizeAuto/>
                    <w:default w:val="0"/>
                  </w:checkBox>
                </w:ffData>
              </w:fldChar>
            </w:r>
            <w:bookmarkStart w:id="3" w:name="Check17"/>
            <w:r w:rsidRPr="00985A6A">
              <w:rPr>
                <w:rFonts w:ascii="Arial" w:hAnsi="Arial" w:cs="Arial"/>
                <w:sz w:val="22"/>
                <w:szCs w:val="22"/>
              </w:rPr>
              <w:instrText xml:space="preserve"> FORMCHECKBOX </w:instrText>
            </w:r>
            <w:r w:rsidRPr="00985A6A">
              <w:rPr>
                <w:rFonts w:ascii="Arial" w:hAnsi="Arial" w:cs="Arial"/>
                <w:sz w:val="22"/>
                <w:szCs w:val="22"/>
              </w:rPr>
            </w:r>
            <w:r w:rsidRPr="00985A6A">
              <w:rPr>
                <w:rFonts w:ascii="Arial" w:hAnsi="Arial" w:cs="Arial"/>
                <w:sz w:val="22"/>
                <w:szCs w:val="22"/>
              </w:rPr>
              <w:fldChar w:fldCharType="separate"/>
            </w:r>
            <w:r w:rsidRPr="00985A6A">
              <w:rPr>
                <w:rFonts w:ascii="Arial" w:hAnsi="Arial" w:cs="Arial"/>
                <w:sz w:val="22"/>
                <w:szCs w:val="22"/>
              </w:rPr>
              <w:fldChar w:fldCharType="end"/>
            </w:r>
            <w:bookmarkEnd w:id="3"/>
            <w:r w:rsidRPr="00985A6A">
              <w:rPr>
                <w:rFonts w:ascii="Arial" w:hAnsi="Arial" w:cs="Arial"/>
                <w:sz w:val="22"/>
                <w:szCs w:val="22"/>
              </w:rPr>
              <w:t xml:space="preserve">      6</w:t>
            </w:r>
            <w:r w:rsidRPr="00985A6A">
              <w:rPr>
                <w:rFonts w:ascii="Arial" w:hAnsi="Arial" w:cs="Arial"/>
                <w:sz w:val="22"/>
                <w:szCs w:val="22"/>
                <w:vertAlign w:val="superscript"/>
              </w:rPr>
              <w:t>th</w:t>
            </w:r>
            <w:r w:rsidRPr="00985A6A">
              <w:rPr>
                <w:rFonts w:ascii="Arial" w:hAnsi="Arial" w:cs="Arial"/>
                <w:sz w:val="22"/>
                <w:szCs w:val="22"/>
              </w:rPr>
              <w:t xml:space="preserve"> </w:t>
            </w:r>
            <w:r w:rsidRPr="00985A6A">
              <w:rPr>
                <w:rFonts w:ascii="Arial" w:hAnsi="Arial" w:cs="Arial"/>
                <w:sz w:val="22"/>
                <w:szCs w:val="22"/>
              </w:rPr>
              <w:fldChar w:fldCharType="begin">
                <w:ffData>
                  <w:name w:val="Check18"/>
                  <w:enabled/>
                  <w:calcOnExit w:val="0"/>
                  <w:checkBox>
                    <w:sizeAuto/>
                    <w:default w:val="0"/>
                  </w:checkBox>
                </w:ffData>
              </w:fldChar>
            </w:r>
            <w:bookmarkStart w:id="4" w:name="Check18"/>
            <w:r w:rsidRPr="00985A6A">
              <w:rPr>
                <w:rFonts w:ascii="Arial" w:hAnsi="Arial" w:cs="Arial"/>
                <w:sz w:val="22"/>
                <w:szCs w:val="22"/>
              </w:rPr>
              <w:instrText xml:space="preserve"> FORMCHECKBOX </w:instrText>
            </w:r>
            <w:r w:rsidRPr="00985A6A">
              <w:rPr>
                <w:rFonts w:ascii="Arial" w:hAnsi="Arial" w:cs="Arial"/>
                <w:sz w:val="22"/>
                <w:szCs w:val="22"/>
              </w:rPr>
            </w:r>
            <w:r w:rsidRPr="00985A6A">
              <w:rPr>
                <w:rFonts w:ascii="Arial" w:hAnsi="Arial" w:cs="Arial"/>
                <w:sz w:val="22"/>
                <w:szCs w:val="22"/>
              </w:rPr>
              <w:fldChar w:fldCharType="separate"/>
            </w:r>
            <w:r w:rsidRPr="00985A6A">
              <w:rPr>
                <w:rFonts w:ascii="Arial" w:hAnsi="Arial" w:cs="Arial"/>
                <w:sz w:val="22"/>
                <w:szCs w:val="22"/>
              </w:rPr>
              <w:fldChar w:fldCharType="end"/>
            </w:r>
            <w:bookmarkEnd w:id="4"/>
          </w:p>
        </w:tc>
      </w:tr>
      <w:tr w:rsidR="0085703A" w:rsidRPr="00985A6A" w14:paraId="1250C36F" w14:textId="77777777" w:rsidTr="0089160B">
        <w:trPr>
          <w:trHeight w:val="978"/>
        </w:trPr>
        <w:tc>
          <w:tcPr>
            <w:tcW w:w="8856" w:type="dxa"/>
            <w:gridSpan w:val="5"/>
            <w:shd w:val="clear" w:color="auto" w:fill="D9D9D9"/>
          </w:tcPr>
          <w:p w14:paraId="083F5722"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sz w:val="22"/>
                <w:szCs w:val="22"/>
              </w:rPr>
              <w:t>I confirm that this is my original work and that I have adhered to the University policy on plagiarism.</w:t>
            </w:r>
          </w:p>
          <w:p w14:paraId="00FE62DC" w14:textId="77777777" w:rsidR="0085703A" w:rsidRPr="00985A6A" w:rsidRDefault="0085703A" w:rsidP="006F353C">
            <w:pPr>
              <w:pStyle w:val="NormalWeb"/>
              <w:spacing w:before="0" w:beforeAutospacing="0" w:after="0" w:afterAutospacing="0"/>
              <w:ind w:right="34"/>
              <w:rPr>
                <w:rFonts w:ascii="Arial" w:hAnsi="Arial" w:cs="Arial"/>
                <w:sz w:val="22"/>
                <w:szCs w:val="22"/>
              </w:rPr>
            </w:pPr>
          </w:p>
          <w:p w14:paraId="3A234B8B" w14:textId="77777777" w:rsidR="0085703A" w:rsidRPr="00985A6A" w:rsidRDefault="0085703A" w:rsidP="006F353C">
            <w:pPr>
              <w:pStyle w:val="NormalWeb"/>
              <w:spacing w:before="0" w:beforeAutospacing="0" w:after="0" w:afterAutospacing="0"/>
              <w:ind w:right="34"/>
              <w:rPr>
                <w:rFonts w:ascii="Arial" w:hAnsi="Arial" w:cs="Arial"/>
                <w:sz w:val="22"/>
                <w:szCs w:val="22"/>
              </w:rPr>
            </w:pPr>
            <w:r w:rsidRPr="00985A6A">
              <w:rPr>
                <w:rFonts w:ascii="Arial" w:hAnsi="Arial" w:cs="Arial"/>
                <w:noProof/>
                <w:sz w:val="22"/>
                <w:szCs w:val="22"/>
              </w:rPr>
              <mc:AlternateContent>
                <mc:Choice Requires="wpi">
                  <w:drawing>
                    <wp:anchor distT="0" distB="0" distL="114300" distR="114300" simplePos="0" relativeHeight="251662336" behindDoc="0" locked="0" layoutInCell="1" allowOverlap="1" wp14:anchorId="50A84631" wp14:editId="6299AB40">
                      <wp:simplePos x="0" y="0"/>
                      <wp:positionH relativeFrom="column">
                        <wp:posOffset>1145540</wp:posOffset>
                      </wp:positionH>
                      <wp:positionV relativeFrom="paragraph">
                        <wp:posOffset>-182245</wp:posOffset>
                      </wp:positionV>
                      <wp:extent cx="2263330" cy="392040"/>
                      <wp:effectExtent l="38100" t="38100" r="41910" b="46355"/>
                      <wp:wrapNone/>
                      <wp:docPr id="36454114" name="Ink 8"/>
                      <wp:cNvGraphicFramePr/>
                      <a:graphic xmlns:a="http://schemas.openxmlformats.org/drawingml/2006/main">
                        <a:graphicData uri="http://schemas.microsoft.com/office/word/2010/wordprocessingInk">
                          <w14:contentPart bwMode="auto" r:id="rId10">
                            <w14:nvContentPartPr>
                              <w14:cNvContentPartPr/>
                            </w14:nvContentPartPr>
                            <w14:xfrm>
                              <a:off x="0" y="0"/>
                              <a:ext cx="2263330" cy="392040"/>
                            </w14:xfrm>
                          </w14:contentPart>
                        </a:graphicData>
                      </a:graphic>
                    </wp:anchor>
                  </w:drawing>
                </mc:Choice>
                <mc:Fallback>
                  <w:pict>
                    <v:shape w14:anchorId="3BD6B935" id="Ink 8" o:spid="_x0000_s1026" type="#_x0000_t75" style="position:absolute;margin-left:89.7pt;margin-top:-14.85pt;width:179.2pt;height:31.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">
                      <v:imagedata r:id="rId11" o:title=""/>
                    </v:shape>
                  </w:pict>
                </mc:Fallback>
              </mc:AlternateContent>
            </w:r>
            <w:r w:rsidRPr="00985A6A">
              <w:rPr>
                <w:rFonts w:ascii="Arial" w:hAnsi="Arial" w:cs="Arial"/>
                <w:sz w:val="22"/>
                <w:szCs w:val="22"/>
              </w:rPr>
              <w:t>Signed ……………………………………………………………</w:t>
            </w:r>
          </w:p>
          <w:p w14:paraId="7715E11F" w14:textId="77777777" w:rsidR="0085703A" w:rsidRPr="00985A6A" w:rsidRDefault="0085703A" w:rsidP="006F353C">
            <w:pPr>
              <w:pStyle w:val="NormalWeb"/>
              <w:spacing w:before="0" w:beforeAutospacing="0" w:after="0" w:afterAutospacing="0"/>
              <w:ind w:right="34"/>
              <w:rPr>
                <w:rFonts w:ascii="Calibri" w:hAnsi="Calibri" w:cs="Calibri"/>
                <w:b/>
                <w:sz w:val="44"/>
                <w:szCs w:val="44"/>
              </w:rPr>
            </w:pPr>
            <w:r w:rsidRPr="00985A6A">
              <w:rPr>
                <w:rFonts w:ascii="Calibri" w:hAnsi="Calibri" w:cs="Tahoma"/>
                <w:b/>
                <w:sz w:val="24"/>
                <w:szCs w:val="24"/>
              </w:rPr>
              <w:t xml:space="preserve">Email submission: if you are submitting this form via email, please tick this box </w:t>
            </w:r>
          </w:p>
          <w:p w14:paraId="34874AAA" w14:textId="77777777" w:rsidR="0085703A" w:rsidRPr="00985A6A" w:rsidRDefault="0085703A" w:rsidP="006F353C">
            <w:pPr>
              <w:pStyle w:val="NormalWeb"/>
              <w:spacing w:before="0" w:beforeAutospacing="0" w:after="0" w:afterAutospacing="0"/>
              <w:ind w:right="34"/>
              <w:rPr>
                <w:rFonts w:ascii="Calibri" w:hAnsi="Calibri" w:cs="Tahoma"/>
                <w:b/>
                <w:sz w:val="24"/>
                <w:szCs w:val="24"/>
              </w:rPr>
            </w:pPr>
            <w:r w:rsidRPr="00985A6A">
              <w:rPr>
                <w:rFonts w:ascii="Calibri" w:hAnsi="Calibri" w:cs="Tahoma"/>
                <w:b/>
                <w:sz w:val="24"/>
                <w:szCs w:val="24"/>
              </w:rPr>
              <w:t>(as a substitute for your signature) to confirm that you agree to the above declaration.</w:t>
            </w:r>
          </w:p>
          <w:p w14:paraId="7D70E96F" w14:textId="77777777" w:rsidR="00B46D3C" w:rsidRPr="00985A6A" w:rsidRDefault="00B46D3C" w:rsidP="00B46D3C">
            <w:pPr>
              <w:rPr>
                <w:lang w:eastAsia="zh-CN"/>
              </w:rPr>
            </w:pPr>
          </w:p>
          <w:p w14:paraId="09669158" w14:textId="77777777" w:rsidR="00B46D3C" w:rsidRPr="00985A6A" w:rsidRDefault="00B46D3C" w:rsidP="00B46D3C">
            <w:pPr>
              <w:rPr>
                <w:lang w:eastAsia="zh-CN"/>
              </w:rPr>
            </w:pPr>
          </w:p>
          <w:p w14:paraId="17C314F2" w14:textId="77777777" w:rsidR="00B46D3C" w:rsidRPr="00985A6A" w:rsidRDefault="00B46D3C" w:rsidP="00B46D3C">
            <w:pPr>
              <w:rPr>
                <w:lang w:eastAsia="zh-CN"/>
              </w:rPr>
            </w:pPr>
          </w:p>
          <w:p w14:paraId="5E1BD35B" w14:textId="77777777" w:rsidR="00B46D3C" w:rsidRPr="00985A6A" w:rsidRDefault="00B46D3C" w:rsidP="00B46D3C">
            <w:pPr>
              <w:rPr>
                <w:lang w:eastAsia="zh-CN"/>
              </w:rPr>
            </w:pPr>
          </w:p>
          <w:p w14:paraId="402065D8" w14:textId="77777777" w:rsidR="00B46D3C" w:rsidRPr="00985A6A" w:rsidRDefault="00B46D3C" w:rsidP="00B46D3C">
            <w:pPr>
              <w:rPr>
                <w:lang w:eastAsia="zh-CN"/>
              </w:rPr>
            </w:pPr>
          </w:p>
          <w:p w14:paraId="50494833" w14:textId="77777777" w:rsidR="00B46D3C" w:rsidRPr="00985A6A" w:rsidRDefault="00B46D3C" w:rsidP="00B46D3C">
            <w:pPr>
              <w:rPr>
                <w:rFonts w:ascii="Calibri" w:eastAsia="SimSun" w:hAnsi="Calibri" w:cs="Tahoma"/>
                <w:b/>
                <w:color w:val="000000"/>
                <w:lang w:eastAsia="zh-CN"/>
              </w:rPr>
            </w:pPr>
          </w:p>
          <w:p w14:paraId="1D6A4E76" w14:textId="77777777" w:rsidR="00B46D3C" w:rsidRPr="00985A6A" w:rsidRDefault="00B46D3C" w:rsidP="00B46D3C">
            <w:pPr>
              <w:jc w:val="center"/>
              <w:rPr>
                <w:lang w:eastAsia="zh-CN"/>
              </w:rPr>
            </w:pPr>
          </w:p>
        </w:tc>
      </w:tr>
      <w:tr w:rsidR="0085703A" w:rsidRPr="00985A6A" w14:paraId="01F0071E" w14:textId="77777777" w:rsidTr="0089160B">
        <w:trPr>
          <w:trHeight w:val="3972"/>
        </w:trPr>
        <w:tc>
          <w:tcPr>
            <w:tcW w:w="8856" w:type="dxa"/>
            <w:gridSpan w:val="5"/>
          </w:tcPr>
          <w:p w14:paraId="3F664680" w14:textId="77777777" w:rsidR="0085703A" w:rsidRPr="00985A6A" w:rsidRDefault="0085703A" w:rsidP="006F353C">
            <w:pPr>
              <w:spacing w:line="240" w:lineRule="auto"/>
              <w:rPr>
                <w:rFonts w:ascii="Arial" w:hAnsi="Arial"/>
                <w:b/>
              </w:rPr>
            </w:pPr>
          </w:p>
          <w:p w14:paraId="51AB79C9" w14:textId="77777777" w:rsidR="0085703A" w:rsidRPr="00985A6A" w:rsidRDefault="0085703A" w:rsidP="006F353C">
            <w:pPr>
              <w:spacing w:line="240" w:lineRule="auto"/>
              <w:rPr>
                <w:rFonts w:ascii="Arial" w:hAnsi="Arial"/>
              </w:rPr>
            </w:pPr>
            <w:r w:rsidRPr="00985A6A">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5703A" w:rsidRPr="00985A6A" w14:paraId="19339FB4" w14:textId="77777777" w:rsidTr="0089160B">
              <w:tc>
                <w:tcPr>
                  <w:tcW w:w="6970" w:type="dxa"/>
                </w:tcPr>
                <w:p w14:paraId="3A6BF354" w14:textId="77777777" w:rsidR="0085703A" w:rsidRPr="00985A6A" w:rsidRDefault="0085703A" w:rsidP="006F353C">
                  <w:pPr>
                    <w:spacing w:line="240" w:lineRule="auto"/>
                    <w:rPr>
                      <w:rFonts w:ascii="Arial" w:hAnsi="Arial"/>
                      <w:sz w:val="20"/>
                      <w:szCs w:val="20"/>
                    </w:rPr>
                  </w:pPr>
                </w:p>
                <w:p w14:paraId="5A62B927" w14:textId="77777777" w:rsidR="0085703A" w:rsidRPr="00985A6A" w:rsidRDefault="0085703A" w:rsidP="006F353C">
                  <w:pPr>
                    <w:spacing w:line="240" w:lineRule="auto"/>
                    <w:rPr>
                      <w:rFonts w:ascii="Arial" w:hAnsi="Arial"/>
                      <w:sz w:val="20"/>
                      <w:szCs w:val="20"/>
                    </w:rPr>
                  </w:pPr>
                  <w:r w:rsidRPr="00985A6A">
                    <w:rPr>
                      <w:rFonts w:ascii="Arial" w:hAnsi="Arial"/>
                      <w:sz w:val="20"/>
                      <w:szCs w:val="20"/>
                    </w:rPr>
                    <w:t>1</w:t>
                  </w:r>
                  <w:r w:rsidRPr="00985A6A">
                    <w:rPr>
                      <w:rFonts w:ascii="Arial" w:hAnsi="Arial"/>
                      <w:sz w:val="20"/>
                      <w:szCs w:val="20"/>
                      <w:vertAlign w:val="superscript"/>
                    </w:rPr>
                    <w:t>st</w:t>
                  </w:r>
                  <w:r w:rsidRPr="00985A6A">
                    <w:rPr>
                      <w:rFonts w:ascii="Arial" w:hAnsi="Arial"/>
                      <w:sz w:val="20"/>
                      <w:szCs w:val="20"/>
                    </w:rPr>
                    <w:t xml:space="preserve"> Marker’s Provisional mark</w:t>
                  </w:r>
                </w:p>
              </w:tc>
              <w:tc>
                <w:tcPr>
                  <w:tcW w:w="1660" w:type="dxa"/>
                </w:tcPr>
                <w:p w14:paraId="1865ECA1" w14:textId="77777777" w:rsidR="0085703A" w:rsidRPr="00985A6A" w:rsidRDefault="0085703A" w:rsidP="006F353C">
                  <w:pPr>
                    <w:spacing w:line="240" w:lineRule="auto"/>
                    <w:rPr>
                      <w:rFonts w:ascii="Arial" w:hAnsi="Arial"/>
                      <w:sz w:val="20"/>
                      <w:szCs w:val="20"/>
                    </w:rPr>
                  </w:pPr>
                </w:p>
              </w:tc>
            </w:tr>
            <w:tr w:rsidR="0085703A" w:rsidRPr="00985A6A" w14:paraId="04ACC3B7" w14:textId="77777777" w:rsidTr="0089160B">
              <w:tc>
                <w:tcPr>
                  <w:tcW w:w="6970" w:type="dxa"/>
                </w:tcPr>
                <w:p w14:paraId="6C826D3E" w14:textId="77777777" w:rsidR="0085703A" w:rsidRPr="00985A6A" w:rsidRDefault="0085703A" w:rsidP="006F353C">
                  <w:pPr>
                    <w:spacing w:line="240" w:lineRule="auto"/>
                    <w:rPr>
                      <w:rFonts w:ascii="Arial" w:hAnsi="Arial"/>
                      <w:sz w:val="20"/>
                      <w:szCs w:val="20"/>
                    </w:rPr>
                  </w:pPr>
                </w:p>
                <w:p w14:paraId="62A5CDD8" w14:textId="77777777" w:rsidR="0085703A" w:rsidRPr="00985A6A" w:rsidRDefault="0085703A" w:rsidP="006F353C">
                  <w:pPr>
                    <w:spacing w:line="240" w:lineRule="auto"/>
                    <w:rPr>
                      <w:rFonts w:ascii="Arial" w:hAnsi="Arial"/>
                      <w:sz w:val="20"/>
                      <w:szCs w:val="20"/>
                    </w:rPr>
                  </w:pPr>
                  <w:r w:rsidRPr="00985A6A">
                    <w:rPr>
                      <w:rFonts w:ascii="Arial" w:hAnsi="Arial"/>
                      <w:sz w:val="20"/>
                      <w:szCs w:val="20"/>
                    </w:rPr>
                    <w:t>2</w:t>
                  </w:r>
                  <w:r w:rsidRPr="00985A6A">
                    <w:rPr>
                      <w:rFonts w:ascii="Arial" w:hAnsi="Arial"/>
                      <w:sz w:val="20"/>
                      <w:szCs w:val="20"/>
                      <w:vertAlign w:val="superscript"/>
                    </w:rPr>
                    <w:t>nd</w:t>
                  </w:r>
                  <w:r w:rsidRPr="00985A6A">
                    <w:rPr>
                      <w:rFonts w:ascii="Arial" w:hAnsi="Arial"/>
                      <w:sz w:val="20"/>
                      <w:szCs w:val="20"/>
                    </w:rPr>
                    <w:t xml:space="preserve"> Marker’s/Moderator’s provisional mark</w:t>
                  </w:r>
                </w:p>
              </w:tc>
              <w:tc>
                <w:tcPr>
                  <w:tcW w:w="1660" w:type="dxa"/>
                </w:tcPr>
                <w:p w14:paraId="0DD6CE15" w14:textId="77777777" w:rsidR="0085703A" w:rsidRPr="00985A6A" w:rsidRDefault="0085703A" w:rsidP="006F353C">
                  <w:pPr>
                    <w:spacing w:line="240" w:lineRule="auto"/>
                    <w:rPr>
                      <w:rFonts w:ascii="Arial" w:hAnsi="Arial"/>
                      <w:sz w:val="20"/>
                      <w:szCs w:val="20"/>
                    </w:rPr>
                  </w:pPr>
                </w:p>
              </w:tc>
            </w:tr>
            <w:tr w:rsidR="0085703A" w:rsidRPr="00985A6A" w14:paraId="036A7B38" w14:textId="77777777" w:rsidTr="0089160B">
              <w:tc>
                <w:tcPr>
                  <w:tcW w:w="6970" w:type="dxa"/>
                </w:tcPr>
                <w:p w14:paraId="72DCECEA" w14:textId="77777777" w:rsidR="0085703A" w:rsidRPr="00985A6A" w:rsidRDefault="0085703A" w:rsidP="006F353C">
                  <w:pPr>
                    <w:spacing w:line="240" w:lineRule="auto"/>
                    <w:rPr>
                      <w:rFonts w:ascii="Arial" w:hAnsi="Arial"/>
                      <w:color w:val="000000"/>
                      <w:sz w:val="20"/>
                      <w:szCs w:val="20"/>
                    </w:rPr>
                  </w:pPr>
                  <w:r w:rsidRPr="00985A6A">
                    <w:rPr>
                      <w:rFonts w:ascii="Arial" w:hAnsi="Arial"/>
                      <w:color w:val="000000"/>
                      <w:sz w:val="20"/>
                      <w:szCs w:val="20"/>
                    </w:rPr>
                    <w:t xml:space="preserve">Agreed Internal Mark: </w:t>
                  </w:r>
                </w:p>
                <w:p w14:paraId="2079B802" w14:textId="77777777" w:rsidR="0085703A" w:rsidRPr="00985A6A" w:rsidRDefault="0085703A" w:rsidP="006F353C">
                  <w:pPr>
                    <w:spacing w:line="240" w:lineRule="auto"/>
                    <w:rPr>
                      <w:rFonts w:ascii="Arial" w:hAnsi="Arial"/>
                      <w:sz w:val="20"/>
                      <w:szCs w:val="20"/>
                      <w:highlight w:val="yellow"/>
                    </w:rPr>
                  </w:pPr>
                </w:p>
              </w:tc>
              <w:tc>
                <w:tcPr>
                  <w:tcW w:w="1660" w:type="dxa"/>
                </w:tcPr>
                <w:p w14:paraId="7894E6E3" w14:textId="77777777" w:rsidR="0085703A" w:rsidRPr="00985A6A" w:rsidRDefault="0085703A" w:rsidP="006F353C">
                  <w:pPr>
                    <w:spacing w:line="240" w:lineRule="auto"/>
                    <w:rPr>
                      <w:rFonts w:ascii="Arial" w:hAnsi="Arial"/>
                      <w:sz w:val="20"/>
                      <w:szCs w:val="20"/>
                      <w:highlight w:val="yellow"/>
                    </w:rPr>
                  </w:pPr>
                </w:p>
              </w:tc>
            </w:tr>
            <w:tr w:rsidR="0085703A" w:rsidRPr="00985A6A" w14:paraId="6A2A2736" w14:textId="77777777" w:rsidTr="0089160B">
              <w:tc>
                <w:tcPr>
                  <w:tcW w:w="6970" w:type="dxa"/>
                </w:tcPr>
                <w:p w14:paraId="2705C46C" w14:textId="77777777" w:rsidR="0085703A" w:rsidRPr="00985A6A" w:rsidRDefault="0085703A" w:rsidP="006F353C">
                  <w:pPr>
                    <w:spacing w:line="240" w:lineRule="auto"/>
                    <w:rPr>
                      <w:rFonts w:ascii="Arial" w:hAnsi="Arial"/>
                      <w:sz w:val="20"/>
                      <w:szCs w:val="20"/>
                    </w:rPr>
                  </w:pPr>
                </w:p>
                <w:p w14:paraId="234D3C1A" w14:textId="77777777" w:rsidR="0085703A" w:rsidRPr="00985A6A" w:rsidRDefault="0085703A" w:rsidP="006F353C">
                  <w:pPr>
                    <w:spacing w:line="240" w:lineRule="auto"/>
                    <w:rPr>
                      <w:rFonts w:ascii="Arial" w:hAnsi="Arial"/>
                      <w:sz w:val="20"/>
                      <w:szCs w:val="20"/>
                    </w:rPr>
                  </w:pPr>
                  <w:r w:rsidRPr="00985A6A">
                    <w:rPr>
                      <w:rFonts w:ascii="Arial" w:hAnsi="Arial"/>
                      <w:sz w:val="20"/>
                      <w:szCs w:val="20"/>
                    </w:rPr>
                    <w:t>External Examiner’s mark (if relevant)</w:t>
                  </w:r>
                </w:p>
              </w:tc>
              <w:tc>
                <w:tcPr>
                  <w:tcW w:w="1660" w:type="dxa"/>
                </w:tcPr>
                <w:p w14:paraId="65077541" w14:textId="77777777" w:rsidR="0085703A" w:rsidRPr="00985A6A" w:rsidRDefault="0085703A" w:rsidP="006F353C">
                  <w:pPr>
                    <w:spacing w:line="240" w:lineRule="auto"/>
                    <w:rPr>
                      <w:rFonts w:ascii="Arial" w:hAnsi="Arial"/>
                      <w:sz w:val="20"/>
                      <w:szCs w:val="20"/>
                    </w:rPr>
                  </w:pPr>
                </w:p>
              </w:tc>
            </w:tr>
            <w:tr w:rsidR="0085703A" w:rsidRPr="00985A6A" w14:paraId="366018E5" w14:textId="77777777" w:rsidTr="0089160B">
              <w:tc>
                <w:tcPr>
                  <w:tcW w:w="6970" w:type="dxa"/>
                </w:tcPr>
                <w:p w14:paraId="6E2F3255" w14:textId="77777777" w:rsidR="0085703A" w:rsidRPr="00985A6A" w:rsidRDefault="0085703A" w:rsidP="006F353C">
                  <w:pPr>
                    <w:spacing w:line="240" w:lineRule="auto"/>
                    <w:rPr>
                      <w:rFonts w:ascii="Arial" w:hAnsi="Arial"/>
                      <w:sz w:val="20"/>
                      <w:szCs w:val="20"/>
                    </w:rPr>
                  </w:pPr>
                </w:p>
                <w:p w14:paraId="23AAE06A" w14:textId="77777777" w:rsidR="0085703A" w:rsidRPr="00985A6A" w:rsidRDefault="0085703A" w:rsidP="006F353C">
                  <w:pPr>
                    <w:spacing w:line="240" w:lineRule="auto"/>
                    <w:rPr>
                      <w:rFonts w:ascii="Arial" w:hAnsi="Arial"/>
                      <w:b/>
                      <w:sz w:val="20"/>
                      <w:szCs w:val="20"/>
                    </w:rPr>
                  </w:pPr>
                  <w:r w:rsidRPr="00985A6A">
                    <w:rPr>
                      <w:rFonts w:ascii="Arial" w:hAnsi="Arial"/>
                      <w:b/>
                      <w:sz w:val="20"/>
                      <w:szCs w:val="20"/>
                    </w:rPr>
                    <w:t>Final Mark</w:t>
                  </w:r>
                </w:p>
                <w:p w14:paraId="6D700DF5" w14:textId="77777777" w:rsidR="0085703A" w:rsidRPr="00985A6A" w:rsidRDefault="0085703A" w:rsidP="006F353C">
                  <w:pPr>
                    <w:spacing w:line="240" w:lineRule="auto"/>
                    <w:rPr>
                      <w:rFonts w:ascii="Arial" w:hAnsi="Arial"/>
                      <w:sz w:val="20"/>
                      <w:szCs w:val="20"/>
                    </w:rPr>
                  </w:pPr>
                </w:p>
              </w:tc>
              <w:tc>
                <w:tcPr>
                  <w:tcW w:w="1660" w:type="dxa"/>
                </w:tcPr>
                <w:p w14:paraId="7ED46CD5" w14:textId="77777777" w:rsidR="0085703A" w:rsidRPr="00985A6A" w:rsidRDefault="0085703A" w:rsidP="006F353C">
                  <w:pPr>
                    <w:spacing w:line="240" w:lineRule="auto"/>
                    <w:rPr>
                      <w:rFonts w:ascii="Arial" w:hAnsi="Arial"/>
                      <w:sz w:val="20"/>
                      <w:szCs w:val="20"/>
                    </w:rPr>
                  </w:pPr>
                </w:p>
              </w:tc>
            </w:tr>
          </w:tbl>
          <w:p w14:paraId="1FA7EA3A" w14:textId="77777777" w:rsidR="0085703A" w:rsidRPr="00985A6A" w:rsidRDefault="0085703A" w:rsidP="006F353C">
            <w:pPr>
              <w:pStyle w:val="NormalWeb"/>
              <w:spacing w:before="0" w:beforeAutospacing="0" w:after="0" w:afterAutospacing="0"/>
              <w:ind w:left="142" w:right="34"/>
              <w:rPr>
                <w:rFonts w:ascii="Arial" w:hAnsi="Arial" w:cs="Arial"/>
                <w:b/>
                <w:sz w:val="22"/>
                <w:szCs w:val="22"/>
              </w:rPr>
            </w:pPr>
          </w:p>
          <w:p w14:paraId="07D16F2B" w14:textId="57E2D31F" w:rsidR="0085703A" w:rsidRPr="00985A6A" w:rsidRDefault="0085703A" w:rsidP="006F353C">
            <w:pPr>
              <w:pStyle w:val="NormalWeb"/>
              <w:spacing w:before="0" w:beforeAutospacing="0" w:after="0" w:afterAutospacing="0"/>
              <w:ind w:left="142" w:right="34"/>
              <w:rPr>
                <w:rFonts w:ascii="Arial" w:hAnsi="Arial" w:cs="Arial"/>
                <w:sz w:val="22"/>
                <w:szCs w:val="22"/>
              </w:rPr>
            </w:pPr>
            <w:r w:rsidRPr="00985A6A">
              <w:rPr>
                <w:rFonts w:ascii="Arial" w:hAnsi="Arial" w:cs="Arial"/>
                <w:b/>
                <w:sz w:val="22"/>
                <w:szCs w:val="22"/>
              </w:rPr>
              <w:t>NB.</w:t>
            </w:r>
            <w:r w:rsidRPr="00985A6A">
              <w:rPr>
                <w:rFonts w:ascii="Arial" w:hAnsi="Arial" w:cs="Arial"/>
                <w:sz w:val="22"/>
                <w:szCs w:val="22"/>
              </w:rPr>
              <w:t xml:space="preserve"> All marks are provisional until confirmed by the Final Examination Board.</w:t>
            </w:r>
          </w:p>
          <w:p w14:paraId="08A26BAA" w14:textId="77777777" w:rsidR="0085703A" w:rsidRPr="00985A6A" w:rsidRDefault="0085703A" w:rsidP="006F353C">
            <w:pPr>
              <w:pStyle w:val="NormalWeb"/>
              <w:spacing w:before="0" w:beforeAutospacing="0" w:after="0" w:afterAutospacing="0"/>
              <w:rPr>
                <w:rFonts w:ascii="Arial" w:hAnsi="Arial" w:cs="Arial"/>
                <w:b/>
                <w:sz w:val="22"/>
                <w:szCs w:val="22"/>
              </w:rPr>
            </w:pPr>
          </w:p>
          <w:p w14:paraId="5A08FE38" w14:textId="77777777" w:rsidR="0085703A" w:rsidRPr="00985A6A" w:rsidRDefault="0085703A" w:rsidP="006F353C">
            <w:pPr>
              <w:pStyle w:val="NormalWeb"/>
              <w:spacing w:before="0" w:beforeAutospacing="0" w:after="0" w:afterAutospacing="0"/>
              <w:rPr>
                <w:rFonts w:ascii="Arial" w:hAnsi="Arial" w:cs="Arial"/>
                <w:b/>
                <w:sz w:val="22"/>
                <w:szCs w:val="22"/>
              </w:rPr>
            </w:pPr>
          </w:p>
          <w:p w14:paraId="260DA3A8" w14:textId="77777777" w:rsidR="0085703A" w:rsidRPr="00985A6A" w:rsidRDefault="0085703A" w:rsidP="006F353C">
            <w:pPr>
              <w:pStyle w:val="NormalWeb"/>
              <w:spacing w:before="0" w:beforeAutospacing="0" w:after="0" w:afterAutospacing="0"/>
              <w:rPr>
                <w:rFonts w:ascii="Arial" w:hAnsi="Arial" w:cs="Arial"/>
                <w:b/>
                <w:sz w:val="22"/>
                <w:szCs w:val="22"/>
              </w:rPr>
            </w:pPr>
          </w:p>
          <w:p w14:paraId="744C1A6D" w14:textId="77777777" w:rsidR="0085703A" w:rsidRPr="00985A6A" w:rsidRDefault="0085703A" w:rsidP="006F353C">
            <w:pPr>
              <w:pStyle w:val="NormalWeb"/>
              <w:spacing w:before="0" w:beforeAutospacing="0" w:after="0" w:afterAutospacing="0"/>
              <w:rPr>
                <w:rFonts w:ascii="Arial" w:hAnsi="Arial" w:cs="Arial"/>
                <w:b/>
                <w:sz w:val="22"/>
                <w:szCs w:val="22"/>
              </w:rPr>
            </w:pPr>
          </w:p>
          <w:p w14:paraId="269EC2DB" w14:textId="77777777" w:rsidR="0085703A" w:rsidRPr="00985A6A" w:rsidRDefault="0085703A" w:rsidP="006F353C">
            <w:pPr>
              <w:pStyle w:val="NormalWeb"/>
              <w:spacing w:before="0" w:beforeAutospacing="0" w:after="0" w:afterAutospacing="0"/>
              <w:rPr>
                <w:rFonts w:ascii="Arial" w:hAnsi="Arial" w:cs="Arial"/>
                <w:b/>
                <w:sz w:val="22"/>
                <w:szCs w:val="22"/>
              </w:rPr>
            </w:pPr>
          </w:p>
          <w:p w14:paraId="33A61DC2" w14:textId="77777777" w:rsidR="0085703A" w:rsidRPr="00985A6A" w:rsidRDefault="0085703A" w:rsidP="006F353C">
            <w:pPr>
              <w:pStyle w:val="NormalWeb"/>
              <w:spacing w:before="0" w:beforeAutospacing="0" w:after="0" w:afterAutospacing="0"/>
              <w:rPr>
                <w:rFonts w:ascii="Arial" w:hAnsi="Arial" w:cs="Arial"/>
                <w:b/>
                <w:sz w:val="22"/>
                <w:szCs w:val="22"/>
              </w:rPr>
            </w:pPr>
            <w:r w:rsidRPr="00985A6A">
              <w:rPr>
                <w:rFonts w:ascii="Arial" w:hAnsi="Arial" w:cs="Arial"/>
                <w:b/>
                <w:sz w:val="22"/>
                <w:szCs w:val="22"/>
              </w:rPr>
              <w:t xml:space="preserve">For completion by Marker </w:t>
            </w:r>
            <w:proofErr w:type="gramStart"/>
            <w:r w:rsidRPr="00985A6A">
              <w:rPr>
                <w:rFonts w:ascii="Arial" w:hAnsi="Arial" w:cs="Arial"/>
                <w:b/>
                <w:sz w:val="22"/>
                <w:szCs w:val="22"/>
              </w:rPr>
              <w:t>1 :</w:t>
            </w:r>
            <w:proofErr w:type="gramEnd"/>
          </w:p>
          <w:p w14:paraId="06D058EC" w14:textId="77777777" w:rsidR="0085703A" w:rsidRPr="00985A6A" w:rsidRDefault="0085703A" w:rsidP="006F353C">
            <w:pPr>
              <w:pStyle w:val="NormalWeb"/>
              <w:spacing w:before="0" w:beforeAutospacing="0" w:after="0" w:afterAutospacing="0"/>
              <w:rPr>
                <w:rFonts w:ascii="Arial" w:hAnsi="Arial" w:cs="Arial"/>
                <w:sz w:val="22"/>
                <w:szCs w:val="22"/>
              </w:rPr>
            </w:pPr>
            <w:r w:rsidRPr="00985A6A">
              <w:rPr>
                <w:rFonts w:ascii="Arial" w:hAnsi="Arial" w:cs="Arial"/>
                <w:sz w:val="22"/>
                <w:szCs w:val="22"/>
              </w:rPr>
              <w:t>Comments:</w:t>
            </w:r>
          </w:p>
        </w:tc>
      </w:tr>
      <w:tr w:rsidR="0085703A" w:rsidRPr="00985A6A" w14:paraId="2A38EAFB" w14:textId="77777777" w:rsidTr="0089160B">
        <w:trPr>
          <w:trHeight w:val="492"/>
        </w:trPr>
        <w:tc>
          <w:tcPr>
            <w:tcW w:w="6768" w:type="dxa"/>
            <w:gridSpan w:val="3"/>
          </w:tcPr>
          <w:p w14:paraId="704DB1E8" w14:textId="77777777" w:rsidR="0085703A" w:rsidRPr="00985A6A" w:rsidRDefault="0085703A" w:rsidP="006F353C">
            <w:pPr>
              <w:pStyle w:val="NormalWeb"/>
              <w:spacing w:before="0" w:beforeAutospacing="0" w:after="0" w:afterAutospacing="0"/>
              <w:ind w:left="142" w:right="34"/>
              <w:rPr>
                <w:rFonts w:ascii="Arial" w:hAnsi="Arial" w:cs="Arial"/>
                <w:sz w:val="22"/>
                <w:szCs w:val="22"/>
              </w:rPr>
            </w:pPr>
            <w:r w:rsidRPr="00985A6A">
              <w:rPr>
                <w:rFonts w:ascii="Arial" w:hAnsi="Arial" w:cs="Arial"/>
                <w:sz w:val="22"/>
                <w:szCs w:val="22"/>
              </w:rPr>
              <w:t>Marker’s signature:</w:t>
            </w:r>
          </w:p>
        </w:tc>
        <w:tc>
          <w:tcPr>
            <w:tcW w:w="2088" w:type="dxa"/>
            <w:gridSpan w:val="2"/>
          </w:tcPr>
          <w:p w14:paraId="6FAF1155" w14:textId="77777777" w:rsidR="0085703A" w:rsidRPr="00985A6A" w:rsidRDefault="0085703A" w:rsidP="006F353C">
            <w:pPr>
              <w:pStyle w:val="NormalWeb"/>
              <w:spacing w:before="0" w:beforeAutospacing="0" w:after="0" w:afterAutospacing="0"/>
              <w:ind w:left="142" w:right="34"/>
              <w:rPr>
                <w:rFonts w:ascii="Arial" w:hAnsi="Arial" w:cs="Arial"/>
                <w:sz w:val="22"/>
                <w:szCs w:val="22"/>
              </w:rPr>
            </w:pPr>
            <w:r w:rsidRPr="00985A6A">
              <w:rPr>
                <w:rFonts w:ascii="Arial" w:hAnsi="Arial" w:cs="Arial"/>
                <w:sz w:val="22"/>
                <w:szCs w:val="22"/>
              </w:rPr>
              <w:t>Date:</w:t>
            </w:r>
          </w:p>
        </w:tc>
      </w:tr>
      <w:tr w:rsidR="0085703A" w:rsidRPr="00985A6A" w14:paraId="5D0F2634" w14:textId="77777777" w:rsidTr="0089160B">
        <w:tc>
          <w:tcPr>
            <w:tcW w:w="8856" w:type="dxa"/>
            <w:gridSpan w:val="5"/>
          </w:tcPr>
          <w:p w14:paraId="649B77D2" w14:textId="77777777" w:rsidR="0085703A" w:rsidRPr="00985A6A" w:rsidRDefault="0085703A" w:rsidP="006F353C">
            <w:pPr>
              <w:pStyle w:val="NormalWeb"/>
              <w:spacing w:before="0" w:beforeAutospacing="0" w:after="0" w:afterAutospacing="0"/>
              <w:ind w:right="-334"/>
              <w:rPr>
                <w:rFonts w:ascii="Arial" w:hAnsi="Arial" w:cs="Arial"/>
                <w:bCs/>
                <w:i/>
                <w:sz w:val="22"/>
                <w:szCs w:val="22"/>
              </w:rPr>
            </w:pPr>
          </w:p>
          <w:p w14:paraId="3B50AEEC" w14:textId="77777777" w:rsidR="0085703A" w:rsidRPr="00985A6A" w:rsidRDefault="0085703A" w:rsidP="006F353C">
            <w:pPr>
              <w:pStyle w:val="NormalWeb"/>
              <w:spacing w:before="0" w:beforeAutospacing="0" w:after="0" w:afterAutospacing="0"/>
              <w:ind w:right="-334"/>
              <w:rPr>
                <w:rFonts w:ascii="Arial" w:hAnsi="Arial" w:cs="Arial"/>
                <w:b/>
                <w:bCs/>
                <w:sz w:val="22"/>
                <w:szCs w:val="22"/>
              </w:rPr>
            </w:pPr>
            <w:r w:rsidRPr="00985A6A">
              <w:rPr>
                <w:rFonts w:ascii="Arial" w:hAnsi="Arial" w:cs="Arial"/>
                <w:b/>
                <w:bCs/>
                <w:sz w:val="22"/>
                <w:szCs w:val="22"/>
              </w:rPr>
              <w:t>For completion by Marker 2/Moderator:</w:t>
            </w:r>
          </w:p>
          <w:p w14:paraId="21536256" w14:textId="77777777" w:rsidR="0085703A" w:rsidRPr="00985A6A" w:rsidRDefault="0085703A" w:rsidP="006F353C">
            <w:pPr>
              <w:pStyle w:val="NormalWeb"/>
              <w:spacing w:before="0" w:beforeAutospacing="0" w:after="0" w:afterAutospacing="0"/>
              <w:ind w:right="-334"/>
              <w:rPr>
                <w:rFonts w:ascii="Arial" w:hAnsi="Arial" w:cs="Arial"/>
                <w:b/>
                <w:bCs/>
                <w:sz w:val="22"/>
                <w:szCs w:val="22"/>
              </w:rPr>
            </w:pPr>
          </w:p>
          <w:p w14:paraId="16F0457A"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r w:rsidRPr="00985A6A">
              <w:rPr>
                <w:rFonts w:ascii="Arial" w:hAnsi="Arial" w:cs="Arial"/>
                <w:bCs/>
                <w:sz w:val="22"/>
                <w:szCs w:val="22"/>
              </w:rPr>
              <w:t>Comments:</w:t>
            </w:r>
          </w:p>
          <w:p w14:paraId="1AA610B2"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p>
          <w:p w14:paraId="6FDB390E"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p>
          <w:p w14:paraId="4828B75C"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p>
        </w:tc>
      </w:tr>
      <w:tr w:rsidR="0085703A" w:rsidRPr="00985A6A" w14:paraId="69EF6066" w14:textId="77777777" w:rsidTr="0089160B">
        <w:trPr>
          <w:trHeight w:val="720"/>
        </w:trPr>
        <w:tc>
          <w:tcPr>
            <w:tcW w:w="5211" w:type="dxa"/>
            <w:gridSpan w:val="2"/>
          </w:tcPr>
          <w:p w14:paraId="2939744E"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r w:rsidRPr="00985A6A">
              <w:rPr>
                <w:rFonts w:ascii="Arial" w:hAnsi="Arial" w:cs="Arial"/>
                <w:bCs/>
                <w:sz w:val="22"/>
                <w:szCs w:val="22"/>
              </w:rPr>
              <w:t>Marker’s Signature:</w:t>
            </w:r>
          </w:p>
        </w:tc>
        <w:tc>
          <w:tcPr>
            <w:tcW w:w="3645" w:type="dxa"/>
            <w:gridSpan w:val="3"/>
          </w:tcPr>
          <w:p w14:paraId="1C2F9EE4"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r w:rsidRPr="00985A6A">
              <w:rPr>
                <w:rFonts w:ascii="Arial" w:hAnsi="Arial" w:cs="Arial"/>
                <w:bCs/>
                <w:sz w:val="22"/>
                <w:szCs w:val="22"/>
              </w:rPr>
              <w:t>Date:</w:t>
            </w:r>
          </w:p>
        </w:tc>
      </w:tr>
      <w:tr w:rsidR="0085703A" w:rsidRPr="00985A6A" w14:paraId="5C0CCE6E" w14:textId="77777777" w:rsidTr="0089160B">
        <w:trPr>
          <w:trHeight w:val="720"/>
        </w:trPr>
        <w:tc>
          <w:tcPr>
            <w:tcW w:w="8856" w:type="dxa"/>
            <w:gridSpan w:val="5"/>
          </w:tcPr>
          <w:p w14:paraId="1F522583" w14:textId="77777777" w:rsidR="0085703A" w:rsidRPr="00985A6A" w:rsidRDefault="0085703A" w:rsidP="006F353C">
            <w:pPr>
              <w:spacing w:line="240" w:lineRule="auto"/>
              <w:rPr>
                <w:rFonts w:ascii="Arial" w:hAnsi="Arial" w:cs="Arial"/>
                <w:b/>
                <w:sz w:val="22"/>
                <w:szCs w:val="22"/>
              </w:rPr>
            </w:pPr>
            <w:r w:rsidRPr="00985A6A">
              <w:rPr>
                <w:rFonts w:ascii="Arial" w:hAnsi="Arial" w:cs="Arial"/>
                <w:b/>
                <w:sz w:val="22"/>
                <w:szCs w:val="22"/>
              </w:rPr>
              <w:t>AGREED INTERNAL MARK (where necessary):</w:t>
            </w:r>
          </w:p>
          <w:p w14:paraId="2D75E11E" w14:textId="77777777" w:rsidR="0085703A" w:rsidRPr="00985A6A" w:rsidRDefault="0085703A" w:rsidP="006F353C">
            <w:pPr>
              <w:spacing w:line="240" w:lineRule="auto"/>
              <w:rPr>
                <w:rFonts w:ascii="Arial" w:hAnsi="Arial" w:cs="Arial"/>
                <w:b/>
                <w:sz w:val="22"/>
                <w:szCs w:val="22"/>
              </w:rPr>
            </w:pPr>
          </w:p>
          <w:p w14:paraId="1E49FD2A" w14:textId="77777777" w:rsidR="0085703A" w:rsidRPr="00985A6A" w:rsidRDefault="0085703A" w:rsidP="006F353C">
            <w:pPr>
              <w:spacing w:line="240" w:lineRule="auto"/>
              <w:rPr>
                <w:rFonts w:ascii="Arial" w:hAnsi="Arial" w:cs="Arial"/>
                <w:b/>
                <w:sz w:val="22"/>
                <w:szCs w:val="22"/>
              </w:rPr>
            </w:pPr>
            <w:r w:rsidRPr="00985A6A">
              <w:rPr>
                <w:rFonts w:ascii="Arial" w:hAnsi="Arial" w:cs="Arial"/>
                <w:b/>
                <w:sz w:val="22"/>
                <w:szCs w:val="22"/>
              </w:rPr>
              <w:t>Comment on process of arriving at agreed mark:</w:t>
            </w:r>
          </w:p>
          <w:p w14:paraId="1781EFC1" w14:textId="77777777" w:rsidR="0085703A" w:rsidRPr="00985A6A" w:rsidRDefault="0085703A" w:rsidP="006F353C">
            <w:pPr>
              <w:spacing w:line="240" w:lineRule="auto"/>
              <w:rPr>
                <w:rFonts w:ascii="Arial" w:hAnsi="Arial" w:cs="Arial"/>
                <w:b/>
                <w:sz w:val="22"/>
                <w:szCs w:val="22"/>
              </w:rPr>
            </w:pPr>
          </w:p>
          <w:p w14:paraId="6ED77B21" w14:textId="77777777" w:rsidR="0085703A" w:rsidRPr="00985A6A" w:rsidRDefault="0085703A" w:rsidP="006F353C">
            <w:pPr>
              <w:spacing w:line="240" w:lineRule="auto"/>
              <w:rPr>
                <w:rFonts w:ascii="Arial" w:hAnsi="Arial" w:cs="Arial"/>
                <w:b/>
                <w:sz w:val="22"/>
                <w:szCs w:val="22"/>
              </w:rPr>
            </w:pPr>
          </w:p>
          <w:p w14:paraId="5B9B8DC8" w14:textId="77777777" w:rsidR="0085703A" w:rsidRPr="00985A6A" w:rsidRDefault="0085703A" w:rsidP="006F353C">
            <w:pPr>
              <w:spacing w:line="240" w:lineRule="auto"/>
              <w:rPr>
                <w:rFonts w:ascii="Arial" w:hAnsi="Arial" w:cs="Arial"/>
                <w:b/>
                <w:sz w:val="22"/>
                <w:szCs w:val="22"/>
              </w:rPr>
            </w:pPr>
          </w:p>
          <w:p w14:paraId="799B27F7" w14:textId="77777777" w:rsidR="0085703A" w:rsidRPr="00985A6A" w:rsidRDefault="0085703A" w:rsidP="006F353C">
            <w:pPr>
              <w:spacing w:line="240" w:lineRule="auto"/>
              <w:rPr>
                <w:rFonts w:ascii="Arial" w:hAnsi="Arial" w:cs="Arial"/>
                <w:b/>
                <w:sz w:val="22"/>
                <w:szCs w:val="22"/>
              </w:rPr>
            </w:pPr>
          </w:p>
          <w:p w14:paraId="505927AA" w14:textId="77777777" w:rsidR="0085703A" w:rsidRPr="00985A6A" w:rsidRDefault="0085703A" w:rsidP="006F353C">
            <w:pPr>
              <w:spacing w:line="240" w:lineRule="auto"/>
              <w:rPr>
                <w:rFonts w:ascii="Arial" w:hAnsi="Arial" w:cs="Arial"/>
                <w:b/>
                <w:sz w:val="22"/>
                <w:szCs w:val="22"/>
              </w:rPr>
            </w:pPr>
          </w:p>
          <w:p w14:paraId="07538532" w14:textId="77777777" w:rsidR="0085703A" w:rsidRPr="00985A6A" w:rsidRDefault="0085703A" w:rsidP="006F353C">
            <w:pPr>
              <w:spacing w:line="240" w:lineRule="auto"/>
              <w:rPr>
                <w:rFonts w:ascii="Arial" w:hAnsi="Arial" w:cs="Arial"/>
                <w:b/>
                <w:sz w:val="22"/>
                <w:szCs w:val="22"/>
              </w:rPr>
            </w:pPr>
          </w:p>
          <w:p w14:paraId="2A2979E0" w14:textId="77777777" w:rsidR="0085703A" w:rsidRPr="00985A6A" w:rsidRDefault="0085703A" w:rsidP="006F353C">
            <w:pPr>
              <w:spacing w:line="240" w:lineRule="auto"/>
              <w:rPr>
                <w:rFonts w:ascii="Arial" w:hAnsi="Arial" w:cs="Arial"/>
                <w:b/>
                <w:sz w:val="22"/>
                <w:szCs w:val="22"/>
              </w:rPr>
            </w:pPr>
          </w:p>
          <w:p w14:paraId="14354E62" w14:textId="77777777" w:rsidR="0085703A" w:rsidRPr="00985A6A" w:rsidRDefault="0085703A" w:rsidP="006F353C">
            <w:pPr>
              <w:spacing w:line="240" w:lineRule="auto"/>
              <w:rPr>
                <w:rFonts w:ascii="Arial" w:hAnsi="Arial" w:cs="Arial"/>
                <w:b/>
                <w:sz w:val="22"/>
                <w:szCs w:val="22"/>
              </w:rPr>
            </w:pPr>
          </w:p>
        </w:tc>
      </w:tr>
      <w:tr w:rsidR="0085703A" w:rsidRPr="00985A6A" w14:paraId="46F0B73E" w14:textId="77777777" w:rsidTr="0089160B">
        <w:trPr>
          <w:trHeight w:val="720"/>
        </w:trPr>
        <w:tc>
          <w:tcPr>
            <w:tcW w:w="8856" w:type="dxa"/>
            <w:gridSpan w:val="5"/>
          </w:tcPr>
          <w:p w14:paraId="72584114" w14:textId="77777777" w:rsidR="0085703A" w:rsidRPr="00985A6A" w:rsidRDefault="0085703A" w:rsidP="006F353C">
            <w:pPr>
              <w:spacing w:line="240" w:lineRule="auto"/>
              <w:rPr>
                <w:rFonts w:ascii="Arial" w:hAnsi="Arial" w:cs="Arial"/>
                <w:b/>
                <w:sz w:val="22"/>
                <w:szCs w:val="22"/>
              </w:rPr>
            </w:pPr>
            <w:r w:rsidRPr="00985A6A">
              <w:rPr>
                <w:rFonts w:ascii="Arial" w:hAnsi="Arial" w:cs="Arial"/>
                <w:b/>
                <w:sz w:val="22"/>
                <w:szCs w:val="22"/>
              </w:rPr>
              <w:t>External Examiner’s comments (if relevant)</w:t>
            </w:r>
          </w:p>
          <w:p w14:paraId="3EC5846B"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p>
          <w:p w14:paraId="3A75C2EE"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p>
          <w:p w14:paraId="52C3F7EE"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p>
          <w:p w14:paraId="430B4CA3"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p>
          <w:p w14:paraId="2387E7A0"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p>
          <w:p w14:paraId="2FCDB9DF"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p>
          <w:p w14:paraId="02606433" w14:textId="77777777" w:rsidR="0085703A" w:rsidRPr="00985A6A" w:rsidRDefault="0085703A" w:rsidP="006F353C">
            <w:pPr>
              <w:pStyle w:val="NormalWeb"/>
              <w:spacing w:before="0" w:beforeAutospacing="0" w:after="0" w:afterAutospacing="0"/>
              <w:ind w:right="-334"/>
              <w:rPr>
                <w:rFonts w:ascii="Arial" w:hAnsi="Arial" w:cs="Arial"/>
                <w:bCs/>
                <w:sz w:val="22"/>
                <w:szCs w:val="22"/>
              </w:rPr>
            </w:pPr>
          </w:p>
        </w:tc>
      </w:tr>
      <w:tr w:rsidR="0085703A" w:rsidRPr="00985A6A" w14:paraId="023DD656" w14:textId="77777777" w:rsidTr="0089160B">
        <w:trPr>
          <w:trHeight w:val="720"/>
        </w:trPr>
        <w:tc>
          <w:tcPr>
            <w:tcW w:w="5211" w:type="dxa"/>
            <w:gridSpan w:val="2"/>
          </w:tcPr>
          <w:p w14:paraId="1BB2A0A4" w14:textId="77777777" w:rsidR="0085703A" w:rsidRPr="00985A6A" w:rsidRDefault="0085703A" w:rsidP="006F353C">
            <w:pPr>
              <w:spacing w:line="240" w:lineRule="auto"/>
              <w:rPr>
                <w:rFonts w:ascii="Arial" w:hAnsi="Arial" w:cs="Arial"/>
                <w:sz w:val="22"/>
                <w:szCs w:val="22"/>
              </w:rPr>
            </w:pPr>
            <w:r w:rsidRPr="00985A6A">
              <w:rPr>
                <w:rFonts w:ascii="Arial" w:hAnsi="Arial" w:cs="Arial"/>
                <w:sz w:val="22"/>
                <w:szCs w:val="22"/>
              </w:rPr>
              <w:t>External Examiner’s Signature:</w:t>
            </w:r>
          </w:p>
        </w:tc>
        <w:tc>
          <w:tcPr>
            <w:tcW w:w="3645" w:type="dxa"/>
            <w:gridSpan w:val="3"/>
          </w:tcPr>
          <w:p w14:paraId="2EC97943" w14:textId="77777777" w:rsidR="0085703A" w:rsidRPr="00985A6A" w:rsidRDefault="0085703A" w:rsidP="006F353C">
            <w:pPr>
              <w:spacing w:line="240" w:lineRule="auto"/>
              <w:rPr>
                <w:rFonts w:ascii="Arial" w:hAnsi="Arial" w:cs="Arial"/>
                <w:sz w:val="22"/>
                <w:szCs w:val="22"/>
              </w:rPr>
            </w:pPr>
            <w:r w:rsidRPr="00985A6A">
              <w:rPr>
                <w:rFonts w:ascii="Arial" w:hAnsi="Arial" w:cs="Arial"/>
                <w:sz w:val="22"/>
                <w:szCs w:val="22"/>
              </w:rPr>
              <w:t>Date:</w:t>
            </w:r>
          </w:p>
        </w:tc>
      </w:tr>
    </w:tbl>
    <w:p w14:paraId="1954504D" w14:textId="0ED6FD0F" w:rsidR="007F424D" w:rsidRPr="00985A6A" w:rsidRDefault="007F424D" w:rsidP="006F353C">
      <w:pPr>
        <w:pStyle w:val="NormalWeb"/>
        <w:spacing w:before="0" w:beforeAutospacing="0" w:after="0" w:afterAutospacing="0"/>
        <w:ind w:right="-334"/>
        <w:rPr>
          <w:rFonts w:ascii="Trebuchet MS" w:hAnsi="Trebuchet MS" w:cs="Tahoma"/>
          <w:bCs/>
          <w:sz w:val="24"/>
          <w:szCs w:val="24"/>
        </w:rPr>
      </w:pPr>
    </w:p>
    <w:p w14:paraId="6F38E5CC" w14:textId="7FF615E6" w:rsidR="00B95E43" w:rsidRPr="00985A6A" w:rsidRDefault="007F424D" w:rsidP="007F424D">
      <w:pPr>
        <w:spacing w:after="160" w:line="278" w:lineRule="auto"/>
        <w:ind w:firstLine="0"/>
        <w:rPr>
          <w:rFonts w:ascii="Trebuchet MS" w:eastAsia="SimSun" w:hAnsi="Trebuchet MS" w:cs="Tahoma"/>
          <w:bCs/>
          <w:color w:val="000000"/>
          <w:lang w:eastAsia="zh-CN"/>
        </w:rPr>
      </w:pPr>
      <w:r w:rsidRPr="00985A6A">
        <w:rPr>
          <w:rFonts w:ascii="Trebuchet MS" w:hAnsi="Trebuchet MS" w:cs="Tahoma"/>
          <w:bCs/>
        </w:rPr>
        <w:br w:type="page"/>
      </w:r>
    </w:p>
    <w:p w14:paraId="16CAC946" w14:textId="7A246B3D" w:rsidR="00B95E43" w:rsidRPr="00985A6A" w:rsidRDefault="00B95E43" w:rsidP="007F424D">
      <w:pPr>
        <w:spacing w:after="160" w:line="278" w:lineRule="auto"/>
        <w:ind w:firstLine="0"/>
        <w:rPr>
          <w:rFonts w:ascii="Trebuchet MS" w:eastAsia="SimSun" w:hAnsi="Trebuchet MS" w:cs="Tahoma"/>
          <w:bCs/>
          <w:color w:val="000000"/>
          <w:lang w:eastAsia="zh-CN"/>
        </w:rPr>
        <w:sectPr w:rsidR="00B95E43" w:rsidRPr="00985A6A" w:rsidSect="00B95E43">
          <w:headerReference w:type="default" r:id="rId12"/>
          <w:pgSz w:w="11906" w:h="16838" w:code="9"/>
          <w:pgMar w:top="720" w:right="1440" w:bottom="720" w:left="1440" w:header="720" w:footer="720" w:gutter="0"/>
          <w:cols w:space="720"/>
          <w:docGrid w:linePitch="360"/>
        </w:sectPr>
      </w:pPr>
    </w:p>
    <w:p w14:paraId="46755BA2" w14:textId="090A9747" w:rsidR="00F15F4A" w:rsidRPr="00985A6A" w:rsidRDefault="00E51CBF" w:rsidP="00B46D3C">
      <w:pPr>
        <w:spacing w:line="240" w:lineRule="auto"/>
        <w:ind w:firstLine="0"/>
        <w:jc w:val="center"/>
        <w:rPr>
          <w:rFonts w:ascii="Times New Roman" w:hAnsi="Times New Roman" w:cs="Times New Roman"/>
        </w:rPr>
      </w:pPr>
      <w:r w:rsidRPr="00985A6A">
        <w:rPr>
          <w:rFonts w:ascii="Times New Roman" w:hAnsi="Times New Roman" w:cs="Times New Roman"/>
        </w:rPr>
        <w:t xml:space="preserve">A Critical </w:t>
      </w:r>
      <w:r w:rsidR="00EC2885" w:rsidRPr="00985A6A">
        <w:rPr>
          <w:rFonts w:ascii="Times New Roman" w:hAnsi="Times New Roman" w:cs="Times New Roman"/>
        </w:rPr>
        <w:t>Analysis</w:t>
      </w:r>
      <w:r w:rsidRPr="00985A6A">
        <w:rPr>
          <w:rFonts w:ascii="Times New Roman" w:hAnsi="Times New Roman" w:cs="Times New Roman"/>
        </w:rPr>
        <w:t xml:space="preserve"> of </w:t>
      </w:r>
      <w:r w:rsidR="00EC2885" w:rsidRPr="00985A6A">
        <w:rPr>
          <w:rFonts w:ascii="Times New Roman" w:hAnsi="Times New Roman" w:cs="Times New Roman"/>
        </w:rPr>
        <w:t>a</w:t>
      </w:r>
      <w:r w:rsidR="00D03619" w:rsidRPr="00985A6A">
        <w:rPr>
          <w:rFonts w:ascii="Times New Roman" w:hAnsi="Times New Roman" w:cs="Times New Roman"/>
        </w:rPr>
        <w:t>n Exorcistic</w:t>
      </w:r>
      <w:r w:rsidR="00EC2885" w:rsidRPr="00985A6A">
        <w:rPr>
          <w:rFonts w:ascii="Times New Roman" w:hAnsi="Times New Roman" w:cs="Times New Roman"/>
        </w:rPr>
        <w:t xml:space="preserve"> </w:t>
      </w:r>
      <w:r w:rsidR="00D03619" w:rsidRPr="00985A6A">
        <w:rPr>
          <w:rFonts w:ascii="Times New Roman" w:hAnsi="Times New Roman" w:cs="Times New Roman"/>
        </w:rPr>
        <w:t>T</w:t>
      </w:r>
      <w:r w:rsidR="00EC2885" w:rsidRPr="00985A6A">
        <w:rPr>
          <w:rFonts w:ascii="Times New Roman" w:hAnsi="Times New Roman" w:cs="Times New Roman"/>
        </w:rPr>
        <w:t xml:space="preserve">ext from the </w:t>
      </w:r>
    </w:p>
    <w:p w14:paraId="056BF6EC" w14:textId="6092F65A" w:rsidR="00E51CBF" w:rsidRPr="00985A6A" w:rsidRDefault="00EC2885" w:rsidP="00B46D3C">
      <w:pPr>
        <w:spacing w:line="240" w:lineRule="auto"/>
        <w:ind w:firstLine="0"/>
        <w:jc w:val="center"/>
        <w:rPr>
          <w:rFonts w:ascii="Times New Roman" w:hAnsi="Times New Roman" w:cs="Times New Roman"/>
        </w:rPr>
      </w:pPr>
      <w:r w:rsidRPr="00985A6A">
        <w:rPr>
          <w:rFonts w:ascii="Times New Roman" w:hAnsi="Times New Roman" w:cs="Times New Roman"/>
        </w:rPr>
        <w:t>Greek Magical Papyri</w:t>
      </w:r>
      <w:r w:rsidR="00E51CBF" w:rsidRPr="00985A6A">
        <w:rPr>
          <w:rFonts w:ascii="Times New Roman" w:hAnsi="Times New Roman" w:cs="Times New Roman"/>
        </w:rPr>
        <w:t xml:space="preserve"> (</w:t>
      </w:r>
      <w:r w:rsidR="005D5EAC" w:rsidRPr="00985A6A">
        <w:rPr>
          <w:rFonts w:ascii="Times New Roman" w:hAnsi="Times New Roman" w:cs="Times New Roman"/>
        </w:rPr>
        <w:t>PGM IV.3007-86</w:t>
      </w:r>
      <w:r w:rsidR="00E51CBF" w:rsidRPr="00985A6A">
        <w:rPr>
          <w:rFonts w:ascii="Times New Roman" w:hAnsi="Times New Roman" w:cs="Times New Roman"/>
        </w:rPr>
        <w:t>)</w:t>
      </w:r>
    </w:p>
    <w:p w14:paraId="5B3F96B4" w14:textId="77777777" w:rsidR="004E11BB" w:rsidRDefault="004E11BB" w:rsidP="00B46D3C">
      <w:pPr>
        <w:spacing w:line="240" w:lineRule="auto"/>
        <w:ind w:firstLine="0"/>
        <w:jc w:val="center"/>
        <w:rPr>
          <w:rFonts w:ascii="Times New Roman" w:hAnsi="Times New Roman" w:cs="Times New Roman"/>
          <w:color w:val="000000" w:themeColor="text1"/>
        </w:rPr>
      </w:pPr>
    </w:p>
    <w:p w14:paraId="17F09345" w14:textId="77777777" w:rsidR="00593494" w:rsidRPr="00985A6A" w:rsidRDefault="00593494" w:rsidP="00B46D3C">
      <w:pPr>
        <w:spacing w:line="240" w:lineRule="auto"/>
        <w:ind w:firstLine="0"/>
        <w:jc w:val="center"/>
        <w:rPr>
          <w:rFonts w:ascii="Times New Roman" w:hAnsi="Times New Roman" w:cs="Times New Roman"/>
          <w:color w:val="000000" w:themeColor="text1"/>
        </w:rPr>
      </w:pPr>
    </w:p>
    <w:p w14:paraId="4E6DFF90" w14:textId="0FA30CBC" w:rsidR="00A554A3" w:rsidRPr="00985A6A" w:rsidRDefault="00A554A3" w:rsidP="00486F35">
      <w:pPr>
        <w:spacing w:line="240" w:lineRule="auto"/>
        <w:ind w:firstLine="72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The Greco-Egyptian-Jewish spell titled </w:t>
      </w:r>
      <w:r w:rsidR="00C978BC">
        <w:rPr>
          <w:rFonts w:ascii="Times New Roman" w:eastAsia="Times New Roman" w:hAnsi="Times New Roman" w:cs="Times New Roman"/>
          <w:color w:val="000000" w:themeColor="text1"/>
        </w:rPr>
        <w:t>‘</w:t>
      </w:r>
      <w:r w:rsidRPr="00985A6A">
        <w:rPr>
          <w:rFonts w:ascii="Times New Roman" w:eastAsia="Times New Roman" w:hAnsi="Times New Roman" w:cs="Times New Roman"/>
          <w:color w:val="000000" w:themeColor="text1"/>
        </w:rPr>
        <w:t>A Tested Charm of Pibechis for Those Possessed by Daimons</w:t>
      </w:r>
      <w:r w:rsidR="00C978BC">
        <w:rPr>
          <w:rFonts w:ascii="Times New Roman" w:eastAsia="Times New Roman" w:hAnsi="Times New Roman" w:cs="Times New Roman"/>
          <w:color w:val="000000" w:themeColor="text1"/>
        </w:rPr>
        <w:t>’</w:t>
      </w:r>
      <w:r w:rsidRPr="00985A6A">
        <w:rPr>
          <w:rFonts w:ascii="Times New Roman" w:eastAsia="Times New Roman" w:hAnsi="Times New Roman" w:cs="Times New Roman"/>
          <w:color w:val="000000" w:themeColor="text1"/>
        </w:rPr>
        <w:t xml:space="preserve"> (PGM IV.3007–86) provides detailed instructions for a successful exorcism, including ritual incantations</w:t>
      </w:r>
      <w:r w:rsidR="00E510C4" w:rsidRPr="00985A6A">
        <w:rPr>
          <w:rFonts w:ascii="Times New Roman" w:eastAsia="Times New Roman" w:hAnsi="Times New Roman" w:cs="Times New Roman"/>
          <w:color w:val="000000" w:themeColor="text1"/>
        </w:rPr>
        <w:t xml:space="preserve">, </w:t>
      </w:r>
      <w:r w:rsidRPr="00985A6A">
        <w:rPr>
          <w:rFonts w:ascii="Times New Roman" w:eastAsia="Times New Roman" w:hAnsi="Times New Roman" w:cs="Times New Roman"/>
          <w:color w:val="000000" w:themeColor="text1"/>
        </w:rPr>
        <w:t>guidance for crafting an apotropaic amulet</w:t>
      </w:r>
      <w:r w:rsidR="00E510C4" w:rsidRPr="00985A6A">
        <w:rPr>
          <w:rFonts w:ascii="Times New Roman" w:eastAsia="Times New Roman" w:hAnsi="Times New Roman" w:cs="Times New Roman"/>
          <w:color w:val="000000" w:themeColor="text1"/>
        </w:rPr>
        <w:t>, and conjurations</w:t>
      </w:r>
      <w:r w:rsidRPr="00985A6A">
        <w:rPr>
          <w:rFonts w:ascii="Times New Roman" w:eastAsia="Times New Roman" w:hAnsi="Times New Roman" w:cs="Times New Roman"/>
          <w:color w:val="000000" w:themeColor="text1"/>
        </w:rPr>
        <w:t>.</w:t>
      </w:r>
      <w:r w:rsidRPr="00985A6A">
        <w:rPr>
          <w:rStyle w:val="FootnoteReference"/>
          <w:rFonts w:ascii="Times New Roman" w:eastAsia="Times New Roman" w:hAnsi="Times New Roman" w:cs="Times New Roman"/>
          <w:color w:val="000000" w:themeColor="text1"/>
        </w:rPr>
        <w:footnoteReference w:id="1"/>
      </w:r>
      <w:r w:rsidRPr="00985A6A">
        <w:rPr>
          <w:rFonts w:ascii="Times New Roman" w:eastAsia="Times New Roman" w:hAnsi="Times New Roman" w:cs="Times New Roman"/>
          <w:color w:val="000000" w:themeColor="text1"/>
        </w:rPr>
        <w:t xml:space="preserve"> The spell likely formed part of a ritual specialist’s closely guarded body of esoteric knowledge intended exclusively for those initiated into such practices.</w:t>
      </w:r>
      <w:r w:rsidR="0047206F" w:rsidRPr="00985A6A">
        <w:rPr>
          <w:rStyle w:val="FootnoteReference"/>
          <w:rFonts w:ascii="Times New Roman" w:eastAsia="Times New Roman" w:hAnsi="Times New Roman" w:cs="Times New Roman"/>
          <w:color w:val="000000" w:themeColor="text1"/>
        </w:rPr>
        <w:footnoteReference w:id="2"/>
      </w:r>
      <w:r w:rsidRPr="00985A6A">
        <w:rPr>
          <w:rFonts w:ascii="Times New Roman" w:eastAsia="Times New Roman" w:hAnsi="Times New Roman" w:cs="Times New Roman"/>
          <w:color w:val="000000" w:themeColor="text1"/>
        </w:rPr>
        <w:t xml:space="preserve"> This paper examines the spell as a textual witness to such ritual activity.</w:t>
      </w:r>
      <w:r w:rsidR="004140DE" w:rsidRPr="00985A6A">
        <w:rPr>
          <w:rFonts w:ascii="Times New Roman" w:eastAsia="Times New Roman" w:hAnsi="Times New Roman" w:cs="Times New Roman"/>
          <w:color w:val="000000" w:themeColor="text1"/>
        </w:rPr>
        <w:t xml:space="preserve"> </w:t>
      </w:r>
      <w:r w:rsidR="00BB7FDF" w:rsidRPr="00985A6A">
        <w:rPr>
          <w:rFonts w:ascii="Times New Roman" w:hAnsi="Times New Roman" w:cs="Times New Roman"/>
        </w:rPr>
        <w:t xml:space="preserve">Through a </w:t>
      </w:r>
      <w:r w:rsidR="009E5E96" w:rsidRPr="00985A6A">
        <w:rPr>
          <w:rFonts w:ascii="Times New Roman" w:hAnsi="Times New Roman" w:cs="Times New Roman"/>
        </w:rPr>
        <w:t>socio-historical</w:t>
      </w:r>
      <w:r w:rsidR="00BB7FDF" w:rsidRPr="00985A6A">
        <w:rPr>
          <w:rFonts w:ascii="Times New Roman" w:hAnsi="Times New Roman" w:cs="Times New Roman"/>
        </w:rPr>
        <w:t xml:space="preserve"> analysis of the text, this paper aims to shed light on the cosmological framework an</w:t>
      </w:r>
      <w:r w:rsidR="004C5717">
        <w:rPr>
          <w:rFonts w:ascii="Times New Roman" w:hAnsi="Times New Roman" w:cs="Times New Roman"/>
        </w:rPr>
        <w:t xml:space="preserve">d the </w:t>
      </w:r>
      <w:r w:rsidR="00C978BC">
        <w:rPr>
          <w:rFonts w:ascii="Times New Roman" w:hAnsi="Times New Roman" w:cs="Times New Roman"/>
        </w:rPr>
        <w:t xml:space="preserve">use of </w:t>
      </w:r>
      <w:r w:rsidR="00BB7FDF" w:rsidRPr="00985A6A">
        <w:rPr>
          <w:rFonts w:ascii="Times New Roman" w:hAnsi="Times New Roman" w:cs="Times New Roman"/>
        </w:rPr>
        <w:t>magical strategies used by the practitioner in the spell</w:t>
      </w:r>
      <w:r w:rsidR="004C5717">
        <w:rPr>
          <w:rFonts w:ascii="Times New Roman" w:hAnsi="Times New Roman" w:cs="Times New Roman"/>
        </w:rPr>
        <w:t xml:space="preserve">. </w:t>
      </w:r>
    </w:p>
    <w:p w14:paraId="156FC3D3" w14:textId="3068DD20" w:rsidR="002C644F" w:rsidRPr="00985A6A" w:rsidRDefault="002C644F" w:rsidP="00486F35">
      <w:pPr>
        <w:spacing w:line="240" w:lineRule="auto"/>
        <w:ind w:firstLine="72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Compilations of spells functioned as handbooks for ritual craftsmen, encapsulating the distilled wisdom of the past to address contemporary challenges.</w:t>
      </w:r>
      <w:r w:rsidRPr="00985A6A">
        <w:rPr>
          <w:rStyle w:val="FootnoteReference"/>
          <w:rFonts w:ascii="Times New Roman" w:eastAsia="Times New Roman" w:hAnsi="Times New Roman" w:cs="Times New Roman"/>
          <w:color w:val="000000" w:themeColor="text1"/>
        </w:rPr>
        <w:footnoteReference w:id="3"/>
      </w:r>
      <w:r w:rsidRPr="00985A6A">
        <w:rPr>
          <w:rFonts w:ascii="Times New Roman" w:eastAsia="Times New Roman" w:hAnsi="Times New Roman" w:cs="Times New Roman"/>
          <w:color w:val="000000" w:themeColor="text1"/>
        </w:rPr>
        <w:t xml:space="preserve"> In ancient Egyptian and broader Near Eastern contexts, physical ailments and other afflictions were often attributed to the influence of malevolent daimons.</w:t>
      </w:r>
      <w:r w:rsidR="008129CB" w:rsidRPr="00985A6A">
        <w:rPr>
          <w:rStyle w:val="FootnoteReference"/>
          <w:rFonts w:ascii="Times New Roman" w:eastAsia="Times New Roman" w:hAnsi="Times New Roman" w:cs="Times New Roman"/>
          <w:color w:val="000000" w:themeColor="text1"/>
        </w:rPr>
        <w:footnoteReference w:id="4"/>
      </w:r>
      <w:r w:rsidRPr="00985A6A">
        <w:rPr>
          <w:rFonts w:ascii="Times New Roman" w:eastAsia="Times New Roman" w:hAnsi="Times New Roman" w:cs="Times New Roman"/>
          <w:color w:val="000000" w:themeColor="text1"/>
        </w:rPr>
        <w:t xml:space="preserve"> Addressing such maladies required the intervention of ritual specialists who employed apotropaic or exorcistic magic. In doing so, they facilitated a syncretic blending of traditions and practices, demonstrating adaptability across cultural boundaries and time periods. During the </w:t>
      </w:r>
      <w:r w:rsidR="000B28F6" w:rsidRPr="00985A6A">
        <w:rPr>
          <w:rFonts w:ascii="Times New Roman" w:eastAsia="Times New Roman" w:hAnsi="Times New Roman" w:cs="Times New Roman"/>
          <w:color w:val="000000" w:themeColor="text1"/>
        </w:rPr>
        <w:t xml:space="preserve">late </w:t>
      </w:r>
      <w:r w:rsidRPr="00985A6A">
        <w:rPr>
          <w:rFonts w:ascii="Times New Roman" w:eastAsia="Times New Roman" w:hAnsi="Times New Roman" w:cs="Times New Roman"/>
          <w:color w:val="000000" w:themeColor="text1"/>
        </w:rPr>
        <w:t>Hellenistic and Roman periods, these practices extended into Jewish and emerging Christian contexts, albeit with shifts in interpretation.</w:t>
      </w:r>
      <w:r w:rsidRPr="00985A6A">
        <w:rPr>
          <w:rStyle w:val="FootnoteReference"/>
          <w:rFonts w:ascii="Times New Roman" w:eastAsia="Times New Roman" w:hAnsi="Times New Roman" w:cs="Times New Roman"/>
          <w:color w:val="000000" w:themeColor="text1"/>
        </w:rPr>
        <w:footnoteReference w:id="5"/>
      </w:r>
      <w:r w:rsidRPr="00985A6A">
        <w:rPr>
          <w:rFonts w:ascii="Times New Roman" w:eastAsia="Times New Roman" w:hAnsi="Times New Roman" w:cs="Times New Roman"/>
          <w:color w:val="000000" w:themeColor="text1"/>
        </w:rPr>
        <w:t xml:space="preserve"> Across these diverse cultural and religious settings, a common thread was the reliance on ritualistic practices to counteract and remedy perceived supernatural threats. Ritual specialists of the period commonly invoked the names of potent deities to adjure and expel malevolent daimons or demons.</w:t>
      </w:r>
      <w:r w:rsidR="001561EB" w:rsidRPr="00985A6A">
        <w:rPr>
          <w:rStyle w:val="FootnoteReference"/>
          <w:rFonts w:ascii="Times New Roman" w:eastAsia="Times New Roman" w:hAnsi="Times New Roman" w:cs="Times New Roman"/>
          <w:color w:val="000000" w:themeColor="text1"/>
        </w:rPr>
        <w:footnoteReference w:id="6"/>
      </w:r>
    </w:p>
    <w:p w14:paraId="04C4E307" w14:textId="42D047D2" w:rsidR="00580B9D" w:rsidRPr="00985A6A" w:rsidRDefault="009E5E96" w:rsidP="00486F35">
      <w:pPr>
        <w:spacing w:line="240" w:lineRule="auto"/>
        <w:ind w:firstLine="720"/>
        <w:rPr>
          <w:rFonts w:ascii="Times New Roman" w:hAnsi="Times New Roman" w:cs="Times New Roman"/>
          <w:color w:val="000000" w:themeColor="text1"/>
        </w:rPr>
      </w:pPr>
      <w:r w:rsidRPr="00985A6A">
        <w:rPr>
          <w:rFonts w:ascii="Times New Roman" w:eastAsia="Times New Roman" w:hAnsi="Times New Roman" w:cs="Times New Roman"/>
          <w:noProof/>
          <w:color w:val="000000" w:themeColor="text1"/>
          <w14:ligatures w14:val="standardContextual"/>
        </w:rPr>
        <mc:AlternateContent>
          <mc:Choice Requires="wpi">
            <w:drawing>
              <wp:anchor distT="0" distB="0" distL="114300" distR="114300" simplePos="0" relativeHeight="251663360" behindDoc="0" locked="0" layoutInCell="1" allowOverlap="1" wp14:anchorId="1D572D00" wp14:editId="6B424605">
                <wp:simplePos x="0" y="0"/>
                <wp:positionH relativeFrom="column">
                  <wp:posOffset>9405682</wp:posOffset>
                </wp:positionH>
                <wp:positionV relativeFrom="paragraph">
                  <wp:posOffset>2735022</wp:posOffset>
                </wp:positionV>
                <wp:extent cx="194400" cy="78480"/>
                <wp:effectExtent l="38100" t="38100" r="34290" b="36195"/>
                <wp:wrapNone/>
                <wp:docPr id="267365557"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194400" cy="78480"/>
                      </w14:xfrm>
                    </w14:contentPart>
                  </a:graphicData>
                </a:graphic>
              </wp:anchor>
            </w:drawing>
          </mc:Choice>
          <mc:Fallback>
            <w:pict>
              <v:shapetype w14:anchorId="186681D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740.1pt;margin-top:214.85pt;width:16.25pt;height:7.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">
                <v:imagedata r:id="rId19" o:title=""/>
              </v:shape>
            </w:pict>
          </mc:Fallback>
        </mc:AlternateContent>
      </w:r>
      <w:r w:rsidR="00580B9D" w:rsidRPr="00985A6A">
        <w:rPr>
          <w:rFonts w:ascii="Times New Roman" w:eastAsia="Times New Roman" w:hAnsi="Times New Roman" w:cs="Times New Roman"/>
          <w:color w:val="000000" w:themeColor="text1"/>
        </w:rPr>
        <w:t>The text under consideration is part of the collection now categori</w:t>
      </w:r>
      <w:r w:rsidR="00E84BAC">
        <w:rPr>
          <w:rFonts w:ascii="Times New Roman" w:eastAsia="Times New Roman" w:hAnsi="Times New Roman" w:cs="Times New Roman"/>
          <w:color w:val="000000" w:themeColor="text1"/>
        </w:rPr>
        <w:t>s</w:t>
      </w:r>
      <w:r w:rsidR="00580B9D" w:rsidRPr="00985A6A">
        <w:rPr>
          <w:rFonts w:ascii="Times New Roman" w:eastAsia="Times New Roman" w:hAnsi="Times New Roman" w:cs="Times New Roman"/>
          <w:color w:val="000000" w:themeColor="text1"/>
        </w:rPr>
        <w:t xml:space="preserve">ed, within a modern academic framework, as the Greek Magical Papyri. This corpus includes spells, magical formulae, hymns, and </w:t>
      </w:r>
      <w:r w:rsidR="004C5717">
        <w:rPr>
          <w:rFonts w:ascii="Times New Roman" w:eastAsia="Times New Roman" w:hAnsi="Times New Roman" w:cs="Times New Roman"/>
          <w:color w:val="000000" w:themeColor="text1"/>
        </w:rPr>
        <w:t xml:space="preserve">other </w:t>
      </w:r>
      <w:r w:rsidR="00580B9D" w:rsidRPr="00985A6A">
        <w:rPr>
          <w:rFonts w:ascii="Times New Roman" w:eastAsia="Times New Roman" w:hAnsi="Times New Roman" w:cs="Times New Roman"/>
          <w:color w:val="000000" w:themeColor="text1"/>
        </w:rPr>
        <w:t>rituals from Greco-Roman Egypt, composed between the 2nd century BCE and the 5th century CE.</w:t>
      </w:r>
      <w:r w:rsidR="00580B9D" w:rsidRPr="00985A6A">
        <w:rPr>
          <w:rStyle w:val="FootnoteReference"/>
          <w:rFonts w:ascii="Times New Roman" w:eastAsia="Times New Roman" w:hAnsi="Times New Roman" w:cs="Times New Roman"/>
          <w:color w:val="000000" w:themeColor="text1"/>
        </w:rPr>
        <w:footnoteReference w:id="7"/>
      </w:r>
      <w:r w:rsidR="00580B9D" w:rsidRPr="00985A6A">
        <w:rPr>
          <w:rFonts w:ascii="Times New Roman" w:eastAsia="Times New Roman" w:hAnsi="Times New Roman" w:cs="Times New Roman"/>
          <w:color w:val="000000" w:themeColor="text1"/>
        </w:rPr>
        <w:t xml:space="preserve"> </w:t>
      </w:r>
      <w:r w:rsidR="008A69E2" w:rsidRPr="00985A6A">
        <w:rPr>
          <w:rFonts w:ascii="Times New Roman" w:eastAsia="Times New Roman" w:hAnsi="Times New Roman" w:cs="Times New Roman"/>
          <w:color w:val="000000" w:themeColor="text1"/>
        </w:rPr>
        <w:t xml:space="preserve">Indeed, it is the scribal nature of this magical tradition which has ensured its preservation for modern study. </w:t>
      </w:r>
      <w:r w:rsidR="00580B9D" w:rsidRPr="00985A6A">
        <w:rPr>
          <w:rFonts w:ascii="Times New Roman" w:eastAsia="Times New Roman" w:hAnsi="Times New Roman" w:cs="Times New Roman"/>
          <w:color w:val="000000" w:themeColor="text1"/>
        </w:rPr>
        <w:t>Alongside art</w:t>
      </w:r>
      <w:r w:rsidR="00C978BC">
        <w:rPr>
          <w:rFonts w:ascii="Times New Roman" w:eastAsia="Times New Roman" w:hAnsi="Times New Roman" w:cs="Times New Roman"/>
          <w:color w:val="000000" w:themeColor="text1"/>
        </w:rPr>
        <w:t>e</w:t>
      </w:r>
      <w:r w:rsidR="00580B9D" w:rsidRPr="00985A6A">
        <w:rPr>
          <w:rFonts w:ascii="Times New Roman" w:eastAsia="Times New Roman" w:hAnsi="Times New Roman" w:cs="Times New Roman"/>
          <w:color w:val="000000" w:themeColor="text1"/>
        </w:rPr>
        <w:t>facts associated with magical practices</w:t>
      </w:r>
      <w:r w:rsidR="00A52D1D" w:rsidRPr="00985A6A">
        <w:rPr>
          <w:rFonts w:ascii="Times New Roman" w:eastAsia="Times New Roman" w:hAnsi="Times New Roman" w:cs="Times New Roman"/>
          <w:color w:val="000000" w:themeColor="text1"/>
        </w:rPr>
        <w:t xml:space="preserve">, </w:t>
      </w:r>
      <w:r w:rsidR="008A69E2" w:rsidRPr="00985A6A">
        <w:rPr>
          <w:rFonts w:ascii="Times New Roman" w:eastAsia="Times New Roman" w:hAnsi="Times New Roman" w:cs="Times New Roman"/>
          <w:color w:val="000000" w:themeColor="text1"/>
        </w:rPr>
        <w:t>including amulets, magical gems,</w:t>
      </w:r>
      <w:r w:rsidR="00580B9D" w:rsidRPr="00985A6A">
        <w:rPr>
          <w:rFonts w:ascii="Times New Roman" w:eastAsia="Times New Roman" w:hAnsi="Times New Roman" w:cs="Times New Roman"/>
          <w:color w:val="000000" w:themeColor="text1"/>
        </w:rPr>
        <w:t xml:space="preserve"> and inscribed tablets recovered through archaeological findings</w:t>
      </w:r>
      <w:r w:rsidR="00A52D1D" w:rsidRPr="00985A6A">
        <w:rPr>
          <w:rFonts w:ascii="Times New Roman" w:eastAsia="Times New Roman" w:hAnsi="Times New Roman" w:cs="Times New Roman"/>
          <w:color w:val="000000" w:themeColor="text1"/>
        </w:rPr>
        <w:t xml:space="preserve">, </w:t>
      </w:r>
      <w:r w:rsidR="00580B9D" w:rsidRPr="00985A6A">
        <w:rPr>
          <w:rFonts w:ascii="Times New Roman" w:eastAsia="Times New Roman" w:hAnsi="Times New Roman" w:cs="Times New Roman"/>
          <w:color w:val="000000" w:themeColor="text1"/>
        </w:rPr>
        <w:t>the</w:t>
      </w:r>
      <w:r w:rsidR="00A20FF6" w:rsidRPr="00985A6A">
        <w:rPr>
          <w:rFonts w:ascii="Times New Roman" w:eastAsia="Times New Roman" w:hAnsi="Times New Roman" w:cs="Times New Roman"/>
          <w:color w:val="000000" w:themeColor="text1"/>
        </w:rPr>
        <w:t xml:space="preserve"> Greek Magical Papyri</w:t>
      </w:r>
      <w:r w:rsidR="000C5E7F" w:rsidRPr="00985A6A">
        <w:rPr>
          <w:rFonts w:ascii="Times New Roman" w:eastAsia="Times New Roman" w:hAnsi="Times New Roman" w:cs="Times New Roman"/>
          <w:color w:val="000000" w:themeColor="text1"/>
        </w:rPr>
        <w:t xml:space="preserve"> (PGM)</w:t>
      </w:r>
      <w:r w:rsidR="00A20FF6" w:rsidRPr="00985A6A">
        <w:rPr>
          <w:rFonts w:ascii="Times New Roman" w:eastAsia="Times New Roman" w:hAnsi="Times New Roman" w:cs="Times New Roman"/>
          <w:color w:val="000000" w:themeColor="text1"/>
        </w:rPr>
        <w:t xml:space="preserve"> and the </w:t>
      </w:r>
      <w:r w:rsidR="00AF19C7" w:rsidRPr="00985A6A">
        <w:rPr>
          <w:rFonts w:ascii="Times New Roman" w:eastAsia="Times New Roman" w:hAnsi="Times New Roman" w:cs="Times New Roman"/>
          <w:color w:val="000000" w:themeColor="text1"/>
        </w:rPr>
        <w:t>closely related Demotic Magical Papyri</w:t>
      </w:r>
      <w:r w:rsidR="000C5E7F" w:rsidRPr="00985A6A">
        <w:rPr>
          <w:rFonts w:ascii="Times New Roman" w:eastAsia="Times New Roman" w:hAnsi="Times New Roman" w:cs="Times New Roman"/>
          <w:color w:val="000000" w:themeColor="text1"/>
        </w:rPr>
        <w:t xml:space="preserve"> (PDM</w:t>
      </w:r>
      <w:r w:rsidR="00490BAE" w:rsidRPr="00985A6A">
        <w:rPr>
          <w:rFonts w:ascii="Times New Roman" w:eastAsia="Times New Roman" w:hAnsi="Times New Roman" w:cs="Times New Roman"/>
          <w:color w:val="000000" w:themeColor="text1"/>
        </w:rPr>
        <w:t>)</w:t>
      </w:r>
      <w:r w:rsidR="00580B9D" w:rsidRPr="00985A6A">
        <w:rPr>
          <w:rFonts w:ascii="Times New Roman" w:eastAsia="Times New Roman" w:hAnsi="Times New Roman" w:cs="Times New Roman"/>
          <w:color w:val="000000" w:themeColor="text1"/>
        </w:rPr>
        <w:t xml:space="preserve"> offer valuable insights into the religious and ritual dimensions of everyday life.</w:t>
      </w:r>
      <w:r w:rsidR="00F60E61" w:rsidRPr="00985A6A">
        <w:rPr>
          <w:rFonts w:ascii="Times New Roman" w:eastAsia="Times New Roman" w:hAnsi="Times New Roman" w:cs="Times New Roman"/>
          <w:color w:val="000000" w:themeColor="text1"/>
        </w:rPr>
        <w:t xml:space="preserve"> </w:t>
      </w:r>
      <w:r w:rsidR="00FC2981" w:rsidRPr="00985A6A">
        <w:rPr>
          <w:rFonts w:ascii="Times New Roman" w:hAnsi="Times New Roman" w:cs="Times New Roman"/>
          <w:color w:val="000000" w:themeColor="text1"/>
        </w:rPr>
        <w:t xml:space="preserve">One of the distinguishing features of the Greco-Egyptian </w:t>
      </w:r>
      <w:r w:rsidR="008A69E2" w:rsidRPr="00985A6A">
        <w:rPr>
          <w:rFonts w:ascii="Times New Roman" w:hAnsi="Times New Roman" w:cs="Times New Roman"/>
          <w:color w:val="000000" w:themeColor="text1"/>
        </w:rPr>
        <w:t xml:space="preserve">(or Egypto-Greek) </w:t>
      </w:r>
      <w:r w:rsidR="003C368C" w:rsidRPr="00985A6A">
        <w:rPr>
          <w:rFonts w:ascii="Times New Roman" w:hAnsi="Times New Roman" w:cs="Times New Roman"/>
          <w:color w:val="000000" w:themeColor="text1"/>
        </w:rPr>
        <w:t xml:space="preserve">‘iatromagical’ corpus </w:t>
      </w:r>
      <w:r w:rsidR="00FC2981" w:rsidRPr="00985A6A">
        <w:rPr>
          <w:rFonts w:ascii="Times New Roman" w:hAnsi="Times New Roman" w:cs="Times New Roman"/>
          <w:color w:val="000000" w:themeColor="text1"/>
        </w:rPr>
        <w:t xml:space="preserve">is its remarkable syncretism, with magical texts blending elements from Egyptian, Greek, Persian, and Jewish traditions, reflecting the </w:t>
      </w:r>
      <w:r w:rsidR="00D71CA5" w:rsidRPr="00985A6A">
        <w:rPr>
          <w:rFonts w:ascii="Times New Roman" w:hAnsi="Times New Roman" w:cs="Times New Roman"/>
          <w:color w:val="000000" w:themeColor="text1"/>
        </w:rPr>
        <w:t>composite</w:t>
      </w:r>
      <w:r w:rsidR="00FC2981" w:rsidRPr="00985A6A">
        <w:rPr>
          <w:rFonts w:ascii="Times New Roman" w:hAnsi="Times New Roman" w:cs="Times New Roman"/>
          <w:color w:val="000000" w:themeColor="text1"/>
        </w:rPr>
        <w:t xml:space="preserve"> character of late Hellenistic and Roman Egypt.</w:t>
      </w:r>
      <w:r w:rsidR="00580B9D" w:rsidRPr="00985A6A">
        <w:rPr>
          <w:rStyle w:val="FootnoteReference"/>
          <w:rFonts w:ascii="Times New Roman" w:eastAsia="Times New Roman" w:hAnsi="Times New Roman" w:cs="Times New Roman"/>
          <w:color w:val="000000" w:themeColor="text1"/>
        </w:rPr>
        <w:footnoteReference w:id="8"/>
      </w:r>
      <w:r w:rsidR="008A69E2" w:rsidRPr="00985A6A">
        <w:rPr>
          <w:rFonts w:ascii="Times New Roman" w:hAnsi="Times New Roman" w:cs="Times New Roman"/>
          <w:color w:val="000000" w:themeColor="text1"/>
        </w:rPr>
        <w:t xml:space="preserve"> </w:t>
      </w:r>
      <w:r w:rsidR="002A107E" w:rsidRPr="00985A6A">
        <w:rPr>
          <w:rFonts w:ascii="Times New Roman" w:hAnsi="Times New Roman" w:cs="Times New Roman"/>
        </w:rPr>
        <w:t xml:space="preserve">Also characteristic of the Greco-Egyptian magical tradition is a common set of techniques, some unique to this context. These include the use of </w:t>
      </w:r>
      <w:r w:rsidR="002A107E" w:rsidRPr="00985A6A">
        <w:rPr>
          <w:rFonts w:ascii="Times New Roman" w:hAnsi="Times New Roman" w:cs="Times New Roman"/>
          <w:i/>
          <w:iCs/>
        </w:rPr>
        <w:t>voces magicae</w:t>
      </w:r>
      <w:r w:rsidR="002A107E" w:rsidRPr="00985A6A">
        <w:rPr>
          <w:rFonts w:ascii="Times New Roman" w:hAnsi="Times New Roman" w:cs="Times New Roman"/>
        </w:rPr>
        <w:t>, specific symbols, visual designs such as word-triangles and ring-letters, and particular formula</w:t>
      </w:r>
      <w:r w:rsidR="004C5717">
        <w:rPr>
          <w:rFonts w:ascii="Times New Roman" w:hAnsi="Times New Roman" w:cs="Times New Roman"/>
        </w:rPr>
        <w:t>e</w:t>
      </w:r>
      <w:r w:rsidR="005204B0" w:rsidRPr="00985A6A">
        <w:rPr>
          <w:rFonts w:ascii="Times New Roman" w:hAnsi="Times New Roman" w:cs="Times New Roman"/>
        </w:rPr>
        <w:t>, some of which are evident in the text under consideration in this paper</w:t>
      </w:r>
      <w:r w:rsidR="002A107E" w:rsidRPr="00985A6A">
        <w:rPr>
          <w:rFonts w:ascii="Times New Roman" w:hAnsi="Times New Roman" w:cs="Times New Roman"/>
        </w:rPr>
        <w:t>.</w:t>
      </w:r>
      <w:r w:rsidR="002A107E" w:rsidRPr="00985A6A">
        <w:rPr>
          <w:rStyle w:val="FootnoteReference"/>
          <w:rFonts w:ascii="Times New Roman" w:hAnsi="Times New Roman" w:cs="Times New Roman"/>
        </w:rPr>
        <w:footnoteReference w:id="9"/>
      </w:r>
    </w:p>
    <w:p w14:paraId="46E975E5" w14:textId="5F6D0D18" w:rsidR="00AE40D0" w:rsidRPr="00985A6A" w:rsidRDefault="00AE40D0" w:rsidP="00486F35">
      <w:pPr>
        <w:spacing w:line="240" w:lineRule="auto"/>
        <w:ind w:firstLine="0"/>
        <w:rPr>
          <w:rFonts w:ascii="Times New Roman" w:eastAsia="Times New Roman" w:hAnsi="Times New Roman" w:cs="Times New Roman"/>
          <w:i/>
          <w:iCs/>
          <w:color w:val="000000" w:themeColor="text1"/>
        </w:rPr>
      </w:pPr>
      <w:r w:rsidRPr="00985A6A">
        <w:rPr>
          <w:rFonts w:ascii="Times New Roman" w:hAnsi="Times New Roman" w:cs="Times New Roman"/>
          <w:i/>
          <w:iCs/>
          <w:color w:val="000000" w:themeColor="text1"/>
        </w:rPr>
        <w:t>PGM IV, ‘The Paris Codex’</w:t>
      </w:r>
    </w:p>
    <w:p w14:paraId="7D9A0B8A" w14:textId="54316B20" w:rsidR="00E92F34" w:rsidRPr="00985A6A" w:rsidRDefault="00E84BAC" w:rsidP="00486F35">
      <w:pPr>
        <w:spacing w:line="240" w:lineRule="auto"/>
        <w:ind w:firstLine="720"/>
        <w:rPr>
          <w:rFonts w:ascii="Times New Roman" w:hAnsi="Times New Roman" w:cs="Times New Roman"/>
        </w:rPr>
      </w:pPr>
      <w:r>
        <w:rPr>
          <w:rFonts w:ascii="Times New Roman" w:hAnsi="Times New Roman" w:cs="Times New Roman"/>
          <w:noProof/>
          <w:color w:val="000000" w:themeColor="text1"/>
          <w14:ligatures w14:val="standardContextual"/>
        </w:rPr>
        <mc:AlternateContent>
          <mc:Choice Requires="wpi">
            <w:drawing>
              <wp:anchor distT="0" distB="0" distL="114300" distR="114300" simplePos="0" relativeHeight="251674624" behindDoc="0" locked="0" layoutInCell="1" allowOverlap="1" wp14:anchorId="1619D206" wp14:editId="493D5735">
                <wp:simplePos x="0" y="0"/>
                <wp:positionH relativeFrom="column">
                  <wp:posOffset>7468509</wp:posOffset>
                </wp:positionH>
                <wp:positionV relativeFrom="paragraph">
                  <wp:posOffset>1222236</wp:posOffset>
                </wp:positionV>
                <wp:extent cx="46440" cy="1419480"/>
                <wp:effectExtent l="38100" t="38100" r="48895" b="47625"/>
                <wp:wrapNone/>
                <wp:docPr id="1086734463"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46440" cy="1419480"/>
                      </w14:xfrm>
                    </w14:contentPart>
                  </a:graphicData>
                </a:graphic>
              </wp:anchor>
            </w:drawing>
          </mc:Choice>
          <mc:Fallback>
            <w:pict>
              <v:shapetype w14:anchorId="754F3F4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87.55pt;margin-top:95.75pt;width:4.6pt;height:112.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">
                <v:imagedata r:id="rId21" o:title=""/>
              </v:shape>
            </w:pict>
          </mc:Fallback>
        </mc:AlternateContent>
      </w:r>
      <w:r w:rsidR="00A25FDA" w:rsidRPr="00985A6A">
        <w:rPr>
          <w:rFonts w:ascii="Times New Roman" w:hAnsi="Times New Roman" w:cs="Times New Roman"/>
          <w:color w:val="000000" w:themeColor="text1"/>
        </w:rPr>
        <w:t>The Greek Magical Papyri first came to scholarly attention in the nineteenth century</w:t>
      </w:r>
      <w:r w:rsidR="00C978BC">
        <w:rPr>
          <w:rFonts w:ascii="Times New Roman" w:hAnsi="Times New Roman" w:cs="Times New Roman"/>
          <w:color w:val="000000" w:themeColor="text1"/>
        </w:rPr>
        <w:t>. However,</w:t>
      </w:r>
      <w:r w:rsidR="00A25FDA" w:rsidRPr="00985A6A">
        <w:rPr>
          <w:rFonts w:ascii="Times New Roman" w:hAnsi="Times New Roman" w:cs="Times New Roman"/>
          <w:color w:val="000000" w:themeColor="text1"/>
        </w:rPr>
        <w:t xml:space="preserve"> their precise archaeological context remains unknown due to their acquisition through the antiquities trade</w:t>
      </w:r>
      <w:r w:rsidR="00956963" w:rsidRPr="00985A6A">
        <w:rPr>
          <w:rFonts w:ascii="Times New Roman" w:hAnsi="Times New Roman" w:cs="Times New Roman"/>
          <w:color w:val="000000" w:themeColor="text1"/>
        </w:rPr>
        <w:t>, with the majority</w:t>
      </w:r>
      <w:r w:rsidR="00A25FDA" w:rsidRPr="00985A6A">
        <w:rPr>
          <w:rFonts w:ascii="Times New Roman" w:hAnsi="Times New Roman" w:cs="Times New Roman"/>
          <w:color w:val="000000" w:themeColor="text1"/>
        </w:rPr>
        <w:t xml:space="preserve"> likely </w:t>
      </w:r>
      <w:r w:rsidR="003136E6" w:rsidRPr="00985A6A">
        <w:rPr>
          <w:rFonts w:ascii="Times New Roman" w:hAnsi="Times New Roman" w:cs="Times New Roman"/>
          <w:color w:val="000000" w:themeColor="text1"/>
        </w:rPr>
        <w:t>discovered</w:t>
      </w:r>
      <w:r w:rsidR="00A25FDA" w:rsidRPr="00985A6A">
        <w:rPr>
          <w:rFonts w:ascii="Times New Roman" w:hAnsi="Times New Roman" w:cs="Times New Roman"/>
          <w:color w:val="000000" w:themeColor="text1"/>
        </w:rPr>
        <w:t xml:space="preserve"> in Thebes</w:t>
      </w:r>
      <w:r w:rsidR="00E43D1D" w:rsidRPr="00985A6A">
        <w:rPr>
          <w:rFonts w:ascii="Times New Roman" w:hAnsi="Times New Roman" w:cs="Times New Roman"/>
          <w:color w:val="000000" w:themeColor="text1"/>
        </w:rPr>
        <w:t xml:space="preserve"> (modern Luxor)</w:t>
      </w:r>
      <w:r w:rsidR="00A25FDA" w:rsidRPr="00985A6A">
        <w:rPr>
          <w:rFonts w:ascii="Times New Roman" w:hAnsi="Times New Roman" w:cs="Times New Roman"/>
          <w:color w:val="000000" w:themeColor="text1"/>
        </w:rPr>
        <w:t>.</w:t>
      </w:r>
      <w:r w:rsidR="006621EE" w:rsidRPr="00985A6A">
        <w:rPr>
          <w:rStyle w:val="FootnoteReference"/>
          <w:rFonts w:ascii="Times New Roman" w:hAnsi="Times New Roman" w:cs="Times New Roman"/>
          <w:color w:val="000000" w:themeColor="text1"/>
        </w:rPr>
        <w:footnoteReference w:id="10"/>
      </w:r>
      <w:r w:rsidR="00A25FDA" w:rsidRPr="00985A6A">
        <w:rPr>
          <w:rFonts w:ascii="Times New Roman" w:hAnsi="Times New Roman" w:cs="Times New Roman"/>
          <w:color w:val="000000" w:themeColor="text1"/>
        </w:rPr>
        <w:t xml:space="preserve"> </w:t>
      </w:r>
      <w:r w:rsidR="000E7A12" w:rsidRPr="00985A6A">
        <w:rPr>
          <w:rFonts w:ascii="Times New Roman" w:hAnsi="Times New Roman" w:cs="Times New Roman"/>
          <w:color w:val="000000" w:themeColor="text1"/>
        </w:rPr>
        <w:t xml:space="preserve">The </w:t>
      </w:r>
      <w:r w:rsidR="000E7A12" w:rsidRPr="00985A6A">
        <w:rPr>
          <w:rFonts w:ascii="Times New Roman" w:hAnsi="Times New Roman" w:cs="Times New Roman"/>
        </w:rPr>
        <w:t>codex containing the exorcistic spell under consideration is part of what is now known as PGM IV, or ‘The Paris Codex,’ named for its acquisition in 1857 by the Bibliothèque Nationale in Paris. This 36-</w:t>
      </w:r>
      <w:r w:rsidR="00FE1219" w:rsidRPr="00985A6A">
        <w:rPr>
          <w:rFonts w:ascii="Times New Roman" w:hAnsi="Times New Roman" w:cs="Times New Roman"/>
        </w:rPr>
        <w:t>leaf</w:t>
      </w:r>
      <w:r w:rsidR="000E7A12" w:rsidRPr="00985A6A">
        <w:rPr>
          <w:rFonts w:ascii="Times New Roman" w:hAnsi="Times New Roman" w:cs="Times New Roman"/>
        </w:rPr>
        <w:t xml:space="preserve"> codex, co</w:t>
      </w:r>
      <w:r w:rsidR="004A79AC" w:rsidRPr="00985A6A">
        <w:rPr>
          <w:rFonts w:ascii="Times New Roman" w:hAnsi="Times New Roman" w:cs="Times New Roman"/>
        </w:rPr>
        <w:t>ntaining</w:t>
      </w:r>
      <w:r w:rsidR="000E7A12" w:rsidRPr="00985A6A">
        <w:rPr>
          <w:rFonts w:ascii="Times New Roman" w:hAnsi="Times New Roman" w:cs="Times New Roman"/>
        </w:rPr>
        <w:t xml:space="preserve"> spells written in Greek</w:t>
      </w:r>
      <w:r w:rsidR="004C5717">
        <w:rPr>
          <w:rFonts w:ascii="Times New Roman" w:hAnsi="Times New Roman" w:cs="Times New Roman"/>
        </w:rPr>
        <w:t xml:space="preserve"> and Coptic</w:t>
      </w:r>
      <w:r w:rsidR="000E7A12" w:rsidRPr="00985A6A">
        <w:rPr>
          <w:rFonts w:ascii="Times New Roman" w:hAnsi="Times New Roman" w:cs="Times New Roman"/>
        </w:rPr>
        <w:t xml:space="preserve"> was among several papyrus rolls and codices </w:t>
      </w:r>
      <w:r w:rsidR="00113BA1" w:rsidRPr="00985A6A">
        <w:rPr>
          <w:rFonts w:ascii="Times New Roman" w:hAnsi="Times New Roman" w:cs="Times New Roman"/>
        </w:rPr>
        <w:t>supposedly</w:t>
      </w:r>
      <w:r w:rsidR="000E7A12" w:rsidRPr="00985A6A">
        <w:rPr>
          <w:rFonts w:ascii="Times New Roman" w:hAnsi="Times New Roman" w:cs="Times New Roman"/>
        </w:rPr>
        <w:t xml:space="preserve"> discovered in a tomb sometime before 1828</w:t>
      </w:r>
      <w:r w:rsidR="00C978BC">
        <w:rPr>
          <w:rFonts w:ascii="Times New Roman" w:hAnsi="Times New Roman" w:cs="Times New Roman"/>
        </w:rPr>
        <w:t>,</w:t>
      </w:r>
      <w:r w:rsidR="007F5BD9" w:rsidRPr="00985A6A">
        <w:rPr>
          <w:rFonts w:ascii="Times New Roman" w:hAnsi="Times New Roman" w:cs="Times New Roman"/>
        </w:rPr>
        <w:t xml:space="preserve"> </w:t>
      </w:r>
      <w:r w:rsidR="000E7A12" w:rsidRPr="00985A6A">
        <w:rPr>
          <w:rFonts w:ascii="Times New Roman" w:hAnsi="Times New Roman" w:cs="Times New Roman"/>
        </w:rPr>
        <w:t xml:space="preserve">a </w:t>
      </w:r>
      <w:r w:rsidR="008D4E33" w:rsidRPr="00985A6A">
        <w:rPr>
          <w:rFonts w:ascii="Times New Roman" w:hAnsi="Times New Roman" w:cs="Times New Roman"/>
        </w:rPr>
        <w:t>grouping</w:t>
      </w:r>
      <w:r w:rsidR="000E7A12" w:rsidRPr="00985A6A">
        <w:rPr>
          <w:rFonts w:ascii="Times New Roman" w:hAnsi="Times New Roman" w:cs="Times New Roman"/>
        </w:rPr>
        <w:t xml:space="preserve"> that has come to be referred to as the ‘Theban Magical Library.’</w:t>
      </w:r>
      <w:r w:rsidR="0095114D" w:rsidRPr="00985A6A">
        <w:rPr>
          <w:rStyle w:val="FootnoteReference"/>
          <w:rFonts w:ascii="Times New Roman" w:hAnsi="Times New Roman" w:cs="Times New Roman"/>
        </w:rPr>
        <w:footnoteReference w:id="11"/>
      </w:r>
      <w:r w:rsidR="00A13411" w:rsidRPr="00985A6A">
        <w:rPr>
          <w:rFonts w:ascii="Times New Roman" w:hAnsi="Times New Roman" w:cs="Times New Roman"/>
          <w:color w:val="000000" w:themeColor="text1"/>
        </w:rPr>
        <w:t xml:space="preserve"> </w:t>
      </w:r>
      <w:r w:rsidR="00EC5A70" w:rsidRPr="00985A6A">
        <w:rPr>
          <w:rFonts w:ascii="Times New Roman" w:hAnsi="Times New Roman" w:cs="Times New Roman"/>
        </w:rPr>
        <w:t xml:space="preserve">The alleged </w:t>
      </w:r>
      <w:r w:rsidR="00EC5A70">
        <w:rPr>
          <w:rFonts w:ascii="Times New Roman" w:hAnsi="Times New Roman" w:cs="Times New Roman"/>
        </w:rPr>
        <w:t xml:space="preserve">find location </w:t>
      </w:r>
      <w:r w:rsidR="00EC5A70" w:rsidRPr="00985A6A">
        <w:rPr>
          <w:rFonts w:ascii="Times New Roman" w:hAnsi="Times New Roman" w:cs="Times New Roman"/>
        </w:rPr>
        <w:t>of PGM IV</w:t>
      </w:r>
      <w:r w:rsidR="00EC5A70">
        <w:rPr>
          <w:rFonts w:ascii="Times New Roman" w:hAnsi="Times New Roman" w:cs="Times New Roman"/>
        </w:rPr>
        <w:t>, alongside</w:t>
      </w:r>
      <w:r w:rsidR="00EC5A70" w:rsidRPr="00985A6A">
        <w:rPr>
          <w:rFonts w:ascii="Times New Roman" w:hAnsi="Times New Roman" w:cs="Times New Roman"/>
        </w:rPr>
        <w:t xml:space="preserve"> other magical rolls and formularies</w:t>
      </w:r>
      <w:r w:rsidR="00EC5A70">
        <w:rPr>
          <w:rFonts w:ascii="Times New Roman" w:hAnsi="Times New Roman" w:cs="Times New Roman"/>
        </w:rPr>
        <w:t>,</w:t>
      </w:r>
      <w:r w:rsidR="00EC5A70" w:rsidRPr="00985A6A">
        <w:rPr>
          <w:rFonts w:ascii="Times New Roman" w:hAnsi="Times New Roman" w:cs="Times New Roman"/>
        </w:rPr>
        <w:t xml:space="preserve"> has long drawn scholarly interest. </w:t>
      </w:r>
      <w:r w:rsidR="00FF695D" w:rsidRPr="00985A6A">
        <w:rPr>
          <w:rFonts w:ascii="Times New Roman" w:hAnsi="Times New Roman" w:cs="Times New Roman"/>
        </w:rPr>
        <w:t>Possible motives have been theori</w:t>
      </w:r>
      <w:r>
        <w:rPr>
          <w:rFonts w:ascii="Times New Roman" w:hAnsi="Times New Roman" w:cs="Times New Roman"/>
        </w:rPr>
        <w:t>s</w:t>
      </w:r>
      <w:r w:rsidR="00FF695D" w:rsidRPr="00985A6A">
        <w:rPr>
          <w:rFonts w:ascii="Times New Roman" w:hAnsi="Times New Roman" w:cs="Times New Roman"/>
        </w:rPr>
        <w:t xml:space="preserve">ed for </w:t>
      </w:r>
      <w:r w:rsidR="00C978BC">
        <w:rPr>
          <w:rFonts w:ascii="Times New Roman" w:hAnsi="Times New Roman" w:cs="Times New Roman"/>
        </w:rPr>
        <w:t>placing</w:t>
      </w:r>
      <w:r w:rsidR="00FF695D" w:rsidRPr="00985A6A">
        <w:rPr>
          <w:rFonts w:ascii="Times New Roman" w:hAnsi="Times New Roman" w:cs="Times New Roman"/>
        </w:rPr>
        <w:t xml:space="preserve"> this </w:t>
      </w:r>
      <w:r w:rsidR="00113BA1" w:rsidRPr="00985A6A">
        <w:rPr>
          <w:rFonts w:ascii="Times New Roman" w:hAnsi="Times New Roman" w:cs="Times New Roman"/>
        </w:rPr>
        <w:t>‘m</w:t>
      </w:r>
      <w:r w:rsidR="00FF695D" w:rsidRPr="00985A6A">
        <w:rPr>
          <w:rFonts w:ascii="Times New Roman" w:hAnsi="Times New Roman" w:cs="Times New Roman"/>
        </w:rPr>
        <w:t>agical library</w:t>
      </w:r>
      <w:r w:rsidR="00113BA1" w:rsidRPr="00985A6A">
        <w:rPr>
          <w:rFonts w:ascii="Times New Roman" w:hAnsi="Times New Roman" w:cs="Times New Roman"/>
        </w:rPr>
        <w:t xml:space="preserve">’ </w:t>
      </w:r>
      <w:r w:rsidR="00FF695D" w:rsidRPr="00985A6A">
        <w:rPr>
          <w:rFonts w:ascii="Times New Roman" w:hAnsi="Times New Roman" w:cs="Times New Roman"/>
        </w:rPr>
        <w:t xml:space="preserve">in a burial context, including </w:t>
      </w:r>
      <w:r w:rsidR="00EC5A70">
        <w:rPr>
          <w:rFonts w:ascii="Times New Roman" w:hAnsi="Times New Roman" w:cs="Times New Roman"/>
        </w:rPr>
        <w:t xml:space="preserve">its being </w:t>
      </w:r>
      <w:r w:rsidR="00FF695D" w:rsidRPr="00985A6A">
        <w:rPr>
          <w:rFonts w:ascii="Times New Roman" w:hAnsi="Times New Roman" w:cs="Times New Roman"/>
        </w:rPr>
        <w:t>hidden for safekeeping or deposited out of concern for the deceased.</w:t>
      </w:r>
      <w:r w:rsidR="00FF695D" w:rsidRPr="00985A6A">
        <w:rPr>
          <w:rStyle w:val="FootnoteReference"/>
          <w:rFonts w:ascii="Times New Roman" w:hAnsi="Times New Roman" w:cs="Times New Roman"/>
        </w:rPr>
        <w:footnoteReference w:id="12"/>
      </w:r>
      <w:r w:rsidR="000D5CA4" w:rsidRPr="00985A6A">
        <w:rPr>
          <w:rFonts w:ascii="Times New Roman" w:hAnsi="Times New Roman" w:cs="Times New Roman"/>
        </w:rPr>
        <w:t xml:space="preserve"> </w:t>
      </w:r>
      <w:r w:rsidR="007F7F2C" w:rsidRPr="00985A6A">
        <w:rPr>
          <w:rFonts w:ascii="Times New Roman" w:hAnsi="Times New Roman" w:cs="Times New Roman"/>
        </w:rPr>
        <w:t xml:space="preserve">Whatever the motivation, this collection of formularies with instructions for performing magical ceremonies remains </w:t>
      </w:r>
      <w:r w:rsidR="0075459F" w:rsidRPr="00985A6A">
        <w:rPr>
          <w:rFonts w:ascii="Times New Roman" w:hAnsi="Times New Roman" w:cs="Times New Roman"/>
        </w:rPr>
        <w:t>unrivalled</w:t>
      </w:r>
      <w:r w:rsidR="007F7F2C" w:rsidRPr="00985A6A">
        <w:rPr>
          <w:rFonts w:ascii="Times New Roman" w:hAnsi="Times New Roman" w:cs="Times New Roman"/>
        </w:rPr>
        <w:t xml:space="preserve"> in its importance to the study of Greco-Egyptian magic.</w:t>
      </w:r>
      <w:r w:rsidR="007F7F2C" w:rsidRPr="00985A6A">
        <w:rPr>
          <w:rStyle w:val="FootnoteReference"/>
          <w:rFonts w:ascii="Times New Roman" w:hAnsi="Times New Roman" w:cs="Times New Roman"/>
        </w:rPr>
        <w:footnoteReference w:id="13"/>
      </w:r>
      <w:r w:rsidR="00EC5A70">
        <w:rPr>
          <w:rFonts w:ascii="Times New Roman" w:hAnsi="Times New Roman" w:cs="Times New Roman"/>
        </w:rPr>
        <w:t xml:space="preserve"> </w:t>
      </w:r>
    </w:p>
    <w:p w14:paraId="2A58F64D" w14:textId="06E7806C" w:rsidR="006D7DC8" w:rsidRPr="00985A6A" w:rsidRDefault="00844FC7" w:rsidP="00486F35">
      <w:pPr>
        <w:spacing w:line="240" w:lineRule="auto"/>
        <w:ind w:firstLine="720"/>
        <w:rPr>
          <w:rFonts w:ascii="Times New Roman" w:hAnsi="Times New Roman" w:cs="Times New Roman"/>
        </w:rPr>
      </w:pPr>
      <w:r w:rsidRPr="00985A6A">
        <w:rPr>
          <w:rFonts w:ascii="Times New Roman" w:hAnsi="Times New Roman" w:cs="Times New Roman"/>
        </w:rPr>
        <w:t xml:space="preserve"> </w:t>
      </w:r>
      <w:r w:rsidR="00443EB0" w:rsidRPr="00985A6A">
        <w:rPr>
          <w:rFonts w:ascii="Times New Roman" w:hAnsi="Times New Roman" w:cs="Times New Roman"/>
        </w:rPr>
        <w:t>Codex PGM IV</w:t>
      </w:r>
      <w:r w:rsidR="00CB5AC8" w:rsidRPr="00985A6A">
        <w:rPr>
          <w:rFonts w:ascii="Times New Roman" w:hAnsi="Times New Roman" w:cs="Times New Roman"/>
        </w:rPr>
        <w:t xml:space="preserve">, </w:t>
      </w:r>
      <w:r w:rsidR="00443EB0" w:rsidRPr="00985A6A">
        <w:rPr>
          <w:rFonts w:ascii="Times New Roman" w:hAnsi="Times New Roman" w:cs="Times New Roman"/>
        </w:rPr>
        <w:t>dated to the early fourth century CE</w:t>
      </w:r>
      <w:r w:rsidR="00CB5AC8" w:rsidRPr="00985A6A">
        <w:rPr>
          <w:rFonts w:ascii="Times New Roman" w:hAnsi="Times New Roman" w:cs="Times New Roman"/>
        </w:rPr>
        <w:t xml:space="preserve">, </w:t>
      </w:r>
      <w:r w:rsidR="00F0753B" w:rsidRPr="00985A6A">
        <w:rPr>
          <w:rFonts w:ascii="Times New Roman" w:hAnsi="Times New Roman" w:cs="Times New Roman"/>
        </w:rPr>
        <w:t>is</w:t>
      </w:r>
      <w:r w:rsidR="00443EB0" w:rsidRPr="00985A6A">
        <w:rPr>
          <w:rFonts w:ascii="Times New Roman" w:hAnsi="Times New Roman" w:cs="Times New Roman"/>
        </w:rPr>
        <w:t xml:space="preserve"> a compilation of texts, with some individual spells </w:t>
      </w:r>
      <w:r w:rsidR="00DE1B26" w:rsidRPr="00985A6A">
        <w:rPr>
          <w:rFonts w:ascii="Times New Roman" w:hAnsi="Times New Roman" w:cs="Times New Roman"/>
        </w:rPr>
        <w:t>possibly</w:t>
      </w:r>
      <w:r w:rsidR="00443EB0" w:rsidRPr="00985A6A">
        <w:rPr>
          <w:rFonts w:ascii="Times New Roman" w:hAnsi="Times New Roman" w:cs="Times New Roman"/>
        </w:rPr>
        <w:t xml:space="preserve"> originating as early as the first century CE.</w:t>
      </w:r>
      <w:r w:rsidR="002E228E" w:rsidRPr="00985A6A">
        <w:rPr>
          <w:rStyle w:val="FootnoteReference"/>
          <w:rFonts w:ascii="Times New Roman" w:hAnsi="Times New Roman" w:cs="Times New Roman"/>
        </w:rPr>
        <w:footnoteReference w:id="14"/>
      </w:r>
      <w:r w:rsidR="00484C98" w:rsidRPr="00985A6A">
        <w:rPr>
          <w:rFonts w:ascii="Times New Roman" w:hAnsi="Times New Roman" w:cs="Times New Roman"/>
        </w:rPr>
        <w:t xml:space="preserve"> </w:t>
      </w:r>
      <w:r w:rsidR="00EC5A70" w:rsidRPr="00985A6A">
        <w:rPr>
          <w:rFonts w:ascii="Times New Roman" w:hAnsi="Times New Roman" w:cs="Times New Roman"/>
        </w:rPr>
        <w:t>Based on the sophisticated construction and cursive script, this cache of texts appear</w:t>
      </w:r>
      <w:r w:rsidR="00EC5A70">
        <w:rPr>
          <w:rFonts w:ascii="Times New Roman" w:hAnsi="Times New Roman" w:cs="Times New Roman"/>
        </w:rPr>
        <w:t>s</w:t>
      </w:r>
      <w:r w:rsidR="00EC5A70" w:rsidRPr="00985A6A">
        <w:rPr>
          <w:rFonts w:ascii="Times New Roman" w:hAnsi="Times New Roman" w:cs="Times New Roman"/>
        </w:rPr>
        <w:t xml:space="preserve"> to have been produced by scribes trained in the scriptoria of Egyptian temples.</w:t>
      </w:r>
      <w:r w:rsidR="00EC5A70" w:rsidRPr="00985A6A">
        <w:rPr>
          <w:rStyle w:val="FootnoteReference"/>
          <w:rFonts w:ascii="Times New Roman" w:hAnsi="Times New Roman" w:cs="Times New Roman"/>
        </w:rPr>
        <w:footnoteReference w:id="15"/>
      </w:r>
      <w:r w:rsidR="00EC5A70" w:rsidRPr="00985A6A">
        <w:t xml:space="preserve"> </w:t>
      </w:r>
      <w:r w:rsidR="0049766F" w:rsidRPr="00985A6A">
        <w:rPr>
          <w:rFonts w:ascii="Times New Roman" w:hAnsi="Times New Roman" w:cs="Times New Roman"/>
        </w:rPr>
        <w:t xml:space="preserve">At 3,274 lines across more than seventy inscribed pages, PGM IV is the longest of the Greco-Egyptian magical formularies. </w:t>
      </w:r>
      <w:r w:rsidR="008F28A9" w:rsidRPr="00985A6A">
        <w:rPr>
          <w:rFonts w:ascii="Times New Roman" w:hAnsi="Times New Roman" w:cs="Times New Roman"/>
        </w:rPr>
        <w:t>In addition to astrological texts</w:t>
      </w:r>
      <w:r w:rsidR="00C84E78" w:rsidRPr="00985A6A">
        <w:rPr>
          <w:rFonts w:ascii="Times New Roman" w:hAnsi="Times New Roman" w:cs="Times New Roman"/>
        </w:rPr>
        <w:t xml:space="preserve">, </w:t>
      </w:r>
      <w:r w:rsidR="00E2777C" w:rsidRPr="00985A6A">
        <w:rPr>
          <w:rFonts w:ascii="Times New Roman" w:hAnsi="Times New Roman" w:cs="Times New Roman"/>
        </w:rPr>
        <w:t>preparatory</w:t>
      </w:r>
      <w:r w:rsidR="00C84E78" w:rsidRPr="00985A6A">
        <w:rPr>
          <w:rFonts w:ascii="Times New Roman" w:hAnsi="Times New Roman" w:cs="Times New Roman"/>
        </w:rPr>
        <w:t xml:space="preserve"> </w:t>
      </w:r>
      <w:r w:rsidR="00E2777C" w:rsidRPr="00985A6A">
        <w:rPr>
          <w:rFonts w:ascii="Times New Roman" w:hAnsi="Times New Roman" w:cs="Times New Roman"/>
        </w:rPr>
        <w:t xml:space="preserve">instructions, </w:t>
      </w:r>
      <w:r w:rsidR="008F28A9" w:rsidRPr="00985A6A">
        <w:rPr>
          <w:rFonts w:ascii="Times New Roman" w:hAnsi="Times New Roman" w:cs="Times New Roman"/>
        </w:rPr>
        <w:t xml:space="preserve">spells for divination, protection, attraction, business success, and exorcism, the codex also includes poetic hymns. </w:t>
      </w:r>
      <w:r w:rsidR="00346020" w:rsidRPr="00985A6A">
        <w:rPr>
          <w:rFonts w:ascii="Times New Roman" w:hAnsi="Times New Roman" w:cs="Times New Roman"/>
        </w:rPr>
        <w:t>Notably</w:t>
      </w:r>
      <w:r w:rsidR="00C978BC">
        <w:rPr>
          <w:rFonts w:ascii="Times New Roman" w:hAnsi="Times New Roman" w:cs="Times New Roman"/>
        </w:rPr>
        <w:t>,</w:t>
      </w:r>
      <w:r w:rsidR="00346020" w:rsidRPr="00985A6A">
        <w:rPr>
          <w:rFonts w:ascii="Times New Roman" w:hAnsi="Times New Roman" w:cs="Times New Roman"/>
        </w:rPr>
        <w:t xml:space="preserve"> PGM IV has </w:t>
      </w:r>
      <w:r w:rsidR="00C978BC">
        <w:rPr>
          <w:rFonts w:ascii="Times New Roman" w:hAnsi="Times New Roman" w:cs="Times New Roman"/>
        </w:rPr>
        <w:t xml:space="preserve">an </w:t>
      </w:r>
      <w:r w:rsidR="0049766F" w:rsidRPr="00985A6A">
        <w:rPr>
          <w:rFonts w:ascii="Times New Roman" w:hAnsi="Times New Roman" w:cs="Times New Roman"/>
        </w:rPr>
        <w:t>unusually high number of lengthy magical recipes compared to other formularies.</w:t>
      </w:r>
      <w:r w:rsidR="00054A7E" w:rsidRPr="00985A6A">
        <w:rPr>
          <w:rStyle w:val="FootnoteReference"/>
          <w:rFonts w:ascii="Times New Roman" w:hAnsi="Times New Roman" w:cs="Times New Roman"/>
        </w:rPr>
        <w:footnoteReference w:id="16"/>
      </w:r>
      <w:r w:rsidR="0044467C" w:rsidRPr="00985A6A">
        <w:rPr>
          <w:rFonts w:ascii="Times New Roman" w:hAnsi="Times New Roman" w:cs="Times New Roman"/>
        </w:rPr>
        <w:t xml:space="preserve"> </w:t>
      </w:r>
      <w:r w:rsidR="002D2AF6" w:rsidRPr="00985A6A">
        <w:rPr>
          <w:rFonts w:ascii="Times New Roman" w:hAnsi="Times New Roman" w:cs="Times New Roman"/>
        </w:rPr>
        <w:t>Its considerable length, apparent lack of organi</w:t>
      </w:r>
      <w:r w:rsidR="00E84BAC">
        <w:rPr>
          <w:rFonts w:ascii="Times New Roman" w:hAnsi="Times New Roman" w:cs="Times New Roman"/>
        </w:rPr>
        <w:t>s</w:t>
      </w:r>
      <w:r w:rsidR="002D2AF6" w:rsidRPr="00985A6A">
        <w:rPr>
          <w:rFonts w:ascii="Times New Roman" w:hAnsi="Times New Roman" w:cs="Times New Roman"/>
        </w:rPr>
        <w:t xml:space="preserve">ation by spell type or intended outcome, and careful preparation by a trained scribe suggest a unique purpose. Scholars have also noted that the codex likely represents a compilation of several older formularies. These features have led some to question whether PGM IV was assembled for the library of an ancient collector or </w:t>
      </w:r>
      <w:r w:rsidR="00C978BC">
        <w:rPr>
          <w:rFonts w:ascii="Times New Roman" w:hAnsi="Times New Roman" w:cs="Times New Roman"/>
        </w:rPr>
        <w:t xml:space="preserve">an </w:t>
      </w:r>
      <w:r w:rsidR="002D2AF6" w:rsidRPr="00985A6A">
        <w:rPr>
          <w:rFonts w:ascii="Times New Roman" w:hAnsi="Times New Roman" w:cs="Times New Roman"/>
        </w:rPr>
        <w:t>individual with a speciali</w:t>
      </w:r>
      <w:r w:rsidR="00E84BAC">
        <w:rPr>
          <w:rFonts w:ascii="Times New Roman" w:hAnsi="Times New Roman" w:cs="Times New Roman"/>
        </w:rPr>
        <w:t>s</w:t>
      </w:r>
      <w:r w:rsidR="002D2AF6" w:rsidRPr="00985A6A">
        <w:rPr>
          <w:rFonts w:ascii="Times New Roman" w:hAnsi="Times New Roman" w:cs="Times New Roman"/>
        </w:rPr>
        <w:t>ed interest, rather than for practical use.</w:t>
      </w:r>
      <w:r w:rsidR="00C8030F" w:rsidRPr="00985A6A">
        <w:rPr>
          <w:rStyle w:val="FootnoteReference"/>
          <w:rFonts w:ascii="Times New Roman" w:hAnsi="Times New Roman" w:cs="Times New Roman"/>
        </w:rPr>
        <w:footnoteReference w:id="17"/>
      </w:r>
      <w:r w:rsidR="002C3434" w:rsidRPr="00985A6A">
        <w:rPr>
          <w:rFonts w:ascii="Times New Roman" w:hAnsi="Times New Roman" w:cs="Times New Roman"/>
        </w:rPr>
        <w:t xml:space="preserve"> </w:t>
      </w:r>
      <w:r w:rsidR="004076BF" w:rsidRPr="00985A6A">
        <w:rPr>
          <w:rFonts w:ascii="Times New Roman" w:hAnsi="Times New Roman" w:cs="Times New Roman"/>
        </w:rPr>
        <w:t xml:space="preserve">This </w:t>
      </w:r>
      <w:r w:rsidR="008179ED" w:rsidRPr="00985A6A">
        <w:rPr>
          <w:rFonts w:ascii="Times New Roman" w:hAnsi="Times New Roman" w:cs="Times New Roman"/>
        </w:rPr>
        <w:t xml:space="preserve">view </w:t>
      </w:r>
      <w:r w:rsidR="004076BF" w:rsidRPr="00985A6A">
        <w:rPr>
          <w:rFonts w:ascii="Times New Roman" w:hAnsi="Times New Roman" w:cs="Times New Roman"/>
        </w:rPr>
        <w:t xml:space="preserve">contrasts with interpretations of the PGM IV codex as a working recipe book </w:t>
      </w:r>
      <w:r w:rsidR="00B1035D" w:rsidRPr="00985A6A">
        <w:rPr>
          <w:rFonts w:ascii="Times New Roman" w:hAnsi="Times New Roman" w:cs="Times New Roman"/>
        </w:rPr>
        <w:t xml:space="preserve">of </w:t>
      </w:r>
      <w:r w:rsidR="004076BF" w:rsidRPr="00985A6A">
        <w:rPr>
          <w:rFonts w:ascii="Times New Roman" w:hAnsi="Times New Roman" w:cs="Times New Roman"/>
        </w:rPr>
        <w:t>a professional sorcerer motivated by profit and efficiency</w:t>
      </w:r>
      <w:r w:rsidR="00C978BC">
        <w:rPr>
          <w:rFonts w:ascii="Times New Roman" w:hAnsi="Times New Roman" w:cs="Times New Roman"/>
        </w:rPr>
        <w:t>,</w:t>
      </w:r>
      <w:r w:rsidR="004076BF" w:rsidRPr="00985A6A">
        <w:rPr>
          <w:rFonts w:ascii="Times New Roman" w:hAnsi="Times New Roman" w:cs="Times New Roman"/>
        </w:rPr>
        <w:t xml:space="preserve"> an idea supported by </w:t>
      </w:r>
      <w:r w:rsidR="000634F8" w:rsidRPr="00985A6A">
        <w:rPr>
          <w:rFonts w:ascii="Times New Roman" w:hAnsi="Times New Roman" w:cs="Times New Roman"/>
        </w:rPr>
        <w:t xml:space="preserve">the </w:t>
      </w:r>
      <w:r w:rsidR="004076BF" w:rsidRPr="00985A6A">
        <w:rPr>
          <w:rFonts w:ascii="Times New Roman" w:hAnsi="Times New Roman" w:cs="Times New Roman"/>
        </w:rPr>
        <w:t>argument that such formularies originated with temple priests, disenfranchised under Roman rule and compelled to repurpose traditional temple magic for private sale to Greeks living in Egypt.</w:t>
      </w:r>
      <w:r w:rsidR="00CC77A9" w:rsidRPr="00985A6A">
        <w:rPr>
          <w:rStyle w:val="FootnoteReference"/>
          <w:rFonts w:ascii="Times New Roman" w:hAnsi="Times New Roman" w:cs="Times New Roman"/>
        </w:rPr>
        <w:footnoteReference w:id="18"/>
      </w:r>
      <w:r w:rsidR="004076BF" w:rsidRPr="00985A6A">
        <w:t xml:space="preserve"> </w:t>
      </w:r>
      <w:r w:rsidR="003C12B8" w:rsidRPr="00985A6A">
        <w:rPr>
          <w:rFonts w:ascii="Times New Roman" w:hAnsi="Times New Roman" w:cs="Times New Roman"/>
        </w:rPr>
        <w:t>T</w:t>
      </w:r>
      <w:r w:rsidR="00B1035D" w:rsidRPr="00985A6A">
        <w:rPr>
          <w:rFonts w:ascii="Times New Roman" w:hAnsi="Times New Roman" w:cs="Times New Roman"/>
        </w:rPr>
        <w:t>aken together, these</w:t>
      </w:r>
      <w:r w:rsidR="003C12B8" w:rsidRPr="00985A6A">
        <w:rPr>
          <w:rFonts w:ascii="Times New Roman" w:hAnsi="Times New Roman" w:cs="Times New Roman"/>
        </w:rPr>
        <w:t xml:space="preserve"> considerations highlight the difficulty of dating individual spells within the formularies, as they may have been revised over time through transmission among practitioners, adaptation to different contexts, and the preferences of the individual by or for whom the </w:t>
      </w:r>
      <w:r w:rsidR="002D62BC" w:rsidRPr="00985A6A">
        <w:rPr>
          <w:rFonts w:ascii="Times New Roman" w:hAnsi="Times New Roman" w:cs="Times New Roman"/>
        </w:rPr>
        <w:t>extant</w:t>
      </w:r>
      <w:r w:rsidR="002F6E5A" w:rsidRPr="00985A6A">
        <w:rPr>
          <w:rFonts w:ascii="Times New Roman" w:hAnsi="Times New Roman" w:cs="Times New Roman"/>
        </w:rPr>
        <w:t xml:space="preserve"> </w:t>
      </w:r>
      <w:r w:rsidR="003C12B8" w:rsidRPr="00985A6A">
        <w:rPr>
          <w:rFonts w:ascii="Times New Roman" w:hAnsi="Times New Roman" w:cs="Times New Roman"/>
        </w:rPr>
        <w:t>formularies were compiled.</w:t>
      </w:r>
      <w:r w:rsidR="00090139" w:rsidRPr="00985A6A">
        <w:rPr>
          <w:rStyle w:val="FootnoteReference"/>
          <w:rFonts w:ascii="Times New Roman" w:hAnsi="Times New Roman" w:cs="Times New Roman"/>
        </w:rPr>
        <w:footnoteReference w:id="19"/>
      </w:r>
    </w:p>
    <w:p w14:paraId="49C0FD92" w14:textId="6CAD5DC2" w:rsidR="00267E79" w:rsidRPr="00985A6A" w:rsidRDefault="000A6CA5" w:rsidP="00486F35">
      <w:pPr>
        <w:spacing w:line="240" w:lineRule="auto"/>
        <w:ind w:firstLine="0"/>
        <w:rPr>
          <w:rFonts w:ascii="Times New Roman" w:hAnsi="Times New Roman" w:cs="Times New Roman"/>
          <w:i/>
          <w:iCs/>
        </w:rPr>
      </w:pPr>
      <w:r w:rsidRPr="00985A6A">
        <w:rPr>
          <w:rFonts w:ascii="Times New Roman" w:hAnsi="Times New Roman" w:cs="Times New Roman"/>
          <w:i/>
          <w:iCs/>
        </w:rPr>
        <w:t>Cosmology of the Greek Magical Papyri</w:t>
      </w:r>
    </w:p>
    <w:p w14:paraId="7C24A693" w14:textId="58A4018F" w:rsidR="006B7B91" w:rsidRPr="00985A6A" w:rsidRDefault="00BB2870" w:rsidP="00486F35">
      <w:pPr>
        <w:spacing w:line="240" w:lineRule="auto"/>
        <w:ind w:firstLine="720"/>
        <w:rPr>
          <w:rFonts w:ascii="Times New Roman" w:hAnsi="Times New Roman" w:cs="Times New Roman"/>
        </w:rPr>
      </w:pPr>
      <w:r w:rsidRPr="00985A6A">
        <w:rPr>
          <w:rFonts w:ascii="Times New Roman" w:hAnsi="Times New Roman" w:cs="Times New Roman"/>
        </w:rPr>
        <w:t>As previously mentioned, the syncretistic nature of the Greco-Egyptian magical formularies is one of their defining features.</w:t>
      </w:r>
      <w:r w:rsidR="00F828AF" w:rsidRPr="00985A6A">
        <w:rPr>
          <w:rStyle w:val="FootnoteReference"/>
          <w:rFonts w:ascii="Times New Roman" w:hAnsi="Times New Roman" w:cs="Times New Roman"/>
        </w:rPr>
        <w:footnoteReference w:id="20"/>
      </w:r>
      <w:r w:rsidRPr="00985A6A">
        <w:rPr>
          <w:rFonts w:ascii="Times New Roman" w:hAnsi="Times New Roman" w:cs="Times New Roman"/>
        </w:rPr>
        <w:t xml:space="preserve"> </w:t>
      </w:r>
      <w:r w:rsidR="006B7B91" w:rsidRPr="00985A6A">
        <w:rPr>
          <w:rFonts w:ascii="Times New Roman" w:hAnsi="Times New Roman" w:cs="Times New Roman"/>
        </w:rPr>
        <w:t xml:space="preserve">Within the Egyptian pantheon, the figure of Seth, often regarded as a ‘foreigner god,’ represents an </w:t>
      </w:r>
      <w:r w:rsidR="00EC5A70">
        <w:rPr>
          <w:rFonts w:ascii="Times New Roman" w:hAnsi="Times New Roman" w:cs="Times New Roman"/>
        </w:rPr>
        <w:t xml:space="preserve">early </w:t>
      </w:r>
      <w:r w:rsidR="006B7B91" w:rsidRPr="00985A6A">
        <w:rPr>
          <w:rFonts w:ascii="Times New Roman" w:hAnsi="Times New Roman" w:cs="Times New Roman"/>
        </w:rPr>
        <w:t>attempt by the Egyptians to address the issue of religious assimilation through the recognition of divine foreignness. Additionally, the systematic comparison of deities based on shared attributes was a well-established practice in both Greek and Egyptian polytheistic systems. This type of ‘contact syncretism’ is evident in the Greco-Egyptian identification of Hermes with Thoth, Aphrodite with Hathor, and Typhon with Seth. Further enriching this landscape are the influences of Persian and Babylonian traditions</w:t>
      </w:r>
      <w:r w:rsidR="00C978BC">
        <w:rPr>
          <w:rFonts w:ascii="Times New Roman" w:hAnsi="Times New Roman" w:cs="Times New Roman"/>
        </w:rPr>
        <w:t>,</w:t>
      </w:r>
      <w:r w:rsidR="006B7B91" w:rsidRPr="00985A6A">
        <w:rPr>
          <w:rFonts w:ascii="Times New Roman" w:hAnsi="Times New Roman" w:cs="Times New Roman"/>
        </w:rPr>
        <w:t xml:space="preserve"> for example, in the assimilation of </w:t>
      </w:r>
      <w:r w:rsidR="0075459F" w:rsidRPr="00985A6A">
        <w:rPr>
          <w:rFonts w:ascii="Times New Roman" w:hAnsi="Times New Roman" w:cs="Times New Roman"/>
        </w:rPr>
        <w:t>Serapis</w:t>
      </w:r>
      <w:r w:rsidR="006B7B91" w:rsidRPr="00985A6A">
        <w:rPr>
          <w:rFonts w:ascii="Times New Roman" w:hAnsi="Times New Roman" w:cs="Times New Roman"/>
        </w:rPr>
        <w:t xml:space="preserve">-Helios-Zeus with Mithras, </w:t>
      </w:r>
      <w:r w:rsidR="00C978BC">
        <w:rPr>
          <w:rFonts w:ascii="Times New Roman" w:hAnsi="Times New Roman" w:cs="Times New Roman"/>
        </w:rPr>
        <w:t>and</w:t>
      </w:r>
      <w:r w:rsidR="006B7B91" w:rsidRPr="00985A6A">
        <w:rPr>
          <w:rFonts w:ascii="Times New Roman" w:hAnsi="Times New Roman" w:cs="Times New Roman"/>
        </w:rPr>
        <w:t xml:space="preserve"> Hekate-Selene-Artemis-Persephone with Ereshkigal. </w:t>
      </w:r>
    </w:p>
    <w:p w14:paraId="25175681" w14:textId="7B319977" w:rsidR="006B7B91" w:rsidRPr="00985A6A" w:rsidRDefault="006B7B91" w:rsidP="00486F35">
      <w:pPr>
        <w:spacing w:line="240" w:lineRule="auto"/>
        <w:ind w:firstLine="720"/>
        <w:rPr>
          <w:rFonts w:ascii="Times New Roman" w:hAnsi="Times New Roman" w:cs="Times New Roman"/>
        </w:rPr>
      </w:pPr>
      <w:r w:rsidRPr="00985A6A">
        <w:rPr>
          <w:rFonts w:ascii="Times New Roman" w:hAnsi="Times New Roman" w:cs="Times New Roman"/>
        </w:rPr>
        <w:t>The process of assimilation becomes more complex when it involves both polytheistic and monotheistic systems, such as that of the Jewish and Christian influences found in the magical papyri, including the exorcistic text examined in this paper. In such cases, henotheistic approaches seem to facilitate assimilation. The process is also aided by comparing abstract concepts such as wisdom and time, as well as by drawing parallels between shared or similar epithets like “living god,” “creator,” and “god of all powers.” However complicated or contradictory such a system may appear from the outside, these syncretistic assimilations were necessary to maintain the functionality of a magical, interreligious framework. As evidenced by the relative uniformity of technical terms and ritual techniques,</w:t>
      </w:r>
      <w:r w:rsidRPr="00985A6A">
        <w:rPr>
          <w:rStyle w:val="FootnoteReference"/>
          <w:rFonts w:ascii="Times New Roman" w:hAnsi="Times New Roman" w:cs="Times New Roman"/>
        </w:rPr>
        <w:footnoteReference w:id="21"/>
      </w:r>
      <w:r w:rsidRPr="00985A6A">
        <w:rPr>
          <w:rFonts w:ascii="Times New Roman" w:hAnsi="Times New Roman" w:cs="Times New Roman"/>
        </w:rPr>
        <w:t xml:space="preserve"> the spells convey a unified religious attitude and practice within the ethnically and religiously diverse environment of late Hellenistic and Roman Egypt.</w:t>
      </w:r>
      <w:r w:rsidRPr="00985A6A">
        <w:rPr>
          <w:rStyle w:val="FootnoteReference"/>
          <w:rFonts w:ascii="Times New Roman" w:hAnsi="Times New Roman" w:cs="Times New Roman"/>
        </w:rPr>
        <w:footnoteReference w:id="22"/>
      </w:r>
      <w:r w:rsidRPr="00985A6A">
        <w:rPr>
          <w:rFonts w:ascii="Times New Roman" w:hAnsi="Times New Roman" w:cs="Times New Roman"/>
        </w:rPr>
        <w:t xml:space="preserve"> </w:t>
      </w:r>
    </w:p>
    <w:p w14:paraId="60F6774D" w14:textId="38B6C842" w:rsidR="00B22807" w:rsidRPr="00985A6A" w:rsidRDefault="00BB2870" w:rsidP="00486F35">
      <w:pPr>
        <w:spacing w:line="240" w:lineRule="auto"/>
        <w:ind w:firstLine="720"/>
        <w:rPr>
          <w:rFonts w:ascii="Times New Roman" w:hAnsi="Times New Roman" w:cs="Times New Roman"/>
        </w:rPr>
      </w:pPr>
      <w:r w:rsidRPr="00985A6A">
        <w:rPr>
          <w:rFonts w:ascii="Times New Roman" w:hAnsi="Times New Roman" w:cs="Times New Roman"/>
        </w:rPr>
        <w:t xml:space="preserve">The modern academic term </w:t>
      </w:r>
      <w:r w:rsidR="003D6C8A" w:rsidRPr="00985A6A">
        <w:rPr>
          <w:rFonts w:ascii="Times New Roman" w:hAnsi="Times New Roman" w:cs="Times New Roman"/>
        </w:rPr>
        <w:t>‘</w:t>
      </w:r>
      <w:r w:rsidRPr="00985A6A">
        <w:rPr>
          <w:rStyle w:val="Emphasis"/>
          <w:rFonts w:ascii="Times New Roman" w:hAnsi="Times New Roman" w:cs="Times New Roman"/>
          <w:i w:val="0"/>
          <w:iCs w:val="0"/>
        </w:rPr>
        <w:t>syncretism</w:t>
      </w:r>
      <w:r w:rsidR="003D6C8A" w:rsidRPr="00985A6A">
        <w:rPr>
          <w:rStyle w:val="Emphasis"/>
          <w:rFonts w:ascii="Times New Roman" w:hAnsi="Times New Roman" w:cs="Times New Roman"/>
          <w:i w:val="0"/>
          <w:iCs w:val="0"/>
        </w:rPr>
        <w:t>’</w:t>
      </w:r>
      <w:r w:rsidRPr="00985A6A">
        <w:rPr>
          <w:rFonts w:ascii="Times New Roman" w:hAnsi="Times New Roman" w:cs="Times New Roman"/>
        </w:rPr>
        <w:t xml:space="preserve"> is typically used to describe the blending of distinct religious traditions, which aptly describes what is found in these texts. </w:t>
      </w:r>
      <w:r w:rsidR="00772873" w:rsidRPr="00985A6A">
        <w:rPr>
          <w:rFonts w:ascii="Times New Roman" w:hAnsi="Times New Roman" w:cs="Times New Roman"/>
        </w:rPr>
        <w:t xml:space="preserve">However, the term </w:t>
      </w:r>
      <w:r w:rsidR="007A62F2" w:rsidRPr="00985A6A">
        <w:rPr>
          <w:rFonts w:ascii="Times New Roman" w:hAnsi="Times New Roman" w:cs="Times New Roman"/>
        </w:rPr>
        <w:t>may</w:t>
      </w:r>
      <w:r w:rsidR="00772873" w:rsidRPr="00985A6A">
        <w:rPr>
          <w:rFonts w:ascii="Times New Roman" w:hAnsi="Times New Roman" w:cs="Times New Roman"/>
        </w:rPr>
        <w:t xml:space="preserve"> be anachronistic when applied to the ancient context and</w:t>
      </w:r>
      <w:r w:rsidR="00551032" w:rsidRPr="00985A6A">
        <w:rPr>
          <w:rFonts w:ascii="Times New Roman" w:hAnsi="Times New Roman" w:cs="Times New Roman"/>
        </w:rPr>
        <w:t xml:space="preserve"> </w:t>
      </w:r>
      <w:r w:rsidR="00772873" w:rsidRPr="00985A6A">
        <w:rPr>
          <w:rFonts w:ascii="Times New Roman" w:hAnsi="Times New Roman" w:cs="Times New Roman"/>
        </w:rPr>
        <w:t>not reflect the conceptual frameworks of the practitioners, the compilers of the formularies, or those who sought their services</w:t>
      </w:r>
      <w:r w:rsidRPr="00985A6A">
        <w:rPr>
          <w:rFonts w:ascii="Times New Roman" w:hAnsi="Times New Roman" w:cs="Times New Roman"/>
        </w:rPr>
        <w:t>.</w:t>
      </w:r>
      <w:r w:rsidR="0047673E" w:rsidRPr="00985A6A">
        <w:rPr>
          <w:rStyle w:val="FootnoteReference"/>
          <w:rFonts w:ascii="Times New Roman" w:hAnsi="Times New Roman" w:cs="Times New Roman"/>
        </w:rPr>
        <w:footnoteReference w:id="23"/>
      </w:r>
      <w:r w:rsidR="00CD6028" w:rsidRPr="00985A6A">
        <w:rPr>
          <w:rFonts w:ascii="Times New Roman" w:hAnsi="Times New Roman" w:cs="Times New Roman"/>
        </w:rPr>
        <w:t xml:space="preserve"> </w:t>
      </w:r>
      <w:r w:rsidR="008A2F0D" w:rsidRPr="00985A6A">
        <w:rPr>
          <w:rFonts w:ascii="Times New Roman" w:hAnsi="Times New Roman" w:cs="Times New Roman"/>
        </w:rPr>
        <w:t>An alternative perspective is to view the diverse religious and cultural elements in these texts as expressions of popular, private ritual aimed at overcoming illness, misfortune, conflict, and uncertainty with the help of deities, daimons, and the dead in the culturally mixed environment of late Hellenistic and Roman Egypt.</w:t>
      </w:r>
      <w:r w:rsidR="009A6B50" w:rsidRPr="00985A6A">
        <w:rPr>
          <w:rStyle w:val="FootnoteReference"/>
          <w:rFonts w:ascii="Times New Roman" w:hAnsi="Times New Roman" w:cs="Times New Roman"/>
        </w:rPr>
        <w:footnoteReference w:id="24"/>
      </w:r>
      <w:r w:rsidR="009A6B50" w:rsidRPr="00985A6A">
        <w:t xml:space="preserve"> </w:t>
      </w:r>
      <w:r w:rsidRPr="00985A6A">
        <w:rPr>
          <w:rFonts w:ascii="Times New Roman" w:hAnsi="Times New Roman" w:cs="Times New Roman"/>
        </w:rPr>
        <w:t>The</w:t>
      </w:r>
      <w:r w:rsidR="0087563B" w:rsidRPr="00985A6A">
        <w:rPr>
          <w:rFonts w:ascii="Times New Roman" w:hAnsi="Times New Roman" w:cs="Times New Roman"/>
        </w:rPr>
        <w:t xml:space="preserve"> texts</w:t>
      </w:r>
      <w:r w:rsidRPr="00985A6A">
        <w:rPr>
          <w:rFonts w:ascii="Times New Roman" w:hAnsi="Times New Roman" w:cs="Times New Roman"/>
        </w:rPr>
        <w:t xml:space="preserve"> also reflect the natural receptiveness and adaptability of magical practice</w:t>
      </w:r>
      <w:r w:rsidR="00B22807" w:rsidRPr="00985A6A">
        <w:rPr>
          <w:rFonts w:ascii="Times New Roman" w:hAnsi="Times New Roman" w:cs="Times New Roman"/>
        </w:rPr>
        <w:t>.</w:t>
      </w:r>
      <w:r w:rsidR="00E45AD6" w:rsidRPr="00985A6A">
        <w:rPr>
          <w:rStyle w:val="FootnoteReference"/>
          <w:rFonts w:ascii="Times New Roman" w:hAnsi="Times New Roman" w:cs="Times New Roman"/>
        </w:rPr>
        <w:footnoteReference w:id="25"/>
      </w:r>
      <w:r w:rsidR="00B22807" w:rsidRPr="00985A6A">
        <w:rPr>
          <w:rFonts w:ascii="Times New Roman" w:hAnsi="Times New Roman" w:cs="Times New Roman"/>
        </w:rPr>
        <w:t xml:space="preserve"> </w:t>
      </w:r>
      <w:r w:rsidR="002E2D56" w:rsidRPr="00985A6A">
        <w:rPr>
          <w:rFonts w:ascii="Times New Roman" w:hAnsi="Times New Roman" w:cs="Times New Roman"/>
        </w:rPr>
        <w:t>Ritual specialists reinterpreted Egyptian, Greek, and Jewish traditions to serve a</w:t>
      </w:r>
      <w:r w:rsidR="00C978BC">
        <w:rPr>
          <w:rFonts w:ascii="Times New Roman" w:hAnsi="Times New Roman" w:cs="Times New Roman"/>
        </w:rPr>
        <w:t>n</w:t>
      </w:r>
      <w:r w:rsidR="002E2D56" w:rsidRPr="00985A6A">
        <w:rPr>
          <w:rFonts w:ascii="Times New Roman" w:hAnsi="Times New Roman" w:cs="Times New Roman"/>
        </w:rPr>
        <w:t xml:space="preserve"> </w:t>
      </w:r>
      <w:r w:rsidR="00C978BC">
        <w:rPr>
          <w:rFonts w:ascii="Times New Roman" w:hAnsi="Times New Roman" w:cs="Times New Roman"/>
        </w:rPr>
        <w:t>increasingly diverse clientel</w:t>
      </w:r>
      <w:r w:rsidR="002E2D56" w:rsidRPr="00985A6A">
        <w:rPr>
          <w:rFonts w:ascii="Times New Roman" w:hAnsi="Times New Roman" w:cs="Times New Roman"/>
        </w:rPr>
        <w:t xml:space="preserve">e </w:t>
      </w:r>
      <w:r w:rsidR="00C978BC">
        <w:rPr>
          <w:rFonts w:ascii="Times New Roman" w:hAnsi="Times New Roman" w:cs="Times New Roman"/>
        </w:rPr>
        <w:t>resulting from</w:t>
      </w:r>
      <w:r w:rsidR="002E2D56" w:rsidRPr="00985A6A">
        <w:rPr>
          <w:rFonts w:ascii="Times New Roman" w:hAnsi="Times New Roman" w:cs="Times New Roman"/>
        </w:rPr>
        <w:t xml:space="preserve"> intermarriage, the influence of Ptolemaic administration, and broader socio-cultural interactions.</w:t>
      </w:r>
      <w:r w:rsidR="002E2D56" w:rsidRPr="00985A6A">
        <w:rPr>
          <w:rStyle w:val="FootnoteReference"/>
          <w:rFonts w:ascii="Times New Roman" w:hAnsi="Times New Roman" w:cs="Times New Roman"/>
        </w:rPr>
        <w:footnoteReference w:id="26"/>
      </w:r>
      <w:r w:rsidR="002E2D56" w:rsidRPr="00985A6A">
        <w:rPr>
          <w:rFonts w:ascii="Times New Roman" w:hAnsi="Times New Roman" w:cs="Times New Roman"/>
        </w:rPr>
        <w:t xml:space="preserve"> </w:t>
      </w:r>
      <w:r w:rsidR="00EC2A7A" w:rsidRPr="00985A6A">
        <w:rPr>
          <w:rFonts w:ascii="Times New Roman" w:hAnsi="Times New Roman" w:cs="Times New Roman"/>
        </w:rPr>
        <w:t xml:space="preserve">This process of cultural assimilation is evident in the language of the texts themselves, which, although written primarily in </w:t>
      </w:r>
      <w:proofErr w:type="spellStart"/>
      <w:r w:rsidR="00E84BAC">
        <w:rPr>
          <w:rFonts w:ascii="Times New Roman" w:hAnsi="Times New Roman" w:cs="Times New Roman"/>
        </w:rPr>
        <w:t>K</w:t>
      </w:r>
      <w:r w:rsidR="006F2D56">
        <w:rPr>
          <w:rFonts w:ascii="Times New Roman" w:hAnsi="Times New Roman" w:cs="Times New Roman"/>
        </w:rPr>
        <w:t>oi</w:t>
      </w:r>
      <w:r w:rsidR="006F2D56" w:rsidRPr="00985A6A">
        <w:rPr>
          <w:rFonts w:ascii="Times New Roman" w:hAnsi="Times New Roman" w:cs="Times New Roman"/>
        </w:rPr>
        <w:t>ne</w:t>
      </w:r>
      <w:proofErr w:type="spellEnd"/>
      <w:r w:rsidR="00EC2A7A" w:rsidRPr="00985A6A">
        <w:rPr>
          <w:rFonts w:ascii="Times New Roman" w:hAnsi="Times New Roman" w:cs="Times New Roman"/>
        </w:rPr>
        <w:t xml:space="preserve"> Greek, also contain passages in Demotic and Old Coptic.</w:t>
      </w:r>
      <w:r w:rsidR="001445A0" w:rsidRPr="00985A6A">
        <w:rPr>
          <w:rStyle w:val="FootnoteReference"/>
          <w:rFonts w:ascii="Times New Roman" w:hAnsi="Times New Roman" w:cs="Times New Roman"/>
        </w:rPr>
        <w:footnoteReference w:id="27"/>
      </w:r>
      <w:r w:rsidR="0028059E" w:rsidRPr="00985A6A">
        <w:rPr>
          <w:rFonts w:ascii="Times New Roman" w:hAnsi="Times New Roman" w:cs="Times New Roman"/>
        </w:rPr>
        <w:t xml:space="preserve"> As Pieter van der Horst observes, “</w:t>
      </w:r>
      <w:r w:rsidR="00C978BC">
        <w:rPr>
          <w:rFonts w:ascii="Times New Roman" w:hAnsi="Times New Roman" w:cs="Times New Roman"/>
        </w:rPr>
        <w:t>I</w:t>
      </w:r>
      <w:r w:rsidR="0028059E" w:rsidRPr="00985A6A">
        <w:rPr>
          <w:rFonts w:ascii="Times New Roman" w:hAnsi="Times New Roman" w:cs="Times New Roman"/>
        </w:rPr>
        <w:t>f one moves from pagan magical texts to Jewish ones, one often does not have the feeling of moving to a different world. If syncretism is to be found anywhere, it is in the world of ancient magic.”</w:t>
      </w:r>
      <w:r w:rsidR="0028059E" w:rsidRPr="00985A6A">
        <w:rPr>
          <w:rStyle w:val="FootnoteReference"/>
          <w:rFonts w:ascii="Times New Roman" w:hAnsi="Times New Roman" w:cs="Times New Roman"/>
        </w:rPr>
        <w:footnoteReference w:id="28"/>
      </w:r>
    </w:p>
    <w:p w14:paraId="41922814" w14:textId="45155447" w:rsidR="005C4498" w:rsidRPr="00985A6A" w:rsidRDefault="005C4498" w:rsidP="00486F35">
      <w:pPr>
        <w:spacing w:line="240" w:lineRule="auto"/>
        <w:ind w:firstLine="0"/>
        <w:rPr>
          <w:rFonts w:ascii="Times New Roman" w:hAnsi="Times New Roman" w:cs="Times New Roman"/>
          <w:i/>
          <w:iCs/>
        </w:rPr>
      </w:pPr>
      <w:r w:rsidRPr="00985A6A">
        <w:rPr>
          <w:rFonts w:ascii="Times New Roman" w:hAnsi="Times New Roman" w:cs="Times New Roman"/>
          <w:i/>
          <w:iCs/>
        </w:rPr>
        <w:t>Daimons and Exorcism</w:t>
      </w:r>
    </w:p>
    <w:p w14:paraId="0AFF558F" w14:textId="69B6B3F1" w:rsidR="00BF1463" w:rsidRPr="00985A6A" w:rsidRDefault="00CD69AE" w:rsidP="00486F35">
      <w:pPr>
        <w:spacing w:line="240" w:lineRule="auto"/>
        <w:ind w:firstLine="720"/>
        <w:rPr>
          <w:rFonts w:ascii="Times New Roman" w:eastAsia="Times New Roman" w:hAnsi="Times New Roman" w:cs="Times New Roman"/>
          <w:color w:val="000000" w:themeColor="text1"/>
        </w:rPr>
      </w:pPr>
      <w:r w:rsidRPr="00985A6A">
        <w:rPr>
          <w:rFonts w:ascii="Times New Roman" w:hAnsi="Times New Roman" w:cs="Times New Roman"/>
        </w:rPr>
        <w:t>While the cross-cultural development of thought around daimones is complex, a brief overview will suffice for this paper.</w:t>
      </w:r>
      <w:r w:rsidRPr="00985A6A">
        <w:t xml:space="preserve"> </w:t>
      </w:r>
      <w:r w:rsidR="00E92A99" w:rsidRPr="00985A6A">
        <w:rPr>
          <w:rFonts w:ascii="Times New Roman" w:eastAsia="Times New Roman" w:hAnsi="Times New Roman" w:cs="Times New Roman"/>
          <w:color w:val="000000" w:themeColor="text1"/>
        </w:rPr>
        <w:t>The conception of the earth as a sphere surrounded by a multi-layered cosmos was well established in both Greco-Roman and Jewish thought</w:t>
      </w:r>
      <w:r w:rsidR="005B5C37" w:rsidRPr="00985A6A">
        <w:rPr>
          <w:rFonts w:ascii="Times New Roman" w:eastAsia="Times New Roman" w:hAnsi="Times New Roman" w:cs="Times New Roman"/>
          <w:color w:val="000000" w:themeColor="text1"/>
        </w:rPr>
        <w:t xml:space="preserve"> </w:t>
      </w:r>
      <w:r w:rsidR="00B871F9" w:rsidRPr="00985A6A">
        <w:rPr>
          <w:rFonts w:ascii="Times New Roman" w:eastAsia="Times New Roman" w:hAnsi="Times New Roman" w:cs="Times New Roman"/>
          <w:color w:val="000000" w:themeColor="text1"/>
        </w:rPr>
        <w:t>of the Hellenistic period</w:t>
      </w:r>
      <w:r w:rsidR="00E92A99" w:rsidRPr="00985A6A">
        <w:rPr>
          <w:rFonts w:ascii="Times New Roman" w:eastAsia="Times New Roman" w:hAnsi="Times New Roman" w:cs="Times New Roman"/>
          <w:color w:val="000000" w:themeColor="text1"/>
        </w:rPr>
        <w:t>. In these cosmologies, the heavens were arranged in multiple layers, with the deity or deities occupying the most distant realms.</w:t>
      </w:r>
      <w:r w:rsidR="00845F5C" w:rsidRPr="00985A6A">
        <w:rPr>
          <w:rFonts w:ascii="Times New Roman" w:eastAsia="Times New Roman" w:hAnsi="Times New Roman" w:cs="Times New Roman"/>
          <w:color w:val="000000" w:themeColor="text1"/>
        </w:rPr>
        <w:t xml:space="preserve"> </w:t>
      </w:r>
      <w:r w:rsidR="00845F5C" w:rsidRPr="00985A6A">
        <w:rPr>
          <w:rFonts w:ascii="Times New Roman" w:hAnsi="Times New Roman" w:cs="Times New Roman"/>
          <w:color w:val="000000" w:themeColor="text1"/>
        </w:rPr>
        <w:t xml:space="preserve">Humans lived at the </w:t>
      </w:r>
      <w:r w:rsidR="0075459F" w:rsidRPr="00985A6A">
        <w:rPr>
          <w:rFonts w:ascii="Times New Roman" w:hAnsi="Times New Roman" w:cs="Times New Roman"/>
          <w:color w:val="000000" w:themeColor="text1"/>
        </w:rPr>
        <w:t>centre</w:t>
      </w:r>
      <w:r w:rsidR="00845F5C" w:rsidRPr="00985A6A">
        <w:rPr>
          <w:rFonts w:ascii="Times New Roman" w:hAnsi="Times New Roman" w:cs="Times New Roman"/>
          <w:color w:val="000000" w:themeColor="text1"/>
        </w:rPr>
        <w:t xml:space="preserve"> of a cosmic network of heavenly bodies, and </w:t>
      </w:r>
      <w:r w:rsidR="00C978BC">
        <w:rPr>
          <w:rFonts w:ascii="Times New Roman" w:hAnsi="Times New Roman" w:cs="Times New Roman"/>
          <w:color w:val="000000" w:themeColor="text1"/>
        </w:rPr>
        <w:t>all manners of supernatural entities populated the atmosphere between the earth and the heavenly realm</w:t>
      </w:r>
      <w:r w:rsidR="00845F5C" w:rsidRPr="00985A6A">
        <w:rPr>
          <w:rFonts w:ascii="Times New Roman" w:hAnsi="Times New Roman" w:cs="Times New Roman"/>
          <w:color w:val="000000" w:themeColor="text1"/>
        </w:rPr>
        <w:t>.</w:t>
      </w:r>
      <w:r w:rsidR="00604073" w:rsidRPr="00985A6A">
        <w:rPr>
          <w:rStyle w:val="FootnoteReference"/>
          <w:rFonts w:ascii="Times New Roman" w:eastAsia="Times New Roman" w:hAnsi="Times New Roman" w:cs="Times New Roman"/>
          <w:color w:val="000000" w:themeColor="text1"/>
        </w:rPr>
        <w:footnoteReference w:id="29"/>
      </w:r>
      <w:r w:rsidR="00E92A99" w:rsidRPr="00985A6A">
        <w:rPr>
          <w:rFonts w:ascii="Times New Roman" w:eastAsia="Times New Roman" w:hAnsi="Times New Roman" w:cs="Times New Roman"/>
          <w:color w:val="000000" w:themeColor="text1"/>
        </w:rPr>
        <w:t xml:space="preserve"> By the late first century CE, people </w:t>
      </w:r>
      <w:r w:rsidR="00D0524B" w:rsidRPr="00985A6A">
        <w:rPr>
          <w:rFonts w:ascii="Times New Roman" w:eastAsia="Times New Roman" w:hAnsi="Times New Roman" w:cs="Times New Roman"/>
          <w:color w:val="000000" w:themeColor="text1"/>
        </w:rPr>
        <w:t>throughout</w:t>
      </w:r>
      <w:r w:rsidR="00E92A99" w:rsidRPr="00985A6A">
        <w:rPr>
          <w:rFonts w:ascii="Times New Roman" w:eastAsia="Times New Roman" w:hAnsi="Times New Roman" w:cs="Times New Roman"/>
          <w:color w:val="000000" w:themeColor="text1"/>
        </w:rPr>
        <w:t xml:space="preserve"> the Mediterranean </w:t>
      </w:r>
      <w:r w:rsidR="00D0524B" w:rsidRPr="00985A6A">
        <w:rPr>
          <w:rFonts w:ascii="Times New Roman" w:eastAsia="Times New Roman" w:hAnsi="Times New Roman" w:cs="Times New Roman"/>
          <w:color w:val="000000" w:themeColor="text1"/>
        </w:rPr>
        <w:t>world</w:t>
      </w:r>
      <w:r w:rsidR="00E92A99" w:rsidRPr="00985A6A">
        <w:rPr>
          <w:rFonts w:ascii="Times New Roman" w:eastAsia="Times New Roman" w:hAnsi="Times New Roman" w:cs="Times New Roman"/>
          <w:color w:val="000000" w:themeColor="text1"/>
        </w:rPr>
        <w:t xml:space="preserve"> understood angels and daimons as integral presences in everyday life. Good fortune and blessings could be attributed to an angel, often described in Greek and biblical texts as appearing in human likeness.</w:t>
      </w:r>
      <w:r w:rsidR="00023A53" w:rsidRPr="00985A6A">
        <w:rPr>
          <w:rStyle w:val="FootnoteReference"/>
          <w:rFonts w:ascii="Times New Roman" w:eastAsia="Times New Roman" w:hAnsi="Times New Roman" w:cs="Times New Roman"/>
          <w:color w:val="000000" w:themeColor="text1"/>
        </w:rPr>
        <w:footnoteReference w:id="30"/>
      </w:r>
      <w:r w:rsidR="00E92A99" w:rsidRPr="00985A6A">
        <w:rPr>
          <w:rFonts w:ascii="Times New Roman" w:eastAsia="Times New Roman" w:hAnsi="Times New Roman" w:cs="Times New Roman"/>
          <w:color w:val="000000" w:themeColor="text1"/>
        </w:rPr>
        <w:t xml:space="preserve"> Conversely, a wide range of misfortunes</w:t>
      </w:r>
      <w:r w:rsidR="00C978BC">
        <w:rPr>
          <w:rFonts w:ascii="Times New Roman" w:eastAsia="Times New Roman" w:hAnsi="Times New Roman" w:cs="Times New Roman"/>
          <w:color w:val="000000" w:themeColor="text1"/>
        </w:rPr>
        <w:t>,</w:t>
      </w:r>
      <w:r w:rsidR="009D0781" w:rsidRPr="00985A6A">
        <w:rPr>
          <w:rFonts w:ascii="Times New Roman" w:eastAsia="Times New Roman" w:hAnsi="Times New Roman" w:cs="Times New Roman"/>
          <w:color w:val="000000" w:themeColor="text1"/>
        </w:rPr>
        <w:t xml:space="preserve"> including </w:t>
      </w:r>
      <w:r w:rsidR="00E92A99" w:rsidRPr="00985A6A">
        <w:rPr>
          <w:rFonts w:ascii="Times New Roman" w:eastAsia="Times New Roman" w:hAnsi="Times New Roman" w:cs="Times New Roman"/>
          <w:color w:val="000000" w:themeColor="text1"/>
        </w:rPr>
        <w:t>illness, the loss or theft of possessions, or troubles in love and business</w:t>
      </w:r>
      <w:r w:rsidR="00C978BC">
        <w:rPr>
          <w:rFonts w:ascii="Times New Roman" w:eastAsia="Times New Roman" w:hAnsi="Times New Roman" w:cs="Times New Roman"/>
          <w:color w:val="000000" w:themeColor="text1"/>
        </w:rPr>
        <w:t>,</w:t>
      </w:r>
      <w:r w:rsidR="009D0781" w:rsidRPr="00985A6A">
        <w:rPr>
          <w:rFonts w:ascii="Times New Roman" w:eastAsia="Times New Roman" w:hAnsi="Times New Roman" w:cs="Times New Roman"/>
          <w:color w:val="000000" w:themeColor="text1"/>
        </w:rPr>
        <w:t xml:space="preserve"> </w:t>
      </w:r>
      <w:r w:rsidR="00E92A99" w:rsidRPr="00985A6A">
        <w:rPr>
          <w:rFonts w:ascii="Times New Roman" w:eastAsia="Times New Roman" w:hAnsi="Times New Roman" w:cs="Times New Roman"/>
          <w:color w:val="000000" w:themeColor="text1"/>
        </w:rPr>
        <w:t>might be blamed on malevolent daimonic activity.</w:t>
      </w:r>
      <w:r w:rsidR="00875ED0" w:rsidRPr="00985A6A">
        <w:rPr>
          <w:rStyle w:val="FootnoteReference"/>
          <w:rFonts w:ascii="Times New Roman" w:eastAsia="Times New Roman" w:hAnsi="Times New Roman" w:cs="Times New Roman"/>
          <w:color w:val="000000" w:themeColor="text1"/>
        </w:rPr>
        <w:footnoteReference w:id="31"/>
      </w:r>
      <w:r w:rsidR="00455355" w:rsidRPr="00985A6A">
        <w:rPr>
          <w:rFonts w:ascii="Times New Roman" w:eastAsia="Times New Roman" w:hAnsi="Times New Roman" w:cs="Times New Roman"/>
          <w:color w:val="000000" w:themeColor="text1"/>
        </w:rPr>
        <w:t xml:space="preserve"> </w:t>
      </w:r>
    </w:p>
    <w:p w14:paraId="3C0F6ACA" w14:textId="6E3FC6FD" w:rsidR="00BF5B72" w:rsidRPr="00985A6A" w:rsidRDefault="00BF5B72" w:rsidP="00486F35">
      <w:pPr>
        <w:spacing w:line="240" w:lineRule="auto"/>
        <w:ind w:firstLine="720"/>
        <w:rPr>
          <w:rFonts w:ascii="Times New Roman" w:eastAsia="Times New Roman" w:hAnsi="Times New Roman" w:cs="Times New Roman"/>
        </w:rPr>
      </w:pPr>
      <w:r w:rsidRPr="00985A6A">
        <w:rPr>
          <w:rFonts w:ascii="Times New Roman" w:eastAsia="Times New Roman" w:hAnsi="Times New Roman" w:cs="Times New Roman"/>
        </w:rPr>
        <w:t>Conceptions and understandings of daimones varied widely</w:t>
      </w:r>
      <w:r w:rsidR="00967854" w:rsidRPr="00985A6A">
        <w:rPr>
          <w:rFonts w:ascii="Times New Roman" w:eastAsia="Times New Roman" w:hAnsi="Times New Roman" w:cs="Times New Roman"/>
        </w:rPr>
        <w:t xml:space="preserve"> in antiquity. </w:t>
      </w:r>
      <w:r w:rsidRPr="00985A6A">
        <w:rPr>
          <w:rFonts w:ascii="Times New Roman" w:eastAsia="Times New Roman" w:hAnsi="Times New Roman" w:cs="Times New Roman"/>
        </w:rPr>
        <w:t xml:space="preserve">In the Greco-Roman context, they could be understood as the souls of the dead or as essential intermediaries between the gods and humans. </w:t>
      </w:r>
      <w:r w:rsidR="00AD0655" w:rsidRPr="00985A6A">
        <w:rPr>
          <w:rFonts w:ascii="Times New Roman" w:hAnsi="Times New Roman" w:cs="Times New Roman"/>
        </w:rPr>
        <w:t>Similarly, in an Egyptian context</w:t>
      </w:r>
      <w:r w:rsidR="00C978BC">
        <w:rPr>
          <w:rFonts w:ascii="Times New Roman" w:hAnsi="Times New Roman" w:cs="Times New Roman"/>
        </w:rPr>
        <w:t>,</w:t>
      </w:r>
      <w:r w:rsidR="00AD0655" w:rsidRPr="00985A6A">
        <w:rPr>
          <w:rFonts w:ascii="Times New Roman" w:hAnsi="Times New Roman" w:cs="Times New Roman"/>
        </w:rPr>
        <w:t xml:space="preserve"> daimones</w:t>
      </w:r>
      <w:r w:rsidR="00323772" w:rsidRPr="00985A6A">
        <w:rPr>
          <w:rFonts w:ascii="Times New Roman" w:hAnsi="Times New Roman" w:cs="Times New Roman"/>
        </w:rPr>
        <w:t xml:space="preserve"> </w:t>
      </w:r>
      <w:r w:rsidR="00AD0655" w:rsidRPr="00985A6A">
        <w:rPr>
          <w:rFonts w:ascii="Times New Roman" w:hAnsi="Times New Roman" w:cs="Times New Roman"/>
        </w:rPr>
        <w:t>were</w:t>
      </w:r>
      <w:r w:rsidR="00323772" w:rsidRPr="00985A6A">
        <w:rPr>
          <w:rFonts w:ascii="Times New Roman" w:hAnsi="Times New Roman" w:cs="Times New Roman"/>
        </w:rPr>
        <w:t xml:space="preserve"> understood as individual spiritual beings with whom humans could interact. Egyptologists typically describe them as assistants to greater </w:t>
      </w:r>
      <w:r w:rsidR="00DF61EE" w:rsidRPr="00985A6A">
        <w:rPr>
          <w:rFonts w:ascii="Times New Roman" w:hAnsi="Times New Roman" w:cs="Times New Roman"/>
        </w:rPr>
        <w:t xml:space="preserve">divine </w:t>
      </w:r>
      <w:r w:rsidR="00323772" w:rsidRPr="00985A6A">
        <w:rPr>
          <w:rFonts w:ascii="Times New Roman" w:hAnsi="Times New Roman" w:cs="Times New Roman"/>
        </w:rPr>
        <w:t>powers</w:t>
      </w:r>
      <w:r w:rsidR="006E3E5D" w:rsidRPr="00985A6A">
        <w:rPr>
          <w:rFonts w:ascii="Times New Roman" w:hAnsi="Times New Roman" w:cs="Times New Roman"/>
        </w:rPr>
        <w:t xml:space="preserve"> and could be beneficent or </w:t>
      </w:r>
      <w:r w:rsidR="0075459F" w:rsidRPr="00985A6A">
        <w:rPr>
          <w:rFonts w:ascii="Times New Roman" w:hAnsi="Times New Roman" w:cs="Times New Roman"/>
        </w:rPr>
        <w:t>maleficent</w:t>
      </w:r>
      <w:r w:rsidR="00323772" w:rsidRPr="00985A6A">
        <w:rPr>
          <w:rFonts w:ascii="Times New Roman" w:hAnsi="Times New Roman" w:cs="Times New Roman"/>
        </w:rPr>
        <w:t>.</w:t>
      </w:r>
      <w:r w:rsidR="00561CA3" w:rsidRPr="00985A6A">
        <w:rPr>
          <w:rStyle w:val="FootnoteReference"/>
          <w:rFonts w:ascii="Times New Roman" w:hAnsi="Times New Roman" w:cs="Times New Roman"/>
        </w:rPr>
        <w:footnoteReference w:id="32"/>
      </w:r>
      <w:r w:rsidR="00747B7C" w:rsidRPr="00985A6A">
        <w:rPr>
          <w:rFonts w:ascii="Times New Roman" w:hAnsi="Times New Roman" w:cs="Times New Roman"/>
        </w:rPr>
        <w:t xml:space="preserve"> </w:t>
      </w:r>
      <w:r w:rsidRPr="00985A6A">
        <w:rPr>
          <w:rFonts w:ascii="Times New Roman" w:eastAsia="Times New Roman" w:hAnsi="Times New Roman" w:cs="Times New Roman"/>
        </w:rPr>
        <w:t>In Jewish and Christian contexts, daimones were more likely to be understood as the ‘foreign’ or ‘false’ gods of other peoples or as agents of evil forces.</w:t>
      </w:r>
      <w:r w:rsidR="00177FF0" w:rsidRPr="00985A6A">
        <w:rPr>
          <w:rStyle w:val="FootnoteReference"/>
          <w:rFonts w:ascii="Times New Roman" w:eastAsia="Times New Roman" w:hAnsi="Times New Roman" w:cs="Times New Roman"/>
        </w:rPr>
        <w:footnoteReference w:id="33"/>
      </w:r>
      <w:r w:rsidR="00205CC6" w:rsidRPr="00985A6A">
        <w:rPr>
          <w:rFonts w:ascii="Times New Roman" w:eastAsia="Times New Roman" w:hAnsi="Times New Roman" w:cs="Times New Roman"/>
        </w:rPr>
        <w:t xml:space="preserve"> </w:t>
      </w:r>
      <w:r w:rsidRPr="00985A6A">
        <w:rPr>
          <w:rFonts w:ascii="Times New Roman" w:eastAsia="Times New Roman" w:hAnsi="Times New Roman" w:cs="Times New Roman"/>
        </w:rPr>
        <w:t>The concept of the human body being infiltrated by a daimon or other spirit and the need to gain control over it is Semitic in origin.</w:t>
      </w:r>
      <w:r w:rsidR="00E7642B" w:rsidRPr="00985A6A">
        <w:rPr>
          <w:rStyle w:val="FootnoteReference"/>
          <w:rFonts w:ascii="Times New Roman" w:eastAsia="Times New Roman" w:hAnsi="Times New Roman" w:cs="Times New Roman"/>
        </w:rPr>
        <w:footnoteReference w:id="34"/>
      </w:r>
      <w:r w:rsidRPr="00985A6A">
        <w:rPr>
          <w:rFonts w:ascii="Times New Roman" w:eastAsia="Times New Roman" w:hAnsi="Times New Roman" w:cs="Times New Roman"/>
        </w:rPr>
        <w:t xml:space="preserve"> Although largely foreign to classical and Hellenistic Greek thought, it became well</w:t>
      </w:r>
      <w:r w:rsidR="00C978BC">
        <w:rPr>
          <w:rFonts w:ascii="Times New Roman" w:eastAsia="Times New Roman" w:hAnsi="Times New Roman" w:cs="Times New Roman"/>
        </w:rPr>
        <w:t>-</w:t>
      </w:r>
      <w:r w:rsidRPr="00985A6A">
        <w:rPr>
          <w:rFonts w:ascii="Times New Roman" w:eastAsia="Times New Roman" w:hAnsi="Times New Roman" w:cs="Times New Roman"/>
        </w:rPr>
        <w:t>established throughout the eastern Mediterranean</w:t>
      </w:r>
      <w:r w:rsidR="00AA1805" w:rsidRPr="00985A6A">
        <w:rPr>
          <w:rFonts w:ascii="Times New Roman" w:eastAsia="Times New Roman" w:hAnsi="Times New Roman" w:cs="Times New Roman"/>
        </w:rPr>
        <w:t xml:space="preserve"> by the early Common Era</w:t>
      </w:r>
      <w:r w:rsidRPr="00985A6A">
        <w:rPr>
          <w:rFonts w:ascii="Times New Roman" w:eastAsia="Times New Roman" w:hAnsi="Times New Roman" w:cs="Times New Roman"/>
        </w:rPr>
        <w:t>.</w:t>
      </w:r>
      <w:r w:rsidR="00657EB2" w:rsidRPr="00985A6A">
        <w:rPr>
          <w:rFonts w:ascii="Times New Roman" w:eastAsia="Times New Roman" w:hAnsi="Times New Roman" w:cs="Times New Roman"/>
        </w:rPr>
        <w:t xml:space="preserve"> </w:t>
      </w:r>
      <w:r w:rsidRPr="00985A6A">
        <w:rPr>
          <w:rFonts w:ascii="Times New Roman" w:eastAsia="Times New Roman" w:hAnsi="Times New Roman" w:cs="Times New Roman"/>
        </w:rPr>
        <w:t xml:space="preserve">When a malevolent daimon was believed to have taken up residence in a person’s body, the remedy required its expulsion through </w:t>
      </w:r>
      <w:r w:rsidR="003B12B4">
        <w:rPr>
          <w:rFonts w:ascii="Times New Roman" w:eastAsia="Times New Roman" w:hAnsi="Times New Roman" w:cs="Times New Roman"/>
        </w:rPr>
        <w:t xml:space="preserve">the private ritual of </w:t>
      </w:r>
      <w:r w:rsidRPr="00985A6A">
        <w:rPr>
          <w:rFonts w:ascii="Times New Roman" w:eastAsia="Times New Roman" w:hAnsi="Times New Roman" w:cs="Times New Roman"/>
        </w:rPr>
        <w:t>exorcism.</w:t>
      </w:r>
      <w:r w:rsidR="003B12B4">
        <w:rPr>
          <w:rFonts w:ascii="Times New Roman" w:eastAsia="Times New Roman" w:hAnsi="Times New Roman" w:cs="Times New Roman"/>
        </w:rPr>
        <w:t xml:space="preserve"> This </w:t>
      </w:r>
      <w:r w:rsidRPr="00985A6A">
        <w:rPr>
          <w:rFonts w:ascii="Times New Roman" w:eastAsia="Times New Roman" w:hAnsi="Times New Roman" w:cs="Times New Roman"/>
        </w:rPr>
        <w:t xml:space="preserve">involved </w:t>
      </w:r>
      <w:r w:rsidR="00F51165" w:rsidRPr="00985A6A">
        <w:rPr>
          <w:rFonts w:ascii="Times New Roman" w:eastAsia="Times New Roman" w:hAnsi="Times New Roman" w:cs="Times New Roman"/>
        </w:rPr>
        <w:t xml:space="preserve">a </w:t>
      </w:r>
      <w:r w:rsidR="002E408F" w:rsidRPr="00985A6A">
        <w:rPr>
          <w:rFonts w:ascii="Times New Roman" w:eastAsia="Times New Roman" w:hAnsi="Times New Roman" w:cs="Times New Roman"/>
        </w:rPr>
        <w:t xml:space="preserve">trained </w:t>
      </w:r>
      <w:r w:rsidR="00F51165" w:rsidRPr="00985A6A">
        <w:rPr>
          <w:rFonts w:ascii="Times New Roman" w:eastAsia="Times New Roman" w:hAnsi="Times New Roman" w:cs="Times New Roman"/>
        </w:rPr>
        <w:t xml:space="preserve">ritual specialist </w:t>
      </w:r>
      <w:r w:rsidR="00657EB2" w:rsidRPr="00985A6A">
        <w:rPr>
          <w:rFonts w:ascii="Times New Roman" w:eastAsia="Times New Roman" w:hAnsi="Times New Roman" w:cs="Times New Roman"/>
        </w:rPr>
        <w:t xml:space="preserve">properly </w:t>
      </w:r>
      <w:r w:rsidRPr="00985A6A">
        <w:rPr>
          <w:rFonts w:ascii="Times New Roman" w:eastAsia="Times New Roman" w:hAnsi="Times New Roman" w:cs="Times New Roman"/>
        </w:rPr>
        <w:t xml:space="preserve">invoking a more powerful deity </w:t>
      </w:r>
      <w:r w:rsidR="00F51165" w:rsidRPr="00985A6A">
        <w:rPr>
          <w:rFonts w:ascii="Times New Roman" w:eastAsia="Times New Roman" w:hAnsi="Times New Roman" w:cs="Times New Roman"/>
        </w:rPr>
        <w:t xml:space="preserve">by </w:t>
      </w:r>
      <w:r w:rsidRPr="00985A6A">
        <w:rPr>
          <w:rFonts w:ascii="Times New Roman" w:eastAsia="Times New Roman" w:hAnsi="Times New Roman" w:cs="Times New Roman"/>
        </w:rPr>
        <w:t>who</w:t>
      </w:r>
      <w:r w:rsidR="00F51165" w:rsidRPr="00985A6A">
        <w:rPr>
          <w:rFonts w:ascii="Times New Roman" w:eastAsia="Times New Roman" w:hAnsi="Times New Roman" w:cs="Times New Roman"/>
        </w:rPr>
        <w:t>m</w:t>
      </w:r>
      <w:r w:rsidRPr="00985A6A">
        <w:rPr>
          <w:rFonts w:ascii="Times New Roman" w:eastAsia="Times New Roman" w:hAnsi="Times New Roman" w:cs="Times New Roman"/>
        </w:rPr>
        <w:t xml:space="preserve"> </w:t>
      </w:r>
      <w:r w:rsidR="00F51165" w:rsidRPr="00985A6A">
        <w:rPr>
          <w:rFonts w:ascii="Times New Roman" w:eastAsia="Times New Roman" w:hAnsi="Times New Roman" w:cs="Times New Roman"/>
        </w:rPr>
        <w:t>they cou</w:t>
      </w:r>
      <w:r w:rsidRPr="00985A6A">
        <w:rPr>
          <w:rFonts w:ascii="Times New Roman" w:eastAsia="Times New Roman" w:hAnsi="Times New Roman" w:cs="Times New Roman"/>
        </w:rPr>
        <w:t xml:space="preserve">ld compel the </w:t>
      </w:r>
      <w:r w:rsidR="00D54F67" w:rsidRPr="00985A6A">
        <w:rPr>
          <w:rFonts w:ascii="Times New Roman" w:eastAsia="Times New Roman" w:hAnsi="Times New Roman" w:cs="Times New Roman"/>
        </w:rPr>
        <w:t xml:space="preserve">malevolent </w:t>
      </w:r>
      <w:r w:rsidRPr="00985A6A">
        <w:rPr>
          <w:rFonts w:ascii="Times New Roman" w:eastAsia="Times New Roman" w:hAnsi="Times New Roman" w:cs="Times New Roman"/>
        </w:rPr>
        <w:t>spirit to depar</w:t>
      </w:r>
      <w:r w:rsidR="00D54F67" w:rsidRPr="00985A6A">
        <w:rPr>
          <w:rFonts w:ascii="Times New Roman" w:eastAsia="Times New Roman" w:hAnsi="Times New Roman" w:cs="Times New Roman"/>
        </w:rPr>
        <w:t>t or ‘adjure.’</w:t>
      </w:r>
      <w:r w:rsidR="00E30C5A" w:rsidRPr="00985A6A">
        <w:rPr>
          <w:rFonts w:ascii="Times New Roman" w:eastAsia="Times New Roman" w:hAnsi="Times New Roman" w:cs="Times New Roman"/>
        </w:rPr>
        <w:t xml:space="preserve"> </w:t>
      </w:r>
    </w:p>
    <w:p w14:paraId="0FFB0CA5" w14:textId="26F575A9" w:rsidR="00063B84" w:rsidRPr="00985A6A" w:rsidRDefault="00EC0883" w:rsidP="00486F35">
      <w:pPr>
        <w:spacing w:line="240" w:lineRule="auto"/>
        <w:ind w:firstLine="720"/>
        <w:rPr>
          <w:rFonts w:ascii="Times New Roman" w:eastAsia="Times New Roman" w:hAnsi="Times New Roman" w:cs="Times New Roman"/>
        </w:rPr>
      </w:pPr>
      <w:r w:rsidRPr="00985A6A">
        <w:rPr>
          <w:rFonts w:ascii="Times New Roman" w:eastAsia="Times New Roman" w:hAnsi="Times New Roman" w:cs="Times New Roman"/>
        </w:rPr>
        <w:t>Within this spiritual landscape of the early Common Era, individuals who claimed access to e</w:t>
      </w:r>
      <w:r w:rsidR="004B760E" w:rsidRPr="00985A6A">
        <w:rPr>
          <w:rFonts w:ascii="Times New Roman" w:eastAsia="Times New Roman" w:hAnsi="Times New Roman" w:cs="Times New Roman"/>
        </w:rPr>
        <w:t>soteric knowledge</w:t>
      </w:r>
      <w:r w:rsidR="00E84BAC">
        <w:rPr>
          <w:rFonts w:ascii="Times New Roman" w:eastAsia="Times New Roman" w:hAnsi="Times New Roman" w:cs="Times New Roman"/>
        </w:rPr>
        <w:t xml:space="preserve"> </w:t>
      </w:r>
      <w:r w:rsidR="004B760E" w:rsidRPr="00985A6A">
        <w:rPr>
          <w:rFonts w:ascii="Times New Roman" w:eastAsia="Times New Roman" w:hAnsi="Times New Roman" w:cs="Times New Roman"/>
        </w:rPr>
        <w:t xml:space="preserve">and demonstrated the ability to </w:t>
      </w:r>
      <w:r w:rsidR="0016755A" w:rsidRPr="00985A6A">
        <w:rPr>
          <w:rFonts w:ascii="Times New Roman" w:eastAsia="Times New Roman" w:hAnsi="Times New Roman" w:cs="Times New Roman"/>
        </w:rPr>
        <w:t>direct</w:t>
      </w:r>
      <w:r w:rsidR="004B760E" w:rsidRPr="00985A6A">
        <w:rPr>
          <w:rFonts w:ascii="Times New Roman" w:eastAsia="Times New Roman" w:hAnsi="Times New Roman" w:cs="Times New Roman"/>
        </w:rPr>
        <w:t xml:space="preserve"> or channel these supernatural forces gained increasing religious and ritual authority.</w:t>
      </w:r>
      <w:r w:rsidR="009D0781" w:rsidRPr="00985A6A">
        <w:rPr>
          <w:rStyle w:val="FootnoteReference"/>
          <w:rFonts w:ascii="Times New Roman" w:eastAsia="Times New Roman" w:hAnsi="Times New Roman" w:cs="Times New Roman"/>
        </w:rPr>
        <w:footnoteReference w:id="35"/>
      </w:r>
      <w:r w:rsidRPr="00985A6A">
        <w:rPr>
          <w:rFonts w:ascii="Times New Roman" w:eastAsia="Times New Roman" w:hAnsi="Times New Roman" w:cs="Times New Roman"/>
        </w:rPr>
        <w:t xml:space="preserve"> </w:t>
      </w:r>
      <w:r w:rsidR="005A063D" w:rsidRPr="00985A6A">
        <w:rPr>
          <w:rFonts w:ascii="Times New Roman" w:eastAsia="Times New Roman" w:hAnsi="Times New Roman" w:cs="Times New Roman"/>
        </w:rPr>
        <w:t>Ritual</w:t>
      </w:r>
      <w:r w:rsidR="005C4498" w:rsidRPr="00985A6A">
        <w:rPr>
          <w:rFonts w:ascii="Times New Roman" w:eastAsia="Times New Roman" w:hAnsi="Times New Roman" w:cs="Times New Roman"/>
        </w:rPr>
        <w:t xml:space="preserve"> e</w:t>
      </w:r>
      <w:r w:rsidR="00BF5B72" w:rsidRPr="00985A6A">
        <w:rPr>
          <w:rFonts w:ascii="Times New Roman" w:eastAsia="Times New Roman" w:hAnsi="Times New Roman" w:cs="Times New Roman"/>
        </w:rPr>
        <w:t xml:space="preserve">xorcism </w:t>
      </w:r>
      <w:r w:rsidR="005A063D" w:rsidRPr="00985A6A">
        <w:rPr>
          <w:rFonts w:ascii="Times New Roman" w:eastAsia="Times New Roman" w:hAnsi="Times New Roman" w:cs="Times New Roman"/>
        </w:rPr>
        <w:t>is</w:t>
      </w:r>
      <w:r w:rsidR="00BF5B72" w:rsidRPr="00985A6A">
        <w:rPr>
          <w:rFonts w:ascii="Times New Roman" w:eastAsia="Times New Roman" w:hAnsi="Times New Roman" w:cs="Times New Roman"/>
        </w:rPr>
        <w:t xml:space="preserve"> </w:t>
      </w:r>
      <w:r w:rsidR="005C4498" w:rsidRPr="00985A6A">
        <w:rPr>
          <w:rFonts w:ascii="Times New Roman" w:eastAsia="Times New Roman" w:hAnsi="Times New Roman" w:cs="Times New Roman"/>
        </w:rPr>
        <w:t>w</w:t>
      </w:r>
      <w:r w:rsidR="00BF5B72" w:rsidRPr="00985A6A">
        <w:rPr>
          <w:rFonts w:ascii="Times New Roman" w:eastAsia="Times New Roman" w:hAnsi="Times New Roman" w:cs="Times New Roman"/>
        </w:rPr>
        <w:t>ell attested in Jewish sources, including Hellenistic literature and the Qumran texts</w:t>
      </w:r>
      <w:r w:rsidR="00DA5043" w:rsidRPr="00985A6A">
        <w:rPr>
          <w:rFonts w:ascii="Times New Roman" w:eastAsia="Times New Roman" w:hAnsi="Times New Roman" w:cs="Times New Roman"/>
        </w:rPr>
        <w:t>,</w:t>
      </w:r>
      <w:r w:rsidR="00DA5043" w:rsidRPr="00985A6A">
        <w:rPr>
          <w:rStyle w:val="FootnoteReference"/>
          <w:rFonts w:ascii="Times New Roman" w:eastAsia="Times New Roman" w:hAnsi="Times New Roman" w:cs="Times New Roman"/>
        </w:rPr>
        <w:footnoteReference w:id="36"/>
      </w:r>
      <w:r w:rsidR="00BF5B72" w:rsidRPr="00985A6A">
        <w:rPr>
          <w:rFonts w:ascii="Times New Roman" w:eastAsia="Times New Roman" w:hAnsi="Times New Roman" w:cs="Times New Roman"/>
        </w:rPr>
        <w:t xml:space="preserve"> </w:t>
      </w:r>
      <w:r w:rsidR="00DA5043" w:rsidRPr="00985A6A">
        <w:rPr>
          <w:rFonts w:ascii="Times New Roman" w:eastAsia="Times New Roman" w:hAnsi="Times New Roman" w:cs="Times New Roman"/>
        </w:rPr>
        <w:t>and the</w:t>
      </w:r>
      <w:r w:rsidR="00BF5B72" w:rsidRPr="00985A6A">
        <w:rPr>
          <w:rFonts w:ascii="Times New Roman" w:eastAsia="Times New Roman" w:hAnsi="Times New Roman" w:cs="Times New Roman"/>
        </w:rPr>
        <w:t xml:space="preserve"> New Testament gospels attributed to Mark, Matthew, and Luke record Jesus of Nazareth as engaging in exorcistic activity.</w:t>
      </w:r>
      <w:r w:rsidR="00DA5043" w:rsidRPr="00985A6A">
        <w:rPr>
          <w:rStyle w:val="FootnoteReference"/>
          <w:rFonts w:ascii="Times New Roman" w:eastAsia="Times New Roman" w:hAnsi="Times New Roman" w:cs="Times New Roman"/>
        </w:rPr>
        <w:footnoteReference w:id="37"/>
      </w:r>
      <w:r w:rsidR="005A063D" w:rsidRPr="00985A6A">
        <w:rPr>
          <w:rFonts w:ascii="Times New Roman" w:eastAsia="Times New Roman" w:hAnsi="Times New Roman" w:cs="Times New Roman"/>
        </w:rPr>
        <w:t xml:space="preserve"> </w:t>
      </w:r>
      <w:r w:rsidR="00622F8F" w:rsidRPr="00985A6A">
        <w:rPr>
          <w:rFonts w:ascii="Times New Roman" w:hAnsi="Times New Roman" w:cs="Times New Roman"/>
        </w:rPr>
        <w:t>The exorcistic texts of the</w:t>
      </w:r>
      <w:r w:rsidR="00661333" w:rsidRPr="00985A6A">
        <w:rPr>
          <w:rFonts w:ascii="Times New Roman" w:hAnsi="Times New Roman" w:cs="Times New Roman"/>
        </w:rPr>
        <w:t xml:space="preserve"> Greek and Demotic magical </w:t>
      </w:r>
      <w:r w:rsidR="00E30C5A" w:rsidRPr="00985A6A">
        <w:rPr>
          <w:rFonts w:ascii="Times New Roman" w:hAnsi="Times New Roman" w:cs="Times New Roman"/>
        </w:rPr>
        <w:t>papyri</w:t>
      </w:r>
      <w:r w:rsidR="00622F8F" w:rsidRPr="00985A6A">
        <w:rPr>
          <w:rFonts w:ascii="Times New Roman" w:hAnsi="Times New Roman" w:cs="Times New Roman"/>
        </w:rPr>
        <w:t xml:space="preserve"> provide further attestation to the widespread nature of </w:t>
      </w:r>
      <w:r w:rsidR="0077110A" w:rsidRPr="00985A6A">
        <w:rPr>
          <w:rFonts w:ascii="Times New Roman" w:hAnsi="Times New Roman" w:cs="Times New Roman"/>
        </w:rPr>
        <w:t>this vital activity of personal ritual</w:t>
      </w:r>
      <w:r w:rsidR="00622F8F" w:rsidRPr="00985A6A">
        <w:rPr>
          <w:rFonts w:ascii="Times New Roman" w:hAnsi="Times New Roman" w:cs="Times New Roman"/>
        </w:rPr>
        <w:t>.</w:t>
      </w:r>
    </w:p>
    <w:p w14:paraId="05C81BC7" w14:textId="65C983D2" w:rsidR="008710BB" w:rsidRPr="00985A6A" w:rsidRDefault="009E5E96" w:rsidP="00486F35">
      <w:pPr>
        <w:spacing w:line="240" w:lineRule="auto"/>
        <w:ind w:firstLine="0"/>
        <w:rPr>
          <w:rFonts w:ascii="Times New Roman" w:hAnsi="Times New Roman" w:cs="Times New Roman"/>
          <w:i/>
          <w:iCs/>
        </w:rPr>
      </w:pPr>
      <w:r w:rsidRPr="00985A6A">
        <w:rPr>
          <w:rFonts w:ascii="Times New Roman" w:hAnsi="Times New Roman" w:cs="Times New Roman"/>
          <w:i/>
          <w:iCs/>
        </w:rPr>
        <w:t>Contextual a</w:t>
      </w:r>
      <w:r w:rsidR="00701033" w:rsidRPr="00985A6A">
        <w:rPr>
          <w:rFonts w:ascii="Times New Roman" w:hAnsi="Times New Roman" w:cs="Times New Roman"/>
          <w:i/>
          <w:iCs/>
        </w:rPr>
        <w:t>nalysis of</w:t>
      </w:r>
      <w:r w:rsidR="004B7B74" w:rsidRPr="00985A6A">
        <w:rPr>
          <w:rFonts w:ascii="Times New Roman" w:hAnsi="Times New Roman" w:cs="Times New Roman"/>
          <w:i/>
          <w:iCs/>
        </w:rPr>
        <w:t xml:space="preserve"> </w:t>
      </w:r>
      <w:r w:rsidR="00C978BC">
        <w:rPr>
          <w:rFonts w:ascii="Times New Roman" w:hAnsi="Times New Roman" w:cs="Times New Roman"/>
          <w:i/>
          <w:iCs/>
        </w:rPr>
        <w:t>‘</w:t>
      </w:r>
      <w:r w:rsidR="004B7B74" w:rsidRPr="00985A6A">
        <w:rPr>
          <w:rFonts w:ascii="Times New Roman" w:hAnsi="Times New Roman" w:cs="Times New Roman"/>
          <w:i/>
          <w:iCs/>
        </w:rPr>
        <w:t xml:space="preserve">A tested charm of Pibechis for those possessed by </w:t>
      </w:r>
      <w:r w:rsidRPr="00985A6A">
        <w:rPr>
          <w:rFonts w:ascii="Times New Roman" w:hAnsi="Times New Roman" w:cs="Times New Roman"/>
          <w:i/>
          <w:iCs/>
        </w:rPr>
        <w:t>daimons</w:t>
      </w:r>
      <w:r w:rsidR="00C978BC">
        <w:rPr>
          <w:rFonts w:ascii="Times New Roman" w:hAnsi="Times New Roman" w:cs="Times New Roman"/>
          <w:i/>
          <w:iCs/>
        </w:rPr>
        <w:t>’</w:t>
      </w:r>
      <w:r w:rsidR="00701033" w:rsidRPr="00985A6A">
        <w:rPr>
          <w:rFonts w:ascii="Times New Roman" w:hAnsi="Times New Roman" w:cs="Times New Roman"/>
          <w:i/>
          <w:iCs/>
        </w:rPr>
        <w:t xml:space="preserve"> (PGM IV.3007-86)</w:t>
      </w:r>
    </w:p>
    <w:p w14:paraId="02D1BE2C" w14:textId="4DFA43CE" w:rsidR="00BF6810" w:rsidRDefault="00BF6810" w:rsidP="00486F35">
      <w:pPr>
        <w:spacing w:line="240" w:lineRule="auto"/>
        <w:rPr>
          <w:rFonts w:ascii="Times New Roman" w:hAnsi="Times New Roman" w:cs="Times New Roman"/>
        </w:rPr>
      </w:pPr>
      <w:r w:rsidRPr="00985A6A">
        <w:rPr>
          <w:rFonts w:ascii="Times New Roman" w:hAnsi="Times New Roman" w:cs="Times New Roman"/>
        </w:rPr>
        <w:t xml:space="preserve">The </w:t>
      </w:r>
      <w:r w:rsidR="00010181" w:rsidRPr="00985A6A">
        <w:rPr>
          <w:rFonts w:ascii="Times New Roman" w:hAnsi="Times New Roman" w:cs="Times New Roman"/>
        </w:rPr>
        <w:t>exorcistic text</w:t>
      </w:r>
      <w:r w:rsidRPr="00985A6A">
        <w:rPr>
          <w:rFonts w:ascii="Times New Roman" w:hAnsi="Times New Roman" w:cs="Times New Roman"/>
        </w:rPr>
        <w:t xml:space="preserve"> titled </w:t>
      </w:r>
      <w:r w:rsidR="00C978BC">
        <w:rPr>
          <w:rFonts w:ascii="Times New Roman" w:hAnsi="Times New Roman" w:cs="Times New Roman"/>
        </w:rPr>
        <w:t>‘</w:t>
      </w:r>
      <w:r w:rsidRPr="00985A6A">
        <w:rPr>
          <w:rFonts w:ascii="Times New Roman" w:hAnsi="Times New Roman" w:cs="Times New Roman"/>
        </w:rPr>
        <w:t>A tested charm of Pibechis for those possessed by daimons,</w:t>
      </w:r>
      <w:r w:rsidR="00C978BC">
        <w:rPr>
          <w:rFonts w:ascii="Times New Roman" w:hAnsi="Times New Roman" w:cs="Times New Roman"/>
        </w:rPr>
        <w:t>’</w:t>
      </w:r>
      <w:r w:rsidRPr="00985A6A">
        <w:rPr>
          <w:rFonts w:ascii="Times New Roman" w:hAnsi="Times New Roman" w:cs="Times New Roman"/>
        </w:rPr>
        <w:t xml:space="preserve"> (</w:t>
      </w:r>
      <w:r w:rsidRPr="00985A6A">
        <w:rPr>
          <w:rFonts w:ascii="Times New Roman" w:hAnsi="Times New Roman" w:cs="Times New Roman"/>
          <w:i/>
          <w:iCs/>
        </w:rPr>
        <w:t>PGM</w:t>
      </w:r>
      <w:r w:rsidRPr="00985A6A">
        <w:rPr>
          <w:rFonts w:ascii="Times New Roman" w:hAnsi="Times New Roman" w:cs="Times New Roman"/>
        </w:rPr>
        <w:t xml:space="preserve"> IV.3007-86) is primarily composed of elements that allude to Jewish </w:t>
      </w:r>
      <w:r w:rsidR="003B12B4">
        <w:rPr>
          <w:rFonts w:ascii="Times New Roman" w:hAnsi="Times New Roman" w:cs="Times New Roman"/>
        </w:rPr>
        <w:t xml:space="preserve">scripture and </w:t>
      </w:r>
      <w:r w:rsidRPr="00985A6A">
        <w:rPr>
          <w:rFonts w:ascii="Times New Roman" w:hAnsi="Times New Roman" w:cs="Times New Roman"/>
        </w:rPr>
        <w:t>tradition, with some Egyptian framing and a nod to Christian influence that is rare in the corpus of the Greek Magical Papyri.</w:t>
      </w:r>
      <w:r w:rsidRPr="00985A6A">
        <w:rPr>
          <w:rStyle w:val="FootnoteReference"/>
          <w:rFonts w:ascii="Times New Roman" w:hAnsi="Times New Roman" w:cs="Times New Roman"/>
        </w:rPr>
        <w:footnoteReference w:id="38"/>
      </w:r>
      <w:r w:rsidRPr="00985A6A">
        <w:rPr>
          <w:rFonts w:ascii="Times New Roman" w:hAnsi="Times New Roman" w:cs="Times New Roman"/>
        </w:rPr>
        <w:t xml:space="preserve"> </w:t>
      </w:r>
      <w:r w:rsidR="00B74625" w:rsidRPr="00985A6A">
        <w:rPr>
          <w:rFonts w:ascii="Times New Roman" w:hAnsi="Times New Roman" w:cs="Times New Roman"/>
        </w:rPr>
        <w:t xml:space="preserve">Notably, it is one of two </w:t>
      </w:r>
      <w:r w:rsidR="00F07745" w:rsidRPr="00985A6A">
        <w:rPr>
          <w:rFonts w:ascii="Times New Roman" w:hAnsi="Times New Roman" w:cs="Times New Roman"/>
        </w:rPr>
        <w:t xml:space="preserve">exorcistic spells included </w:t>
      </w:r>
      <w:r w:rsidR="00B47F3A" w:rsidRPr="00985A6A">
        <w:rPr>
          <w:rFonts w:ascii="Times New Roman" w:hAnsi="Times New Roman" w:cs="Times New Roman"/>
        </w:rPr>
        <w:t>among the texts of</w:t>
      </w:r>
      <w:r w:rsidR="00F07745" w:rsidRPr="00985A6A">
        <w:rPr>
          <w:rFonts w:ascii="Times New Roman" w:hAnsi="Times New Roman" w:cs="Times New Roman"/>
        </w:rPr>
        <w:t xml:space="preserve"> </w:t>
      </w:r>
      <w:r w:rsidR="006A6EE6" w:rsidRPr="00985A6A">
        <w:rPr>
          <w:rFonts w:ascii="Times New Roman" w:hAnsi="Times New Roman" w:cs="Times New Roman"/>
        </w:rPr>
        <w:t xml:space="preserve">codex </w:t>
      </w:r>
      <w:r w:rsidR="00F07745" w:rsidRPr="00985A6A">
        <w:rPr>
          <w:rFonts w:ascii="Times New Roman" w:hAnsi="Times New Roman" w:cs="Times New Roman"/>
        </w:rPr>
        <w:t xml:space="preserve">PGM IV, both </w:t>
      </w:r>
      <w:r w:rsidR="000E1586" w:rsidRPr="00985A6A">
        <w:rPr>
          <w:rFonts w:ascii="Times New Roman" w:hAnsi="Times New Roman" w:cs="Times New Roman"/>
        </w:rPr>
        <w:t xml:space="preserve">of which </w:t>
      </w:r>
      <w:r w:rsidR="00F07745" w:rsidRPr="00985A6A">
        <w:rPr>
          <w:rFonts w:ascii="Times New Roman" w:hAnsi="Times New Roman" w:cs="Times New Roman"/>
        </w:rPr>
        <w:t>featur</w:t>
      </w:r>
      <w:r w:rsidR="000E1586" w:rsidRPr="00985A6A">
        <w:rPr>
          <w:rFonts w:ascii="Times New Roman" w:hAnsi="Times New Roman" w:cs="Times New Roman"/>
        </w:rPr>
        <w:t xml:space="preserve">e </w:t>
      </w:r>
      <w:r w:rsidR="000F76EA" w:rsidRPr="00985A6A">
        <w:rPr>
          <w:rFonts w:ascii="Times New Roman" w:hAnsi="Times New Roman" w:cs="Times New Roman"/>
        </w:rPr>
        <w:t>Jewish</w:t>
      </w:r>
      <w:r w:rsidR="008B7638" w:rsidRPr="00985A6A">
        <w:rPr>
          <w:rFonts w:ascii="Times New Roman" w:hAnsi="Times New Roman" w:cs="Times New Roman"/>
        </w:rPr>
        <w:t xml:space="preserve"> and </w:t>
      </w:r>
      <w:r w:rsidR="000F76EA" w:rsidRPr="00985A6A">
        <w:rPr>
          <w:rFonts w:ascii="Times New Roman" w:hAnsi="Times New Roman" w:cs="Times New Roman"/>
        </w:rPr>
        <w:t>Christian elements</w:t>
      </w:r>
      <w:r w:rsidR="00E62B11" w:rsidRPr="00985A6A">
        <w:rPr>
          <w:rFonts w:ascii="Times New Roman" w:hAnsi="Times New Roman" w:cs="Times New Roman"/>
        </w:rPr>
        <w:t>.</w:t>
      </w:r>
      <w:r w:rsidR="00C94586" w:rsidRPr="00985A6A">
        <w:rPr>
          <w:rStyle w:val="FootnoteReference"/>
          <w:rFonts w:ascii="Times New Roman" w:hAnsi="Times New Roman" w:cs="Times New Roman"/>
        </w:rPr>
        <w:footnoteReference w:id="39"/>
      </w:r>
      <w:r w:rsidR="00E62B11" w:rsidRPr="00985A6A">
        <w:rPr>
          <w:rFonts w:ascii="Times New Roman" w:hAnsi="Times New Roman" w:cs="Times New Roman"/>
        </w:rPr>
        <w:t xml:space="preserve"> </w:t>
      </w:r>
      <w:r w:rsidR="00CA6B39" w:rsidRPr="00985A6A">
        <w:rPr>
          <w:rFonts w:ascii="Times New Roman" w:hAnsi="Times New Roman" w:cs="Times New Roman"/>
        </w:rPr>
        <w:t>The</w:t>
      </w:r>
      <w:r w:rsidR="007D7AF1" w:rsidRPr="00985A6A">
        <w:rPr>
          <w:rFonts w:ascii="Times New Roman" w:hAnsi="Times New Roman" w:cs="Times New Roman"/>
        </w:rPr>
        <w:t xml:space="preserve"> text</w:t>
      </w:r>
      <w:r w:rsidRPr="00985A6A">
        <w:rPr>
          <w:rFonts w:ascii="Times New Roman" w:hAnsi="Times New Roman" w:cs="Times New Roman"/>
        </w:rPr>
        <w:t xml:space="preserve"> is structured with opening and closing directives, including instructions for crafting a</w:t>
      </w:r>
      <w:r w:rsidR="00776CCD" w:rsidRPr="00985A6A">
        <w:rPr>
          <w:rFonts w:ascii="Times New Roman" w:hAnsi="Times New Roman" w:cs="Times New Roman"/>
        </w:rPr>
        <w:t xml:space="preserve"> </w:t>
      </w:r>
      <w:r w:rsidR="007D548C" w:rsidRPr="00985A6A">
        <w:rPr>
          <w:rFonts w:ascii="Times New Roman" w:hAnsi="Times New Roman" w:cs="Times New Roman"/>
        </w:rPr>
        <w:t>phylactery</w:t>
      </w:r>
      <w:r w:rsidRPr="00985A6A">
        <w:rPr>
          <w:rFonts w:ascii="Times New Roman" w:hAnsi="Times New Roman" w:cs="Times New Roman"/>
        </w:rPr>
        <w:t xml:space="preserve"> to protect the </w:t>
      </w:r>
      <w:r w:rsidR="007D548C" w:rsidRPr="00985A6A">
        <w:rPr>
          <w:rFonts w:ascii="Times New Roman" w:hAnsi="Times New Roman" w:cs="Times New Roman"/>
        </w:rPr>
        <w:t>client/</w:t>
      </w:r>
      <w:r w:rsidRPr="00985A6A">
        <w:rPr>
          <w:rFonts w:ascii="Times New Roman" w:hAnsi="Times New Roman" w:cs="Times New Roman"/>
        </w:rPr>
        <w:t xml:space="preserve">patient from further harm when the ritual specialist conjures the daimon. </w:t>
      </w:r>
      <w:r w:rsidR="00C978BC">
        <w:rPr>
          <w:rFonts w:ascii="Times New Roman" w:hAnsi="Times New Roman" w:cs="Times New Roman"/>
        </w:rPr>
        <w:t>T</w:t>
      </w:r>
      <w:r w:rsidRPr="00985A6A">
        <w:rPr>
          <w:rFonts w:ascii="Times New Roman" w:hAnsi="Times New Roman" w:cs="Times New Roman"/>
        </w:rPr>
        <w:t xml:space="preserve">he procedure </w:t>
      </w:r>
      <w:r w:rsidR="00C978BC">
        <w:rPr>
          <w:rFonts w:ascii="Times New Roman" w:hAnsi="Times New Roman" w:cs="Times New Roman"/>
        </w:rPr>
        <w:t>centres around</w:t>
      </w:r>
      <w:r w:rsidRPr="00985A6A">
        <w:rPr>
          <w:rFonts w:ascii="Times New Roman" w:hAnsi="Times New Roman" w:cs="Times New Roman"/>
        </w:rPr>
        <w:t xml:space="preserve"> a verbal recitation that invokes </w:t>
      </w:r>
      <w:r w:rsidR="003B12B4">
        <w:rPr>
          <w:rFonts w:ascii="Times New Roman" w:hAnsi="Times New Roman" w:cs="Times New Roman"/>
        </w:rPr>
        <w:t>“</w:t>
      </w:r>
      <w:r w:rsidRPr="00985A6A">
        <w:rPr>
          <w:rFonts w:ascii="Times New Roman" w:hAnsi="Times New Roman" w:cs="Times New Roman"/>
        </w:rPr>
        <w:t>the god of the Hebrews</w:t>
      </w:r>
      <w:r w:rsidR="00C978BC">
        <w:rPr>
          <w:rFonts w:ascii="Times New Roman" w:hAnsi="Times New Roman" w:cs="Times New Roman"/>
        </w:rPr>
        <w:t xml:space="preserve">, </w:t>
      </w:r>
      <w:r w:rsidRPr="00985A6A">
        <w:rPr>
          <w:rFonts w:ascii="Times New Roman" w:hAnsi="Times New Roman" w:cs="Times New Roman"/>
        </w:rPr>
        <w:t>Jesus</w:t>
      </w:r>
      <w:r w:rsidR="00E84BAC">
        <w:rPr>
          <w:rFonts w:ascii="Times New Roman" w:hAnsi="Times New Roman" w:cs="Times New Roman"/>
        </w:rPr>
        <w:t>,</w:t>
      </w:r>
      <w:r w:rsidR="003B12B4">
        <w:rPr>
          <w:rFonts w:ascii="Times New Roman" w:hAnsi="Times New Roman" w:cs="Times New Roman"/>
        </w:rPr>
        <w:t>”</w:t>
      </w:r>
      <w:r w:rsidR="003B12B4">
        <w:rPr>
          <w:rStyle w:val="FootnoteReference"/>
          <w:rFonts w:ascii="Times New Roman" w:hAnsi="Times New Roman" w:cs="Times New Roman"/>
        </w:rPr>
        <w:footnoteReference w:id="40"/>
      </w:r>
      <w:r w:rsidRPr="00985A6A">
        <w:rPr>
          <w:rFonts w:ascii="Times New Roman" w:hAnsi="Times New Roman" w:cs="Times New Roman"/>
        </w:rPr>
        <w:t xml:space="preserve"> with elevated language and demonstrating profound respect. </w:t>
      </w:r>
      <w:r w:rsidR="00C978BC">
        <w:rPr>
          <w:rFonts w:ascii="Times New Roman" w:hAnsi="Times New Roman" w:cs="Times New Roman"/>
        </w:rPr>
        <w:t>This unusual invocation</w:t>
      </w:r>
      <w:r w:rsidRPr="00985A6A">
        <w:rPr>
          <w:rFonts w:ascii="Times New Roman" w:hAnsi="Times New Roman" w:cs="Times New Roman"/>
        </w:rPr>
        <w:t xml:space="preserve"> has been the subject of scholarly attention and debat</w:t>
      </w:r>
      <w:r w:rsidR="00ED1203" w:rsidRPr="00985A6A">
        <w:rPr>
          <w:rFonts w:ascii="Times New Roman" w:hAnsi="Times New Roman" w:cs="Times New Roman"/>
        </w:rPr>
        <w:t xml:space="preserve">e for </w:t>
      </w:r>
      <w:r w:rsidR="00C978BC">
        <w:rPr>
          <w:rFonts w:ascii="Times New Roman" w:hAnsi="Times New Roman" w:cs="Times New Roman"/>
        </w:rPr>
        <w:t>over</w:t>
      </w:r>
      <w:r w:rsidR="00ED1203" w:rsidRPr="00985A6A">
        <w:rPr>
          <w:rFonts w:ascii="Times New Roman" w:hAnsi="Times New Roman" w:cs="Times New Roman"/>
        </w:rPr>
        <w:t xml:space="preserve"> a century.</w:t>
      </w:r>
      <w:r w:rsidR="00ED1203" w:rsidRPr="00985A6A">
        <w:rPr>
          <w:rStyle w:val="FootnoteReference"/>
          <w:rFonts w:ascii="Times New Roman" w:hAnsi="Times New Roman" w:cs="Times New Roman"/>
        </w:rPr>
        <w:footnoteReference w:id="41"/>
      </w:r>
      <w:r w:rsidRPr="00985A6A">
        <w:rPr>
          <w:rFonts w:ascii="Times New Roman" w:hAnsi="Times New Roman" w:cs="Times New Roman"/>
        </w:rPr>
        <w:t xml:space="preserve"> The distinctive configuration of the deity’s name, coupled with the spell’s opening attribution to Pibechis, a legendary Egyptian magician,</w:t>
      </w:r>
      <w:r w:rsidR="00F5221A" w:rsidRPr="00985A6A">
        <w:rPr>
          <w:rStyle w:val="FootnoteReference"/>
          <w:rFonts w:ascii="Times New Roman" w:hAnsi="Times New Roman" w:cs="Times New Roman"/>
        </w:rPr>
        <w:footnoteReference w:id="42"/>
      </w:r>
      <w:r w:rsidRPr="00985A6A">
        <w:rPr>
          <w:rFonts w:ascii="Times New Roman" w:hAnsi="Times New Roman" w:cs="Times New Roman"/>
        </w:rPr>
        <w:t xml:space="preserve"> highlights the syncretic nature of the Greek Magical Papyri. </w:t>
      </w:r>
      <w:r w:rsidR="003B12B4">
        <w:rPr>
          <w:rFonts w:ascii="Times New Roman" w:hAnsi="Times New Roman" w:cs="Times New Roman"/>
        </w:rPr>
        <w:t>Additionally</w:t>
      </w:r>
      <w:r w:rsidR="00374065" w:rsidRPr="00985A6A">
        <w:rPr>
          <w:rFonts w:ascii="Times New Roman" w:hAnsi="Times New Roman" w:cs="Times New Roman"/>
        </w:rPr>
        <w:t xml:space="preserve">, </w:t>
      </w:r>
      <w:r w:rsidR="003B12B4">
        <w:rPr>
          <w:rFonts w:ascii="Times New Roman" w:hAnsi="Times New Roman" w:cs="Times New Roman"/>
        </w:rPr>
        <w:t xml:space="preserve">Roy </w:t>
      </w:r>
      <w:r w:rsidR="005E6671" w:rsidRPr="00985A6A">
        <w:rPr>
          <w:rFonts w:ascii="Times New Roman" w:hAnsi="Times New Roman" w:cs="Times New Roman"/>
        </w:rPr>
        <w:t xml:space="preserve">Kotansky </w:t>
      </w:r>
      <w:r w:rsidR="009F320F" w:rsidRPr="00985A6A">
        <w:rPr>
          <w:rFonts w:ascii="Times New Roman" w:hAnsi="Times New Roman" w:cs="Times New Roman"/>
        </w:rPr>
        <w:t xml:space="preserve">asserts that the text also </w:t>
      </w:r>
      <w:r w:rsidR="009D41DB" w:rsidRPr="00985A6A">
        <w:rPr>
          <w:rFonts w:ascii="Times New Roman" w:hAnsi="Times New Roman" w:cs="Times New Roman"/>
        </w:rPr>
        <w:t xml:space="preserve">contains </w:t>
      </w:r>
      <w:r w:rsidR="003B12B4">
        <w:rPr>
          <w:rFonts w:ascii="Times New Roman" w:hAnsi="Times New Roman" w:cs="Times New Roman"/>
        </w:rPr>
        <w:t>“</w:t>
      </w:r>
      <w:r w:rsidR="009D41DB" w:rsidRPr="00985A6A">
        <w:rPr>
          <w:rFonts w:ascii="Times New Roman" w:hAnsi="Times New Roman" w:cs="Times New Roman"/>
        </w:rPr>
        <w:t>glimpses of vestigial Greek netherworld demonology</w:t>
      </w:r>
      <w:r w:rsidR="003B12B4">
        <w:rPr>
          <w:rFonts w:ascii="Times New Roman" w:hAnsi="Times New Roman" w:cs="Times New Roman"/>
        </w:rPr>
        <w:t>”</w:t>
      </w:r>
      <w:r w:rsidR="00111C50" w:rsidRPr="00985A6A">
        <w:rPr>
          <w:rFonts w:ascii="Times New Roman" w:hAnsi="Times New Roman" w:cs="Times New Roman"/>
        </w:rPr>
        <w:t xml:space="preserve"> in</w:t>
      </w:r>
      <w:r w:rsidR="006C61F4" w:rsidRPr="00985A6A">
        <w:rPr>
          <w:rFonts w:ascii="Times New Roman" w:hAnsi="Times New Roman" w:cs="Times New Roman"/>
        </w:rPr>
        <w:t xml:space="preserve"> the use of epithet</w:t>
      </w:r>
      <w:r w:rsidR="00C978BC">
        <w:rPr>
          <w:rFonts w:ascii="Times New Roman" w:hAnsi="Times New Roman" w:cs="Times New Roman"/>
        </w:rPr>
        <w:t>s</w:t>
      </w:r>
      <w:r w:rsidR="006C61F4" w:rsidRPr="00985A6A">
        <w:rPr>
          <w:rFonts w:ascii="Times New Roman" w:hAnsi="Times New Roman" w:cs="Times New Roman"/>
        </w:rPr>
        <w:t xml:space="preserve"> associated with Hades and familiar from Homer.</w:t>
      </w:r>
      <w:r w:rsidR="00E1391A" w:rsidRPr="00985A6A">
        <w:rPr>
          <w:rStyle w:val="FootnoteReference"/>
          <w:rFonts w:ascii="Times New Roman" w:hAnsi="Times New Roman" w:cs="Times New Roman"/>
        </w:rPr>
        <w:footnoteReference w:id="43"/>
      </w:r>
      <w:r w:rsidR="006C61F4" w:rsidRPr="00985A6A">
        <w:rPr>
          <w:rFonts w:ascii="Times New Roman" w:hAnsi="Times New Roman" w:cs="Times New Roman"/>
        </w:rPr>
        <w:t xml:space="preserve"> </w:t>
      </w:r>
      <w:r w:rsidRPr="00985A6A">
        <w:rPr>
          <w:rFonts w:ascii="Times New Roman" w:hAnsi="Times New Roman" w:cs="Times New Roman"/>
        </w:rPr>
        <w:t xml:space="preserve">This blend of references and influences underscores the complex interplay of cultural, religious, and magical elements within the corpus. </w:t>
      </w:r>
    </w:p>
    <w:p w14:paraId="49DFA448" w14:textId="09AA17EF" w:rsidR="00C60489" w:rsidRPr="00C60489" w:rsidRDefault="00C60489" w:rsidP="00486F35">
      <w:pPr>
        <w:spacing w:line="240" w:lineRule="auto"/>
        <w:ind w:firstLine="0"/>
        <w:rPr>
          <w:rFonts w:ascii="Times New Roman" w:hAnsi="Times New Roman" w:cs="Times New Roman"/>
          <w:i/>
          <w:iCs/>
        </w:rPr>
      </w:pPr>
      <w:r w:rsidRPr="00C60489">
        <w:rPr>
          <w:rFonts w:ascii="Times New Roman" w:hAnsi="Times New Roman" w:cs="Times New Roman"/>
          <w:i/>
          <w:iCs/>
        </w:rPr>
        <w:t>(Opening instructions</w:t>
      </w:r>
      <w:r w:rsidR="00E964BB">
        <w:rPr>
          <w:rFonts w:ascii="Times New Roman" w:hAnsi="Times New Roman" w:cs="Times New Roman"/>
          <w:i/>
          <w:iCs/>
        </w:rPr>
        <w:t>, PGM IV.3007-3013</w:t>
      </w:r>
      <w:r w:rsidRPr="00C60489">
        <w:rPr>
          <w:rFonts w:ascii="Times New Roman" w:hAnsi="Times New Roman" w:cs="Times New Roman"/>
          <w:i/>
          <w:iCs/>
        </w:rPr>
        <w:t>)</w:t>
      </w:r>
    </w:p>
    <w:p w14:paraId="0C7217A1" w14:textId="77777777" w:rsidR="00E964BB" w:rsidRDefault="006E44D2" w:rsidP="00486F35">
      <w:pPr>
        <w:spacing w:line="240" w:lineRule="auto"/>
        <w:ind w:firstLine="0"/>
      </w:pPr>
      <w:r w:rsidRPr="00985A6A">
        <w:rPr>
          <w:rFonts w:ascii="Times New Roman" w:hAnsi="Times New Roman" w:cs="Times New Roman"/>
        </w:rPr>
        <w:t xml:space="preserve">The </w:t>
      </w:r>
      <w:r w:rsidR="007956AC" w:rsidRPr="00985A6A">
        <w:rPr>
          <w:rFonts w:ascii="Times New Roman" w:hAnsi="Times New Roman" w:cs="Times New Roman"/>
        </w:rPr>
        <w:t xml:space="preserve">magical </w:t>
      </w:r>
      <w:r w:rsidR="004C5717">
        <w:rPr>
          <w:rFonts w:ascii="Times New Roman" w:hAnsi="Times New Roman" w:cs="Times New Roman"/>
        </w:rPr>
        <w:t>text</w:t>
      </w:r>
      <w:r w:rsidRPr="00985A6A">
        <w:rPr>
          <w:rFonts w:ascii="Times New Roman" w:hAnsi="Times New Roman" w:cs="Times New Roman"/>
        </w:rPr>
        <w:t xml:space="preserve"> can be divided into four main sections: the opening instructions, instructions for creating an amulet, the verbal formula for recitation, and the closing instructions.</w:t>
      </w:r>
      <w:r w:rsidRPr="00985A6A">
        <w:rPr>
          <w:rStyle w:val="FootnoteReference"/>
          <w:rFonts w:ascii="Times New Roman" w:hAnsi="Times New Roman" w:cs="Times New Roman"/>
        </w:rPr>
        <w:footnoteReference w:id="44"/>
      </w:r>
      <w:r w:rsidRPr="00985A6A">
        <w:rPr>
          <w:rFonts w:ascii="Times New Roman" w:hAnsi="Times New Roman" w:cs="Times New Roman"/>
          <w:color w:val="000000" w:themeColor="text1"/>
        </w:rPr>
        <w:t xml:space="preserve"> </w:t>
      </w:r>
      <w:r w:rsidR="00FB44B4" w:rsidRPr="00985A6A">
        <w:rPr>
          <w:rFonts w:ascii="Times New Roman" w:eastAsia="Times New Roman" w:hAnsi="Times New Roman" w:cs="Times New Roman"/>
        </w:rPr>
        <w:t xml:space="preserve">The </w:t>
      </w:r>
      <w:r w:rsidRPr="00985A6A">
        <w:rPr>
          <w:rFonts w:ascii="Times New Roman" w:eastAsia="Times New Roman" w:hAnsi="Times New Roman" w:cs="Times New Roman"/>
        </w:rPr>
        <w:t>opening instructions detail the preparation of</w:t>
      </w:r>
      <w:r w:rsidR="00FB44B4" w:rsidRPr="00985A6A">
        <w:rPr>
          <w:rFonts w:ascii="Times New Roman" w:eastAsia="Times New Roman" w:hAnsi="Times New Roman" w:cs="Times New Roman"/>
        </w:rPr>
        <w:t xml:space="preserve"> a concoction presumably applied to the patient in preparation for the exorcistic ritual. </w:t>
      </w:r>
      <w:r w:rsidR="00136558" w:rsidRPr="00985A6A">
        <w:rPr>
          <w:rFonts w:ascii="Times New Roman" w:hAnsi="Times New Roman" w:cs="Times New Roman"/>
        </w:rPr>
        <w:t>The ingredients are mixed while a</w:t>
      </w:r>
      <w:r w:rsidR="0054609E" w:rsidRPr="00985A6A">
        <w:rPr>
          <w:rFonts w:ascii="Times New Roman" w:hAnsi="Times New Roman" w:cs="Times New Roman"/>
        </w:rPr>
        <w:t>n incantation</w:t>
      </w:r>
      <w:r w:rsidR="00136558" w:rsidRPr="00985A6A">
        <w:rPr>
          <w:rFonts w:ascii="Times New Roman" w:hAnsi="Times New Roman" w:cs="Times New Roman"/>
        </w:rPr>
        <w:t xml:space="preserve"> is recited, with directions to incorporate the patient</w:t>
      </w:r>
      <w:r w:rsidR="00C978BC">
        <w:rPr>
          <w:rFonts w:ascii="Times New Roman" w:hAnsi="Times New Roman" w:cs="Times New Roman"/>
        </w:rPr>
        <w:t>’</w:t>
      </w:r>
      <w:r w:rsidR="00136558" w:rsidRPr="00985A6A">
        <w:rPr>
          <w:rFonts w:ascii="Times New Roman" w:hAnsi="Times New Roman" w:cs="Times New Roman"/>
        </w:rPr>
        <w:t xml:space="preserve">s name. This process illustrates the blend of </w:t>
      </w:r>
      <w:r w:rsidR="00136558" w:rsidRPr="00985A6A">
        <w:rPr>
          <w:rStyle w:val="Emphasis"/>
          <w:rFonts w:ascii="Times New Roman" w:hAnsi="Times New Roman" w:cs="Times New Roman"/>
        </w:rPr>
        <w:t>praxis</w:t>
      </w:r>
      <w:r w:rsidR="00136558" w:rsidRPr="00985A6A">
        <w:rPr>
          <w:rFonts w:ascii="Times New Roman" w:hAnsi="Times New Roman" w:cs="Times New Roman"/>
        </w:rPr>
        <w:t xml:space="preserve"> (preparations, procedures, and ingredients) and </w:t>
      </w:r>
      <w:r w:rsidR="00136558" w:rsidRPr="00985A6A">
        <w:rPr>
          <w:rStyle w:val="Emphasis"/>
          <w:rFonts w:ascii="Times New Roman" w:hAnsi="Times New Roman" w:cs="Times New Roman"/>
        </w:rPr>
        <w:t>logos</w:t>
      </w:r>
      <w:r w:rsidR="00136558" w:rsidRPr="00985A6A">
        <w:rPr>
          <w:rFonts w:ascii="Times New Roman" w:hAnsi="Times New Roman" w:cs="Times New Roman"/>
        </w:rPr>
        <w:t xml:space="preserve"> (incantations, names, and figures) characteristic of the Greco-Egyptian magical formularies.</w:t>
      </w:r>
      <w:r w:rsidR="00136558" w:rsidRPr="00985A6A">
        <w:rPr>
          <w:rStyle w:val="FootnoteReference"/>
          <w:rFonts w:ascii="Times New Roman" w:hAnsi="Times New Roman" w:cs="Times New Roman"/>
        </w:rPr>
        <w:footnoteReference w:id="45"/>
      </w:r>
      <w:r w:rsidR="00136558" w:rsidRPr="00985A6A">
        <w:t xml:space="preserve"> </w:t>
      </w:r>
    </w:p>
    <w:p w14:paraId="19735FE5" w14:textId="77777777" w:rsidR="00E964BB" w:rsidRDefault="00FB44B4" w:rsidP="00486F35">
      <w:pPr>
        <w:spacing w:line="240" w:lineRule="auto"/>
        <w:ind w:firstLine="720"/>
        <w:rPr>
          <w:rFonts w:ascii="Times New Roman" w:eastAsia="Times New Roman" w:hAnsi="Times New Roman" w:cs="Times New Roman"/>
        </w:rPr>
      </w:pPr>
      <w:r w:rsidRPr="00985A6A">
        <w:rPr>
          <w:rFonts w:ascii="Times New Roman" w:eastAsia="Times New Roman" w:hAnsi="Times New Roman" w:cs="Times New Roman"/>
        </w:rPr>
        <w:t xml:space="preserve">Although rarely noted in scholarly analysis, it is </w:t>
      </w:r>
      <w:r w:rsidR="0054609E" w:rsidRPr="00985A6A">
        <w:rPr>
          <w:rFonts w:ascii="Times New Roman" w:eastAsia="Times New Roman" w:hAnsi="Times New Roman" w:cs="Times New Roman"/>
        </w:rPr>
        <w:t>interesting</w:t>
      </w:r>
      <w:r w:rsidRPr="00985A6A">
        <w:rPr>
          <w:rFonts w:ascii="Times New Roman" w:eastAsia="Times New Roman" w:hAnsi="Times New Roman" w:cs="Times New Roman"/>
        </w:rPr>
        <w:t xml:space="preserve"> that this spell is immediately preceded in the codex by instructions for the ritual specialist on how to obtain herbs (PGM IV.2967–3006, ‘Among the Egyptians herbs are always obtained like this’).</w:t>
      </w:r>
      <w:r w:rsidR="0054137A" w:rsidRPr="00985A6A">
        <w:rPr>
          <w:rStyle w:val="FootnoteReference"/>
          <w:rFonts w:ascii="Times New Roman" w:eastAsia="Times New Roman" w:hAnsi="Times New Roman" w:cs="Times New Roman"/>
        </w:rPr>
        <w:footnoteReference w:id="46"/>
      </w:r>
      <w:r w:rsidRPr="00985A6A">
        <w:rPr>
          <w:rFonts w:ascii="Times New Roman" w:eastAsia="Times New Roman" w:hAnsi="Times New Roman" w:cs="Times New Roman"/>
        </w:rPr>
        <w:t xml:space="preserve"> These directions include purifying the body, offering libations, invoking the name of the daimon to whom the herb will be dedicated to ensure its efficacy, and placing the herb in </w:t>
      </w:r>
      <w:r w:rsidR="00C978BC">
        <w:rPr>
          <w:rFonts w:ascii="Times New Roman" w:eastAsia="Times New Roman" w:hAnsi="Times New Roman" w:cs="Times New Roman"/>
        </w:rPr>
        <w:t xml:space="preserve">a </w:t>
      </w:r>
      <w:r w:rsidRPr="00985A6A">
        <w:rPr>
          <w:rFonts w:ascii="Times New Roman" w:eastAsia="Times New Roman" w:hAnsi="Times New Roman" w:cs="Times New Roman"/>
        </w:rPr>
        <w:t xml:space="preserve">pure linen cloth to prevent its corruption before use. Although the herb-gathering spell invokes Greek deities, it is </w:t>
      </w:r>
      <w:r w:rsidR="00136558" w:rsidRPr="00985A6A">
        <w:rPr>
          <w:rFonts w:ascii="Times New Roman" w:eastAsia="Times New Roman" w:hAnsi="Times New Roman" w:cs="Times New Roman"/>
        </w:rPr>
        <w:t>reasonable to assume that a similar</w:t>
      </w:r>
      <w:r w:rsidRPr="00985A6A">
        <w:rPr>
          <w:rFonts w:ascii="Times New Roman" w:eastAsia="Times New Roman" w:hAnsi="Times New Roman" w:cs="Times New Roman"/>
        </w:rPr>
        <w:t xml:space="preserve"> rituali</w:t>
      </w:r>
      <w:r w:rsidR="00E84BAC">
        <w:rPr>
          <w:rFonts w:ascii="Times New Roman" w:eastAsia="Times New Roman" w:hAnsi="Times New Roman" w:cs="Times New Roman"/>
        </w:rPr>
        <w:t>s</w:t>
      </w:r>
      <w:r w:rsidRPr="00985A6A">
        <w:rPr>
          <w:rFonts w:ascii="Times New Roman" w:eastAsia="Times New Roman" w:hAnsi="Times New Roman" w:cs="Times New Roman"/>
        </w:rPr>
        <w:t>ed preparation of ingredients was observed for the exorcistic spell under consideration.</w:t>
      </w:r>
      <w:r w:rsidR="00136558" w:rsidRPr="00985A6A">
        <w:rPr>
          <w:rFonts w:ascii="Times New Roman" w:eastAsia="Times New Roman" w:hAnsi="Times New Roman" w:cs="Times New Roman"/>
        </w:rPr>
        <w:t xml:space="preserve"> </w:t>
      </w:r>
    </w:p>
    <w:p w14:paraId="62DA0E6E" w14:textId="2E14D878" w:rsidR="00FB44B4" w:rsidRDefault="00E964BB" w:rsidP="00486F35">
      <w:pPr>
        <w:spacing w:line="240" w:lineRule="auto"/>
        <w:ind w:firstLine="720"/>
        <w:rPr>
          <w:rFonts w:ascii="Times New Roman" w:hAnsi="Times New Roman" w:cs="Times New Roman"/>
        </w:rPr>
      </w:pPr>
      <w:r w:rsidRPr="00985A6A">
        <w:rPr>
          <w:rFonts w:ascii="Times New Roman" w:hAnsi="Times New Roman" w:cs="Times New Roman"/>
        </w:rPr>
        <w:t xml:space="preserve">Ingredients, such as oil of unripe olives, herb </w:t>
      </w:r>
      <w:proofErr w:type="spellStart"/>
      <w:r w:rsidRPr="00985A6A">
        <w:rPr>
          <w:rFonts w:ascii="Times New Roman" w:hAnsi="Times New Roman" w:cs="Times New Roman"/>
        </w:rPr>
        <w:t>mastigia</w:t>
      </w:r>
      <w:proofErr w:type="spellEnd"/>
      <w:r w:rsidRPr="00985A6A">
        <w:rPr>
          <w:rFonts w:ascii="Times New Roman" w:hAnsi="Times New Roman" w:cs="Times New Roman"/>
        </w:rPr>
        <w:t>, lotus fruit pulp, and colourless marjoram used in this spell, were thought to have a sympathetic correspondence with divine forces and the expected outcome of the ritual.</w:t>
      </w:r>
      <w:r w:rsidRPr="00985A6A">
        <w:rPr>
          <w:rStyle w:val="FootnoteReference"/>
          <w:rFonts w:ascii="Times New Roman" w:hAnsi="Times New Roman" w:cs="Times New Roman"/>
        </w:rPr>
        <w:footnoteReference w:id="47"/>
      </w:r>
      <w:r w:rsidRPr="00985A6A">
        <w:rPr>
          <w:rFonts w:ascii="Times New Roman" w:hAnsi="Times New Roman" w:cs="Times New Roman"/>
        </w:rPr>
        <w:t xml:space="preserve"> Anointing the sick with olive oil and herbal mixtures was a widespread practice, and herbs were believed to be particularly effective in drawing out daimons.</w:t>
      </w:r>
      <w:r w:rsidRPr="00985A6A">
        <w:rPr>
          <w:rStyle w:val="FootnoteReference"/>
          <w:rFonts w:ascii="Times New Roman" w:hAnsi="Times New Roman" w:cs="Times New Roman"/>
        </w:rPr>
        <w:footnoteReference w:id="48"/>
      </w:r>
      <w:r>
        <w:rPr>
          <w:rFonts w:ascii="Times New Roman" w:hAnsi="Times New Roman" w:cs="Times New Roman"/>
        </w:rPr>
        <w:t xml:space="preserve"> </w:t>
      </w:r>
      <w:r w:rsidR="0054609E" w:rsidRPr="00985A6A">
        <w:rPr>
          <w:rFonts w:ascii="Times New Roman" w:hAnsi="Times New Roman" w:cs="Times New Roman"/>
        </w:rPr>
        <w:t xml:space="preserve">It was believed that plants, animals, and stones possessed </w:t>
      </w:r>
      <w:r w:rsidR="0054609E" w:rsidRPr="00985A6A">
        <w:rPr>
          <w:rStyle w:val="Emphasis"/>
          <w:rFonts w:ascii="Times New Roman" w:hAnsi="Times New Roman" w:cs="Times New Roman"/>
        </w:rPr>
        <w:t>dynamis</w:t>
      </w:r>
      <w:r w:rsidR="0054609E" w:rsidRPr="00985A6A">
        <w:rPr>
          <w:rFonts w:ascii="Times New Roman" w:hAnsi="Times New Roman" w:cs="Times New Roman"/>
        </w:rPr>
        <w:t xml:space="preserve">, a power </w:t>
      </w:r>
      <w:r w:rsidR="00C978BC">
        <w:rPr>
          <w:rFonts w:ascii="Times New Roman" w:hAnsi="Times New Roman" w:cs="Times New Roman"/>
        </w:rPr>
        <w:t>the ritual practitioner could manipulate</w:t>
      </w:r>
      <w:r w:rsidR="0054609E" w:rsidRPr="00985A6A">
        <w:rPr>
          <w:rFonts w:ascii="Times New Roman" w:hAnsi="Times New Roman" w:cs="Times New Roman"/>
        </w:rPr>
        <w:t>.</w:t>
      </w:r>
      <w:r w:rsidR="000A1515" w:rsidRPr="00985A6A">
        <w:rPr>
          <w:rStyle w:val="FootnoteReference"/>
          <w:rFonts w:ascii="Times New Roman" w:hAnsi="Times New Roman" w:cs="Times New Roman"/>
        </w:rPr>
        <w:footnoteReference w:id="49"/>
      </w:r>
      <w:r w:rsidR="0054609E" w:rsidRPr="00985A6A">
        <w:rPr>
          <w:rFonts w:ascii="Times New Roman" w:hAnsi="Times New Roman" w:cs="Times New Roman"/>
        </w:rPr>
        <w:t xml:space="preserve"> When used in the proper proportion</w:t>
      </w:r>
      <w:r w:rsidR="000A1515" w:rsidRPr="00985A6A">
        <w:rPr>
          <w:rFonts w:ascii="Times New Roman" w:hAnsi="Times New Roman" w:cs="Times New Roman"/>
        </w:rPr>
        <w:t xml:space="preserve"> and manner</w:t>
      </w:r>
      <w:r w:rsidR="0054609E" w:rsidRPr="00985A6A">
        <w:rPr>
          <w:rFonts w:ascii="Times New Roman" w:hAnsi="Times New Roman" w:cs="Times New Roman"/>
        </w:rPr>
        <w:t xml:space="preserve">, </w:t>
      </w:r>
      <w:r w:rsidR="000A1515" w:rsidRPr="00985A6A">
        <w:rPr>
          <w:rFonts w:ascii="Times New Roman" w:hAnsi="Times New Roman" w:cs="Times New Roman"/>
        </w:rPr>
        <w:t>such materials aided in harnessing the power of the gods. Since the proper weight or portion is not specified in the text, the ritual specialist would be expected to possess such knowledge.</w:t>
      </w:r>
      <w:r w:rsidR="000A1515" w:rsidRPr="00985A6A">
        <w:rPr>
          <w:rStyle w:val="FootnoteReference"/>
          <w:rFonts w:ascii="Times New Roman" w:hAnsi="Times New Roman" w:cs="Times New Roman"/>
        </w:rPr>
        <w:footnoteReference w:id="50"/>
      </w:r>
      <w:r w:rsidR="000A1515" w:rsidRPr="00985A6A">
        <w:t xml:space="preserve"> </w:t>
      </w:r>
    </w:p>
    <w:p w14:paraId="5D5C0536" w14:textId="5286F0AE" w:rsidR="00C60489" w:rsidRPr="00C60489" w:rsidRDefault="00C60489" w:rsidP="00486F35">
      <w:pPr>
        <w:spacing w:line="240" w:lineRule="auto"/>
        <w:ind w:firstLine="0"/>
        <w:rPr>
          <w:rFonts w:ascii="Times New Roman" w:hAnsi="Times New Roman" w:cs="Times New Roman"/>
          <w:i/>
          <w:iCs/>
        </w:rPr>
      </w:pPr>
      <w:r w:rsidRPr="00C60489">
        <w:rPr>
          <w:rFonts w:ascii="Times New Roman" w:hAnsi="Times New Roman" w:cs="Times New Roman"/>
          <w:i/>
          <w:iCs/>
        </w:rPr>
        <w:t>(Directions for creating a phylactery</w:t>
      </w:r>
      <w:r w:rsidR="00E964BB">
        <w:rPr>
          <w:rFonts w:ascii="Times New Roman" w:hAnsi="Times New Roman" w:cs="Times New Roman"/>
          <w:i/>
          <w:iCs/>
        </w:rPr>
        <w:t>, PGM IV.3014-3018</w:t>
      </w:r>
      <w:r w:rsidRPr="00C60489">
        <w:rPr>
          <w:rFonts w:ascii="Times New Roman" w:hAnsi="Times New Roman" w:cs="Times New Roman"/>
          <w:i/>
          <w:iCs/>
        </w:rPr>
        <w:t>)</w:t>
      </w:r>
    </w:p>
    <w:p w14:paraId="1D05CEDB" w14:textId="77777777" w:rsidR="00616EFF" w:rsidRDefault="006E44D2" w:rsidP="00486F35">
      <w:pPr>
        <w:spacing w:line="240" w:lineRule="auto"/>
        <w:ind w:firstLine="0"/>
        <w:rPr>
          <w:rFonts w:ascii="Times New Roman" w:hAnsi="Times New Roman" w:cs="Times New Roman"/>
        </w:rPr>
      </w:pPr>
      <w:r w:rsidRPr="00985A6A">
        <w:rPr>
          <w:rFonts w:ascii="Times New Roman" w:hAnsi="Times New Roman" w:cs="Times New Roman"/>
        </w:rPr>
        <w:tab/>
        <w:t xml:space="preserve">These opening instructions are followed by directions for creating a phylactery or amulet, with the assurance that it is </w:t>
      </w:r>
      <w:r w:rsidR="00C978BC">
        <w:rPr>
          <w:rFonts w:ascii="Times New Roman" w:hAnsi="Times New Roman" w:cs="Times New Roman"/>
        </w:rPr>
        <w:t>“</w:t>
      </w:r>
      <w:r w:rsidRPr="00985A6A">
        <w:rPr>
          <w:rFonts w:ascii="Times New Roman" w:hAnsi="Times New Roman" w:cs="Times New Roman"/>
        </w:rPr>
        <w:t>terrifying to every daimon.</w:t>
      </w:r>
      <w:r w:rsidR="00C978BC">
        <w:rPr>
          <w:rFonts w:ascii="Times New Roman" w:hAnsi="Times New Roman" w:cs="Times New Roman"/>
        </w:rPr>
        <w:t>”</w:t>
      </w:r>
      <w:r w:rsidR="00616EFF">
        <w:rPr>
          <w:rStyle w:val="FootnoteReference"/>
          <w:rFonts w:ascii="Times New Roman" w:hAnsi="Times New Roman" w:cs="Times New Roman"/>
        </w:rPr>
        <w:footnoteReference w:id="51"/>
      </w:r>
      <w:r w:rsidRPr="00985A6A">
        <w:rPr>
          <w:rFonts w:ascii="Times New Roman" w:hAnsi="Times New Roman" w:cs="Times New Roman"/>
        </w:rPr>
        <w:t xml:space="preserve"> </w:t>
      </w:r>
      <w:r w:rsidR="00E510C4" w:rsidRPr="00985A6A">
        <w:rPr>
          <w:rFonts w:ascii="Times New Roman" w:hAnsi="Times New Roman" w:cs="Times New Roman"/>
        </w:rPr>
        <w:t xml:space="preserve">Here again, there is a combination of </w:t>
      </w:r>
      <w:r w:rsidR="00E510C4" w:rsidRPr="00985A6A">
        <w:rPr>
          <w:rStyle w:val="Emphasis"/>
          <w:rFonts w:ascii="Times New Roman" w:hAnsi="Times New Roman" w:cs="Times New Roman"/>
        </w:rPr>
        <w:t>praxis</w:t>
      </w:r>
      <w:r w:rsidR="00E510C4" w:rsidRPr="00985A6A">
        <w:rPr>
          <w:rFonts w:ascii="Times New Roman" w:hAnsi="Times New Roman" w:cs="Times New Roman"/>
        </w:rPr>
        <w:t xml:space="preserve"> and </w:t>
      </w:r>
      <w:r w:rsidR="00E510C4" w:rsidRPr="00985A6A">
        <w:rPr>
          <w:rStyle w:val="Emphasis"/>
          <w:rFonts w:ascii="Times New Roman" w:hAnsi="Times New Roman" w:cs="Times New Roman"/>
        </w:rPr>
        <w:t>logos</w:t>
      </w:r>
      <w:r w:rsidR="00E510C4" w:rsidRPr="00985A6A">
        <w:rPr>
          <w:rFonts w:ascii="Times New Roman" w:hAnsi="Times New Roman" w:cs="Times New Roman"/>
        </w:rPr>
        <w:t xml:space="preserve"> in the directions: the lamella, composed of tin and inscribed with magical names, is </w:t>
      </w:r>
      <w:r w:rsidR="00C77CD4" w:rsidRPr="00985A6A">
        <w:rPr>
          <w:rFonts w:ascii="Times New Roman" w:hAnsi="Times New Roman" w:cs="Times New Roman"/>
        </w:rPr>
        <w:t xml:space="preserve">hung on the patient and </w:t>
      </w:r>
      <w:r w:rsidR="00E510C4" w:rsidRPr="00985A6A">
        <w:rPr>
          <w:rFonts w:ascii="Times New Roman" w:hAnsi="Times New Roman" w:cs="Times New Roman"/>
        </w:rPr>
        <w:t xml:space="preserve">activated by verbal conjurations. </w:t>
      </w:r>
      <w:r w:rsidR="003B7CBA" w:rsidRPr="00985A6A">
        <w:rPr>
          <w:rFonts w:ascii="Times New Roman" w:hAnsi="Times New Roman" w:cs="Times New Roman"/>
        </w:rPr>
        <w:t xml:space="preserve">Protective </w:t>
      </w:r>
      <w:r w:rsidR="0092654B" w:rsidRPr="00985A6A">
        <w:rPr>
          <w:rFonts w:ascii="Times New Roman" w:hAnsi="Times New Roman" w:cs="Times New Roman"/>
        </w:rPr>
        <w:t>amulets w</w:t>
      </w:r>
      <w:r w:rsidR="003B7CBA" w:rsidRPr="00985A6A">
        <w:rPr>
          <w:rFonts w:ascii="Times New Roman" w:hAnsi="Times New Roman" w:cs="Times New Roman"/>
        </w:rPr>
        <w:t>ere widely used</w:t>
      </w:r>
      <w:r w:rsidR="0092654B" w:rsidRPr="00985A6A">
        <w:rPr>
          <w:rFonts w:ascii="Times New Roman" w:hAnsi="Times New Roman" w:cs="Times New Roman"/>
        </w:rPr>
        <w:t xml:space="preserve"> in the first centuries of the Common Era, worn around the neck or tied to the arm or hand, placed on doorframes, or hung on animals.</w:t>
      </w:r>
      <w:r w:rsidR="0092654B" w:rsidRPr="00985A6A">
        <w:rPr>
          <w:rStyle w:val="FootnoteReference"/>
          <w:rFonts w:ascii="Times New Roman" w:hAnsi="Times New Roman" w:cs="Times New Roman"/>
        </w:rPr>
        <w:footnoteReference w:id="52"/>
      </w:r>
      <w:r w:rsidR="0092654B" w:rsidRPr="00985A6A">
        <w:rPr>
          <w:rFonts w:ascii="Times New Roman" w:hAnsi="Times New Roman" w:cs="Times New Roman"/>
        </w:rPr>
        <w:t xml:space="preserve"> </w:t>
      </w:r>
      <w:r w:rsidR="00DE41D0" w:rsidRPr="00985A6A">
        <w:rPr>
          <w:rFonts w:ascii="Times New Roman" w:hAnsi="Times New Roman" w:cs="Times New Roman"/>
        </w:rPr>
        <w:t>Similar to the recipe for the anointing concoction, the specificity of the type of metal used for the lamella was intentional and held significance for the spell’s efficacy. Metals had different associations</w:t>
      </w:r>
      <w:r w:rsidR="00616EFF">
        <w:rPr>
          <w:rFonts w:ascii="Times New Roman" w:hAnsi="Times New Roman" w:cs="Times New Roman"/>
        </w:rPr>
        <w:t>, for example</w:t>
      </w:r>
      <w:r w:rsidR="00DE41D0" w:rsidRPr="00985A6A">
        <w:rPr>
          <w:rFonts w:ascii="Times New Roman" w:hAnsi="Times New Roman" w:cs="Times New Roman"/>
        </w:rPr>
        <w:t xml:space="preserve"> gold with the sun; silver with the moon; and lead, w</w:t>
      </w:r>
      <w:r w:rsidR="00C978BC">
        <w:rPr>
          <w:rFonts w:ascii="Times New Roman" w:hAnsi="Times New Roman" w:cs="Times New Roman"/>
        </w:rPr>
        <w:t>ith</w:t>
      </w:r>
      <w:r w:rsidR="00DE41D0" w:rsidRPr="00985A6A">
        <w:rPr>
          <w:rFonts w:ascii="Times New Roman" w:hAnsi="Times New Roman" w:cs="Times New Roman"/>
        </w:rPr>
        <w:t xml:space="preserve"> its association to Saturn-Kronos</w:t>
      </w:r>
      <w:r w:rsidR="00616EFF">
        <w:rPr>
          <w:rFonts w:ascii="Times New Roman" w:hAnsi="Times New Roman" w:cs="Times New Roman"/>
        </w:rPr>
        <w:t xml:space="preserve"> and </w:t>
      </w:r>
      <w:r w:rsidR="00DE41D0" w:rsidRPr="00985A6A">
        <w:rPr>
          <w:rFonts w:ascii="Times New Roman" w:hAnsi="Times New Roman" w:cs="Times New Roman"/>
        </w:rPr>
        <w:t xml:space="preserve">viewed as hostile to mortals, was considered appropriate for curse </w:t>
      </w:r>
      <w:r w:rsidR="00DE41D0" w:rsidRPr="00985A6A">
        <w:rPr>
          <w:rFonts w:ascii="Times New Roman" w:hAnsi="Times New Roman" w:cs="Times New Roman"/>
          <w:i/>
          <w:iCs/>
        </w:rPr>
        <w:t>defixiones</w:t>
      </w:r>
      <w:r w:rsidR="00DE41D0" w:rsidRPr="00985A6A">
        <w:rPr>
          <w:rFonts w:ascii="Times New Roman" w:hAnsi="Times New Roman" w:cs="Times New Roman"/>
        </w:rPr>
        <w:t>.</w:t>
      </w:r>
      <w:r w:rsidR="00DE41D0" w:rsidRPr="00985A6A">
        <w:rPr>
          <w:rStyle w:val="FootnoteReference"/>
          <w:rFonts w:ascii="Times New Roman" w:hAnsi="Times New Roman" w:cs="Times New Roman"/>
        </w:rPr>
        <w:footnoteReference w:id="53"/>
      </w:r>
      <w:r w:rsidR="00DE41D0" w:rsidRPr="00985A6A">
        <w:rPr>
          <w:rFonts w:ascii="Times New Roman" w:hAnsi="Times New Roman" w:cs="Times New Roman"/>
        </w:rPr>
        <w:t xml:space="preserve"> </w:t>
      </w:r>
      <w:r w:rsidR="00503618" w:rsidRPr="00985A6A">
        <w:rPr>
          <w:rFonts w:ascii="Times New Roman" w:hAnsi="Times New Roman" w:cs="Times New Roman"/>
        </w:rPr>
        <w:t>We can logically assume that tin would have been understood to possess a magical rationale appropriate for this spell due to sympathetic or antipathetic correspondences or via its contact with other ritual elements.</w:t>
      </w:r>
      <w:r w:rsidR="00503618" w:rsidRPr="00985A6A">
        <w:rPr>
          <w:rStyle w:val="FootnoteReference"/>
          <w:rFonts w:ascii="Times New Roman" w:hAnsi="Times New Roman" w:cs="Times New Roman"/>
        </w:rPr>
        <w:footnoteReference w:id="54"/>
      </w:r>
      <w:r w:rsidR="00503618" w:rsidRPr="00985A6A">
        <w:rPr>
          <w:rFonts w:ascii="Times New Roman" w:hAnsi="Times New Roman" w:cs="Times New Roman"/>
        </w:rPr>
        <w:t xml:space="preserve"> </w:t>
      </w:r>
    </w:p>
    <w:p w14:paraId="6B8DC621" w14:textId="3DA26653" w:rsidR="00DE41D0" w:rsidRDefault="00200D10" w:rsidP="00486F35">
      <w:pPr>
        <w:spacing w:line="240" w:lineRule="auto"/>
        <w:ind w:firstLine="720"/>
        <w:rPr>
          <w:rFonts w:ascii="Times New Roman" w:hAnsi="Times New Roman" w:cs="Times New Roman"/>
        </w:rPr>
      </w:pPr>
      <w:r w:rsidRPr="00985A6A">
        <w:rPr>
          <w:rFonts w:ascii="Times New Roman" w:hAnsi="Times New Roman" w:cs="Times New Roman"/>
        </w:rPr>
        <w:t>Magically charged a</w:t>
      </w:r>
      <w:r w:rsidR="0092654B" w:rsidRPr="00985A6A">
        <w:rPr>
          <w:rFonts w:ascii="Times New Roman" w:hAnsi="Times New Roman" w:cs="Times New Roman"/>
        </w:rPr>
        <w:t xml:space="preserve">mulets </w:t>
      </w:r>
      <w:r w:rsidRPr="00985A6A">
        <w:rPr>
          <w:rFonts w:ascii="Times New Roman" w:hAnsi="Times New Roman" w:cs="Times New Roman"/>
        </w:rPr>
        <w:t xml:space="preserve">were understood to </w:t>
      </w:r>
      <w:r w:rsidR="0092654B" w:rsidRPr="00985A6A">
        <w:rPr>
          <w:rFonts w:ascii="Times New Roman" w:hAnsi="Times New Roman" w:cs="Times New Roman"/>
        </w:rPr>
        <w:t xml:space="preserve">materially </w:t>
      </w:r>
      <w:r w:rsidRPr="00985A6A">
        <w:rPr>
          <w:rFonts w:ascii="Times New Roman" w:hAnsi="Times New Roman" w:cs="Times New Roman"/>
        </w:rPr>
        <w:t>repel</w:t>
      </w:r>
      <w:r w:rsidR="0092654B" w:rsidRPr="00985A6A">
        <w:rPr>
          <w:rFonts w:ascii="Times New Roman" w:hAnsi="Times New Roman" w:cs="Times New Roman"/>
        </w:rPr>
        <w:t xml:space="preserve"> </w:t>
      </w:r>
      <w:r w:rsidRPr="00985A6A">
        <w:rPr>
          <w:rFonts w:ascii="Times New Roman" w:hAnsi="Times New Roman" w:cs="Times New Roman"/>
        </w:rPr>
        <w:t xml:space="preserve">potentially dangerous </w:t>
      </w:r>
      <w:r w:rsidR="00616EFF">
        <w:rPr>
          <w:rFonts w:ascii="Times New Roman" w:hAnsi="Times New Roman" w:cs="Times New Roman"/>
        </w:rPr>
        <w:t>supernatural</w:t>
      </w:r>
      <w:r w:rsidR="0092654B" w:rsidRPr="00985A6A">
        <w:rPr>
          <w:rFonts w:ascii="Times New Roman" w:hAnsi="Times New Roman" w:cs="Times New Roman"/>
        </w:rPr>
        <w:t xml:space="preserve"> force</w:t>
      </w:r>
      <w:r w:rsidR="00616EFF">
        <w:rPr>
          <w:rFonts w:ascii="Times New Roman" w:hAnsi="Times New Roman" w:cs="Times New Roman"/>
        </w:rPr>
        <w:t xml:space="preserve">s </w:t>
      </w:r>
      <w:r w:rsidRPr="00985A6A">
        <w:rPr>
          <w:rFonts w:ascii="Times New Roman" w:hAnsi="Times New Roman" w:cs="Times New Roman"/>
        </w:rPr>
        <w:t>during ritual and in daily life</w:t>
      </w:r>
      <w:r w:rsidR="00616EFF">
        <w:rPr>
          <w:rFonts w:ascii="Times New Roman" w:hAnsi="Times New Roman" w:cs="Times New Roman"/>
        </w:rPr>
        <w:t>,</w:t>
      </w:r>
      <w:r w:rsidRPr="00985A6A">
        <w:rPr>
          <w:rStyle w:val="FootnoteReference"/>
          <w:rFonts w:ascii="Times New Roman" w:hAnsi="Times New Roman" w:cs="Times New Roman"/>
        </w:rPr>
        <w:footnoteReference w:id="55"/>
      </w:r>
      <w:r w:rsidR="0092654B" w:rsidRPr="00985A6A">
        <w:rPr>
          <w:rFonts w:ascii="Times New Roman" w:hAnsi="Times New Roman" w:cs="Times New Roman"/>
        </w:rPr>
        <w:t xml:space="preserve"> </w:t>
      </w:r>
      <w:r w:rsidR="00616EFF">
        <w:rPr>
          <w:rFonts w:ascii="Times New Roman" w:hAnsi="Times New Roman" w:cs="Times New Roman"/>
        </w:rPr>
        <w:t xml:space="preserve">and although not explicitly stated in the text, it is likely that the ritual specialist would </w:t>
      </w:r>
      <w:r w:rsidR="00A94F37">
        <w:rPr>
          <w:rFonts w:ascii="Times New Roman" w:hAnsi="Times New Roman" w:cs="Times New Roman"/>
        </w:rPr>
        <w:t>likewise have been protected</w:t>
      </w:r>
      <w:r w:rsidR="00616EFF">
        <w:rPr>
          <w:rFonts w:ascii="Times New Roman" w:hAnsi="Times New Roman" w:cs="Times New Roman"/>
        </w:rPr>
        <w:t xml:space="preserve">. </w:t>
      </w:r>
      <w:r w:rsidR="0092654B" w:rsidRPr="00985A6A">
        <w:rPr>
          <w:rFonts w:ascii="Times New Roman" w:hAnsi="Times New Roman" w:cs="Times New Roman"/>
        </w:rPr>
        <w:t>In the example of this spell, t</w:t>
      </w:r>
      <w:r w:rsidR="00503618" w:rsidRPr="00985A6A">
        <w:rPr>
          <w:rFonts w:ascii="Times New Roman" w:hAnsi="Times New Roman" w:cs="Times New Roman"/>
        </w:rPr>
        <w:t xml:space="preserve">he combination of material and the inscription of magical names </w:t>
      </w:r>
      <w:r w:rsidR="0092654B" w:rsidRPr="00985A6A">
        <w:rPr>
          <w:rFonts w:ascii="Times New Roman" w:hAnsi="Times New Roman" w:cs="Times New Roman"/>
        </w:rPr>
        <w:t>was</w:t>
      </w:r>
      <w:r w:rsidR="00503618" w:rsidRPr="00985A6A">
        <w:rPr>
          <w:rFonts w:ascii="Times New Roman" w:hAnsi="Times New Roman" w:cs="Times New Roman"/>
        </w:rPr>
        <w:t xml:space="preserve"> intended to disquiet a malevolent daimon, establishing a connection between the amulet’s guaranteed terrifying</w:t>
      </w:r>
      <w:r w:rsidR="0092654B" w:rsidRPr="00985A6A">
        <w:rPr>
          <w:rFonts w:ascii="Times New Roman" w:hAnsi="Times New Roman" w:cs="Times New Roman"/>
        </w:rPr>
        <w:t xml:space="preserve"> </w:t>
      </w:r>
      <w:r w:rsidR="00503618" w:rsidRPr="00985A6A">
        <w:rPr>
          <w:rFonts w:ascii="Times New Roman" w:hAnsi="Times New Roman" w:cs="Times New Roman"/>
        </w:rPr>
        <w:t xml:space="preserve">‘fear’ and the desired outcome of </w:t>
      </w:r>
      <w:r w:rsidR="00A94F37">
        <w:rPr>
          <w:rFonts w:ascii="Times New Roman" w:hAnsi="Times New Roman" w:cs="Times New Roman"/>
        </w:rPr>
        <w:t>‘</w:t>
      </w:r>
      <w:r w:rsidR="00503618" w:rsidRPr="00985A6A">
        <w:rPr>
          <w:rFonts w:ascii="Times New Roman" w:hAnsi="Times New Roman" w:cs="Times New Roman"/>
        </w:rPr>
        <w:t>flight.</w:t>
      </w:r>
      <w:r w:rsidR="00A94F37">
        <w:rPr>
          <w:rFonts w:ascii="Times New Roman" w:hAnsi="Times New Roman" w:cs="Times New Roman"/>
        </w:rPr>
        <w:t>’</w:t>
      </w:r>
      <w:r w:rsidR="00503618" w:rsidRPr="00985A6A">
        <w:rPr>
          <w:rStyle w:val="FootnoteReference"/>
          <w:rFonts w:ascii="Times New Roman" w:hAnsi="Times New Roman" w:cs="Times New Roman"/>
        </w:rPr>
        <w:footnoteReference w:id="56"/>
      </w:r>
      <w:r w:rsidR="00BC6342" w:rsidRPr="00985A6A">
        <w:rPr>
          <w:rFonts w:ascii="Times New Roman" w:hAnsi="Times New Roman" w:cs="Times New Roman"/>
        </w:rPr>
        <w:t xml:space="preserve"> Fear is a powerful tool in the ritual specialist</w:t>
      </w:r>
      <w:r w:rsidR="00C978BC">
        <w:rPr>
          <w:rFonts w:ascii="Times New Roman" w:hAnsi="Times New Roman" w:cs="Times New Roman"/>
        </w:rPr>
        <w:t>’</w:t>
      </w:r>
      <w:r w:rsidR="00BC6342" w:rsidRPr="00985A6A">
        <w:rPr>
          <w:rFonts w:ascii="Times New Roman" w:hAnsi="Times New Roman" w:cs="Times New Roman"/>
        </w:rPr>
        <w:t>s arsenal against unseen malevolent powers, compelling them to flee from the patient.</w:t>
      </w:r>
      <w:r w:rsidR="0092654B" w:rsidRPr="00985A6A">
        <w:rPr>
          <w:rFonts w:ascii="Times New Roman" w:hAnsi="Times New Roman" w:cs="Times New Roman"/>
        </w:rPr>
        <w:t xml:space="preserve"> </w:t>
      </w:r>
      <w:r w:rsidR="00E644C6" w:rsidRPr="00985A6A">
        <w:rPr>
          <w:rFonts w:ascii="Times New Roman" w:hAnsi="Times New Roman" w:cs="Times New Roman"/>
        </w:rPr>
        <w:t xml:space="preserve">The amulet was expected </w:t>
      </w:r>
      <w:r w:rsidR="00C978BC">
        <w:rPr>
          <w:rFonts w:ascii="Times New Roman" w:hAnsi="Times New Roman" w:cs="Times New Roman"/>
        </w:rPr>
        <w:t>to drive out the daimon and</w:t>
      </w:r>
      <w:r w:rsidR="00E644C6" w:rsidRPr="00985A6A">
        <w:rPr>
          <w:rFonts w:ascii="Times New Roman" w:hAnsi="Times New Roman" w:cs="Times New Roman"/>
        </w:rPr>
        <w:t xml:space="preserve"> provide ongoing apotropaic protection against the threat of its return.</w:t>
      </w:r>
    </w:p>
    <w:p w14:paraId="63C6765C" w14:textId="5D357F02" w:rsidR="00C60489" w:rsidRPr="00C60489" w:rsidRDefault="00C60489" w:rsidP="00486F35">
      <w:pPr>
        <w:spacing w:line="240" w:lineRule="auto"/>
        <w:ind w:firstLine="0"/>
        <w:rPr>
          <w:rFonts w:ascii="Times New Roman" w:hAnsi="Times New Roman" w:cs="Times New Roman"/>
          <w:i/>
          <w:iCs/>
        </w:rPr>
      </w:pPr>
      <w:r w:rsidRPr="00C60489">
        <w:rPr>
          <w:rFonts w:ascii="Times New Roman" w:hAnsi="Times New Roman" w:cs="Times New Roman"/>
          <w:i/>
          <w:iCs/>
        </w:rPr>
        <w:t>(Verbal conjurations</w:t>
      </w:r>
      <w:r w:rsidR="00A94F37">
        <w:rPr>
          <w:rFonts w:ascii="Times New Roman" w:hAnsi="Times New Roman" w:cs="Times New Roman"/>
          <w:i/>
          <w:iCs/>
        </w:rPr>
        <w:t>, PGM IV.3019-3078</w:t>
      </w:r>
      <w:r w:rsidRPr="00C60489">
        <w:rPr>
          <w:rFonts w:ascii="Times New Roman" w:hAnsi="Times New Roman" w:cs="Times New Roman"/>
          <w:i/>
          <w:iCs/>
        </w:rPr>
        <w:t>)</w:t>
      </w:r>
    </w:p>
    <w:p w14:paraId="7E21E870" w14:textId="23326C64" w:rsidR="006D4BC9" w:rsidRPr="00985A6A" w:rsidRDefault="00BF6810" w:rsidP="00486F35">
      <w:pPr>
        <w:spacing w:line="240" w:lineRule="auto"/>
        <w:rPr>
          <w:rFonts w:ascii="Times New Roman" w:eastAsia="Times New Roman" w:hAnsi="Times New Roman" w:cs="Times New Roman"/>
        </w:rPr>
      </w:pPr>
      <w:r w:rsidRPr="00985A6A">
        <w:rPr>
          <w:rFonts w:ascii="Times New Roman" w:hAnsi="Times New Roman" w:cs="Times New Roman"/>
        </w:rPr>
        <w:t>The verbal conjuration</w:t>
      </w:r>
      <w:r w:rsidR="00B33BA0" w:rsidRPr="00985A6A">
        <w:rPr>
          <w:rFonts w:ascii="Times New Roman" w:hAnsi="Times New Roman" w:cs="Times New Roman"/>
        </w:rPr>
        <w:t>s</w:t>
      </w:r>
      <w:r w:rsidR="00E644C6" w:rsidRPr="00985A6A">
        <w:rPr>
          <w:rFonts w:ascii="Times New Roman" w:hAnsi="Times New Roman" w:cs="Times New Roman"/>
        </w:rPr>
        <w:t xml:space="preserve"> </w:t>
      </w:r>
      <w:r w:rsidR="003721FA" w:rsidRPr="00985A6A">
        <w:rPr>
          <w:rFonts w:ascii="Times New Roman" w:hAnsi="Times New Roman" w:cs="Times New Roman"/>
        </w:rPr>
        <w:t>are</w:t>
      </w:r>
      <w:r w:rsidRPr="00985A6A">
        <w:rPr>
          <w:rFonts w:ascii="Times New Roman" w:hAnsi="Times New Roman" w:cs="Times New Roman"/>
        </w:rPr>
        <w:t xml:space="preserve"> the focal point of the ritual, emphasi</w:t>
      </w:r>
      <w:r w:rsidR="00E84BAC">
        <w:rPr>
          <w:rFonts w:ascii="Times New Roman" w:hAnsi="Times New Roman" w:cs="Times New Roman"/>
        </w:rPr>
        <w:t>s</w:t>
      </w:r>
      <w:r w:rsidRPr="00985A6A">
        <w:rPr>
          <w:rFonts w:ascii="Times New Roman" w:hAnsi="Times New Roman" w:cs="Times New Roman"/>
        </w:rPr>
        <w:t>ing the divine authority attributed to the Jewish/Christian deity within the context of the exorcistic proceeding, invoked using both a recogni</w:t>
      </w:r>
      <w:r w:rsidR="00E84BAC">
        <w:rPr>
          <w:rFonts w:ascii="Times New Roman" w:hAnsi="Times New Roman" w:cs="Times New Roman"/>
        </w:rPr>
        <w:t>s</w:t>
      </w:r>
      <w:r w:rsidRPr="00985A6A">
        <w:rPr>
          <w:rFonts w:ascii="Times New Roman" w:hAnsi="Times New Roman" w:cs="Times New Roman"/>
        </w:rPr>
        <w:t xml:space="preserve">able form of the name and a </w:t>
      </w:r>
      <w:r w:rsidRPr="00985A6A">
        <w:rPr>
          <w:rFonts w:ascii="Times New Roman" w:hAnsi="Times New Roman" w:cs="Times New Roman"/>
          <w:i/>
          <w:iCs/>
        </w:rPr>
        <w:t>voces magicae</w:t>
      </w:r>
      <w:r w:rsidRPr="00985A6A">
        <w:rPr>
          <w:rFonts w:ascii="Times New Roman" w:hAnsi="Times New Roman" w:cs="Times New Roman"/>
        </w:rPr>
        <w:t xml:space="preserve"> string of letters or sounds. </w:t>
      </w:r>
      <w:r w:rsidR="002636F9" w:rsidRPr="00985A6A">
        <w:rPr>
          <w:rFonts w:ascii="Times New Roman" w:hAnsi="Times New Roman" w:cs="Times New Roman"/>
        </w:rPr>
        <w:t>These verbal conjurations, stated in the first person (“I conjure you by…”),</w:t>
      </w:r>
      <w:r w:rsidR="00A94F37">
        <w:rPr>
          <w:rStyle w:val="FootnoteReference"/>
          <w:rFonts w:ascii="Times New Roman" w:hAnsi="Times New Roman" w:cs="Times New Roman"/>
        </w:rPr>
        <w:footnoteReference w:id="57"/>
      </w:r>
      <w:r w:rsidR="002636F9" w:rsidRPr="00985A6A">
        <w:rPr>
          <w:rFonts w:ascii="Times New Roman" w:hAnsi="Times New Roman" w:cs="Times New Roman"/>
        </w:rPr>
        <w:t xml:space="preserve"> suggest that the ritual specialist assumes a degree of individual ability or responsibility for the exorcistic outcome rather than merely appealing to the power of the invoked deity to perform the exorcism.</w:t>
      </w:r>
      <w:r w:rsidR="002636F9" w:rsidRPr="00985A6A">
        <w:rPr>
          <w:rStyle w:val="FootnoteReference"/>
          <w:rFonts w:ascii="Times New Roman" w:hAnsi="Times New Roman" w:cs="Times New Roman"/>
        </w:rPr>
        <w:footnoteReference w:id="58"/>
      </w:r>
      <w:r w:rsidR="006D4BC9" w:rsidRPr="00985A6A">
        <w:rPr>
          <w:rFonts w:ascii="Times New Roman" w:hAnsi="Times New Roman" w:cs="Times New Roman"/>
        </w:rPr>
        <w:t xml:space="preserve"> </w:t>
      </w:r>
      <w:r w:rsidR="006D4BC9" w:rsidRPr="00985A6A">
        <w:rPr>
          <w:rFonts w:ascii="Times New Roman" w:eastAsia="Times New Roman" w:hAnsi="Times New Roman" w:cs="Times New Roman"/>
        </w:rPr>
        <w:t xml:space="preserve">In his influential 1938 analysis, Wilfred Lawrence </w:t>
      </w:r>
      <w:bookmarkStart w:id="5" w:name="_Hlk196706157"/>
      <w:r w:rsidR="006D4BC9" w:rsidRPr="00985A6A">
        <w:rPr>
          <w:rFonts w:ascii="Times New Roman" w:eastAsia="Times New Roman" w:hAnsi="Times New Roman" w:cs="Times New Roman"/>
        </w:rPr>
        <w:t>Knox theori</w:t>
      </w:r>
      <w:r w:rsidR="00E84BAC">
        <w:rPr>
          <w:rFonts w:ascii="Times New Roman" w:eastAsia="Times New Roman" w:hAnsi="Times New Roman" w:cs="Times New Roman"/>
        </w:rPr>
        <w:t>s</w:t>
      </w:r>
      <w:r w:rsidR="006D4BC9" w:rsidRPr="00985A6A">
        <w:rPr>
          <w:rFonts w:ascii="Times New Roman" w:eastAsia="Times New Roman" w:hAnsi="Times New Roman" w:cs="Times New Roman"/>
        </w:rPr>
        <w:t xml:space="preserve">ed that the </w:t>
      </w:r>
      <w:r w:rsidR="00A94F37">
        <w:rPr>
          <w:rFonts w:ascii="Times New Roman" w:eastAsia="Times New Roman" w:hAnsi="Times New Roman" w:cs="Times New Roman"/>
        </w:rPr>
        <w:t xml:space="preserve">section of </w:t>
      </w:r>
      <w:r w:rsidR="006D4BC9" w:rsidRPr="00985A6A">
        <w:rPr>
          <w:rFonts w:ascii="Times New Roman" w:eastAsia="Times New Roman" w:hAnsi="Times New Roman" w:cs="Times New Roman"/>
        </w:rPr>
        <w:t>verbal conjurations represent</w:t>
      </w:r>
      <w:r w:rsidR="00C978BC">
        <w:rPr>
          <w:rFonts w:ascii="Times New Roman" w:eastAsia="Times New Roman" w:hAnsi="Times New Roman" w:cs="Times New Roman"/>
        </w:rPr>
        <w:t>s</w:t>
      </w:r>
      <w:r w:rsidR="006D4BC9" w:rsidRPr="00985A6A">
        <w:rPr>
          <w:rFonts w:ascii="Times New Roman" w:eastAsia="Times New Roman" w:hAnsi="Times New Roman" w:cs="Times New Roman"/>
        </w:rPr>
        <w:t xml:space="preserve"> two complete exorcisms</w:t>
      </w:r>
      <w:bookmarkEnd w:id="5"/>
      <w:r w:rsidR="00F469A9" w:rsidRPr="00985A6A">
        <w:rPr>
          <w:rFonts w:ascii="Times New Roman" w:eastAsia="Times New Roman" w:hAnsi="Times New Roman" w:cs="Times New Roman"/>
        </w:rPr>
        <w:t xml:space="preserve">, </w:t>
      </w:r>
      <w:r w:rsidR="006D4BC9" w:rsidRPr="00985A6A">
        <w:rPr>
          <w:rFonts w:ascii="Times New Roman" w:eastAsia="Times New Roman" w:hAnsi="Times New Roman" w:cs="Times New Roman"/>
        </w:rPr>
        <w:t>the first intended to make the daimon speak (lines 3033–3045) and the latter</w:t>
      </w:r>
      <w:r w:rsidR="00F469A9" w:rsidRPr="00985A6A">
        <w:rPr>
          <w:rFonts w:ascii="Times New Roman" w:eastAsia="Times New Roman" w:hAnsi="Times New Roman" w:cs="Times New Roman"/>
        </w:rPr>
        <w:t xml:space="preserve"> </w:t>
      </w:r>
      <w:r w:rsidR="006D4BC9" w:rsidRPr="00985A6A">
        <w:rPr>
          <w:rFonts w:ascii="Times New Roman" w:eastAsia="Times New Roman" w:hAnsi="Times New Roman" w:cs="Times New Roman"/>
        </w:rPr>
        <w:t>with no reference to speech</w:t>
      </w:r>
      <w:r w:rsidR="00F469A9" w:rsidRPr="00985A6A">
        <w:rPr>
          <w:rFonts w:ascii="Times New Roman" w:eastAsia="Times New Roman" w:hAnsi="Times New Roman" w:cs="Times New Roman"/>
        </w:rPr>
        <w:t xml:space="preserve"> (</w:t>
      </w:r>
      <w:r w:rsidR="006D4BC9" w:rsidRPr="00985A6A">
        <w:rPr>
          <w:rFonts w:ascii="Times New Roman" w:eastAsia="Times New Roman" w:hAnsi="Times New Roman" w:cs="Times New Roman"/>
        </w:rPr>
        <w:t>lines 3045–3078</w:t>
      </w:r>
      <w:r w:rsidR="00F469A9" w:rsidRPr="00985A6A">
        <w:rPr>
          <w:rFonts w:ascii="Times New Roman" w:eastAsia="Times New Roman" w:hAnsi="Times New Roman" w:cs="Times New Roman"/>
        </w:rPr>
        <w:t>)</w:t>
      </w:r>
      <w:r w:rsidR="006D4BC9" w:rsidRPr="00985A6A">
        <w:rPr>
          <w:rFonts w:ascii="Times New Roman" w:eastAsia="Times New Roman" w:hAnsi="Times New Roman" w:cs="Times New Roman"/>
        </w:rPr>
        <w:t>.</w:t>
      </w:r>
      <w:r w:rsidR="00F469A9" w:rsidRPr="00985A6A">
        <w:rPr>
          <w:rStyle w:val="FootnoteReference"/>
          <w:rFonts w:ascii="Times New Roman" w:eastAsia="Times New Roman" w:hAnsi="Times New Roman" w:cs="Times New Roman"/>
        </w:rPr>
        <w:footnoteReference w:id="59"/>
      </w:r>
    </w:p>
    <w:p w14:paraId="357DCFCE" w14:textId="70BD6C6B" w:rsidR="001256DF" w:rsidRPr="00985A6A" w:rsidRDefault="00F469A9" w:rsidP="00486F35">
      <w:pPr>
        <w:spacing w:line="240" w:lineRule="auto"/>
        <w:ind w:firstLine="0"/>
        <w:rPr>
          <w:rFonts w:ascii="Times New Roman" w:hAnsi="Times New Roman" w:cs="Times New Roman"/>
        </w:rPr>
      </w:pPr>
      <w:r w:rsidRPr="00985A6A">
        <w:rPr>
          <w:rFonts w:ascii="Times New Roman" w:eastAsia="Times New Roman" w:hAnsi="Times New Roman" w:cs="Times New Roman"/>
        </w:rPr>
        <w:tab/>
        <w:t>The verbal conjurations begin with the striking comman</w:t>
      </w:r>
      <w:r w:rsidR="003F2A32" w:rsidRPr="00985A6A">
        <w:rPr>
          <w:rFonts w:ascii="Times New Roman" w:eastAsia="Times New Roman" w:hAnsi="Times New Roman" w:cs="Times New Roman"/>
        </w:rPr>
        <w:t>d</w:t>
      </w:r>
      <w:r w:rsidRPr="00985A6A">
        <w:rPr>
          <w:rFonts w:ascii="Times New Roman" w:eastAsia="Times New Roman" w:hAnsi="Times New Roman" w:cs="Times New Roman"/>
        </w:rPr>
        <w:t>, “I conjure you by the god of the Hebrews, Jesus.”</w:t>
      </w:r>
      <w:r w:rsidR="00A94F37">
        <w:rPr>
          <w:rStyle w:val="FootnoteReference"/>
          <w:rFonts w:ascii="Times New Roman" w:eastAsia="Times New Roman" w:hAnsi="Times New Roman" w:cs="Times New Roman"/>
        </w:rPr>
        <w:footnoteReference w:id="60"/>
      </w:r>
      <w:r w:rsidRPr="00985A6A">
        <w:rPr>
          <w:rFonts w:ascii="Times New Roman" w:eastAsia="Times New Roman" w:hAnsi="Times New Roman" w:cs="Times New Roman"/>
        </w:rPr>
        <w:t xml:space="preserve"> While the influence of Jewish tradition </w:t>
      </w:r>
      <w:r w:rsidR="003F2A32" w:rsidRPr="00985A6A">
        <w:rPr>
          <w:rFonts w:ascii="Times New Roman" w:eastAsia="Times New Roman" w:hAnsi="Times New Roman" w:cs="Times New Roman"/>
        </w:rPr>
        <w:t>is</w:t>
      </w:r>
      <w:r w:rsidRPr="00985A6A">
        <w:rPr>
          <w:rFonts w:ascii="Times New Roman" w:eastAsia="Times New Roman" w:hAnsi="Times New Roman" w:cs="Times New Roman"/>
        </w:rPr>
        <w:t xml:space="preserve"> not uncommon in the P</w:t>
      </w:r>
      <w:r w:rsidR="006F7728">
        <w:rPr>
          <w:rFonts w:ascii="Times New Roman" w:eastAsia="Times New Roman" w:hAnsi="Times New Roman" w:cs="Times New Roman"/>
        </w:rPr>
        <w:t>GM</w:t>
      </w:r>
      <w:r w:rsidRPr="00985A6A">
        <w:rPr>
          <w:rFonts w:ascii="Times New Roman" w:eastAsia="Times New Roman" w:hAnsi="Times New Roman" w:cs="Times New Roman"/>
        </w:rPr>
        <w:t xml:space="preserve"> corpus, explicitly Christian elements are </w:t>
      </w:r>
      <w:r w:rsidR="003F2A32" w:rsidRPr="00985A6A">
        <w:rPr>
          <w:rFonts w:ascii="Times New Roman" w:eastAsia="Times New Roman" w:hAnsi="Times New Roman" w:cs="Times New Roman"/>
        </w:rPr>
        <w:t>relatively rare, appearing in only two spells within codex PGM IV.</w:t>
      </w:r>
      <w:r w:rsidR="003F2A32" w:rsidRPr="00985A6A">
        <w:rPr>
          <w:rStyle w:val="FootnoteReference"/>
          <w:rFonts w:ascii="Times New Roman" w:eastAsia="Times New Roman" w:hAnsi="Times New Roman" w:cs="Times New Roman"/>
        </w:rPr>
        <w:footnoteReference w:id="61"/>
      </w:r>
      <w:r w:rsidR="003F2A32" w:rsidRPr="00985A6A">
        <w:rPr>
          <w:rFonts w:ascii="Times New Roman" w:eastAsia="Times New Roman" w:hAnsi="Times New Roman" w:cs="Times New Roman"/>
        </w:rPr>
        <w:t xml:space="preserve"> </w:t>
      </w:r>
      <w:r w:rsidR="00E651EE" w:rsidRPr="00985A6A">
        <w:rPr>
          <w:rFonts w:ascii="Times New Roman" w:hAnsi="Times New Roman" w:cs="Times New Roman"/>
        </w:rPr>
        <w:t xml:space="preserve">Notably, the </w:t>
      </w:r>
      <w:r w:rsidR="00274684" w:rsidRPr="00985A6A">
        <w:rPr>
          <w:rFonts w:ascii="Times New Roman" w:hAnsi="Times New Roman" w:cs="Times New Roman"/>
        </w:rPr>
        <w:t>sole</w:t>
      </w:r>
      <w:r w:rsidR="00E651EE" w:rsidRPr="00985A6A">
        <w:rPr>
          <w:rFonts w:ascii="Times New Roman" w:hAnsi="Times New Roman" w:cs="Times New Roman"/>
        </w:rPr>
        <w:t xml:space="preserve"> Christian element in this </w:t>
      </w:r>
      <w:r w:rsidR="00274684" w:rsidRPr="00985A6A">
        <w:rPr>
          <w:rFonts w:ascii="Times New Roman" w:hAnsi="Times New Roman" w:cs="Times New Roman"/>
        </w:rPr>
        <w:t>text</w:t>
      </w:r>
      <w:r w:rsidR="00E651EE" w:rsidRPr="00985A6A">
        <w:rPr>
          <w:rFonts w:ascii="Times New Roman" w:hAnsi="Times New Roman" w:cs="Times New Roman"/>
        </w:rPr>
        <w:t xml:space="preserve"> is the opening </w:t>
      </w:r>
      <w:r w:rsidR="006F7728">
        <w:rPr>
          <w:rFonts w:ascii="Times New Roman" w:hAnsi="Times New Roman" w:cs="Times New Roman"/>
        </w:rPr>
        <w:t>invocation</w:t>
      </w:r>
      <w:r w:rsidR="00E651EE" w:rsidRPr="00985A6A">
        <w:rPr>
          <w:rFonts w:ascii="Times New Roman" w:hAnsi="Times New Roman" w:cs="Times New Roman"/>
        </w:rPr>
        <w:t>, contrast</w:t>
      </w:r>
      <w:r w:rsidR="006F7728">
        <w:rPr>
          <w:rFonts w:ascii="Times New Roman" w:hAnsi="Times New Roman" w:cs="Times New Roman"/>
        </w:rPr>
        <w:t>ing</w:t>
      </w:r>
      <w:r w:rsidR="00E651EE" w:rsidRPr="00985A6A">
        <w:rPr>
          <w:rFonts w:ascii="Times New Roman" w:hAnsi="Times New Roman" w:cs="Times New Roman"/>
        </w:rPr>
        <w:t xml:space="preserve"> with its numerous Jewish elements. This has led some scholars to suspect that the inclusion of </w:t>
      </w:r>
      <w:r w:rsidR="00C978BC">
        <w:rPr>
          <w:rFonts w:ascii="Times New Roman" w:hAnsi="Times New Roman" w:cs="Times New Roman"/>
        </w:rPr>
        <w:t>‘</w:t>
      </w:r>
      <w:r w:rsidR="00E651EE" w:rsidRPr="00985A6A">
        <w:rPr>
          <w:rFonts w:ascii="Times New Roman" w:hAnsi="Times New Roman" w:cs="Times New Roman"/>
        </w:rPr>
        <w:t>Jesus</w:t>
      </w:r>
      <w:r w:rsidR="00C978BC">
        <w:rPr>
          <w:rFonts w:ascii="Times New Roman" w:hAnsi="Times New Roman" w:cs="Times New Roman"/>
        </w:rPr>
        <w:t>’</w:t>
      </w:r>
      <w:r w:rsidR="00E651EE" w:rsidRPr="00985A6A">
        <w:rPr>
          <w:rFonts w:ascii="Times New Roman" w:hAnsi="Times New Roman" w:cs="Times New Roman"/>
        </w:rPr>
        <w:t xml:space="preserve"> was a later addition,</w:t>
      </w:r>
      <w:r w:rsidR="003E465E" w:rsidRPr="00985A6A">
        <w:rPr>
          <w:rStyle w:val="FootnoteReference"/>
          <w:rFonts w:ascii="Times New Roman" w:hAnsi="Times New Roman" w:cs="Times New Roman"/>
        </w:rPr>
        <w:footnoteReference w:id="62"/>
      </w:r>
      <w:r w:rsidR="00E651EE" w:rsidRPr="00985A6A">
        <w:rPr>
          <w:rFonts w:ascii="Times New Roman" w:hAnsi="Times New Roman" w:cs="Times New Roman"/>
        </w:rPr>
        <w:t xml:space="preserve"> raising broader questions about the dynamics of continuity and change as Christian elements were incorporated into pre-existing texts. </w:t>
      </w:r>
      <w:r w:rsidR="003E465E" w:rsidRPr="00985A6A">
        <w:rPr>
          <w:rFonts w:ascii="Times New Roman" w:hAnsi="Times New Roman" w:cs="Times New Roman"/>
        </w:rPr>
        <w:t xml:space="preserve">As already discussed, the creative and synthetic process of syncretism displayed in the Greco-Egyptian magical texts results in assemblages that defy fixed or harmonious melding of religious concepts. Nevertheless, these practices were evidently considered effective </w:t>
      </w:r>
      <w:r w:rsidR="00C978BC">
        <w:rPr>
          <w:rFonts w:ascii="Times New Roman" w:hAnsi="Times New Roman" w:cs="Times New Roman"/>
        </w:rPr>
        <w:t xml:space="preserve">both </w:t>
      </w:r>
      <w:r w:rsidR="003E465E" w:rsidRPr="00985A6A">
        <w:rPr>
          <w:rFonts w:ascii="Times New Roman" w:hAnsi="Times New Roman" w:cs="Times New Roman"/>
        </w:rPr>
        <w:t xml:space="preserve">with and within </w:t>
      </w:r>
      <w:r w:rsidR="00C978BC">
        <w:rPr>
          <w:rFonts w:ascii="Times New Roman" w:hAnsi="Times New Roman" w:cs="Times New Roman"/>
        </w:rPr>
        <w:t xml:space="preserve">the </w:t>
      </w:r>
      <w:r w:rsidR="003E465E" w:rsidRPr="00985A6A">
        <w:rPr>
          <w:rFonts w:ascii="Times New Roman" w:hAnsi="Times New Roman" w:cs="Times New Roman"/>
        </w:rPr>
        <w:t xml:space="preserve">existing ritual magical </w:t>
      </w:r>
      <w:r w:rsidR="00274684" w:rsidRPr="00985A6A">
        <w:rPr>
          <w:rFonts w:ascii="Times New Roman" w:hAnsi="Times New Roman" w:cs="Times New Roman"/>
        </w:rPr>
        <w:t>context</w:t>
      </w:r>
      <w:r w:rsidR="003E465E" w:rsidRPr="00985A6A">
        <w:rPr>
          <w:rFonts w:ascii="Times New Roman" w:hAnsi="Times New Roman" w:cs="Times New Roman"/>
        </w:rPr>
        <w:t>.</w:t>
      </w:r>
      <w:r w:rsidR="003E465E" w:rsidRPr="00985A6A">
        <w:rPr>
          <w:rStyle w:val="FootnoteReference"/>
          <w:rFonts w:ascii="Times New Roman" w:hAnsi="Times New Roman" w:cs="Times New Roman"/>
        </w:rPr>
        <w:footnoteReference w:id="63"/>
      </w:r>
      <w:r w:rsidR="003E465E" w:rsidRPr="00985A6A">
        <w:rPr>
          <w:rFonts w:ascii="Times New Roman" w:hAnsi="Times New Roman" w:cs="Times New Roman"/>
        </w:rPr>
        <w:t xml:space="preserve"> As Theodore S. de Bruyn and Jitse H.F. Dijkstra observe, “The boundary between an apotropaic practice and a devotional practice cannot always be clearly drawn.”</w:t>
      </w:r>
      <w:r w:rsidR="003E465E" w:rsidRPr="00985A6A">
        <w:rPr>
          <w:rStyle w:val="FootnoteReference"/>
          <w:rFonts w:ascii="Times New Roman" w:hAnsi="Times New Roman" w:cs="Times New Roman"/>
        </w:rPr>
        <w:footnoteReference w:id="64"/>
      </w:r>
      <w:r w:rsidR="008664CA" w:rsidRPr="00985A6A">
        <w:rPr>
          <w:rFonts w:ascii="Times New Roman" w:hAnsi="Times New Roman" w:cs="Times New Roman"/>
        </w:rPr>
        <w:t xml:space="preserve"> </w:t>
      </w:r>
      <w:bookmarkStart w:id="6" w:name="_Hlk196594317"/>
    </w:p>
    <w:bookmarkEnd w:id="6"/>
    <w:p w14:paraId="3699EB00" w14:textId="643C5CD8" w:rsidR="001256DF" w:rsidRPr="00985A6A" w:rsidRDefault="001256DF" w:rsidP="00486F35">
      <w:pPr>
        <w:spacing w:line="240" w:lineRule="auto"/>
        <w:rPr>
          <w:rFonts w:ascii="Times New Roman" w:eastAsia="Times New Roman" w:hAnsi="Times New Roman" w:cs="Times New Roman"/>
        </w:rPr>
      </w:pPr>
      <w:r w:rsidRPr="00985A6A">
        <w:rPr>
          <w:rFonts w:ascii="Times New Roman" w:eastAsia="Times New Roman" w:hAnsi="Times New Roman" w:cs="Times New Roman"/>
        </w:rPr>
        <w:t xml:space="preserve">The invocation of Jesus in the opening conjuration of a spell </w:t>
      </w:r>
      <w:r w:rsidR="00C978BC">
        <w:rPr>
          <w:rFonts w:ascii="Times New Roman" w:eastAsia="Times New Roman" w:hAnsi="Times New Roman" w:cs="Times New Roman"/>
        </w:rPr>
        <w:t>primari</w:t>
      </w:r>
      <w:r w:rsidRPr="00985A6A">
        <w:rPr>
          <w:rFonts w:ascii="Times New Roman" w:eastAsia="Times New Roman" w:hAnsi="Times New Roman" w:cs="Times New Roman"/>
        </w:rPr>
        <w:t>ly drawing on Jewish tradition invites comparison to the</w:t>
      </w:r>
      <w:r w:rsidR="00F545F9" w:rsidRPr="00985A6A">
        <w:rPr>
          <w:rFonts w:ascii="Times New Roman" w:eastAsia="Times New Roman" w:hAnsi="Times New Roman" w:cs="Times New Roman"/>
        </w:rPr>
        <w:t xml:space="preserve"> satirical</w:t>
      </w:r>
      <w:r w:rsidRPr="00985A6A">
        <w:rPr>
          <w:rFonts w:ascii="Times New Roman" w:eastAsia="Times New Roman" w:hAnsi="Times New Roman" w:cs="Times New Roman"/>
        </w:rPr>
        <w:t xml:space="preserve"> story of the would-be exorcists </w:t>
      </w:r>
      <w:r w:rsidR="00C978BC">
        <w:rPr>
          <w:rFonts w:ascii="Times New Roman" w:eastAsia="Times New Roman" w:hAnsi="Times New Roman" w:cs="Times New Roman"/>
        </w:rPr>
        <w:t xml:space="preserve">recounted </w:t>
      </w:r>
      <w:r w:rsidRPr="00985A6A">
        <w:rPr>
          <w:rFonts w:ascii="Times New Roman" w:eastAsia="Times New Roman" w:hAnsi="Times New Roman" w:cs="Times New Roman"/>
        </w:rPr>
        <w:t xml:space="preserve">in </w:t>
      </w:r>
      <w:r w:rsidR="00C978BC">
        <w:rPr>
          <w:rFonts w:ascii="Times New Roman" w:eastAsia="Times New Roman" w:hAnsi="Times New Roman" w:cs="Times New Roman"/>
        </w:rPr>
        <w:t>Acts</w:t>
      </w:r>
      <w:r w:rsidRPr="00985A6A">
        <w:rPr>
          <w:rFonts w:ascii="Times New Roman" w:eastAsia="Times New Roman" w:hAnsi="Times New Roman" w:cs="Times New Roman"/>
        </w:rPr>
        <w:t xml:space="preserve"> </w:t>
      </w:r>
      <w:r w:rsidR="00F545F9" w:rsidRPr="00985A6A">
        <w:rPr>
          <w:rFonts w:ascii="Times New Roman" w:eastAsia="Times New Roman" w:hAnsi="Times New Roman" w:cs="Times New Roman"/>
        </w:rPr>
        <w:t xml:space="preserve">of the Apostles </w:t>
      </w:r>
      <w:r w:rsidRPr="00985A6A">
        <w:rPr>
          <w:rFonts w:ascii="Times New Roman" w:eastAsia="Times New Roman" w:hAnsi="Times New Roman" w:cs="Times New Roman"/>
        </w:rPr>
        <w:t>19:</w:t>
      </w:r>
      <w:r w:rsidR="00F545F9" w:rsidRPr="00985A6A">
        <w:rPr>
          <w:rFonts w:ascii="Times New Roman" w:eastAsia="Times New Roman" w:hAnsi="Times New Roman" w:cs="Times New Roman"/>
        </w:rPr>
        <w:t>13</w:t>
      </w:r>
      <w:r w:rsidRPr="00985A6A">
        <w:rPr>
          <w:rFonts w:ascii="Times New Roman" w:eastAsia="Times New Roman" w:hAnsi="Times New Roman" w:cs="Times New Roman"/>
        </w:rPr>
        <w:t>–</w:t>
      </w:r>
      <w:r w:rsidR="00F545F9" w:rsidRPr="00985A6A">
        <w:rPr>
          <w:rFonts w:ascii="Times New Roman" w:eastAsia="Times New Roman" w:hAnsi="Times New Roman" w:cs="Times New Roman"/>
        </w:rPr>
        <w:t>16</w:t>
      </w:r>
      <w:r w:rsidRPr="00985A6A">
        <w:rPr>
          <w:rFonts w:ascii="Times New Roman" w:eastAsia="Times New Roman" w:hAnsi="Times New Roman" w:cs="Times New Roman"/>
        </w:rPr>
        <w:t xml:space="preserve">. In both examples, success depends on the ritual specialist’s ability to assert divine authority over the daimon/demon. In the Acts narrative, set during Paul’s time in Ephesus, </w:t>
      </w:r>
      <w:r w:rsidR="00F545F9" w:rsidRPr="00985A6A">
        <w:rPr>
          <w:rFonts w:ascii="Times New Roman" w:eastAsia="Times New Roman" w:hAnsi="Times New Roman" w:cs="Times New Roman"/>
        </w:rPr>
        <w:t xml:space="preserve">a group of seven </w:t>
      </w:r>
      <w:r w:rsidRPr="00985A6A">
        <w:rPr>
          <w:rFonts w:ascii="Times New Roman" w:eastAsia="Times New Roman" w:hAnsi="Times New Roman" w:cs="Times New Roman"/>
        </w:rPr>
        <w:t>itinerant Jewish exorcists attempt to cast out a</w:t>
      </w:r>
      <w:r w:rsidR="00F545F9" w:rsidRPr="00985A6A">
        <w:rPr>
          <w:rFonts w:ascii="Times New Roman" w:eastAsia="Times New Roman" w:hAnsi="Times New Roman" w:cs="Times New Roman"/>
        </w:rPr>
        <w:t>n evil spirit</w:t>
      </w:r>
      <w:r w:rsidRPr="00985A6A">
        <w:rPr>
          <w:rFonts w:ascii="Times New Roman" w:eastAsia="Times New Roman" w:hAnsi="Times New Roman" w:cs="Times New Roman"/>
        </w:rPr>
        <w:t xml:space="preserve"> </w:t>
      </w:r>
      <w:r w:rsidR="00C978BC">
        <w:rPr>
          <w:rFonts w:ascii="Times New Roman" w:eastAsia="Times New Roman" w:hAnsi="Times New Roman" w:cs="Times New Roman"/>
        </w:rPr>
        <w:t xml:space="preserve">from a possessed man </w:t>
      </w:r>
      <w:r w:rsidRPr="00985A6A">
        <w:rPr>
          <w:rFonts w:ascii="Times New Roman" w:eastAsia="Times New Roman" w:hAnsi="Times New Roman" w:cs="Times New Roman"/>
        </w:rPr>
        <w:t xml:space="preserve">by </w:t>
      </w:r>
      <w:r w:rsidR="00F545F9" w:rsidRPr="00985A6A">
        <w:rPr>
          <w:rFonts w:ascii="Times New Roman" w:eastAsia="Times New Roman" w:hAnsi="Times New Roman" w:cs="Times New Roman"/>
        </w:rPr>
        <w:t>saying</w:t>
      </w:r>
      <w:r w:rsidR="00E84BAC">
        <w:rPr>
          <w:rFonts w:ascii="Times New Roman" w:eastAsia="Times New Roman" w:hAnsi="Times New Roman" w:cs="Times New Roman"/>
        </w:rPr>
        <w:t>,</w:t>
      </w:r>
      <w:r w:rsidRPr="00985A6A">
        <w:rPr>
          <w:rFonts w:ascii="Times New Roman" w:eastAsia="Times New Roman" w:hAnsi="Times New Roman" w:cs="Times New Roman"/>
        </w:rPr>
        <w:t xml:space="preserve"> “</w:t>
      </w:r>
      <w:r w:rsidR="00F545F9" w:rsidRPr="00985A6A">
        <w:rPr>
          <w:rFonts w:ascii="Times New Roman" w:eastAsia="Times New Roman" w:hAnsi="Times New Roman" w:cs="Times New Roman"/>
        </w:rPr>
        <w:t xml:space="preserve">I adjure you by </w:t>
      </w:r>
      <w:r w:rsidRPr="00985A6A">
        <w:rPr>
          <w:rFonts w:ascii="Times New Roman" w:eastAsia="Times New Roman" w:hAnsi="Times New Roman" w:cs="Times New Roman"/>
        </w:rPr>
        <w:t>the Jesus whom Paul proclaims,”</w:t>
      </w:r>
      <w:r w:rsidR="00F545F9" w:rsidRPr="00985A6A">
        <w:rPr>
          <w:rStyle w:val="FootnoteReference"/>
          <w:rFonts w:ascii="Times New Roman" w:eastAsia="Times New Roman" w:hAnsi="Times New Roman" w:cs="Times New Roman"/>
        </w:rPr>
        <w:footnoteReference w:id="65"/>
      </w:r>
      <w:r w:rsidRPr="00985A6A">
        <w:rPr>
          <w:rFonts w:ascii="Times New Roman" w:eastAsia="Times New Roman" w:hAnsi="Times New Roman" w:cs="Times New Roman"/>
        </w:rPr>
        <w:t xml:space="preserve"> an epithet that points to Paul’s reputation rather than Jesus</w:t>
      </w:r>
      <w:r w:rsidR="00C978BC">
        <w:rPr>
          <w:rFonts w:ascii="Times New Roman" w:eastAsia="Times New Roman" w:hAnsi="Times New Roman" w:cs="Times New Roman"/>
        </w:rPr>
        <w:t>’</w:t>
      </w:r>
      <w:r w:rsidRPr="00985A6A">
        <w:rPr>
          <w:rFonts w:ascii="Times New Roman" w:eastAsia="Times New Roman" w:hAnsi="Times New Roman" w:cs="Times New Roman"/>
        </w:rPr>
        <w:t xml:space="preserve"> own authority.</w:t>
      </w:r>
      <w:r w:rsidR="00707546" w:rsidRPr="00985A6A">
        <w:rPr>
          <w:rStyle w:val="FootnoteReference"/>
          <w:rFonts w:ascii="Times New Roman" w:eastAsia="Times New Roman" w:hAnsi="Times New Roman" w:cs="Times New Roman"/>
        </w:rPr>
        <w:footnoteReference w:id="66"/>
      </w:r>
      <w:r w:rsidRPr="00985A6A">
        <w:rPr>
          <w:rFonts w:ascii="Times New Roman" w:eastAsia="Times New Roman" w:hAnsi="Times New Roman" w:cs="Times New Roman"/>
        </w:rPr>
        <w:t xml:space="preserve"> This failure leaves the would-be exorcists vulnerable. Instead of expelling the demon from the possessed man, they are overpowered, </w:t>
      </w:r>
      <w:r w:rsidR="00F545F9" w:rsidRPr="00985A6A">
        <w:rPr>
          <w:rFonts w:ascii="Times New Roman" w:eastAsia="Times New Roman" w:hAnsi="Times New Roman" w:cs="Times New Roman"/>
        </w:rPr>
        <w:t xml:space="preserve">causing them to flee </w:t>
      </w:r>
      <w:r w:rsidRPr="00985A6A">
        <w:rPr>
          <w:rFonts w:ascii="Times New Roman" w:eastAsia="Times New Roman" w:hAnsi="Times New Roman" w:cs="Times New Roman"/>
        </w:rPr>
        <w:t>injured</w:t>
      </w:r>
      <w:r w:rsidR="00F545F9" w:rsidRPr="00985A6A">
        <w:rPr>
          <w:rFonts w:ascii="Times New Roman" w:eastAsia="Times New Roman" w:hAnsi="Times New Roman" w:cs="Times New Roman"/>
        </w:rPr>
        <w:t xml:space="preserve"> </w:t>
      </w:r>
      <w:r w:rsidRPr="00985A6A">
        <w:rPr>
          <w:rFonts w:ascii="Times New Roman" w:eastAsia="Times New Roman" w:hAnsi="Times New Roman" w:cs="Times New Roman"/>
        </w:rPr>
        <w:t>and stripped naked, their humiliation perhaps worsened by the loss of protective ritual garments.</w:t>
      </w:r>
      <w:r w:rsidRPr="00985A6A">
        <w:rPr>
          <w:rStyle w:val="FootnoteReference"/>
          <w:rFonts w:ascii="Times New Roman" w:eastAsia="Times New Roman" w:hAnsi="Times New Roman" w:cs="Times New Roman"/>
        </w:rPr>
        <w:footnoteReference w:id="67"/>
      </w:r>
      <w:r w:rsidRPr="00985A6A">
        <w:rPr>
          <w:rFonts w:ascii="Times New Roman" w:eastAsia="Times New Roman" w:hAnsi="Times New Roman" w:cs="Times New Roman"/>
        </w:rPr>
        <w:t xml:space="preserve"> Despite the difference in tone, Acts’ satire versus the seriousness of the PGM spell, both texts reflect a common understanding of ritual exorcistic practice. The humorous story conveys a widespread cultural belief in the dangers of performing exorcisms without true authority. </w:t>
      </w:r>
      <w:r w:rsidR="0005766A" w:rsidRPr="00985A6A">
        <w:rPr>
          <w:rFonts w:ascii="Times New Roman" w:eastAsia="Times New Roman" w:hAnsi="Times New Roman" w:cs="Times New Roman"/>
        </w:rPr>
        <w:t>The</w:t>
      </w:r>
      <w:r w:rsidRPr="00985A6A">
        <w:rPr>
          <w:rFonts w:ascii="Times New Roman" w:eastAsia="Times New Roman" w:hAnsi="Times New Roman" w:cs="Times New Roman"/>
        </w:rPr>
        <w:t xml:space="preserve"> </w:t>
      </w:r>
      <w:r w:rsidR="00274684" w:rsidRPr="00985A6A">
        <w:rPr>
          <w:rFonts w:ascii="Times New Roman" w:eastAsia="Times New Roman" w:hAnsi="Times New Roman" w:cs="Times New Roman"/>
        </w:rPr>
        <w:t xml:space="preserve">shared contextual </w:t>
      </w:r>
      <w:r w:rsidRPr="00985A6A">
        <w:rPr>
          <w:rFonts w:ascii="Times New Roman" w:eastAsia="Times New Roman" w:hAnsi="Times New Roman" w:cs="Times New Roman"/>
        </w:rPr>
        <w:t>use of the verb “</w:t>
      </w:r>
      <w:proofErr w:type="gramStart"/>
      <w:r w:rsidRPr="00985A6A">
        <w:rPr>
          <w:rFonts w:ascii="Times New Roman" w:eastAsia="Times New Roman" w:hAnsi="Times New Roman" w:cs="Times New Roman"/>
        </w:rPr>
        <w:t>adjure</w:t>
      </w:r>
      <w:proofErr w:type="gramEnd"/>
      <w:r w:rsidRPr="00985A6A">
        <w:rPr>
          <w:rFonts w:ascii="Times New Roman" w:eastAsia="Times New Roman" w:hAnsi="Times New Roman" w:cs="Times New Roman"/>
        </w:rPr>
        <w:t xml:space="preserve">” (όρκίζω) in </w:t>
      </w:r>
      <w:r w:rsidR="00274684" w:rsidRPr="00985A6A">
        <w:rPr>
          <w:rFonts w:ascii="Times New Roman" w:eastAsia="Times New Roman" w:hAnsi="Times New Roman" w:cs="Times New Roman"/>
        </w:rPr>
        <w:t xml:space="preserve">both </w:t>
      </w:r>
      <w:r w:rsidRPr="00985A6A">
        <w:rPr>
          <w:rFonts w:ascii="Times New Roman" w:eastAsia="Times New Roman" w:hAnsi="Times New Roman" w:cs="Times New Roman"/>
        </w:rPr>
        <w:t xml:space="preserve">Acts and the PGM illustrates </w:t>
      </w:r>
      <w:r w:rsidR="00274684" w:rsidRPr="00985A6A">
        <w:rPr>
          <w:rFonts w:ascii="Times New Roman" w:eastAsia="Times New Roman" w:hAnsi="Times New Roman" w:cs="Times New Roman"/>
        </w:rPr>
        <w:t>a</w:t>
      </w:r>
      <w:r w:rsidRPr="00985A6A">
        <w:rPr>
          <w:rFonts w:ascii="Times New Roman" w:eastAsia="Times New Roman" w:hAnsi="Times New Roman" w:cs="Times New Roman"/>
        </w:rPr>
        <w:t xml:space="preserve"> consistency </w:t>
      </w:r>
      <w:r w:rsidR="00274684" w:rsidRPr="00985A6A">
        <w:rPr>
          <w:rFonts w:ascii="Times New Roman" w:eastAsia="Times New Roman" w:hAnsi="Times New Roman" w:cs="Times New Roman"/>
        </w:rPr>
        <w:t>in</w:t>
      </w:r>
      <w:r w:rsidRPr="00985A6A">
        <w:rPr>
          <w:rFonts w:ascii="Times New Roman" w:eastAsia="Times New Roman" w:hAnsi="Times New Roman" w:cs="Times New Roman"/>
        </w:rPr>
        <w:t xml:space="preserve"> </w:t>
      </w:r>
      <w:r w:rsidR="0005766A" w:rsidRPr="00985A6A">
        <w:rPr>
          <w:rFonts w:ascii="Times New Roman" w:eastAsia="Times New Roman" w:hAnsi="Times New Roman" w:cs="Times New Roman"/>
        </w:rPr>
        <w:t xml:space="preserve">ritual </w:t>
      </w:r>
      <w:r w:rsidRPr="00985A6A">
        <w:rPr>
          <w:rFonts w:ascii="Times New Roman" w:eastAsia="Times New Roman" w:hAnsi="Times New Roman" w:cs="Times New Roman"/>
        </w:rPr>
        <w:t>practice</w:t>
      </w:r>
      <w:r w:rsidR="00F545F9" w:rsidRPr="00985A6A">
        <w:rPr>
          <w:rFonts w:ascii="Times New Roman" w:eastAsia="Times New Roman" w:hAnsi="Times New Roman" w:cs="Times New Roman"/>
        </w:rPr>
        <w:t xml:space="preserve"> and technical language</w:t>
      </w:r>
      <w:r w:rsidRPr="00985A6A">
        <w:rPr>
          <w:rFonts w:ascii="Times New Roman" w:eastAsia="Times New Roman" w:hAnsi="Times New Roman" w:cs="Times New Roman"/>
        </w:rPr>
        <w:t xml:space="preserve"> by the second century.</w:t>
      </w:r>
      <w:r w:rsidR="009E5758" w:rsidRPr="00985A6A">
        <w:rPr>
          <w:rStyle w:val="FootnoteReference"/>
          <w:rFonts w:ascii="Times New Roman" w:eastAsia="Times New Roman" w:hAnsi="Times New Roman" w:cs="Times New Roman"/>
        </w:rPr>
        <w:footnoteReference w:id="68"/>
      </w:r>
      <w:r w:rsidRPr="00985A6A">
        <w:rPr>
          <w:rFonts w:ascii="Times New Roman" w:eastAsia="Times New Roman" w:hAnsi="Times New Roman" w:cs="Times New Roman"/>
        </w:rPr>
        <w:t xml:space="preserve"> Rather than adhering to strict religious boundaries, practitioners drew from multiple traditions to strengthen their rites or broaden their appeal. The </w:t>
      </w:r>
      <w:r w:rsidR="0005766A" w:rsidRPr="00985A6A">
        <w:rPr>
          <w:rFonts w:ascii="Times New Roman" w:eastAsia="Times New Roman" w:hAnsi="Times New Roman" w:cs="Times New Roman"/>
        </w:rPr>
        <w:t xml:space="preserve">use of the name of </w:t>
      </w:r>
      <w:r w:rsidRPr="00985A6A">
        <w:rPr>
          <w:rFonts w:ascii="Times New Roman" w:eastAsia="Times New Roman" w:hAnsi="Times New Roman" w:cs="Times New Roman"/>
        </w:rPr>
        <w:t xml:space="preserve">Jesus in both </w:t>
      </w:r>
      <w:r w:rsidR="0005766A" w:rsidRPr="00985A6A">
        <w:rPr>
          <w:rFonts w:ascii="Times New Roman" w:eastAsia="Times New Roman" w:hAnsi="Times New Roman" w:cs="Times New Roman"/>
        </w:rPr>
        <w:t xml:space="preserve">the Acts narrative </w:t>
      </w:r>
      <w:r w:rsidRPr="00985A6A">
        <w:rPr>
          <w:rFonts w:ascii="Times New Roman" w:eastAsia="Times New Roman" w:hAnsi="Times New Roman" w:cs="Times New Roman"/>
        </w:rPr>
        <w:t>and the PGM highlights this syncretic adaptability. Additionally, the Acts’ portrayal of the exorcists as itinerant</w:t>
      </w:r>
      <w:r w:rsidR="00E84BAC">
        <w:rPr>
          <w:rFonts w:ascii="Times New Roman" w:eastAsia="Times New Roman" w:hAnsi="Times New Roman" w:cs="Times New Roman"/>
        </w:rPr>
        <w:t>s</w:t>
      </w:r>
      <w:r w:rsidRPr="00985A6A">
        <w:rPr>
          <w:rFonts w:ascii="Times New Roman" w:eastAsia="Times New Roman" w:hAnsi="Times New Roman" w:cs="Times New Roman"/>
        </w:rPr>
        <w:t xml:space="preserve"> aligns with theories that the ritual practitioners of the PGM were wandering freelance specialists.</w:t>
      </w:r>
      <w:r w:rsidRPr="00985A6A">
        <w:rPr>
          <w:rStyle w:val="FootnoteReference"/>
          <w:rFonts w:ascii="Times New Roman" w:eastAsia="Times New Roman" w:hAnsi="Times New Roman" w:cs="Times New Roman"/>
        </w:rPr>
        <w:footnoteReference w:id="69"/>
      </w:r>
    </w:p>
    <w:p w14:paraId="3719CB8B" w14:textId="1936C3F3" w:rsidR="00591C54" w:rsidRPr="00985A6A" w:rsidRDefault="00591C54" w:rsidP="00486F35">
      <w:pPr>
        <w:spacing w:line="240" w:lineRule="auto"/>
        <w:rPr>
          <w:rFonts w:ascii="Times New Roman" w:hAnsi="Times New Roman" w:cs="Times New Roman"/>
        </w:rPr>
      </w:pPr>
      <w:r w:rsidRPr="00985A6A">
        <w:rPr>
          <w:rFonts w:ascii="Times New Roman" w:hAnsi="Times New Roman" w:cs="Times New Roman"/>
        </w:rPr>
        <w:t xml:space="preserve">Following the invocation of the deity by the name “god of the Hebrews, </w:t>
      </w:r>
      <w:r w:rsidR="000365C5" w:rsidRPr="00985A6A">
        <w:rPr>
          <w:rFonts w:ascii="Times New Roman" w:hAnsi="Times New Roman" w:cs="Times New Roman"/>
        </w:rPr>
        <w:t>Je</w:t>
      </w:r>
      <w:r w:rsidRPr="00985A6A">
        <w:rPr>
          <w:rFonts w:ascii="Times New Roman" w:hAnsi="Times New Roman" w:cs="Times New Roman"/>
        </w:rPr>
        <w:t xml:space="preserve">sus,” the spell continues with its second series of letters or words presented as </w:t>
      </w:r>
      <w:r w:rsidRPr="00985A6A">
        <w:rPr>
          <w:rStyle w:val="Emphasis"/>
          <w:rFonts w:ascii="Times New Roman" w:hAnsi="Times New Roman" w:cs="Times New Roman"/>
        </w:rPr>
        <w:t>voces magicae</w:t>
      </w:r>
      <w:r w:rsidRPr="00985A6A">
        <w:rPr>
          <w:rFonts w:ascii="Times New Roman" w:hAnsi="Times New Roman" w:cs="Times New Roman"/>
        </w:rPr>
        <w:t xml:space="preserve">, whose meanings and origins are largely unrecoverable and often seem unpronounceable. These </w:t>
      </w:r>
      <w:r w:rsidRPr="00985A6A">
        <w:rPr>
          <w:rStyle w:val="Emphasis"/>
          <w:rFonts w:ascii="Times New Roman" w:hAnsi="Times New Roman" w:cs="Times New Roman"/>
        </w:rPr>
        <w:t>voces magicae</w:t>
      </w:r>
      <w:r w:rsidRPr="00985A6A">
        <w:rPr>
          <w:rFonts w:ascii="Times New Roman" w:hAnsi="Times New Roman" w:cs="Times New Roman"/>
        </w:rPr>
        <w:t xml:space="preserve"> may have served multiple purposes within the ritual, such as secret names for the divinities or the production of </w:t>
      </w:r>
      <w:r w:rsidR="006F2D56" w:rsidRPr="00985A6A">
        <w:rPr>
          <w:rFonts w:ascii="Times New Roman" w:hAnsi="Times New Roman" w:cs="Times New Roman"/>
        </w:rPr>
        <w:t>sounds</w:t>
      </w:r>
      <w:r w:rsidRPr="00985A6A">
        <w:rPr>
          <w:rFonts w:ascii="Times New Roman" w:hAnsi="Times New Roman" w:cs="Times New Roman"/>
        </w:rPr>
        <w:t>, such as lip-smacking, hissing, or rhythmic sing-song patterns, that enhanced the ritual’s effectiveness.</w:t>
      </w:r>
      <w:r w:rsidRPr="00985A6A">
        <w:rPr>
          <w:rStyle w:val="FootnoteReference"/>
          <w:rFonts w:ascii="Times New Roman" w:hAnsi="Times New Roman" w:cs="Times New Roman"/>
        </w:rPr>
        <w:footnoteReference w:id="70"/>
      </w:r>
      <w:r w:rsidRPr="00985A6A">
        <w:rPr>
          <w:rFonts w:ascii="Times New Roman" w:hAnsi="Times New Roman" w:cs="Times New Roman"/>
        </w:rPr>
        <w:t xml:space="preserve"> While some </w:t>
      </w:r>
      <w:r w:rsidRPr="00985A6A">
        <w:rPr>
          <w:rStyle w:val="Emphasis"/>
          <w:rFonts w:ascii="Times New Roman" w:hAnsi="Times New Roman" w:cs="Times New Roman"/>
        </w:rPr>
        <w:t>PGM</w:t>
      </w:r>
      <w:r w:rsidRPr="00985A6A">
        <w:rPr>
          <w:rFonts w:ascii="Times New Roman" w:hAnsi="Times New Roman" w:cs="Times New Roman"/>
        </w:rPr>
        <w:t xml:space="preserve"> texts incorporate alphabetic sequences for visual impact, this does not appear to be the case in this spell.</w:t>
      </w:r>
      <w:r w:rsidR="001E5022" w:rsidRPr="00985A6A">
        <w:rPr>
          <w:rFonts w:ascii="Times New Roman" w:hAnsi="Times New Roman" w:cs="Times New Roman"/>
        </w:rPr>
        <w:t xml:space="preserve"> The spell continues with an impressive list of epithets and brief descriptions of powerful divine actions, with first-person conjurations. We will consider these elements in turn, beginning with the epithets and the recounting of </w:t>
      </w:r>
      <w:r w:rsidR="00680A54" w:rsidRPr="00985A6A">
        <w:rPr>
          <w:rFonts w:ascii="Times New Roman" w:hAnsi="Times New Roman" w:cs="Times New Roman"/>
        </w:rPr>
        <w:t>mythic divine acts</w:t>
      </w:r>
      <w:r w:rsidR="001E5022" w:rsidRPr="00985A6A">
        <w:rPr>
          <w:rFonts w:ascii="Times New Roman" w:hAnsi="Times New Roman" w:cs="Times New Roman"/>
        </w:rPr>
        <w:t xml:space="preserve">, </w:t>
      </w:r>
      <w:r w:rsidR="00680A54" w:rsidRPr="00985A6A">
        <w:rPr>
          <w:rFonts w:ascii="Times New Roman" w:hAnsi="Times New Roman" w:cs="Times New Roman"/>
        </w:rPr>
        <w:t>termed</w:t>
      </w:r>
      <w:r w:rsidR="001E5022" w:rsidRPr="00985A6A">
        <w:rPr>
          <w:rFonts w:ascii="Times New Roman" w:hAnsi="Times New Roman" w:cs="Times New Roman"/>
        </w:rPr>
        <w:t xml:space="preserve"> </w:t>
      </w:r>
      <w:r w:rsidR="001E5022" w:rsidRPr="00985A6A">
        <w:rPr>
          <w:rStyle w:val="Emphasis"/>
          <w:rFonts w:ascii="Times New Roman" w:hAnsi="Times New Roman" w:cs="Times New Roman"/>
        </w:rPr>
        <w:t>historiolae</w:t>
      </w:r>
      <w:r w:rsidR="001E5022" w:rsidRPr="00985A6A">
        <w:rPr>
          <w:rFonts w:ascii="Times New Roman" w:hAnsi="Times New Roman" w:cs="Times New Roman"/>
        </w:rPr>
        <w:t>.</w:t>
      </w:r>
    </w:p>
    <w:p w14:paraId="08EA56DE" w14:textId="77777777" w:rsidR="00934E40" w:rsidRDefault="00A71DC2" w:rsidP="00486F35">
      <w:pPr>
        <w:spacing w:line="240" w:lineRule="auto"/>
        <w:rPr>
          <w:rFonts w:ascii="Times New Roman" w:eastAsia="Times New Roman" w:hAnsi="Times New Roman" w:cs="Times New Roman"/>
        </w:rPr>
      </w:pPr>
      <w:r w:rsidRPr="00A71DC2">
        <w:rPr>
          <w:rFonts w:ascii="Times New Roman" w:eastAsia="Times New Roman" w:hAnsi="Times New Roman" w:cs="Times New Roman"/>
        </w:rPr>
        <w:t xml:space="preserve">A </w:t>
      </w:r>
      <w:r w:rsidRPr="00A71DC2">
        <w:rPr>
          <w:rFonts w:ascii="Times New Roman" w:eastAsia="Times New Roman" w:hAnsi="Times New Roman" w:cs="Times New Roman"/>
          <w:i/>
          <w:iCs/>
        </w:rPr>
        <w:t>historiola</w:t>
      </w:r>
      <w:r w:rsidRPr="00A71DC2">
        <w:rPr>
          <w:rFonts w:ascii="Times New Roman" w:eastAsia="Times New Roman" w:hAnsi="Times New Roman" w:cs="Times New Roman"/>
        </w:rPr>
        <w:t xml:space="preserve"> is a brief narrative incorporated as a spoken, performative element of a magical spell. </w:t>
      </w:r>
      <w:r w:rsidR="00C978BC">
        <w:rPr>
          <w:rFonts w:ascii="Times New Roman" w:eastAsia="Times New Roman" w:hAnsi="Times New Roman" w:cs="Times New Roman"/>
        </w:rPr>
        <w:t>The mythic dimension is drawn into the present by recalling powerful past acts</w:t>
      </w:r>
      <w:r w:rsidRPr="00A71DC2">
        <w:rPr>
          <w:rFonts w:ascii="Times New Roman" w:eastAsia="Times New Roman" w:hAnsi="Times New Roman" w:cs="Times New Roman"/>
        </w:rPr>
        <w:t xml:space="preserve"> </w:t>
      </w:r>
      <w:r w:rsidR="00C978BC">
        <w:rPr>
          <w:rFonts w:ascii="Times New Roman" w:eastAsia="Times New Roman" w:hAnsi="Times New Roman" w:cs="Times New Roman"/>
        </w:rPr>
        <w:t xml:space="preserve">and </w:t>
      </w:r>
      <w:r w:rsidRPr="00A71DC2">
        <w:rPr>
          <w:rFonts w:ascii="Times New Roman" w:eastAsia="Times New Roman" w:hAnsi="Times New Roman" w:cs="Times New Roman"/>
        </w:rPr>
        <w:t>applying ancient power to an immediate human situation.</w:t>
      </w:r>
      <w:r w:rsidRPr="00985A6A">
        <w:rPr>
          <w:rStyle w:val="FootnoteReference"/>
          <w:rFonts w:ascii="Times New Roman" w:eastAsia="Times New Roman" w:hAnsi="Times New Roman" w:cs="Times New Roman"/>
        </w:rPr>
        <w:footnoteReference w:id="71"/>
      </w:r>
      <w:r w:rsidRPr="00A71DC2">
        <w:rPr>
          <w:rFonts w:ascii="Times New Roman" w:eastAsia="Times New Roman" w:hAnsi="Times New Roman" w:cs="Times New Roman"/>
        </w:rPr>
        <w:t xml:space="preserve"> The concept rests on the belief that the supernatural force of archetypal mythical events is preserved and can be reactivated by the ritual specialist.</w:t>
      </w:r>
      <w:r w:rsidRPr="00985A6A">
        <w:rPr>
          <w:rStyle w:val="FootnoteReference"/>
          <w:rFonts w:ascii="Times New Roman" w:eastAsia="Times New Roman" w:hAnsi="Times New Roman" w:cs="Times New Roman"/>
        </w:rPr>
        <w:footnoteReference w:id="72"/>
      </w:r>
      <w:r w:rsidRPr="00A71DC2">
        <w:rPr>
          <w:rFonts w:ascii="Times New Roman" w:eastAsia="Times New Roman" w:hAnsi="Times New Roman" w:cs="Times New Roman"/>
        </w:rPr>
        <w:t xml:space="preserve"> </w:t>
      </w:r>
      <w:r w:rsidR="00C978BC">
        <w:rPr>
          <w:rFonts w:ascii="Times New Roman" w:eastAsia="Times New Roman" w:hAnsi="Times New Roman" w:cs="Times New Roman"/>
        </w:rPr>
        <w:t>By citing</w:t>
      </w:r>
      <w:r w:rsidRPr="00A71DC2">
        <w:rPr>
          <w:rFonts w:ascii="Times New Roman" w:eastAsia="Times New Roman" w:hAnsi="Times New Roman" w:cs="Times New Roman"/>
        </w:rPr>
        <w:t xml:space="preserve"> precedent, the deity is invoked to act again, </w:t>
      </w:r>
      <w:r w:rsidR="00C978BC">
        <w:rPr>
          <w:rFonts w:ascii="Times New Roman" w:eastAsia="Times New Roman" w:hAnsi="Times New Roman" w:cs="Times New Roman"/>
        </w:rPr>
        <w:t>this time</w:t>
      </w:r>
      <w:r w:rsidRPr="00A71DC2">
        <w:rPr>
          <w:rFonts w:ascii="Times New Roman" w:eastAsia="Times New Roman" w:hAnsi="Times New Roman" w:cs="Times New Roman"/>
        </w:rPr>
        <w:t xml:space="preserve"> on behalf of the conjurer and the person for whom the rite is performed.</w:t>
      </w:r>
      <w:r w:rsidR="006F7728">
        <w:rPr>
          <w:rFonts w:ascii="Times New Roman" w:eastAsia="Times New Roman" w:hAnsi="Times New Roman" w:cs="Times New Roman"/>
        </w:rPr>
        <w:t xml:space="preserve"> </w:t>
      </w:r>
      <w:r w:rsidRPr="00A71DC2">
        <w:rPr>
          <w:rFonts w:ascii="Times New Roman" w:eastAsia="Times New Roman" w:hAnsi="Times New Roman" w:cs="Times New Roman"/>
        </w:rPr>
        <w:t>In this spell, the list of divine deeds draws from Israelite history, incorporating biblical and para-biblical sources and evoking instances of past divine intervention. These descriptions highlight the deity’s dominion (e.g., fire, snow, and sea),</w:t>
      </w:r>
      <w:r w:rsidR="006F7728">
        <w:rPr>
          <w:rStyle w:val="FootnoteReference"/>
          <w:rFonts w:ascii="Times New Roman" w:eastAsia="Times New Roman" w:hAnsi="Times New Roman" w:cs="Times New Roman"/>
        </w:rPr>
        <w:footnoteReference w:id="73"/>
      </w:r>
      <w:r w:rsidRPr="00A71DC2">
        <w:rPr>
          <w:rFonts w:ascii="Times New Roman" w:eastAsia="Times New Roman" w:hAnsi="Times New Roman" w:cs="Times New Roman"/>
        </w:rPr>
        <w:t xml:space="preserve"> demonstrations of power (e.g., the parting of the Red Sea),</w:t>
      </w:r>
      <w:r w:rsidR="006F7728">
        <w:rPr>
          <w:rStyle w:val="FootnoteReference"/>
          <w:rFonts w:ascii="Times New Roman" w:eastAsia="Times New Roman" w:hAnsi="Times New Roman" w:cs="Times New Roman"/>
        </w:rPr>
        <w:footnoteReference w:id="74"/>
      </w:r>
      <w:r w:rsidRPr="00A71DC2">
        <w:rPr>
          <w:rFonts w:ascii="Times New Roman" w:eastAsia="Times New Roman" w:hAnsi="Times New Roman" w:cs="Times New Roman"/>
        </w:rPr>
        <w:t xml:space="preserve"> </w:t>
      </w:r>
      <w:r w:rsidR="00377EAA" w:rsidRPr="00985A6A">
        <w:rPr>
          <w:rFonts w:ascii="Times New Roman" w:eastAsia="Times New Roman" w:hAnsi="Times New Roman" w:cs="Times New Roman"/>
        </w:rPr>
        <w:t xml:space="preserve">and the </w:t>
      </w:r>
      <w:r w:rsidRPr="00A71DC2">
        <w:rPr>
          <w:rFonts w:ascii="Times New Roman" w:eastAsia="Times New Roman" w:hAnsi="Times New Roman" w:cs="Times New Roman"/>
        </w:rPr>
        <w:t>capacity to administer punishment (e.g., the ten plagues).</w:t>
      </w:r>
      <w:r w:rsidR="008540E8" w:rsidRPr="00985A6A">
        <w:rPr>
          <w:rStyle w:val="FootnoteReference"/>
          <w:rFonts w:ascii="Times New Roman" w:eastAsia="Times New Roman" w:hAnsi="Times New Roman" w:cs="Times New Roman"/>
        </w:rPr>
        <w:footnoteReference w:id="75"/>
      </w:r>
      <w:r w:rsidRPr="00A71DC2">
        <w:rPr>
          <w:rFonts w:ascii="Times New Roman" w:eastAsia="Times New Roman" w:hAnsi="Times New Roman" w:cs="Times New Roman"/>
        </w:rPr>
        <w:t xml:space="preserve"> </w:t>
      </w:r>
    </w:p>
    <w:p w14:paraId="0CDCEF3C" w14:textId="77777777" w:rsidR="00934E40" w:rsidRDefault="00A71DC2" w:rsidP="00486F35">
      <w:pPr>
        <w:spacing w:line="240" w:lineRule="auto"/>
        <w:rPr>
          <w:rFonts w:ascii="Times New Roman" w:eastAsia="Times New Roman" w:hAnsi="Times New Roman" w:cs="Times New Roman"/>
        </w:rPr>
      </w:pPr>
      <w:r w:rsidRPr="00A71DC2">
        <w:rPr>
          <w:rFonts w:ascii="Times New Roman" w:eastAsia="Times New Roman" w:hAnsi="Times New Roman" w:cs="Times New Roman"/>
        </w:rPr>
        <w:t xml:space="preserve">The historical references serve </w:t>
      </w:r>
      <w:r w:rsidR="00377EAA" w:rsidRPr="00985A6A">
        <w:rPr>
          <w:rFonts w:ascii="Times New Roman" w:eastAsia="Times New Roman" w:hAnsi="Times New Roman" w:cs="Times New Roman"/>
        </w:rPr>
        <w:t xml:space="preserve">the </w:t>
      </w:r>
      <w:r w:rsidRPr="00A71DC2">
        <w:rPr>
          <w:rFonts w:ascii="Times New Roman" w:eastAsia="Times New Roman" w:hAnsi="Times New Roman" w:cs="Times New Roman"/>
        </w:rPr>
        <w:t>dual purpos</w:t>
      </w:r>
      <w:r w:rsidR="00377EAA" w:rsidRPr="00985A6A">
        <w:rPr>
          <w:rFonts w:ascii="Times New Roman" w:eastAsia="Times New Roman" w:hAnsi="Times New Roman" w:cs="Times New Roman"/>
        </w:rPr>
        <w:t>e of</w:t>
      </w:r>
      <w:r w:rsidRPr="00A71DC2">
        <w:rPr>
          <w:rFonts w:ascii="Times New Roman" w:eastAsia="Times New Roman" w:hAnsi="Times New Roman" w:cs="Times New Roman"/>
        </w:rPr>
        <w:t xml:space="preserve"> reinforcing the deity’s power and linking the current ritual to the record of past divine actions. By recalling these examples, the ritual </w:t>
      </w:r>
      <w:r w:rsidR="00C978BC">
        <w:rPr>
          <w:rFonts w:ascii="Times New Roman" w:eastAsia="Times New Roman" w:hAnsi="Times New Roman" w:cs="Times New Roman"/>
        </w:rPr>
        <w:t>appeals to the deity to intervene again, bridging</w:t>
      </w:r>
      <w:r w:rsidRPr="00A71DC2">
        <w:rPr>
          <w:rFonts w:ascii="Times New Roman" w:eastAsia="Times New Roman" w:hAnsi="Times New Roman" w:cs="Times New Roman"/>
        </w:rPr>
        <w:t xml:space="preserve"> the historical past with the immediate need for divine assistance, enhancing the ritual’s efficacy through association with </w:t>
      </w:r>
      <w:r w:rsidR="00377EAA" w:rsidRPr="00985A6A">
        <w:rPr>
          <w:rFonts w:ascii="Times New Roman" w:eastAsia="Times New Roman" w:hAnsi="Times New Roman" w:cs="Times New Roman"/>
        </w:rPr>
        <w:t xml:space="preserve">past </w:t>
      </w:r>
      <w:r w:rsidRPr="00A71DC2">
        <w:rPr>
          <w:rFonts w:ascii="Times New Roman" w:eastAsia="Times New Roman" w:hAnsi="Times New Roman" w:cs="Times New Roman"/>
        </w:rPr>
        <w:t>demonstr</w:t>
      </w:r>
      <w:r w:rsidR="00377EAA" w:rsidRPr="00985A6A">
        <w:rPr>
          <w:rFonts w:ascii="Times New Roman" w:eastAsia="Times New Roman" w:hAnsi="Times New Roman" w:cs="Times New Roman"/>
        </w:rPr>
        <w:t>ations of</w:t>
      </w:r>
      <w:r w:rsidRPr="00A71DC2">
        <w:rPr>
          <w:rFonts w:ascii="Times New Roman" w:eastAsia="Times New Roman" w:hAnsi="Times New Roman" w:cs="Times New Roman"/>
        </w:rPr>
        <w:t xml:space="preserve"> power.</w:t>
      </w:r>
      <w:r w:rsidR="008540E8" w:rsidRPr="00985A6A">
        <w:rPr>
          <w:rFonts w:ascii="Times New Roman" w:eastAsia="Times New Roman" w:hAnsi="Times New Roman" w:cs="Times New Roman"/>
        </w:rPr>
        <w:t xml:space="preserve"> </w:t>
      </w:r>
      <w:r w:rsidRPr="00A71DC2">
        <w:rPr>
          <w:rFonts w:ascii="Times New Roman" w:eastAsia="Times New Roman" w:hAnsi="Times New Roman" w:cs="Times New Roman"/>
        </w:rPr>
        <w:t xml:space="preserve">This ritual strategy also strengthens the </w:t>
      </w:r>
      <w:r w:rsidR="00934E40">
        <w:rPr>
          <w:rFonts w:ascii="Times New Roman" w:eastAsia="Times New Roman" w:hAnsi="Times New Roman" w:cs="Times New Roman"/>
        </w:rPr>
        <w:t>practitioner</w:t>
      </w:r>
      <w:r w:rsidR="00934E40" w:rsidRPr="00A71DC2">
        <w:rPr>
          <w:rFonts w:ascii="Times New Roman" w:eastAsia="Times New Roman" w:hAnsi="Times New Roman" w:cs="Times New Roman"/>
        </w:rPr>
        <w:t>’s</w:t>
      </w:r>
      <w:r w:rsidRPr="00A71DC2">
        <w:rPr>
          <w:rFonts w:ascii="Times New Roman" w:eastAsia="Times New Roman" w:hAnsi="Times New Roman" w:cs="Times New Roman"/>
        </w:rPr>
        <w:t xml:space="preserve"> authority by emphasi</w:t>
      </w:r>
      <w:r w:rsidR="00E84BAC">
        <w:rPr>
          <w:rFonts w:ascii="Times New Roman" w:eastAsia="Times New Roman" w:hAnsi="Times New Roman" w:cs="Times New Roman"/>
        </w:rPr>
        <w:t>s</w:t>
      </w:r>
      <w:r w:rsidRPr="00A71DC2">
        <w:rPr>
          <w:rFonts w:ascii="Times New Roman" w:eastAsia="Times New Roman" w:hAnsi="Times New Roman" w:cs="Times New Roman"/>
        </w:rPr>
        <w:t>ing the deity’s potency and the consequences of resisting adjuration. In the context of an exorcism, the ritual</w:t>
      </w:r>
      <w:r w:rsidR="000E28BE" w:rsidRPr="00985A6A">
        <w:rPr>
          <w:rFonts w:ascii="Times New Roman" w:eastAsia="Times New Roman" w:hAnsi="Times New Roman" w:cs="Times New Roman"/>
        </w:rPr>
        <w:t xml:space="preserve"> specialist invokes</w:t>
      </w:r>
      <w:r w:rsidRPr="00A71DC2">
        <w:rPr>
          <w:rFonts w:ascii="Times New Roman" w:eastAsia="Times New Roman" w:hAnsi="Times New Roman" w:cs="Times New Roman"/>
        </w:rPr>
        <w:t xml:space="preserve"> the deity’s capacity to command and punish, reinforcing the seriousness of the conjuration.</w:t>
      </w:r>
      <w:r w:rsidR="008540E8" w:rsidRPr="00985A6A">
        <w:rPr>
          <w:rStyle w:val="FootnoteReference"/>
          <w:rFonts w:ascii="Times New Roman" w:eastAsia="Times New Roman" w:hAnsi="Times New Roman" w:cs="Times New Roman"/>
        </w:rPr>
        <w:footnoteReference w:id="76"/>
      </w:r>
      <w:r w:rsidRPr="00A71DC2">
        <w:rPr>
          <w:rFonts w:ascii="Times New Roman" w:eastAsia="Times New Roman" w:hAnsi="Times New Roman" w:cs="Times New Roman"/>
        </w:rPr>
        <w:t xml:space="preserve"> As the spell demonstrates, the skilled exorcist carefully draws on the deity’s record of mighty acts to </w:t>
      </w:r>
      <w:r w:rsidR="00985A6A" w:rsidRPr="00A71DC2">
        <w:rPr>
          <w:rFonts w:ascii="Times New Roman" w:eastAsia="Times New Roman" w:hAnsi="Times New Roman" w:cs="Times New Roman"/>
        </w:rPr>
        <w:t>instil</w:t>
      </w:r>
      <w:r w:rsidRPr="00A71DC2">
        <w:rPr>
          <w:rFonts w:ascii="Times New Roman" w:eastAsia="Times New Roman" w:hAnsi="Times New Roman" w:cs="Times New Roman"/>
        </w:rPr>
        <w:t xml:space="preserve"> fear in the daimon and assert control</w:t>
      </w:r>
      <w:r w:rsidR="008540E8" w:rsidRPr="00985A6A">
        <w:rPr>
          <w:rFonts w:ascii="Times New Roman" w:eastAsia="Times New Roman" w:hAnsi="Times New Roman" w:cs="Times New Roman"/>
        </w:rPr>
        <w:t xml:space="preserve"> in</w:t>
      </w:r>
      <w:r w:rsidRPr="00A71DC2">
        <w:rPr>
          <w:rFonts w:ascii="Times New Roman" w:eastAsia="Times New Roman" w:hAnsi="Times New Roman" w:cs="Times New Roman"/>
        </w:rPr>
        <w:t xml:space="preserve"> the encounter.</w:t>
      </w:r>
      <w:r w:rsidR="008540E8" w:rsidRPr="00985A6A">
        <w:rPr>
          <w:rStyle w:val="FootnoteReference"/>
          <w:rFonts w:ascii="Times New Roman" w:eastAsia="Times New Roman" w:hAnsi="Times New Roman" w:cs="Times New Roman"/>
        </w:rPr>
        <w:footnoteReference w:id="77"/>
      </w:r>
      <w:r w:rsidR="000E28BE" w:rsidRPr="00985A6A">
        <w:rPr>
          <w:rFonts w:ascii="Times New Roman" w:eastAsia="Times New Roman" w:hAnsi="Times New Roman" w:cs="Times New Roman"/>
        </w:rPr>
        <w:t xml:space="preserve"> </w:t>
      </w:r>
    </w:p>
    <w:p w14:paraId="0A82BD6B" w14:textId="71032A8F" w:rsidR="008B53AA" w:rsidRPr="00C60489" w:rsidRDefault="00D90397" w:rsidP="00486F35">
      <w:pPr>
        <w:spacing w:line="240" w:lineRule="auto"/>
        <w:rPr>
          <w:rFonts w:ascii="Times New Roman" w:hAnsi="Times New Roman" w:cs="Times New Roman"/>
        </w:rPr>
      </w:pPr>
      <w:r w:rsidRPr="00D90397">
        <w:rPr>
          <w:rFonts w:ascii="Times New Roman" w:hAnsi="Times New Roman" w:cs="Times New Roman"/>
        </w:rPr>
        <w:t>Recalling Knox’s theory, previously mentioned, that the exorcistic spell in PGM IV may represent the conflation of two complete exorcisms,</w:t>
      </w:r>
      <w:r w:rsidR="00411B98">
        <w:rPr>
          <w:rStyle w:val="FootnoteReference"/>
          <w:rFonts w:ascii="Times New Roman" w:hAnsi="Times New Roman" w:cs="Times New Roman"/>
        </w:rPr>
        <w:footnoteReference w:id="78"/>
      </w:r>
      <w:r w:rsidRPr="00D90397">
        <w:rPr>
          <w:rFonts w:ascii="Times New Roman" w:hAnsi="Times New Roman" w:cs="Times New Roman"/>
        </w:rPr>
        <w:t xml:space="preserve"> it is important to note that the conciseness of incantations </w:t>
      </w:r>
      <w:r>
        <w:rPr>
          <w:rFonts w:ascii="Times New Roman" w:hAnsi="Times New Roman" w:cs="Times New Roman"/>
        </w:rPr>
        <w:t>could be</w:t>
      </w:r>
      <w:r w:rsidRPr="00D90397">
        <w:rPr>
          <w:rFonts w:ascii="Times New Roman" w:hAnsi="Times New Roman" w:cs="Times New Roman"/>
        </w:rPr>
        <w:t xml:space="preserve"> seen as a measure of a ritual specialist’s proficiency in invoking and channelling divine power.</w:t>
      </w:r>
      <w:r w:rsidR="00411B98">
        <w:rPr>
          <w:rStyle w:val="FootnoteReference"/>
          <w:rFonts w:ascii="Times New Roman" w:hAnsi="Times New Roman" w:cs="Times New Roman"/>
        </w:rPr>
        <w:footnoteReference w:id="79"/>
      </w:r>
      <w:r w:rsidRPr="00D90397">
        <w:rPr>
          <w:rFonts w:ascii="Times New Roman" w:hAnsi="Times New Roman" w:cs="Times New Roman"/>
        </w:rPr>
        <w:t xml:space="preserve"> This raises questions about the unusual length of the spell as it has been received.</w:t>
      </w:r>
      <w:r>
        <w:t xml:space="preserve"> </w:t>
      </w:r>
      <w:r w:rsidR="008540E8" w:rsidRPr="00985A6A">
        <w:rPr>
          <w:rFonts w:ascii="Times New Roman" w:hAnsi="Times New Roman" w:cs="Times New Roman"/>
        </w:rPr>
        <w:t xml:space="preserve">A striking example </w:t>
      </w:r>
      <w:r>
        <w:rPr>
          <w:rFonts w:ascii="Times New Roman" w:hAnsi="Times New Roman" w:cs="Times New Roman"/>
        </w:rPr>
        <w:t xml:space="preserve">of conciseness </w:t>
      </w:r>
      <w:r w:rsidR="008540E8" w:rsidRPr="00985A6A">
        <w:rPr>
          <w:rFonts w:ascii="Times New Roman" w:hAnsi="Times New Roman" w:cs="Times New Roman"/>
        </w:rPr>
        <w:t>appears in Matthew 8:16, in which Jesus is depicted expelling demons with a single word. In a cultural context familiar with elaborate exorcistic practices, Jesus’ ability to command demons so succinctly would have distinguished him from other exorcistic healers. This example underscores the principle that the effectiveness of a ritual invocation was closely tied to the precision and potency of the spoken words, highlighting the practitioner’s skill in efficiently harnessing divine authority over the daimon. Ultimately, the success of the exorcism rests on the ritual specialist’s ability to assert the authority of the invoked deity over the opposing spirit</w:t>
      </w:r>
      <w:r w:rsidR="000E28BE" w:rsidRPr="00985A6A">
        <w:rPr>
          <w:rFonts w:ascii="Times New Roman" w:hAnsi="Times New Roman" w:cs="Times New Roman"/>
        </w:rPr>
        <w:t>, as seen in the first-</w:t>
      </w:r>
      <w:r w:rsidR="000E28BE" w:rsidRPr="00C60489">
        <w:rPr>
          <w:rFonts w:ascii="Times New Roman" w:hAnsi="Times New Roman" w:cs="Times New Roman"/>
        </w:rPr>
        <w:t xml:space="preserve">person </w:t>
      </w:r>
      <w:r w:rsidR="00377EAA" w:rsidRPr="00C60489">
        <w:rPr>
          <w:rFonts w:ascii="Times New Roman" w:hAnsi="Times New Roman" w:cs="Times New Roman"/>
        </w:rPr>
        <w:t xml:space="preserve">conjurations and final </w:t>
      </w:r>
      <w:r w:rsidR="000E28BE" w:rsidRPr="00C60489">
        <w:rPr>
          <w:rFonts w:ascii="Times New Roman" w:hAnsi="Times New Roman" w:cs="Times New Roman"/>
        </w:rPr>
        <w:t>adjuration made by the ritual specialist in PGM IV.3007-86.</w:t>
      </w:r>
    </w:p>
    <w:p w14:paraId="77A1C8CF" w14:textId="77777777" w:rsidR="00411B98" w:rsidRDefault="00C60489" w:rsidP="00486F35">
      <w:pPr>
        <w:spacing w:line="240" w:lineRule="auto"/>
        <w:rPr>
          <w:rFonts w:ascii="Times New Roman" w:hAnsi="Times New Roman" w:cs="Times New Roman"/>
        </w:rPr>
      </w:pPr>
      <w:r w:rsidRPr="00411B98">
        <w:rPr>
          <w:rFonts w:ascii="Times New Roman" w:hAnsi="Times New Roman" w:cs="Times New Roman"/>
          <w:color w:val="000000" w:themeColor="text1"/>
        </w:rPr>
        <w:t xml:space="preserve">Two examples from the text’s </w:t>
      </w:r>
      <w:r w:rsidRPr="00411B98">
        <w:rPr>
          <w:rFonts w:ascii="Times New Roman" w:hAnsi="Times New Roman" w:cs="Times New Roman"/>
          <w:i/>
          <w:iCs/>
          <w:color w:val="000000" w:themeColor="text1"/>
        </w:rPr>
        <w:t>historiolae</w:t>
      </w:r>
      <w:r w:rsidRPr="00411B98">
        <w:rPr>
          <w:rFonts w:ascii="Times New Roman" w:hAnsi="Times New Roman" w:cs="Times New Roman"/>
          <w:color w:val="000000" w:themeColor="text1"/>
        </w:rPr>
        <w:t xml:space="preserve"> warrant additional consideration for what some scholars believe they may reveal about the date of </w:t>
      </w:r>
      <w:r w:rsidR="00411B98" w:rsidRPr="00411B98">
        <w:rPr>
          <w:rFonts w:ascii="Times New Roman" w:hAnsi="Times New Roman" w:cs="Times New Roman"/>
          <w:color w:val="000000" w:themeColor="text1"/>
        </w:rPr>
        <w:t>its</w:t>
      </w:r>
      <w:r w:rsidRPr="00411B98">
        <w:rPr>
          <w:rFonts w:ascii="Times New Roman" w:hAnsi="Times New Roman" w:cs="Times New Roman"/>
          <w:color w:val="000000" w:themeColor="text1"/>
        </w:rPr>
        <w:t xml:space="preserve"> composition. </w:t>
      </w:r>
      <w:r w:rsidR="007B6BD0" w:rsidRPr="00C60489">
        <w:rPr>
          <w:rFonts w:ascii="Times New Roman" w:hAnsi="Times New Roman" w:cs="Times New Roman"/>
        </w:rPr>
        <w:t>T</w:t>
      </w:r>
      <w:r w:rsidR="0004659F" w:rsidRPr="00C60489">
        <w:rPr>
          <w:rFonts w:ascii="Times New Roman" w:hAnsi="Times New Roman" w:cs="Times New Roman"/>
        </w:rPr>
        <w:t>he conjuration, “by the one in holy Jerusalem before whom the unquenchable fire burns for all time,”</w:t>
      </w:r>
      <w:r w:rsidR="00411B98">
        <w:rPr>
          <w:rStyle w:val="FootnoteReference"/>
          <w:rFonts w:ascii="Times New Roman" w:hAnsi="Times New Roman" w:cs="Times New Roman"/>
        </w:rPr>
        <w:footnoteReference w:id="80"/>
      </w:r>
      <w:r w:rsidR="0004659F" w:rsidRPr="00C60489">
        <w:rPr>
          <w:rFonts w:ascii="Times New Roman" w:hAnsi="Times New Roman" w:cs="Times New Roman"/>
        </w:rPr>
        <w:t xml:space="preserve"> is generally understood as a reference to the menorah of the Jerusalem Temple.</w:t>
      </w:r>
      <w:r w:rsidR="00411B98">
        <w:rPr>
          <w:rStyle w:val="FootnoteReference"/>
          <w:rFonts w:ascii="Times New Roman" w:hAnsi="Times New Roman" w:cs="Times New Roman"/>
        </w:rPr>
        <w:footnoteReference w:id="81"/>
      </w:r>
      <w:r w:rsidR="0004659F" w:rsidRPr="00C60489">
        <w:rPr>
          <w:rFonts w:ascii="Times New Roman" w:hAnsi="Times New Roman" w:cs="Times New Roman"/>
        </w:rPr>
        <w:t xml:space="preserve"> </w:t>
      </w:r>
      <w:r w:rsidR="007B6BD0" w:rsidRPr="00C60489">
        <w:rPr>
          <w:rFonts w:ascii="Times New Roman" w:hAnsi="Times New Roman" w:cs="Times New Roman"/>
        </w:rPr>
        <w:t>Regarding the dating of the text, e</w:t>
      </w:r>
      <w:r w:rsidR="0004659F" w:rsidRPr="00C60489">
        <w:rPr>
          <w:rFonts w:ascii="Times New Roman" w:hAnsi="Times New Roman" w:cs="Times New Roman"/>
        </w:rPr>
        <w:t>arlier sch</w:t>
      </w:r>
      <w:r w:rsidR="007B6BD0" w:rsidRPr="00C60489">
        <w:rPr>
          <w:rFonts w:ascii="Times New Roman" w:hAnsi="Times New Roman" w:cs="Times New Roman"/>
        </w:rPr>
        <w:t>olarship</w:t>
      </w:r>
      <w:r w:rsidR="0004659F" w:rsidRPr="00C60489">
        <w:rPr>
          <w:rFonts w:ascii="Times New Roman" w:hAnsi="Times New Roman" w:cs="Times New Roman"/>
        </w:rPr>
        <w:t xml:space="preserve"> proposed that at least this portion of the spell must have originated prior to the Temple’s destruction in 70 CE;</w:t>
      </w:r>
      <w:r w:rsidR="0004659F" w:rsidRPr="00C60489">
        <w:rPr>
          <w:rStyle w:val="FootnoteReference"/>
          <w:rFonts w:ascii="Times New Roman" w:hAnsi="Times New Roman" w:cs="Times New Roman"/>
        </w:rPr>
        <w:footnoteReference w:id="82"/>
      </w:r>
      <w:r w:rsidR="0004659F" w:rsidRPr="00C60489">
        <w:rPr>
          <w:rFonts w:ascii="Times New Roman" w:hAnsi="Times New Roman" w:cs="Times New Roman"/>
        </w:rPr>
        <w:t xml:space="preserve"> however, this theory remains debated</w:t>
      </w:r>
      <w:r w:rsidR="007B6BD0" w:rsidRPr="00C60489">
        <w:rPr>
          <w:rFonts w:ascii="Times New Roman" w:hAnsi="Times New Roman" w:cs="Times New Roman"/>
        </w:rPr>
        <w:t xml:space="preserve">. </w:t>
      </w:r>
      <w:r w:rsidR="00C64CD9" w:rsidRPr="00C60489">
        <w:rPr>
          <w:rFonts w:ascii="Times New Roman" w:eastAsia="Times New Roman" w:hAnsi="Times New Roman" w:cs="Times New Roman"/>
          <w:lang w:val="en-US"/>
        </w:rPr>
        <w:t>Some scholars argue that the imagined eternal flame of the Temple would have persisted long after its destruction,</w:t>
      </w:r>
      <w:r w:rsidRPr="00C60489">
        <w:rPr>
          <w:rFonts w:ascii="Times New Roman" w:eastAsia="Times New Roman" w:hAnsi="Times New Roman" w:cs="Times New Roman"/>
          <w:lang w:val="en-US"/>
        </w:rPr>
        <w:t xml:space="preserve"> with its power in the conjuration deriving from its myth</w:t>
      </w:r>
      <w:r w:rsidR="00411B98">
        <w:rPr>
          <w:rFonts w:ascii="Times New Roman" w:eastAsia="Times New Roman" w:hAnsi="Times New Roman" w:cs="Times New Roman"/>
          <w:lang w:val="en-US"/>
        </w:rPr>
        <w:t>ical</w:t>
      </w:r>
      <w:r w:rsidRPr="00C60489">
        <w:rPr>
          <w:rFonts w:ascii="Times New Roman" w:eastAsia="Times New Roman" w:hAnsi="Times New Roman" w:cs="Times New Roman"/>
          <w:lang w:val="en-US"/>
        </w:rPr>
        <w:t xml:space="preserve"> nature</w:t>
      </w:r>
      <w:r w:rsidR="00411B98">
        <w:rPr>
          <w:rFonts w:ascii="Times New Roman" w:eastAsia="Times New Roman" w:hAnsi="Times New Roman" w:cs="Times New Roman"/>
          <w:lang w:val="en-US"/>
        </w:rPr>
        <w:t xml:space="preserve"> and </w:t>
      </w:r>
      <w:r w:rsidRPr="00C60489">
        <w:rPr>
          <w:rFonts w:ascii="Times New Roman" w:eastAsia="Times New Roman" w:hAnsi="Times New Roman" w:cs="Times New Roman"/>
          <w:lang w:val="en-US"/>
        </w:rPr>
        <w:t>existing outside of linear time.</w:t>
      </w:r>
      <w:r w:rsidR="00C64CD9" w:rsidRPr="00C60489">
        <w:rPr>
          <w:rStyle w:val="FootnoteReference"/>
          <w:rFonts w:ascii="Times New Roman" w:eastAsia="Times New Roman" w:hAnsi="Times New Roman" w:cs="Times New Roman"/>
          <w:lang w:val="en-US"/>
        </w:rPr>
        <w:footnoteReference w:id="83"/>
      </w:r>
      <w:r w:rsidRPr="00C60489">
        <w:rPr>
          <w:rFonts w:ascii="Times New Roman" w:eastAsia="Times New Roman" w:hAnsi="Times New Roman" w:cs="Times New Roman"/>
          <w:lang w:val="en-US"/>
        </w:rPr>
        <w:t xml:space="preserve"> </w:t>
      </w:r>
      <w:r w:rsidR="00C64CD9" w:rsidRPr="00C60489">
        <w:rPr>
          <w:rFonts w:ascii="Times New Roman" w:eastAsia="Times New Roman" w:hAnsi="Times New Roman" w:cs="Times New Roman"/>
          <w:lang w:val="en-US"/>
        </w:rPr>
        <w:t xml:space="preserve">This perspective may also explain why the sequence of biblical and para-biblical </w:t>
      </w:r>
      <w:r w:rsidR="00C64CD9" w:rsidRPr="00C60489">
        <w:rPr>
          <w:rFonts w:ascii="Times New Roman" w:eastAsia="Times New Roman" w:hAnsi="Times New Roman" w:cs="Times New Roman"/>
          <w:i/>
          <w:iCs/>
          <w:lang w:val="en-US"/>
        </w:rPr>
        <w:t>historiola</w:t>
      </w:r>
      <w:r w:rsidR="00C64CD9" w:rsidRPr="00C60489">
        <w:rPr>
          <w:rFonts w:ascii="Times New Roman" w:eastAsia="Times New Roman" w:hAnsi="Times New Roman" w:cs="Times New Roman"/>
          <w:lang w:val="en-US"/>
        </w:rPr>
        <w:t xml:space="preserve"> referenced events do not follow a strict chronological order</w:t>
      </w:r>
      <w:r w:rsidR="007B6BD0" w:rsidRPr="00C60489">
        <w:rPr>
          <w:rFonts w:ascii="Times New Roman" w:hAnsi="Times New Roman" w:cs="Times New Roman"/>
        </w:rPr>
        <w:t>.</w:t>
      </w:r>
      <w:r w:rsidR="00C64CD9" w:rsidRPr="00C60489">
        <w:rPr>
          <w:rFonts w:ascii="Times New Roman" w:hAnsi="Times New Roman" w:cs="Times New Roman"/>
        </w:rPr>
        <w:t xml:space="preserve"> </w:t>
      </w:r>
    </w:p>
    <w:p w14:paraId="44D86CA8" w14:textId="71C4A529" w:rsidR="00C64CD9" w:rsidRPr="00F10882" w:rsidRDefault="00D96849" w:rsidP="00486F35">
      <w:pPr>
        <w:spacing w:line="240" w:lineRule="auto"/>
        <w:rPr>
          <w:rFonts w:ascii="Times New Roman" w:hAnsi="Times New Roman" w:cs="Times New Roman"/>
        </w:rPr>
      </w:pPr>
      <w:r w:rsidRPr="00C60489">
        <w:rPr>
          <w:rFonts w:ascii="Times New Roman" w:hAnsi="Times New Roman" w:cs="Times New Roman"/>
        </w:rPr>
        <w:t>Another curious feature of the text, interpreted by some as offering a clue to its dating, appears in the list of three classes of daimons: “</w:t>
      </w:r>
      <w:proofErr w:type="spellStart"/>
      <w:r w:rsidRPr="00C60489">
        <w:rPr>
          <w:rFonts w:ascii="Times New Roman" w:hAnsi="Times New Roman" w:cs="Times New Roman"/>
        </w:rPr>
        <w:t>Ebousaeus</w:t>
      </w:r>
      <w:proofErr w:type="spellEnd"/>
      <w:r w:rsidRPr="00C60489">
        <w:rPr>
          <w:rFonts w:ascii="Times New Roman" w:hAnsi="Times New Roman" w:cs="Times New Roman"/>
        </w:rPr>
        <w:t xml:space="preserve"> or </w:t>
      </w:r>
      <w:proofErr w:type="spellStart"/>
      <w:r w:rsidRPr="00C60489">
        <w:rPr>
          <w:rFonts w:ascii="Times New Roman" w:hAnsi="Times New Roman" w:cs="Times New Roman"/>
        </w:rPr>
        <w:t>Cher</w:t>
      </w:r>
      <w:r w:rsidR="00E434AD">
        <w:rPr>
          <w:rFonts w:ascii="Times New Roman" w:hAnsi="Times New Roman" w:cs="Times New Roman"/>
        </w:rPr>
        <w:t>s</w:t>
      </w:r>
      <w:r w:rsidRPr="00C60489">
        <w:rPr>
          <w:rFonts w:ascii="Times New Roman" w:hAnsi="Times New Roman" w:cs="Times New Roman"/>
        </w:rPr>
        <w:t>eus</w:t>
      </w:r>
      <w:proofErr w:type="spellEnd"/>
      <w:r w:rsidRPr="00C60489">
        <w:rPr>
          <w:rFonts w:ascii="Times New Roman" w:hAnsi="Times New Roman" w:cs="Times New Roman"/>
        </w:rPr>
        <w:t xml:space="preserve"> or </w:t>
      </w:r>
      <w:proofErr w:type="spellStart"/>
      <w:r w:rsidRPr="00C60489">
        <w:rPr>
          <w:rFonts w:ascii="Times New Roman" w:hAnsi="Times New Roman" w:cs="Times New Roman"/>
        </w:rPr>
        <w:t>Pha</w:t>
      </w:r>
      <w:r w:rsidR="00E434AD">
        <w:rPr>
          <w:rFonts w:ascii="Times New Roman" w:hAnsi="Times New Roman" w:cs="Times New Roman"/>
        </w:rPr>
        <w:t>risacus</w:t>
      </w:r>
      <w:proofErr w:type="spellEnd"/>
      <w:r w:rsidRPr="00C60489">
        <w:rPr>
          <w:rFonts w:ascii="Times New Roman" w:hAnsi="Times New Roman" w:cs="Times New Roman"/>
        </w:rPr>
        <w:t>.”</w:t>
      </w:r>
      <w:r w:rsidR="00411B98">
        <w:rPr>
          <w:rStyle w:val="FootnoteReference"/>
          <w:rFonts w:ascii="Times New Roman" w:hAnsi="Times New Roman" w:cs="Times New Roman"/>
        </w:rPr>
        <w:footnoteReference w:id="84"/>
      </w:r>
      <w:r w:rsidRPr="00C60489">
        <w:rPr>
          <w:rFonts w:ascii="Times New Roman" w:hAnsi="Times New Roman" w:cs="Times New Roman"/>
        </w:rPr>
        <w:t xml:space="preserve"> These names seem to be a garbled version of names drawn from the Greek Septuagint’s list of nations inhabiting Canaan (Gen 15:20–21).</w:t>
      </w:r>
      <w:r w:rsidR="00B97B77" w:rsidRPr="00C60489">
        <w:rPr>
          <w:rStyle w:val="FootnoteReference"/>
          <w:rFonts w:ascii="Times New Roman" w:hAnsi="Times New Roman" w:cs="Times New Roman"/>
        </w:rPr>
        <w:footnoteReference w:id="85"/>
      </w:r>
      <w:r w:rsidRPr="00C60489">
        <w:rPr>
          <w:rFonts w:ascii="Times New Roman" w:hAnsi="Times New Roman" w:cs="Times New Roman"/>
        </w:rPr>
        <w:t xml:space="preserve"> </w:t>
      </w:r>
      <w:r w:rsidR="00E434AD" w:rsidRPr="00C60489">
        <w:rPr>
          <w:rFonts w:ascii="Times New Roman" w:hAnsi="Times New Roman" w:cs="Times New Roman"/>
        </w:rPr>
        <w:t xml:space="preserve">In this case, the </w:t>
      </w:r>
      <w:r w:rsidR="00E434AD" w:rsidRPr="00C60489">
        <w:rPr>
          <w:rFonts w:ascii="Times New Roman" w:hAnsi="Times New Roman" w:cs="Times New Roman"/>
          <w:i/>
          <w:iCs/>
        </w:rPr>
        <w:t>Perizzites</w:t>
      </w:r>
      <w:r w:rsidR="00E434AD" w:rsidRPr="00C60489">
        <w:rPr>
          <w:rFonts w:ascii="Times New Roman" w:hAnsi="Times New Roman" w:cs="Times New Roman"/>
        </w:rPr>
        <w:t xml:space="preserve"> of the original Hebrew, transliterated as </w:t>
      </w:r>
      <w:r w:rsidR="00E434AD" w:rsidRPr="00C60489">
        <w:rPr>
          <w:rStyle w:val="Emphasis"/>
          <w:rFonts w:ascii="Times New Roman" w:hAnsi="Times New Roman" w:cs="Times New Roman"/>
        </w:rPr>
        <w:t>Perizzites</w:t>
      </w:r>
      <w:r w:rsidR="00E434AD" w:rsidRPr="00C60489">
        <w:rPr>
          <w:rFonts w:ascii="Times New Roman" w:hAnsi="Times New Roman" w:cs="Times New Roman"/>
        </w:rPr>
        <w:t xml:space="preserve"> in the Greek Septuagint, appear in the spell’s text as </w:t>
      </w:r>
      <w:proofErr w:type="spellStart"/>
      <w:r w:rsidR="00E434AD" w:rsidRPr="00C60489">
        <w:rPr>
          <w:rStyle w:val="Emphasis"/>
          <w:rFonts w:ascii="Times New Roman" w:hAnsi="Times New Roman" w:cs="Times New Roman"/>
        </w:rPr>
        <w:t>Pharisaios</w:t>
      </w:r>
      <w:proofErr w:type="spellEnd"/>
      <w:r w:rsidR="00E434AD" w:rsidRPr="00C60489">
        <w:rPr>
          <w:rStyle w:val="Emphasis"/>
          <w:rFonts w:ascii="Times New Roman" w:hAnsi="Times New Roman" w:cs="Times New Roman"/>
        </w:rPr>
        <w:t xml:space="preserve"> </w:t>
      </w:r>
      <w:r w:rsidR="00E434AD" w:rsidRPr="00C60489">
        <w:rPr>
          <w:rStyle w:val="Emphasis"/>
          <w:rFonts w:ascii="Times New Roman" w:hAnsi="Times New Roman" w:cs="Times New Roman"/>
          <w:i w:val="0"/>
          <w:iCs w:val="0"/>
        </w:rPr>
        <w:t>or</w:t>
      </w:r>
      <w:r w:rsidR="00E434AD" w:rsidRPr="00C60489">
        <w:rPr>
          <w:rStyle w:val="Emphasis"/>
          <w:rFonts w:ascii="Times New Roman" w:hAnsi="Times New Roman" w:cs="Times New Roman"/>
        </w:rPr>
        <w:t xml:space="preserve"> </w:t>
      </w:r>
      <w:r w:rsidR="00E434AD" w:rsidRPr="00C60489">
        <w:rPr>
          <w:rFonts w:ascii="Times New Roman" w:hAnsi="Times New Roman" w:cs="Times New Roman"/>
        </w:rPr>
        <w:t>Pharisee.</w:t>
      </w:r>
      <w:r w:rsidR="00E434AD">
        <w:rPr>
          <w:rFonts w:ascii="Times New Roman" w:hAnsi="Times New Roman" w:cs="Times New Roman"/>
        </w:rPr>
        <w:t xml:space="preserve"> </w:t>
      </w:r>
      <w:r w:rsidR="00B97B77" w:rsidRPr="00C60489">
        <w:rPr>
          <w:rFonts w:ascii="Times New Roman" w:hAnsi="Times New Roman" w:cs="Times New Roman"/>
        </w:rPr>
        <w:t>Some scholars have theori</w:t>
      </w:r>
      <w:r w:rsidR="00E84BAC">
        <w:rPr>
          <w:rFonts w:ascii="Times New Roman" w:hAnsi="Times New Roman" w:cs="Times New Roman"/>
        </w:rPr>
        <w:t>s</w:t>
      </w:r>
      <w:r w:rsidR="00B97B77" w:rsidRPr="00C60489">
        <w:rPr>
          <w:rFonts w:ascii="Times New Roman" w:hAnsi="Times New Roman" w:cs="Times New Roman"/>
        </w:rPr>
        <w:t>ed that the substitution of Pharisee as the name of a class of malevolent daimons suggests a familiarity with the Christian gospels, in which the Pharisees are often portrayed as villainous opponents of Jesus.</w:t>
      </w:r>
      <w:r w:rsidR="00B97B77" w:rsidRPr="00C60489">
        <w:rPr>
          <w:rStyle w:val="FootnoteReference"/>
          <w:rFonts w:ascii="Times New Roman" w:hAnsi="Times New Roman" w:cs="Times New Roman"/>
        </w:rPr>
        <w:footnoteReference w:id="86"/>
      </w:r>
      <w:r w:rsidR="00B97B77" w:rsidRPr="00C60489">
        <w:rPr>
          <w:rFonts w:ascii="Times New Roman" w:hAnsi="Times New Roman" w:cs="Times New Roman"/>
        </w:rPr>
        <w:t xml:space="preserve"> However, the absence of a</w:t>
      </w:r>
      <w:r w:rsidR="00E84BAC">
        <w:rPr>
          <w:rFonts w:ascii="Times New Roman" w:hAnsi="Times New Roman" w:cs="Times New Roman"/>
        </w:rPr>
        <w:t xml:space="preserve">llusions to Jesus’ power over demons, as depicted in the gospels, raises questions about the extent of the text’s familiarity with Christian traditions beyond </w:t>
      </w:r>
      <w:r w:rsidR="00E434AD">
        <w:rPr>
          <w:rFonts w:ascii="Times New Roman" w:hAnsi="Times New Roman" w:cs="Times New Roman"/>
        </w:rPr>
        <w:t xml:space="preserve">the simple </w:t>
      </w:r>
      <w:r w:rsidR="00E84BAC">
        <w:rPr>
          <w:rFonts w:ascii="Times New Roman" w:hAnsi="Times New Roman" w:cs="Times New Roman"/>
        </w:rPr>
        <w:t>inclu</w:t>
      </w:r>
      <w:r w:rsidR="00E434AD">
        <w:rPr>
          <w:rFonts w:ascii="Times New Roman" w:hAnsi="Times New Roman" w:cs="Times New Roman"/>
        </w:rPr>
        <w:t>sion of</w:t>
      </w:r>
      <w:r w:rsidR="00B97B77" w:rsidRPr="00F10882">
        <w:rPr>
          <w:rFonts w:ascii="Times New Roman" w:hAnsi="Times New Roman" w:cs="Times New Roman"/>
        </w:rPr>
        <w:t xml:space="preserve"> Jesus’ name in the initial conjuration.</w:t>
      </w:r>
      <w:r w:rsidR="00792041" w:rsidRPr="00F10882">
        <w:rPr>
          <w:rFonts w:ascii="Times New Roman" w:hAnsi="Times New Roman" w:cs="Times New Roman"/>
        </w:rPr>
        <w:t xml:space="preserve"> </w:t>
      </w:r>
    </w:p>
    <w:p w14:paraId="20F3DD44" w14:textId="6B835DF1" w:rsidR="00C60489" w:rsidRPr="00E434AD" w:rsidRDefault="00C60489" w:rsidP="00486F35">
      <w:pPr>
        <w:spacing w:line="240" w:lineRule="auto"/>
        <w:ind w:firstLine="0"/>
        <w:rPr>
          <w:rFonts w:ascii="Times New Roman" w:hAnsi="Times New Roman" w:cs="Times New Roman"/>
          <w:i/>
          <w:iCs/>
        </w:rPr>
      </w:pPr>
      <w:r w:rsidRPr="00E434AD">
        <w:rPr>
          <w:rFonts w:ascii="Times New Roman" w:hAnsi="Times New Roman" w:cs="Times New Roman"/>
          <w:i/>
          <w:iCs/>
        </w:rPr>
        <w:t>(Closing instructions</w:t>
      </w:r>
      <w:r w:rsidR="00E434AD" w:rsidRPr="00E434AD">
        <w:rPr>
          <w:rFonts w:ascii="Times New Roman" w:hAnsi="Times New Roman" w:cs="Times New Roman"/>
          <w:i/>
          <w:iCs/>
        </w:rPr>
        <w:t>, PGM IV.3079-3086</w:t>
      </w:r>
      <w:r w:rsidRPr="00E434AD">
        <w:rPr>
          <w:rFonts w:ascii="Times New Roman" w:hAnsi="Times New Roman" w:cs="Times New Roman"/>
          <w:i/>
          <w:iCs/>
        </w:rPr>
        <w:t>)</w:t>
      </w:r>
    </w:p>
    <w:p w14:paraId="0BB8E8F3" w14:textId="6551B3A9" w:rsidR="0004659F" w:rsidRDefault="00173733" w:rsidP="00486F35">
      <w:pPr>
        <w:spacing w:line="240" w:lineRule="auto"/>
        <w:ind w:firstLine="0"/>
        <w:rPr>
          <w:rFonts w:ascii="Times New Roman" w:hAnsi="Times New Roman" w:cs="Times New Roman"/>
        </w:rPr>
      </w:pPr>
      <w:r w:rsidRPr="00F10882">
        <w:rPr>
          <w:rFonts w:ascii="Times New Roman" w:hAnsi="Times New Roman" w:cs="Times New Roman"/>
        </w:rPr>
        <w:tab/>
      </w:r>
      <w:r w:rsidR="0079041F" w:rsidRPr="00F10882">
        <w:rPr>
          <w:rFonts w:ascii="Times New Roman" w:hAnsi="Times New Roman" w:cs="Times New Roman"/>
        </w:rPr>
        <w:t xml:space="preserve">The text concludes with the daimon, following ten </w:t>
      </w:r>
      <w:r w:rsidR="00E434AD">
        <w:rPr>
          <w:rFonts w:ascii="Times New Roman" w:hAnsi="Times New Roman" w:cs="Times New Roman"/>
        </w:rPr>
        <w:t xml:space="preserve">prior </w:t>
      </w:r>
      <w:r w:rsidR="0079041F" w:rsidRPr="00F10882">
        <w:rPr>
          <w:rFonts w:ascii="Times New Roman" w:hAnsi="Times New Roman" w:cs="Times New Roman"/>
        </w:rPr>
        <w:t xml:space="preserve">commands of conjuration, finally adjured. As previously noted, “adjure” appears to function as a technical term within exorcistic rites, as evidenced by </w:t>
      </w:r>
      <w:r w:rsidR="00E84BAC">
        <w:rPr>
          <w:rFonts w:ascii="Times New Roman" w:hAnsi="Times New Roman" w:cs="Times New Roman"/>
        </w:rPr>
        <w:t xml:space="preserve">the </w:t>
      </w:r>
      <w:r w:rsidR="0079041F" w:rsidRPr="00F10882">
        <w:rPr>
          <w:rFonts w:ascii="Times New Roman" w:hAnsi="Times New Roman" w:cs="Times New Roman"/>
        </w:rPr>
        <w:t xml:space="preserve">roughly contemporaneous composition of the New Testament texts, likewise composed in </w:t>
      </w:r>
      <w:proofErr w:type="spellStart"/>
      <w:r w:rsidR="00E84BAC">
        <w:rPr>
          <w:rFonts w:ascii="Times New Roman" w:hAnsi="Times New Roman" w:cs="Times New Roman"/>
        </w:rPr>
        <w:t>K</w:t>
      </w:r>
      <w:r w:rsidR="006F2D56" w:rsidRPr="00F10882">
        <w:rPr>
          <w:rFonts w:ascii="Times New Roman" w:hAnsi="Times New Roman" w:cs="Times New Roman"/>
        </w:rPr>
        <w:t>oine</w:t>
      </w:r>
      <w:proofErr w:type="spellEnd"/>
      <w:r w:rsidR="0079041F" w:rsidRPr="00F10882">
        <w:rPr>
          <w:rFonts w:ascii="Times New Roman" w:hAnsi="Times New Roman" w:cs="Times New Roman"/>
        </w:rPr>
        <w:t xml:space="preserve"> Greek.</w:t>
      </w:r>
      <w:r w:rsidR="0079041F" w:rsidRPr="00F10882">
        <w:rPr>
          <w:rStyle w:val="FootnoteReference"/>
          <w:rFonts w:ascii="Times New Roman" w:hAnsi="Times New Roman" w:cs="Times New Roman"/>
        </w:rPr>
        <w:footnoteReference w:id="87"/>
      </w:r>
      <w:r w:rsidR="0079041F" w:rsidRPr="00F10882">
        <w:rPr>
          <w:rFonts w:ascii="Times New Roman" w:hAnsi="Times New Roman" w:cs="Times New Roman"/>
        </w:rPr>
        <w:t xml:space="preserve"> This final command to the daimon is paired with a directive for the patient to abstain from </w:t>
      </w:r>
      <w:r w:rsidR="006F2D56" w:rsidRPr="00F10882">
        <w:rPr>
          <w:rFonts w:ascii="Times New Roman" w:hAnsi="Times New Roman" w:cs="Times New Roman"/>
        </w:rPr>
        <w:t>eating</w:t>
      </w:r>
      <w:r w:rsidR="0079041F" w:rsidRPr="00F10882">
        <w:rPr>
          <w:rFonts w:ascii="Times New Roman" w:hAnsi="Times New Roman" w:cs="Times New Roman"/>
        </w:rPr>
        <w:t xml:space="preserve"> pork.</w:t>
      </w:r>
      <w:r w:rsidR="00E434AD">
        <w:rPr>
          <w:rStyle w:val="FootnoteReference"/>
          <w:rFonts w:ascii="Times New Roman" w:hAnsi="Times New Roman" w:cs="Times New Roman"/>
        </w:rPr>
        <w:footnoteReference w:id="88"/>
      </w:r>
      <w:r w:rsidR="0079041F" w:rsidRPr="00F10882">
        <w:rPr>
          <w:rFonts w:ascii="Times New Roman" w:hAnsi="Times New Roman" w:cs="Times New Roman"/>
        </w:rPr>
        <w:t xml:space="preserve"> Although similar prohibitions existed in Egyptian culture, its inclusion here almost certainly reflects Jewish</w:t>
      </w:r>
      <w:r w:rsidR="0079041F" w:rsidRPr="00F10882">
        <w:rPr>
          <w:rFonts w:ascii="Times New Roman" w:hAnsi="Times New Roman" w:cs="Times New Roman"/>
          <w:i/>
          <w:iCs/>
        </w:rPr>
        <w:t xml:space="preserve"> </w:t>
      </w:r>
      <w:r w:rsidR="006F2D56" w:rsidRPr="00F10882">
        <w:rPr>
          <w:rFonts w:ascii="Times New Roman" w:hAnsi="Times New Roman" w:cs="Times New Roman"/>
          <w:i/>
          <w:iCs/>
        </w:rPr>
        <w:t>halakha</w:t>
      </w:r>
      <w:r w:rsidR="0079041F" w:rsidRPr="00F10882">
        <w:rPr>
          <w:rFonts w:ascii="Times New Roman" w:hAnsi="Times New Roman" w:cs="Times New Roman"/>
        </w:rPr>
        <w:t>.</w:t>
      </w:r>
      <w:r w:rsidR="0079041F" w:rsidRPr="00F10882">
        <w:rPr>
          <w:rStyle w:val="FootnoteReference"/>
          <w:rFonts w:ascii="Times New Roman" w:hAnsi="Times New Roman" w:cs="Times New Roman"/>
        </w:rPr>
        <w:footnoteReference w:id="89"/>
      </w:r>
      <w:r w:rsidR="0079041F" w:rsidRPr="00F10882">
        <w:rPr>
          <w:rFonts w:ascii="Times New Roman" w:hAnsi="Times New Roman" w:cs="Times New Roman"/>
        </w:rPr>
        <w:t xml:space="preserve"> The emphasis on maintaining purity </w:t>
      </w:r>
      <w:r w:rsidR="00E84BAC">
        <w:rPr>
          <w:rFonts w:ascii="Times New Roman" w:hAnsi="Times New Roman" w:cs="Times New Roman"/>
        </w:rPr>
        <w:t>ensures</w:t>
      </w:r>
      <w:r w:rsidR="0079041F" w:rsidRPr="00F10882">
        <w:rPr>
          <w:rFonts w:ascii="Times New Roman" w:hAnsi="Times New Roman" w:cs="Times New Roman"/>
        </w:rPr>
        <w:t xml:space="preserve"> that the daimon does not return and that the amulet (‘charm’), presumably now worn for </w:t>
      </w:r>
      <w:r w:rsidR="00E434AD">
        <w:rPr>
          <w:rFonts w:ascii="Times New Roman" w:hAnsi="Times New Roman" w:cs="Times New Roman"/>
        </w:rPr>
        <w:t xml:space="preserve">continued </w:t>
      </w:r>
      <w:r w:rsidR="0079041F" w:rsidRPr="00F10882">
        <w:rPr>
          <w:rFonts w:ascii="Times New Roman" w:hAnsi="Times New Roman" w:cs="Times New Roman"/>
        </w:rPr>
        <w:t xml:space="preserve">apotropaic protection, remains effective. Notably, this is the only instruction given directly to the patient in the text, and it serves solely to preserve the </w:t>
      </w:r>
      <w:r w:rsidR="00E434AD">
        <w:rPr>
          <w:rFonts w:ascii="Times New Roman" w:hAnsi="Times New Roman" w:cs="Times New Roman"/>
        </w:rPr>
        <w:t xml:space="preserve">ongoing </w:t>
      </w:r>
      <w:r w:rsidR="0079041F" w:rsidRPr="00F10882">
        <w:rPr>
          <w:rFonts w:ascii="Times New Roman" w:hAnsi="Times New Roman" w:cs="Times New Roman"/>
        </w:rPr>
        <w:t xml:space="preserve">efficacy of the ritual. At no other point does the text indicate any active participation by the patient. Although not made explicit, it can be reasonably presumed that concerns about purity also applied to the ritual specialist in preparation for such battles with unseen forces. </w:t>
      </w:r>
      <w:r w:rsidR="00F10882" w:rsidRPr="00F10882">
        <w:rPr>
          <w:rFonts w:ascii="Times New Roman" w:hAnsi="Times New Roman" w:cs="Times New Roman"/>
        </w:rPr>
        <w:t xml:space="preserve">The final action prescribed for the ritual specialist is a single gesture, blowing air from the tips of the patient’s feet up to the face, </w:t>
      </w:r>
      <w:r w:rsidR="00E84BAC">
        <w:rPr>
          <w:rFonts w:ascii="Times New Roman" w:hAnsi="Times New Roman" w:cs="Times New Roman"/>
        </w:rPr>
        <w:t>providing</w:t>
      </w:r>
      <w:r w:rsidR="00F10882" w:rsidRPr="00F10882">
        <w:rPr>
          <w:rFonts w:ascii="Times New Roman" w:hAnsi="Times New Roman" w:cs="Times New Roman"/>
        </w:rPr>
        <w:t xml:space="preserve"> </w:t>
      </w:r>
      <w:r w:rsidR="00E434AD">
        <w:rPr>
          <w:rFonts w:ascii="Times New Roman" w:hAnsi="Times New Roman" w:cs="Times New Roman"/>
        </w:rPr>
        <w:t>what is likely only a glimpse</w:t>
      </w:r>
      <w:r w:rsidR="00F10882" w:rsidRPr="00F10882">
        <w:rPr>
          <w:rFonts w:ascii="Times New Roman" w:hAnsi="Times New Roman" w:cs="Times New Roman"/>
        </w:rPr>
        <w:t xml:space="preserve"> of the</w:t>
      </w:r>
      <w:r w:rsidR="00E434AD">
        <w:rPr>
          <w:rFonts w:ascii="Times New Roman" w:hAnsi="Times New Roman" w:cs="Times New Roman"/>
        </w:rPr>
        <w:t xml:space="preserve">ir </w:t>
      </w:r>
      <w:r w:rsidR="00F10882" w:rsidRPr="00F10882">
        <w:rPr>
          <w:rFonts w:ascii="Times New Roman" w:hAnsi="Times New Roman" w:cs="Times New Roman"/>
        </w:rPr>
        <w:t>use of symbolic performative actions</w:t>
      </w:r>
      <w:r w:rsidR="00E434AD">
        <w:rPr>
          <w:rFonts w:ascii="Times New Roman" w:hAnsi="Times New Roman" w:cs="Times New Roman"/>
        </w:rPr>
        <w:t xml:space="preserve"> and choreography.</w:t>
      </w:r>
    </w:p>
    <w:p w14:paraId="1F475804" w14:textId="25ECE197" w:rsidR="0068752A" w:rsidRPr="0068752A" w:rsidRDefault="0068752A" w:rsidP="00486F35">
      <w:pPr>
        <w:spacing w:line="240" w:lineRule="auto"/>
        <w:ind w:firstLine="0"/>
        <w:rPr>
          <w:rFonts w:ascii="Times New Roman" w:hAnsi="Times New Roman" w:cs="Times New Roman"/>
          <w:i/>
          <w:iCs/>
        </w:rPr>
      </w:pPr>
      <w:r w:rsidRPr="0068752A">
        <w:rPr>
          <w:rFonts w:ascii="Times New Roman" w:hAnsi="Times New Roman" w:cs="Times New Roman"/>
          <w:i/>
          <w:iCs/>
        </w:rPr>
        <w:t>Conclusion</w:t>
      </w:r>
    </w:p>
    <w:p w14:paraId="0B971F1F" w14:textId="0293F571" w:rsidR="0068752A" w:rsidRPr="00926A1F" w:rsidRDefault="0068752A" w:rsidP="00486F35">
      <w:pPr>
        <w:spacing w:line="240" w:lineRule="auto"/>
        <w:ind w:firstLine="720"/>
        <w:rPr>
          <w:rFonts w:ascii="Times New Roman" w:eastAsia="Times New Roman" w:hAnsi="Times New Roman" w:cs="Times New Roman"/>
        </w:rPr>
      </w:pPr>
      <w:r w:rsidRPr="0023017B">
        <w:rPr>
          <w:rFonts w:ascii="Times New Roman" w:hAnsi="Times New Roman" w:cs="Times New Roman"/>
        </w:rPr>
        <w:t xml:space="preserve">This paper has </w:t>
      </w:r>
      <w:r w:rsidR="006F2D56" w:rsidRPr="0023017B">
        <w:rPr>
          <w:rFonts w:ascii="Times New Roman" w:hAnsi="Times New Roman" w:cs="Times New Roman"/>
        </w:rPr>
        <w:t>analysed</w:t>
      </w:r>
      <w:r w:rsidRPr="0023017B">
        <w:rPr>
          <w:rFonts w:ascii="Times New Roman" w:hAnsi="Times New Roman" w:cs="Times New Roman"/>
        </w:rPr>
        <w:t xml:space="preserve"> PGM IV.3007-86 as a textual witness to </w:t>
      </w:r>
      <w:r w:rsidR="00E84BAC">
        <w:rPr>
          <w:rFonts w:ascii="Times New Roman" w:hAnsi="Times New Roman" w:cs="Times New Roman"/>
        </w:rPr>
        <w:t>Egypt’s syncretic religious environment and magical practices</w:t>
      </w:r>
      <w:r w:rsidRPr="0023017B">
        <w:rPr>
          <w:rFonts w:ascii="Times New Roman" w:hAnsi="Times New Roman" w:cs="Times New Roman"/>
        </w:rPr>
        <w:t xml:space="preserve"> in the early Common Era. </w:t>
      </w:r>
      <w:r w:rsidR="00E84BAC">
        <w:rPr>
          <w:rFonts w:ascii="Times New Roman" w:hAnsi="Times New Roman" w:cs="Times New Roman"/>
        </w:rPr>
        <w:t>Placing the spell within its socio-historical and religious context of Greco-Roman Egyp</w:t>
      </w:r>
      <w:r w:rsidRPr="0023017B">
        <w:rPr>
          <w:rFonts w:ascii="Times New Roman" w:hAnsi="Times New Roman" w:cs="Times New Roman"/>
        </w:rPr>
        <w:t xml:space="preserve">t highlights how Jewish, </w:t>
      </w:r>
      <w:r w:rsidR="006102B3">
        <w:rPr>
          <w:rFonts w:ascii="Times New Roman" w:hAnsi="Times New Roman" w:cs="Times New Roman"/>
        </w:rPr>
        <w:t xml:space="preserve">Greek, </w:t>
      </w:r>
      <w:r w:rsidRPr="0023017B">
        <w:rPr>
          <w:rFonts w:ascii="Times New Roman" w:hAnsi="Times New Roman" w:cs="Times New Roman"/>
        </w:rPr>
        <w:t>Egyptian, and emerging Christian</w:t>
      </w:r>
      <w:r w:rsidR="006102B3">
        <w:rPr>
          <w:rFonts w:ascii="Times New Roman" w:hAnsi="Times New Roman" w:cs="Times New Roman"/>
        </w:rPr>
        <w:t xml:space="preserve"> religious and cultural</w:t>
      </w:r>
      <w:r w:rsidRPr="0023017B">
        <w:rPr>
          <w:rFonts w:ascii="Times New Roman" w:hAnsi="Times New Roman" w:cs="Times New Roman"/>
        </w:rPr>
        <w:t xml:space="preserve"> elements were represented in the magical rituals of the period</w:t>
      </w:r>
      <w:r w:rsidR="002014AD">
        <w:rPr>
          <w:rFonts w:ascii="Times New Roman" w:hAnsi="Times New Roman" w:cs="Times New Roman"/>
        </w:rPr>
        <w:t xml:space="preserve">, and the </w:t>
      </w:r>
      <w:r w:rsidR="002714FB" w:rsidRPr="00985A6A">
        <w:rPr>
          <w:rFonts w:ascii="Times New Roman" w:hAnsi="Times New Roman" w:cs="Times New Roman"/>
        </w:rPr>
        <w:t>receptiveness and adaptability of magical practice</w:t>
      </w:r>
      <w:r w:rsidR="00A4343F">
        <w:rPr>
          <w:rFonts w:ascii="Times New Roman" w:hAnsi="Times New Roman" w:cs="Times New Roman"/>
        </w:rPr>
        <w:t xml:space="preserve"> </w:t>
      </w:r>
      <w:r w:rsidR="002014AD">
        <w:rPr>
          <w:rFonts w:ascii="Times New Roman" w:hAnsi="Times New Roman" w:cs="Times New Roman"/>
        </w:rPr>
        <w:t>within such an environment</w:t>
      </w:r>
      <w:r w:rsidR="00E84BAC">
        <w:rPr>
          <w:rFonts w:ascii="Times New Roman" w:hAnsi="Times New Roman" w:cs="Times New Roman"/>
        </w:rPr>
        <w:t>. It</w:t>
      </w:r>
      <w:r w:rsidRPr="0023017B">
        <w:rPr>
          <w:rFonts w:ascii="Times New Roman" w:hAnsi="Times New Roman" w:cs="Times New Roman"/>
        </w:rPr>
        <w:t xml:space="preserve"> emphasi</w:t>
      </w:r>
      <w:r w:rsidR="00E84BAC">
        <w:rPr>
          <w:rFonts w:ascii="Times New Roman" w:hAnsi="Times New Roman" w:cs="Times New Roman"/>
        </w:rPr>
        <w:t>s</w:t>
      </w:r>
      <w:r w:rsidRPr="0023017B">
        <w:rPr>
          <w:rFonts w:ascii="Times New Roman" w:hAnsi="Times New Roman" w:cs="Times New Roman"/>
        </w:rPr>
        <w:t xml:space="preserve">es the pragmatic nature of syncretism, through which diverse religious traditions were adapted to address the everyday needs of individuals. However, questions remain regarding a more precise dating of the composition, including how the text evolved. It is unclear whether it represents an amalgamation of similar spells or originated as a unified composition. The nature of the Jewish influence within the text also raises questions, particularly whether the spell originated in a Hellenized Jewish </w:t>
      </w:r>
      <w:r w:rsidR="00E434AD">
        <w:rPr>
          <w:rFonts w:ascii="Times New Roman" w:hAnsi="Times New Roman" w:cs="Times New Roman"/>
        </w:rPr>
        <w:t xml:space="preserve">context </w:t>
      </w:r>
      <w:r w:rsidRPr="0023017B">
        <w:rPr>
          <w:rFonts w:ascii="Times New Roman" w:hAnsi="Times New Roman" w:cs="Times New Roman"/>
        </w:rPr>
        <w:t xml:space="preserve">or </w:t>
      </w:r>
      <w:r w:rsidR="00E434AD">
        <w:rPr>
          <w:rFonts w:ascii="Times New Roman" w:hAnsi="Times New Roman" w:cs="Times New Roman"/>
        </w:rPr>
        <w:t xml:space="preserve">if it is </w:t>
      </w:r>
      <w:r w:rsidRPr="0023017B">
        <w:rPr>
          <w:rFonts w:ascii="Times New Roman" w:hAnsi="Times New Roman" w:cs="Times New Roman"/>
        </w:rPr>
        <w:t xml:space="preserve">Greco-Egyptian </w:t>
      </w:r>
      <w:r w:rsidR="00E434AD">
        <w:rPr>
          <w:rFonts w:ascii="Times New Roman" w:hAnsi="Times New Roman" w:cs="Times New Roman"/>
        </w:rPr>
        <w:t xml:space="preserve">in origin with </w:t>
      </w:r>
      <w:r w:rsidR="00EC101D">
        <w:rPr>
          <w:rFonts w:ascii="Times New Roman" w:hAnsi="Times New Roman" w:cs="Times New Roman"/>
        </w:rPr>
        <w:t xml:space="preserve">borrowing from Jewish tradition. </w:t>
      </w:r>
      <w:r w:rsidR="006102B3">
        <w:rPr>
          <w:rFonts w:ascii="Times New Roman" w:hAnsi="Times New Roman" w:cs="Times New Roman"/>
        </w:rPr>
        <w:t>Similarly, the inclusion of the name of Jesus in the opening invocation raises questions about Christian influence wi</w:t>
      </w:r>
      <w:r w:rsidR="00EC101D">
        <w:rPr>
          <w:rFonts w:ascii="Times New Roman" w:hAnsi="Times New Roman" w:cs="Times New Roman"/>
        </w:rPr>
        <w:t>thin the</w:t>
      </w:r>
      <w:r w:rsidR="006102B3">
        <w:rPr>
          <w:rFonts w:ascii="Times New Roman" w:hAnsi="Times New Roman" w:cs="Times New Roman"/>
        </w:rPr>
        <w:t xml:space="preserve"> </w:t>
      </w:r>
      <w:r w:rsidR="00EC101D">
        <w:rPr>
          <w:rFonts w:ascii="Times New Roman" w:hAnsi="Times New Roman" w:cs="Times New Roman"/>
        </w:rPr>
        <w:t>practitioner’s</w:t>
      </w:r>
      <w:r w:rsidR="006102B3">
        <w:rPr>
          <w:rFonts w:ascii="Times New Roman" w:hAnsi="Times New Roman" w:cs="Times New Roman"/>
        </w:rPr>
        <w:t xml:space="preserve"> cultural and social contexts.</w:t>
      </w:r>
      <w:r w:rsidR="00EC101D">
        <w:rPr>
          <w:rFonts w:ascii="Times New Roman" w:hAnsi="Times New Roman" w:cs="Times New Roman"/>
        </w:rPr>
        <w:t xml:space="preserve"> </w:t>
      </w:r>
      <w:r w:rsidR="00EC101D" w:rsidRPr="00EC101D">
        <w:rPr>
          <w:rFonts w:ascii="Times New Roman" w:hAnsi="Times New Roman" w:cs="Times New Roman"/>
        </w:rPr>
        <w:t xml:space="preserve">Furthermore, the text does not indicate what </w:t>
      </w:r>
      <w:r w:rsidR="00C02E33">
        <w:rPr>
          <w:rFonts w:ascii="Times New Roman" w:hAnsi="Times New Roman" w:cs="Times New Roman"/>
        </w:rPr>
        <w:t>situation</w:t>
      </w:r>
      <w:r w:rsidR="00444C16">
        <w:rPr>
          <w:rFonts w:ascii="Times New Roman" w:hAnsi="Times New Roman" w:cs="Times New Roman"/>
        </w:rPr>
        <w:t>s</w:t>
      </w:r>
      <w:r w:rsidR="00C02E33">
        <w:rPr>
          <w:rFonts w:ascii="Times New Roman" w:hAnsi="Times New Roman" w:cs="Times New Roman"/>
        </w:rPr>
        <w:t xml:space="preserve">, </w:t>
      </w:r>
      <w:r w:rsidR="00EC101D" w:rsidRPr="00EC101D">
        <w:rPr>
          <w:rFonts w:ascii="Times New Roman" w:hAnsi="Times New Roman" w:cs="Times New Roman"/>
        </w:rPr>
        <w:t>symptoms</w:t>
      </w:r>
      <w:r w:rsidR="00C02E33">
        <w:rPr>
          <w:rFonts w:ascii="Times New Roman" w:hAnsi="Times New Roman" w:cs="Times New Roman"/>
        </w:rPr>
        <w:t>,</w:t>
      </w:r>
      <w:r w:rsidR="00EC101D" w:rsidRPr="00EC101D">
        <w:rPr>
          <w:rFonts w:ascii="Times New Roman" w:hAnsi="Times New Roman" w:cs="Times New Roman"/>
        </w:rPr>
        <w:t xml:space="preserve"> or behaviours would warrant its application. It also remains unclear whether its selection was based primarily on the nature of the affliction or the social</w:t>
      </w:r>
      <w:r w:rsidR="00EC101D">
        <w:rPr>
          <w:rFonts w:ascii="Times New Roman" w:hAnsi="Times New Roman" w:cs="Times New Roman"/>
        </w:rPr>
        <w:t>-ethnic</w:t>
      </w:r>
      <w:r w:rsidR="00EC101D" w:rsidRPr="00EC101D">
        <w:rPr>
          <w:rFonts w:ascii="Times New Roman" w:hAnsi="Times New Roman" w:cs="Times New Roman"/>
        </w:rPr>
        <w:t xml:space="preserve"> identity of the patient or client.</w:t>
      </w:r>
    </w:p>
    <w:p w14:paraId="17EE37EF" w14:textId="3E7DFEF5" w:rsidR="002C3105" w:rsidRPr="0068752A" w:rsidRDefault="00E84BAC" w:rsidP="00486F35">
      <w:pPr>
        <w:spacing w:line="240" w:lineRule="auto"/>
        <w:ind w:firstLine="720"/>
        <w:rPr>
          <w:rFonts w:ascii="Times New Roman" w:eastAsia="Times New Roman" w:hAnsi="Times New Roman" w:cs="Times New Roman"/>
        </w:rPr>
      </w:pPr>
      <w:r>
        <w:rPr>
          <w:rFonts w:ascii="Times New Roman" w:eastAsia="Times New Roman" w:hAnsi="Times New Roman" w:cs="Times New Roman"/>
        </w:rPr>
        <w:t>What is evident is that the written text and the specialist are at the centre of the ritual</w:t>
      </w:r>
      <w:r w:rsidR="0068752A" w:rsidRPr="00926A1F">
        <w:rPr>
          <w:rFonts w:ascii="Times New Roman" w:eastAsia="Times New Roman" w:hAnsi="Times New Roman" w:cs="Times New Roman"/>
        </w:rPr>
        <w:t xml:space="preserve">, </w:t>
      </w:r>
      <w:r w:rsidR="0068752A" w:rsidRPr="0023017B">
        <w:rPr>
          <w:rFonts w:ascii="Times New Roman" w:eastAsia="Times New Roman" w:hAnsi="Times New Roman" w:cs="Times New Roman"/>
        </w:rPr>
        <w:t xml:space="preserve">together </w:t>
      </w:r>
      <w:r w:rsidR="0068752A" w:rsidRPr="00926A1F">
        <w:rPr>
          <w:rFonts w:ascii="Times New Roman" w:eastAsia="Times New Roman" w:hAnsi="Times New Roman" w:cs="Times New Roman"/>
        </w:rPr>
        <w:t>wielding authority through knowledge and practice</w:t>
      </w:r>
      <w:r w:rsidR="0068752A" w:rsidRPr="00B17E7D">
        <w:rPr>
          <w:rFonts w:ascii="Times New Roman" w:eastAsia="Times New Roman" w:hAnsi="Times New Roman" w:cs="Times New Roman"/>
        </w:rPr>
        <w:t xml:space="preserve">. This active role aligns with ancient portrayals of such ritual specialists as powerful figures capable of </w:t>
      </w:r>
      <w:r w:rsidR="006F2D56" w:rsidRPr="00B17E7D">
        <w:rPr>
          <w:rFonts w:ascii="Times New Roman" w:eastAsia="Times New Roman" w:hAnsi="Times New Roman" w:cs="Times New Roman"/>
        </w:rPr>
        <w:t>channelling</w:t>
      </w:r>
      <w:r w:rsidR="0068752A" w:rsidRPr="00B17E7D">
        <w:rPr>
          <w:rFonts w:ascii="Times New Roman" w:eastAsia="Times New Roman" w:hAnsi="Times New Roman" w:cs="Times New Roman"/>
        </w:rPr>
        <w:t xml:space="preserve"> supernatural forces through words and actions.</w:t>
      </w:r>
      <w:r w:rsidR="0068752A" w:rsidRPr="0023017B">
        <w:rPr>
          <w:rFonts w:ascii="Times New Roman" w:eastAsia="Times New Roman" w:hAnsi="Times New Roman" w:cs="Times New Roman"/>
        </w:rPr>
        <w:t xml:space="preserve"> </w:t>
      </w:r>
      <w:r w:rsidR="0068752A" w:rsidRPr="00B17E7D">
        <w:rPr>
          <w:rFonts w:ascii="Times New Roman" w:eastAsia="Times New Roman" w:hAnsi="Times New Roman" w:cs="Times New Roman"/>
        </w:rPr>
        <w:t>The analysis of the text’s components</w:t>
      </w:r>
      <w:r w:rsidR="0068752A" w:rsidRPr="0023017B">
        <w:rPr>
          <w:rFonts w:ascii="Times New Roman" w:eastAsia="Times New Roman" w:hAnsi="Times New Roman" w:cs="Times New Roman"/>
        </w:rPr>
        <w:t xml:space="preserve"> </w:t>
      </w:r>
      <w:r w:rsidR="0068752A" w:rsidRPr="00B17E7D">
        <w:rPr>
          <w:rFonts w:ascii="Times New Roman" w:eastAsia="Times New Roman" w:hAnsi="Times New Roman" w:cs="Times New Roman"/>
        </w:rPr>
        <w:t xml:space="preserve">illustrates the importance of </w:t>
      </w:r>
      <w:r w:rsidR="0068752A" w:rsidRPr="00B17E7D">
        <w:rPr>
          <w:rFonts w:ascii="Times New Roman" w:eastAsia="Times New Roman" w:hAnsi="Times New Roman" w:cs="Times New Roman"/>
          <w:i/>
          <w:iCs/>
        </w:rPr>
        <w:t>praxis</w:t>
      </w:r>
      <w:r w:rsidR="0068752A" w:rsidRPr="00B17E7D">
        <w:rPr>
          <w:rFonts w:ascii="Times New Roman" w:eastAsia="Times New Roman" w:hAnsi="Times New Roman" w:cs="Times New Roman"/>
        </w:rPr>
        <w:t xml:space="preserve"> (ritual actions) and </w:t>
      </w:r>
      <w:r w:rsidR="0068752A" w:rsidRPr="00B17E7D">
        <w:rPr>
          <w:rFonts w:ascii="Times New Roman" w:eastAsia="Times New Roman" w:hAnsi="Times New Roman" w:cs="Times New Roman"/>
          <w:i/>
          <w:iCs/>
        </w:rPr>
        <w:t>logos</w:t>
      </w:r>
      <w:r w:rsidR="0068752A" w:rsidRPr="00B17E7D">
        <w:rPr>
          <w:rFonts w:ascii="Times New Roman" w:eastAsia="Times New Roman" w:hAnsi="Times New Roman" w:cs="Times New Roman"/>
        </w:rPr>
        <w:t xml:space="preserve"> (spoken words) in the effectiveness of </w:t>
      </w:r>
      <w:r w:rsidR="0068752A" w:rsidRPr="0023017B">
        <w:rPr>
          <w:rFonts w:ascii="Times New Roman" w:eastAsia="Times New Roman" w:hAnsi="Times New Roman" w:cs="Times New Roman"/>
        </w:rPr>
        <w:t>the</w:t>
      </w:r>
      <w:r w:rsidR="0068752A" w:rsidRPr="00B17E7D">
        <w:rPr>
          <w:rFonts w:ascii="Times New Roman" w:eastAsia="Times New Roman" w:hAnsi="Times New Roman" w:cs="Times New Roman"/>
        </w:rPr>
        <w:t xml:space="preserve"> ritual. The use of </w:t>
      </w:r>
      <w:r w:rsidR="0068752A" w:rsidRPr="00B17E7D">
        <w:rPr>
          <w:rFonts w:ascii="Times New Roman" w:eastAsia="Times New Roman" w:hAnsi="Times New Roman" w:cs="Times New Roman"/>
          <w:i/>
          <w:iCs/>
        </w:rPr>
        <w:t>historiolae</w:t>
      </w:r>
      <w:r w:rsidR="0068752A" w:rsidRPr="00B17E7D">
        <w:rPr>
          <w:rFonts w:ascii="Times New Roman" w:eastAsia="Times New Roman" w:hAnsi="Times New Roman" w:cs="Times New Roman"/>
        </w:rPr>
        <w:t xml:space="preserve"> and the invocation of past divine acts, </w:t>
      </w:r>
      <w:r w:rsidR="0068752A" w:rsidRPr="0023017B">
        <w:rPr>
          <w:rFonts w:ascii="Times New Roman" w:eastAsia="Times New Roman" w:hAnsi="Times New Roman" w:cs="Times New Roman"/>
        </w:rPr>
        <w:t xml:space="preserve">here drawn </w:t>
      </w:r>
      <w:r w:rsidR="0068752A" w:rsidRPr="00B17E7D">
        <w:rPr>
          <w:rFonts w:ascii="Times New Roman" w:eastAsia="Times New Roman" w:hAnsi="Times New Roman" w:cs="Times New Roman"/>
        </w:rPr>
        <w:t>primarily from biblical references, strengthen the spell’s efficacy by linking the</w:t>
      </w:r>
      <w:r w:rsidR="0068752A" w:rsidRPr="0023017B">
        <w:rPr>
          <w:rFonts w:ascii="Times New Roman" w:eastAsia="Times New Roman" w:hAnsi="Times New Roman" w:cs="Times New Roman"/>
        </w:rPr>
        <w:t xml:space="preserve"> </w:t>
      </w:r>
      <w:r w:rsidR="0068752A" w:rsidRPr="00B17E7D">
        <w:rPr>
          <w:rFonts w:ascii="Times New Roman" w:eastAsia="Times New Roman" w:hAnsi="Times New Roman" w:cs="Times New Roman"/>
        </w:rPr>
        <w:t>ritual</w:t>
      </w:r>
      <w:r w:rsidR="0068752A" w:rsidRPr="0023017B">
        <w:rPr>
          <w:rFonts w:ascii="Times New Roman" w:eastAsia="Times New Roman" w:hAnsi="Times New Roman" w:cs="Times New Roman"/>
        </w:rPr>
        <w:t xml:space="preserve">, the specialist, and the patient </w:t>
      </w:r>
      <w:r w:rsidR="0068752A" w:rsidRPr="00B17E7D">
        <w:rPr>
          <w:rFonts w:ascii="Times New Roman" w:eastAsia="Times New Roman" w:hAnsi="Times New Roman" w:cs="Times New Roman"/>
        </w:rPr>
        <w:t>to mythic divine deeds of the past.</w:t>
      </w:r>
      <w:r w:rsidR="0068752A" w:rsidRPr="0023017B">
        <w:rPr>
          <w:rFonts w:ascii="Times New Roman" w:eastAsia="Times New Roman" w:hAnsi="Times New Roman" w:cs="Times New Roman"/>
        </w:rPr>
        <w:t xml:space="preserve"> </w:t>
      </w:r>
      <w:r w:rsidR="0068752A" w:rsidRPr="00B17E7D">
        <w:rPr>
          <w:rFonts w:ascii="Times New Roman" w:eastAsia="Times New Roman" w:hAnsi="Times New Roman" w:cs="Times New Roman"/>
        </w:rPr>
        <w:t xml:space="preserve">Ultimately, PGM IV.3007-86 </w:t>
      </w:r>
      <w:r w:rsidR="0068752A" w:rsidRPr="0023017B">
        <w:rPr>
          <w:rFonts w:ascii="Times New Roman" w:eastAsia="Times New Roman" w:hAnsi="Times New Roman" w:cs="Times New Roman"/>
        </w:rPr>
        <w:t>provides</w:t>
      </w:r>
      <w:r w:rsidR="0068752A" w:rsidRPr="00B17E7D">
        <w:rPr>
          <w:rFonts w:ascii="Times New Roman" w:eastAsia="Times New Roman" w:hAnsi="Times New Roman" w:cs="Times New Roman"/>
        </w:rPr>
        <w:t xml:space="preserve"> valuable insight into the syncretic cosmology of </w:t>
      </w:r>
      <w:r w:rsidR="0068752A" w:rsidRPr="0023017B">
        <w:rPr>
          <w:rFonts w:ascii="Times New Roman" w:eastAsia="Times New Roman" w:hAnsi="Times New Roman" w:cs="Times New Roman"/>
        </w:rPr>
        <w:t xml:space="preserve">‘popular religion’ in </w:t>
      </w:r>
      <w:r w:rsidR="0068752A" w:rsidRPr="00B17E7D">
        <w:rPr>
          <w:rFonts w:ascii="Times New Roman" w:eastAsia="Times New Roman" w:hAnsi="Times New Roman" w:cs="Times New Roman"/>
        </w:rPr>
        <w:t xml:space="preserve">late antiquity and the role of </w:t>
      </w:r>
      <w:r w:rsidR="0068752A" w:rsidRPr="0023017B">
        <w:rPr>
          <w:rFonts w:ascii="Times New Roman" w:eastAsia="Times New Roman" w:hAnsi="Times New Roman" w:cs="Times New Roman"/>
        </w:rPr>
        <w:t xml:space="preserve">the </w:t>
      </w:r>
      <w:r w:rsidR="0068752A" w:rsidRPr="00B17E7D">
        <w:rPr>
          <w:rFonts w:ascii="Times New Roman" w:eastAsia="Times New Roman" w:hAnsi="Times New Roman" w:cs="Times New Roman"/>
        </w:rPr>
        <w:t>ritual specialist in addressing the lived concerns of everyday people, transcending cultural and religious boundaries in the ancient Mediterranean world.</w:t>
      </w:r>
    </w:p>
    <w:p w14:paraId="5DB2949B" w14:textId="77777777" w:rsidR="00B36834" w:rsidRPr="00985A6A" w:rsidRDefault="00B36834" w:rsidP="00486F35">
      <w:pPr>
        <w:spacing w:line="240" w:lineRule="auto"/>
        <w:ind w:firstLine="0"/>
        <w:jc w:val="center"/>
        <w:rPr>
          <w:rFonts w:ascii="Times New Roman" w:hAnsi="Times New Roman" w:cs="Times New Roman"/>
          <w:color w:val="FF0000"/>
        </w:rPr>
      </w:pPr>
    </w:p>
    <w:p w14:paraId="2FD6A8C2" w14:textId="77777777" w:rsidR="00EC101D" w:rsidRDefault="00EC101D" w:rsidP="00486F35">
      <w:pPr>
        <w:spacing w:line="240" w:lineRule="auto"/>
        <w:ind w:firstLine="0"/>
        <w:rPr>
          <w:rFonts w:ascii="Times New Roman" w:eastAsia="Times New Roman" w:hAnsi="Times New Roman" w:cs="Times New Roman"/>
          <w:color w:val="000000"/>
        </w:rPr>
      </w:pPr>
    </w:p>
    <w:p w14:paraId="09A74119" w14:textId="77777777" w:rsidR="00122E61" w:rsidRDefault="00122E61" w:rsidP="00486F35">
      <w:pPr>
        <w:spacing w:line="240" w:lineRule="auto"/>
        <w:ind w:firstLine="0"/>
        <w:jc w:val="center"/>
        <w:rPr>
          <w:rFonts w:ascii="Times New Roman" w:eastAsia="Times New Roman" w:hAnsi="Times New Roman" w:cs="Times New Roman"/>
          <w:color w:val="000000"/>
        </w:rPr>
      </w:pPr>
    </w:p>
    <w:p w14:paraId="65136626" w14:textId="77777777" w:rsidR="00122E61" w:rsidRDefault="00122E61" w:rsidP="00486F35">
      <w:pPr>
        <w:spacing w:line="240" w:lineRule="auto"/>
        <w:ind w:firstLine="0"/>
        <w:jc w:val="center"/>
        <w:rPr>
          <w:rFonts w:ascii="Times New Roman" w:eastAsia="Times New Roman" w:hAnsi="Times New Roman" w:cs="Times New Roman"/>
          <w:color w:val="000000"/>
        </w:rPr>
      </w:pPr>
    </w:p>
    <w:p w14:paraId="7B8B6F69" w14:textId="77777777" w:rsidR="00122E61" w:rsidRDefault="00122E61" w:rsidP="00486F35">
      <w:pPr>
        <w:spacing w:line="240" w:lineRule="auto"/>
        <w:ind w:firstLine="0"/>
        <w:jc w:val="center"/>
        <w:rPr>
          <w:rFonts w:ascii="Times New Roman" w:eastAsia="Times New Roman" w:hAnsi="Times New Roman" w:cs="Times New Roman"/>
          <w:color w:val="000000"/>
        </w:rPr>
      </w:pPr>
    </w:p>
    <w:p w14:paraId="47A1F68D"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5F7F694E"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7E74B010"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76693F71"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118D90D9"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6B1E3DF3"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3E6297CC"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5BB98A0F"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2717E6AC"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20E6A0B2"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4971FB26"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45403569"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02D32385"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00CBD4FB"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3AB57642"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6E7D3267"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26D91527"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232E53D4"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56EDD1B7"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38E7C2A6"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15105E16"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1152FAE8"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6AE9DC37"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51B390BD"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408F4224"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58AC5BDE"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1AD0784E"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0FC6AED3"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7295629B"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337B9A84"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5D25ECE5"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3518A71A"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65870E38" w14:textId="77777777" w:rsidR="00486F35" w:rsidRDefault="00486F35" w:rsidP="009C6134">
      <w:pPr>
        <w:spacing w:line="240" w:lineRule="auto"/>
        <w:ind w:firstLine="0"/>
        <w:jc w:val="center"/>
        <w:rPr>
          <w:rFonts w:ascii="Times New Roman" w:eastAsia="Times New Roman" w:hAnsi="Times New Roman" w:cs="Times New Roman"/>
          <w:color w:val="000000"/>
        </w:rPr>
      </w:pPr>
    </w:p>
    <w:p w14:paraId="723FEEBA" w14:textId="093976BA" w:rsidR="009C6134" w:rsidRPr="00985A6A" w:rsidRDefault="009C6134" w:rsidP="009C6134">
      <w:pPr>
        <w:spacing w:line="240" w:lineRule="auto"/>
        <w:ind w:firstLine="0"/>
        <w:jc w:val="center"/>
        <w:rPr>
          <w:rFonts w:ascii="Times New Roman" w:eastAsia="Times New Roman" w:hAnsi="Times New Roman" w:cs="Times New Roman"/>
        </w:rPr>
      </w:pPr>
      <w:r w:rsidRPr="00985A6A">
        <w:rPr>
          <w:rFonts w:ascii="Times New Roman" w:eastAsia="Times New Roman" w:hAnsi="Times New Roman" w:cs="Times New Roman"/>
          <w:color w:val="000000"/>
        </w:rPr>
        <w:t>A.I. Acknowledgement</w:t>
      </w:r>
    </w:p>
    <w:p w14:paraId="19B653AD" w14:textId="77777777" w:rsidR="009C6134" w:rsidRPr="00985A6A" w:rsidRDefault="009C6134" w:rsidP="009C6134">
      <w:pPr>
        <w:spacing w:line="240" w:lineRule="auto"/>
        <w:ind w:firstLine="0"/>
        <w:rPr>
          <w:rFonts w:ascii="Times New Roman" w:eastAsia="Times New Roman" w:hAnsi="Times New Roman" w:cs="Times New Roman"/>
        </w:rPr>
      </w:pPr>
    </w:p>
    <w:p w14:paraId="02B4E24D" w14:textId="544A9EB6" w:rsidR="009C6134" w:rsidRPr="00985A6A" w:rsidRDefault="009C6134" w:rsidP="009C6134">
      <w:pPr>
        <w:spacing w:line="240" w:lineRule="auto"/>
        <w:ind w:firstLine="720"/>
        <w:rPr>
          <w:rFonts w:ascii="Times New Roman" w:eastAsia="Times New Roman" w:hAnsi="Times New Roman" w:cs="Times New Roman"/>
        </w:rPr>
      </w:pPr>
      <w:r w:rsidRPr="00985A6A">
        <w:rPr>
          <w:rFonts w:ascii="Times New Roman" w:eastAsia="Times New Roman" w:hAnsi="Times New Roman" w:cs="Times New Roman"/>
          <w:color w:val="000000"/>
        </w:rPr>
        <w:t xml:space="preserve">I acknowledge the use of Grammarly (https://www.grammarly.com) on </w:t>
      </w:r>
      <w:r w:rsidR="00D63F62" w:rsidRPr="00E84BAC">
        <w:rPr>
          <w:rFonts w:ascii="Times New Roman" w:eastAsia="Times New Roman" w:hAnsi="Times New Roman" w:cs="Times New Roman"/>
          <w:color w:val="000000" w:themeColor="text1"/>
        </w:rPr>
        <w:t>28</w:t>
      </w:r>
      <w:r w:rsidRPr="00E84BAC">
        <w:rPr>
          <w:rFonts w:ascii="Times New Roman" w:eastAsia="Times New Roman" w:hAnsi="Times New Roman" w:cs="Times New Roman"/>
          <w:color w:val="000000" w:themeColor="text1"/>
        </w:rPr>
        <w:t xml:space="preserve"> </w:t>
      </w:r>
      <w:r w:rsidR="00593494">
        <w:rPr>
          <w:rFonts w:ascii="Times New Roman" w:eastAsia="Times New Roman" w:hAnsi="Times New Roman" w:cs="Times New Roman"/>
          <w:color w:val="000000" w:themeColor="text1"/>
        </w:rPr>
        <w:t>April</w:t>
      </w:r>
      <w:r w:rsidR="00D63F62" w:rsidRPr="00E84BAC">
        <w:rPr>
          <w:rFonts w:ascii="Times New Roman" w:eastAsia="Times New Roman" w:hAnsi="Times New Roman" w:cs="Times New Roman"/>
          <w:color w:val="000000" w:themeColor="text1"/>
        </w:rPr>
        <w:t xml:space="preserve"> </w:t>
      </w:r>
      <w:r w:rsidRPr="00E84BAC">
        <w:rPr>
          <w:rFonts w:ascii="Times New Roman" w:eastAsia="Times New Roman" w:hAnsi="Times New Roman" w:cs="Times New Roman"/>
          <w:color w:val="000000" w:themeColor="text1"/>
        </w:rPr>
        <w:t xml:space="preserve">2025 </w:t>
      </w:r>
      <w:r w:rsidRPr="00985A6A">
        <w:rPr>
          <w:rFonts w:ascii="Times New Roman" w:eastAsia="Times New Roman" w:hAnsi="Times New Roman" w:cs="Times New Roman"/>
          <w:color w:val="000000"/>
        </w:rPr>
        <w:t>to check my work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63DA1D47" w14:textId="132BD4C0" w:rsidR="002C3105" w:rsidRPr="00985A6A" w:rsidRDefault="002C3105" w:rsidP="00B36834">
      <w:pPr>
        <w:spacing w:line="240" w:lineRule="auto"/>
        <w:ind w:firstLine="0"/>
        <w:jc w:val="center"/>
        <w:rPr>
          <w:color w:val="000000" w:themeColor="text1"/>
        </w:rPr>
      </w:pPr>
      <w:r w:rsidRPr="00985A6A">
        <w:rPr>
          <w:rFonts w:ascii="Times New Roman" w:hAnsi="Times New Roman" w:cs="Times New Roman"/>
          <w:color w:val="000000" w:themeColor="text1"/>
        </w:rPr>
        <w:t>Bibliography</w:t>
      </w:r>
    </w:p>
    <w:p w14:paraId="62A919AE" w14:textId="060FAF3B" w:rsidR="00844D3D" w:rsidRPr="00985A6A" w:rsidRDefault="00844D3D" w:rsidP="00373C6E">
      <w:pPr>
        <w:spacing w:line="240" w:lineRule="auto"/>
        <w:ind w:firstLine="0"/>
        <w:rPr>
          <w:color w:val="000000" w:themeColor="text1"/>
        </w:rPr>
      </w:pPr>
    </w:p>
    <w:p w14:paraId="70C95CA3" w14:textId="77777777" w:rsidR="00B36834" w:rsidRPr="00985A6A" w:rsidRDefault="00B36834" w:rsidP="00373C6E">
      <w:pPr>
        <w:spacing w:line="240" w:lineRule="auto"/>
        <w:ind w:firstLine="0"/>
        <w:rPr>
          <w:color w:val="000000" w:themeColor="text1"/>
        </w:rPr>
      </w:pPr>
    </w:p>
    <w:p w14:paraId="6E0DAC1E"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Bates, Matthew W, ‘Why Do the Seven Sons of Sceva </w:t>
      </w:r>
      <w:proofErr w:type="gramStart"/>
      <w:r w:rsidRPr="00985A6A">
        <w:rPr>
          <w:rFonts w:ascii="Times New Roman" w:eastAsia="Times New Roman" w:hAnsi="Times New Roman" w:cs="Times New Roman"/>
          <w:color w:val="000000" w:themeColor="text1"/>
        </w:rPr>
        <w:t>Fail?:</w:t>
      </w:r>
      <w:proofErr w:type="gramEnd"/>
      <w:r w:rsidRPr="00985A6A">
        <w:rPr>
          <w:rFonts w:ascii="Times New Roman" w:eastAsia="Times New Roman" w:hAnsi="Times New Roman" w:cs="Times New Roman"/>
          <w:color w:val="000000" w:themeColor="text1"/>
        </w:rPr>
        <w:t xml:space="preserve"> Exorcism, Magic, and Oath Enforcement in Acts 19,13-17’, </w:t>
      </w:r>
      <w:r w:rsidRPr="00985A6A">
        <w:rPr>
          <w:rFonts w:ascii="Times New Roman" w:eastAsia="Times New Roman" w:hAnsi="Times New Roman" w:cs="Times New Roman"/>
          <w:i/>
          <w:iCs/>
          <w:color w:val="000000" w:themeColor="text1"/>
        </w:rPr>
        <w:t>Revue Biblique</w:t>
      </w:r>
      <w:r w:rsidRPr="00985A6A">
        <w:rPr>
          <w:rFonts w:ascii="Times New Roman" w:eastAsia="Times New Roman" w:hAnsi="Times New Roman" w:cs="Times New Roman"/>
          <w:color w:val="000000" w:themeColor="text1"/>
        </w:rPr>
        <w:t>, 118 (2011), pp. 408–21</w:t>
      </w:r>
    </w:p>
    <w:p w14:paraId="1D90EFCA"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noProof/>
          <w:color w:val="000000" w:themeColor="text1"/>
        </w:rPr>
        <mc:AlternateContent>
          <mc:Choice Requires="wpi">
            <w:drawing>
              <wp:anchor distT="0" distB="0" distL="114300" distR="114300" simplePos="0" relativeHeight="251672576" behindDoc="0" locked="0" layoutInCell="1" allowOverlap="1" wp14:anchorId="7D3E6678" wp14:editId="5DEDF4D1">
                <wp:simplePos x="0" y="0"/>
                <wp:positionH relativeFrom="column">
                  <wp:posOffset>7589131</wp:posOffset>
                </wp:positionH>
                <wp:positionV relativeFrom="paragraph">
                  <wp:posOffset>173568</wp:posOffset>
                </wp:positionV>
                <wp:extent cx="5760" cy="9720"/>
                <wp:effectExtent l="38100" t="38100" r="51435" b="47625"/>
                <wp:wrapNone/>
                <wp:docPr id="1275935008"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5760" cy="9720"/>
                      </w14:xfrm>
                    </w14:contentPart>
                  </a:graphicData>
                </a:graphic>
              </wp:anchor>
            </w:drawing>
          </mc:Choice>
          <mc:Fallback>
            <w:pict>
              <v:shapetype w14:anchorId="5795B3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597.05pt;margin-top:13.15pt;width:1.4pt;height:1.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">
                <v:imagedata r:id="rId23" o:title=""/>
              </v:shape>
            </w:pict>
          </mc:Fallback>
        </mc:AlternateContent>
      </w:r>
    </w:p>
    <w:p w14:paraId="5C4BD9A5"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Betz, Hans Dieter,</w:t>
      </w:r>
      <w:r w:rsidRPr="00985A6A">
        <w:rPr>
          <w:rFonts w:ascii="Times New Roman" w:eastAsia="Times New Roman" w:hAnsi="Times New Roman" w:cs="Times New Roman"/>
          <w:i/>
          <w:iCs/>
          <w:color w:val="000000" w:themeColor="text1"/>
        </w:rPr>
        <w:t xml:space="preserve"> The Greek Magical Papyri in Translation, Including the Demotic Spells</w:t>
      </w:r>
      <w:r w:rsidRPr="00985A6A">
        <w:rPr>
          <w:rFonts w:ascii="Times New Roman" w:eastAsia="Times New Roman" w:hAnsi="Times New Roman" w:cs="Times New Roman"/>
          <w:color w:val="000000" w:themeColor="text1"/>
        </w:rPr>
        <w:t>, 2</w:t>
      </w:r>
      <w:r w:rsidRPr="00985A6A">
        <w:rPr>
          <w:rFonts w:ascii="Times New Roman" w:eastAsia="Times New Roman" w:hAnsi="Times New Roman" w:cs="Times New Roman"/>
          <w:color w:val="000000" w:themeColor="text1"/>
          <w:vertAlign w:val="superscript"/>
        </w:rPr>
        <w:t>nd</w:t>
      </w:r>
      <w:r w:rsidRPr="00985A6A">
        <w:rPr>
          <w:rFonts w:ascii="Times New Roman" w:eastAsia="Times New Roman" w:hAnsi="Times New Roman" w:cs="Times New Roman"/>
          <w:color w:val="000000" w:themeColor="text1"/>
        </w:rPr>
        <w:t xml:space="preserve"> edition, ed. by Hans Dieter Betz (Chicago: University of Chicago Press, 1992)</w:t>
      </w:r>
    </w:p>
    <w:p w14:paraId="64E970CC"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6A99247D" w14:textId="20322022"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noProof/>
          <w:color w:val="000000" w:themeColor="text1"/>
        </w:rPr>
        <mc:AlternateContent>
          <mc:Choice Requires="wpi">
            <w:drawing>
              <wp:anchor distT="0" distB="0" distL="114300" distR="114300" simplePos="0" relativeHeight="251669504" behindDoc="0" locked="0" layoutInCell="1" allowOverlap="1" wp14:anchorId="0CD5CD12" wp14:editId="0128E889">
                <wp:simplePos x="0" y="0"/>
                <wp:positionH relativeFrom="column">
                  <wp:posOffset>8272582</wp:posOffset>
                </wp:positionH>
                <wp:positionV relativeFrom="paragraph">
                  <wp:posOffset>203373</wp:posOffset>
                </wp:positionV>
                <wp:extent cx="20880" cy="48600"/>
                <wp:effectExtent l="38100" t="38100" r="36830" b="46990"/>
                <wp:wrapNone/>
                <wp:docPr id="1565572224" name="Ink 5"/>
                <wp:cNvGraphicFramePr/>
                <a:graphic xmlns:a="http://schemas.openxmlformats.org/drawingml/2006/main">
                  <a:graphicData uri="http://schemas.microsoft.com/office/word/2010/wordprocessingInk">
                    <w14:contentPart bwMode="auto" r:id="rId24">
                      <w14:nvContentPartPr>
                        <w14:cNvContentPartPr/>
                      </w14:nvContentPartPr>
                      <w14:xfrm>
                        <a:off x="0" y="0"/>
                        <a:ext cx="20880" cy="48600"/>
                      </w14:xfrm>
                    </w14:contentPart>
                  </a:graphicData>
                </a:graphic>
              </wp:anchor>
            </w:drawing>
          </mc:Choice>
          <mc:Fallback>
            <w:pict>
              <v:shape w14:anchorId="163698C4" id="Ink 5" o:spid="_x0000_s1026" type="#_x0000_t75" style="position:absolute;margin-left:650.9pt;margin-top:15.5pt;width:2.65pt;height:4.8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">
                <v:imagedata r:id="rId25" o:title=""/>
              </v:shape>
            </w:pict>
          </mc:Fallback>
        </mc:AlternateContent>
      </w:r>
      <w:r w:rsidRPr="00985A6A">
        <w:rPr>
          <w:rFonts w:ascii="Times New Roman" w:eastAsia="Times New Roman" w:hAnsi="Times New Roman" w:cs="Times New Roman"/>
          <w:noProof/>
          <w:color w:val="000000" w:themeColor="text1"/>
        </w:rPr>
        <mc:AlternateContent>
          <mc:Choice Requires="wpi">
            <w:drawing>
              <wp:anchor distT="0" distB="0" distL="114300" distR="114300" simplePos="0" relativeHeight="251668480" behindDoc="0" locked="0" layoutInCell="1" allowOverlap="1" wp14:anchorId="196D7DB4" wp14:editId="187C2322">
                <wp:simplePos x="0" y="0"/>
                <wp:positionH relativeFrom="column">
                  <wp:posOffset>7990702</wp:posOffset>
                </wp:positionH>
                <wp:positionV relativeFrom="paragraph">
                  <wp:posOffset>722853</wp:posOffset>
                </wp:positionV>
                <wp:extent cx="55440" cy="2880"/>
                <wp:effectExtent l="38100" t="38100" r="40005" b="35560"/>
                <wp:wrapNone/>
                <wp:docPr id="1969173320" name="Ink 4"/>
                <wp:cNvGraphicFramePr/>
                <a:graphic xmlns:a="http://schemas.openxmlformats.org/drawingml/2006/main">
                  <a:graphicData uri="http://schemas.microsoft.com/office/word/2010/wordprocessingInk">
                    <w14:contentPart bwMode="auto" r:id="rId26">
                      <w14:nvContentPartPr>
                        <w14:cNvContentPartPr/>
                      </w14:nvContentPartPr>
                      <w14:xfrm>
                        <a:off x="0" y="0"/>
                        <a:ext cx="55440" cy="2880"/>
                      </w14:xfrm>
                    </w14:contentPart>
                  </a:graphicData>
                </a:graphic>
              </wp:anchor>
            </w:drawing>
          </mc:Choice>
          <mc:Fallback>
            <w:pict>
              <v:shape w14:anchorId="55987407" id="Ink 4" o:spid="_x0000_s1026" type="#_x0000_t75" style="position:absolute;margin-left:628.7pt;margin-top:56.4pt;width:5.35pt;height:1.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">
                <v:imagedata r:id="rId27" o:title=""/>
              </v:shape>
            </w:pict>
          </mc:Fallback>
        </mc:AlternateContent>
      </w:r>
      <w:r w:rsidRPr="00985A6A">
        <w:rPr>
          <w:rFonts w:ascii="Times New Roman" w:eastAsia="Times New Roman" w:hAnsi="Times New Roman" w:cs="Times New Roman"/>
          <w:noProof/>
          <w:color w:val="000000" w:themeColor="text1"/>
        </w:rPr>
        <mc:AlternateContent>
          <mc:Choice Requires="wpi">
            <w:drawing>
              <wp:anchor distT="0" distB="0" distL="114300" distR="114300" simplePos="0" relativeHeight="251667456" behindDoc="0" locked="0" layoutInCell="1" allowOverlap="1" wp14:anchorId="6D5C8BEE" wp14:editId="127110FA">
                <wp:simplePos x="0" y="0"/>
                <wp:positionH relativeFrom="column">
                  <wp:posOffset>8394982</wp:posOffset>
                </wp:positionH>
                <wp:positionV relativeFrom="paragraph">
                  <wp:posOffset>491733</wp:posOffset>
                </wp:positionV>
                <wp:extent cx="24840" cy="14400"/>
                <wp:effectExtent l="38100" t="38100" r="51435" b="43180"/>
                <wp:wrapNone/>
                <wp:docPr id="130107991" name="Ink 3"/>
                <wp:cNvGraphicFramePr/>
                <a:graphic xmlns:a="http://schemas.openxmlformats.org/drawingml/2006/main">
                  <a:graphicData uri="http://schemas.microsoft.com/office/word/2010/wordprocessingInk">
                    <w14:contentPart bwMode="auto" r:id="rId28">
                      <w14:nvContentPartPr>
                        <w14:cNvContentPartPr/>
                      </w14:nvContentPartPr>
                      <w14:xfrm>
                        <a:off x="0" y="0"/>
                        <a:ext cx="24840" cy="14400"/>
                      </w14:xfrm>
                    </w14:contentPart>
                  </a:graphicData>
                </a:graphic>
              </wp:anchor>
            </w:drawing>
          </mc:Choice>
          <mc:Fallback>
            <w:pict>
              <v:shape w14:anchorId="162254F8" id="Ink 3" o:spid="_x0000_s1026" type="#_x0000_t75" style="position:absolute;margin-left:660.5pt;margin-top:38.2pt;width:2.9pt;height:2.1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">
                <v:imagedata r:id="rId29" o:title=""/>
              </v:shape>
            </w:pict>
          </mc:Fallback>
        </mc:AlternateContent>
      </w:r>
      <w:r w:rsidRPr="00985A6A">
        <w:rPr>
          <w:rFonts w:ascii="Times New Roman" w:eastAsia="Times New Roman" w:hAnsi="Times New Roman" w:cs="Times New Roman"/>
          <w:color w:val="000000" w:themeColor="text1"/>
        </w:rPr>
        <w:t xml:space="preserve">Betz, Hans Dieter, ‘Jewish Magic in the Greek Magical Papyri (PGM VII.260-71)’, in </w:t>
      </w:r>
      <w:r w:rsidRPr="00985A6A">
        <w:rPr>
          <w:rFonts w:ascii="Times New Roman" w:eastAsia="Times New Roman" w:hAnsi="Times New Roman" w:cs="Times New Roman"/>
          <w:i/>
          <w:iCs/>
          <w:color w:val="000000" w:themeColor="text1"/>
        </w:rPr>
        <w:t>Envisioning Magic: A Princeton Seminar and Symposium</w:t>
      </w:r>
      <w:r w:rsidRPr="00985A6A">
        <w:rPr>
          <w:rFonts w:ascii="Times New Roman" w:eastAsia="Times New Roman" w:hAnsi="Times New Roman" w:cs="Times New Roman"/>
          <w:color w:val="000000" w:themeColor="text1"/>
        </w:rPr>
        <w:t>, ed. by Peter Schäfer and Hans G. Kippenberg, Studies in the History of Religions, 75 (Leiden; New York: Brill, 1997), pp. 45–63</w:t>
      </w:r>
    </w:p>
    <w:p w14:paraId="1019BC36"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46560D34"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B</w:t>
      </w:r>
      <w:bookmarkStart w:id="7" w:name="_Hlk196578692"/>
      <w:r w:rsidRPr="00985A6A">
        <w:rPr>
          <w:rFonts w:ascii="Times New Roman" w:eastAsia="Times New Roman" w:hAnsi="Times New Roman" w:cs="Times New Roman"/>
          <w:color w:val="000000" w:themeColor="text1"/>
        </w:rPr>
        <w:t xml:space="preserve">ohak, Gideon, ‘The Diffusion of the Greco-Egyptian Magical Tradition in Late Antiquity’, in </w:t>
      </w:r>
      <w:r w:rsidRPr="00985A6A">
        <w:rPr>
          <w:rFonts w:ascii="Times New Roman" w:eastAsia="Times New Roman" w:hAnsi="Times New Roman" w:cs="Times New Roman"/>
          <w:i/>
          <w:iCs/>
          <w:color w:val="000000" w:themeColor="text1"/>
        </w:rPr>
        <w:t>Graeco-Egyptian Interactions: Literature, Translation, and Culture, 500 BC-AD 300</w:t>
      </w:r>
      <w:r w:rsidRPr="00985A6A">
        <w:rPr>
          <w:rFonts w:ascii="Times New Roman" w:eastAsia="Times New Roman" w:hAnsi="Times New Roman" w:cs="Times New Roman"/>
          <w:color w:val="000000" w:themeColor="text1"/>
        </w:rPr>
        <w:t>, ed. by Ian Rutherford, First edition (Oxford: Oxford University Press, 2016), pp. 357–82</w:t>
      </w:r>
    </w:p>
    <w:bookmarkEnd w:id="7"/>
    <w:p w14:paraId="6E455676"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7512CD26"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Brashear, William M, ‘The Greek Magical Papyri: </w:t>
      </w:r>
      <w:proofErr w:type="gramStart"/>
      <w:r w:rsidRPr="00985A6A">
        <w:rPr>
          <w:rFonts w:ascii="Times New Roman" w:eastAsia="Times New Roman" w:hAnsi="Times New Roman" w:cs="Times New Roman"/>
          <w:color w:val="000000" w:themeColor="text1"/>
        </w:rPr>
        <w:t>an</w:t>
      </w:r>
      <w:proofErr w:type="gramEnd"/>
      <w:r w:rsidRPr="00985A6A">
        <w:rPr>
          <w:rFonts w:ascii="Times New Roman" w:eastAsia="Times New Roman" w:hAnsi="Times New Roman" w:cs="Times New Roman"/>
          <w:color w:val="000000" w:themeColor="text1"/>
        </w:rPr>
        <w:t xml:space="preserve"> Introduction and Survey; Annotated Bibliography (1928-1994)’, in </w:t>
      </w:r>
      <w:r w:rsidRPr="00985A6A">
        <w:rPr>
          <w:rFonts w:ascii="Times New Roman" w:eastAsia="Times New Roman" w:hAnsi="Times New Roman" w:cs="Times New Roman"/>
          <w:i/>
          <w:iCs/>
          <w:color w:val="000000" w:themeColor="text1"/>
        </w:rPr>
        <w:t>Band 18/5. Teilband Religion. Heidentum: Die religiösen Verhältnisse in den Provinzen (Forts.)</w:t>
      </w:r>
      <w:r w:rsidRPr="00985A6A">
        <w:rPr>
          <w:rFonts w:ascii="Times New Roman" w:eastAsia="Times New Roman" w:hAnsi="Times New Roman" w:cs="Times New Roman"/>
          <w:color w:val="000000" w:themeColor="text1"/>
        </w:rPr>
        <w:t xml:space="preserve"> (Berlin: De Gruyter, 2016), pp. 3380–3684</w:t>
      </w:r>
    </w:p>
    <w:p w14:paraId="6D551460"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73FBA487"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d</w:t>
      </w:r>
      <w:bookmarkStart w:id="8" w:name="_Hlk196592153"/>
      <w:r w:rsidRPr="00985A6A">
        <w:rPr>
          <w:rFonts w:ascii="Times New Roman" w:eastAsia="Times New Roman" w:hAnsi="Times New Roman" w:cs="Times New Roman"/>
          <w:color w:val="000000" w:themeColor="text1"/>
        </w:rPr>
        <w:t xml:space="preserve">e Bruyn, Theodore S and Jitse HF Dijkstra, ‘Greek Amulets and Formularies from Egypt Containing Christian Elements: A Checklist of Papyri, Parchments, Ostraka, and Tablets’, </w:t>
      </w:r>
      <w:r w:rsidRPr="00985A6A">
        <w:rPr>
          <w:rFonts w:ascii="Times New Roman" w:eastAsia="Times New Roman" w:hAnsi="Times New Roman" w:cs="Times New Roman"/>
          <w:i/>
          <w:iCs/>
          <w:color w:val="000000" w:themeColor="text1"/>
        </w:rPr>
        <w:t>The Bulletin of the American Society of Papyrologists</w:t>
      </w:r>
      <w:r w:rsidRPr="00985A6A">
        <w:rPr>
          <w:rFonts w:ascii="Times New Roman" w:eastAsia="Times New Roman" w:hAnsi="Times New Roman" w:cs="Times New Roman"/>
          <w:color w:val="000000" w:themeColor="text1"/>
        </w:rPr>
        <w:t>, 48 (2011), 163–216</w:t>
      </w:r>
    </w:p>
    <w:bookmarkEnd w:id="8"/>
    <w:p w14:paraId="17E3C06A"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17594F3E"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i/>
          <w:iCs/>
          <w:color w:val="000000" w:themeColor="text1"/>
        </w:rPr>
        <w:t>Cultural Plurality in Ancient Magical Texts and Practices: Graeco-Egyptian Handbooks and Related Traditions</w:t>
      </w:r>
      <w:r w:rsidRPr="00985A6A">
        <w:rPr>
          <w:rFonts w:ascii="Times New Roman" w:eastAsia="Times New Roman" w:hAnsi="Times New Roman" w:cs="Times New Roman"/>
          <w:color w:val="000000" w:themeColor="text1"/>
        </w:rPr>
        <w:t>, ed. by Ljuba Merlina Bortolani, William D. Furley, Svenja Nagel, and Joachim Friedrich Quack, Orientalische Religionen in Der Antike, 32 (Tübingen: Mohr Siebeck, 2019)</w:t>
      </w:r>
    </w:p>
    <w:p w14:paraId="5841C1DB"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6DB6E192"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Deissmann, Adolf, </w:t>
      </w:r>
      <w:r w:rsidRPr="00985A6A">
        <w:rPr>
          <w:rFonts w:ascii="Times New Roman" w:eastAsia="Times New Roman" w:hAnsi="Times New Roman" w:cs="Times New Roman"/>
          <w:i/>
          <w:iCs/>
          <w:color w:val="000000" w:themeColor="text1"/>
        </w:rPr>
        <w:t>Light from the Ancient East: The New Testament Illustrated by Recently Discovered Texts of the Graeco-Roman World</w:t>
      </w:r>
      <w:r w:rsidRPr="00985A6A">
        <w:rPr>
          <w:rFonts w:ascii="Times New Roman" w:eastAsia="Times New Roman" w:hAnsi="Times New Roman" w:cs="Times New Roman"/>
          <w:color w:val="000000" w:themeColor="text1"/>
        </w:rPr>
        <w:t>, trans. by Lionel R. M. Strachan (New York; London: Harper &amp; Brothers, 1922)</w:t>
      </w:r>
    </w:p>
    <w:p w14:paraId="1BF89747"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2AD02E60"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Dieleman, Jacco, ‘Greco-Egyptian Magical Formularies’, in </w:t>
      </w:r>
      <w:r w:rsidRPr="00985A6A">
        <w:rPr>
          <w:rFonts w:ascii="Times New Roman" w:eastAsia="Times New Roman" w:hAnsi="Times New Roman" w:cs="Times New Roman"/>
          <w:i/>
          <w:iCs/>
          <w:color w:val="000000" w:themeColor="text1"/>
        </w:rPr>
        <w:t>Guide to the Study of Ancient Magic</w:t>
      </w:r>
      <w:r w:rsidRPr="00985A6A">
        <w:rPr>
          <w:rFonts w:ascii="Times New Roman" w:eastAsia="Times New Roman" w:hAnsi="Times New Roman" w:cs="Times New Roman"/>
          <w:color w:val="000000" w:themeColor="text1"/>
        </w:rPr>
        <w:t>, ed. by David Frankfurter, Religions in the Graeco-Roman World, volume 189 (Leiden; Boston: Brill, 2019), pp. 283–321</w:t>
      </w:r>
    </w:p>
    <w:p w14:paraId="0F8FD977" w14:textId="77777777" w:rsidR="00373C6E" w:rsidRPr="00985A6A" w:rsidRDefault="00373C6E" w:rsidP="00373C6E">
      <w:pPr>
        <w:spacing w:line="240" w:lineRule="auto"/>
        <w:ind w:left="960" w:hanging="480"/>
        <w:rPr>
          <w:rFonts w:ascii="Times New Roman" w:eastAsia="Times New Roman" w:hAnsi="Times New Roman" w:cs="Times New Roman"/>
          <w:color w:val="000000" w:themeColor="text1"/>
        </w:rPr>
      </w:pPr>
    </w:p>
    <w:p w14:paraId="1C9673BD"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Evans, Craig A, ‘Jesus and the Spirits: What Can We Learn from the New Testament World?’, </w:t>
      </w:r>
      <w:r w:rsidRPr="00985A6A">
        <w:rPr>
          <w:rFonts w:ascii="Times New Roman" w:eastAsia="Times New Roman" w:hAnsi="Times New Roman" w:cs="Times New Roman"/>
          <w:i/>
          <w:iCs/>
          <w:color w:val="000000" w:themeColor="text1"/>
        </w:rPr>
        <w:t>Transformation: An International Journal of Holistic Mission Studies</w:t>
      </w:r>
      <w:r w:rsidRPr="00985A6A">
        <w:rPr>
          <w:rFonts w:ascii="Times New Roman" w:eastAsia="Times New Roman" w:hAnsi="Times New Roman" w:cs="Times New Roman"/>
          <w:color w:val="000000" w:themeColor="text1"/>
        </w:rPr>
        <w:t>, 27 (2010), 146–61</w:t>
      </w:r>
    </w:p>
    <w:p w14:paraId="52E2D467"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62FB5CD7"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Faraone, Christopher A, ‘The Composite Recipes in GEMF 57 (=PGM IV) and How They Grew’, in </w:t>
      </w:r>
      <w:r w:rsidRPr="00985A6A">
        <w:rPr>
          <w:rFonts w:ascii="Times New Roman" w:eastAsia="Times New Roman" w:hAnsi="Times New Roman" w:cs="Times New Roman"/>
          <w:i/>
          <w:iCs/>
          <w:color w:val="000000" w:themeColor="text1"/>
        </w:rPr>
        <w:t>The Greco-Egyptian Magical Formularies: Libraries, Books, and Individual Recipes</w:t>
      </w:r>
      <w:r w:rsidRPr="00985A6A">
        <w:rPr>
          <w:rFonts w:ascii="Times New Roman" w:eastAsia="Times New Roman" w:hAnsi="Times New Roman" w:cs="Times New Roman"/>
          <w:color w:val="000000" w:themeColor="text1"/>
        </w:rPr>
        <w:t>, ed. by Christopher A. Faraone and Sofia Torallas Tovar (Ann Arbor, MI: University of Michigan Press, 2022), pp. 367–94</w:t>
      </w:r>
    </w:p>
    <w:p w14:paraId="602593BF"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1CA1F8F4"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Frankfurter, David, ‘The Theory and Practice of the Magical </w:t>
      </w:r>
      <w:r w:rsidRPr="00122E61">
        <w:rPr>
          <w:rFonts w:ascii="Times New Roman" w:eastAsia="Times New Roman" w:hAnsi="Times New Roman" w:cs="Times New Roman"/>
          <w:i/>
          <w:iCs/>
          <w:color w:val="000000" w:themeColor="text1"/>
        </w:rPr>
        <w:t>Historiola</w:t>
      </w:r>
      <w:r w:rsidRPr="00985A6A">
        <w:rPr>
          <w:rFonts w:ascii="Times New Roman" w:eastAsia="Times New Roman" w:hAnsi="Times New Roman" w:cs="Times New Roman"/>
          <w:color w:val="000000" w:themeColor="text1"/>
        </w:rPr>
        <w:t xml:space="preserve"> in Ritual Spells’, in </w:t>
      </w:r>
      <w:r w:rsidRPr="00985A6A">
        <w:rPr>
          <w:rFonts w:ascii="Times New Roman" w:eastAsia="Times New Roman" w:hAnsi="Times New Roman" w:cs="Times New Roman"/>
          <w:i/>
          <w:iCs/>
          <w:color w:val="000000" w:themeColor="text1"/>
        </w:rPr>
        <w:t>Ancient Magic and Ritual Power</w:t>
      </w:r>
      <w:r w:rsidRPr="00985A6A">
        <w:rPr>
          <w:rFonts w:ascii="Times New Roman" w:eastAsia="Times New Roman" w:hAnsi="Times New Roman" w:cs="Times New Roman"/>
          <w:color w:val="000000" w:themeColor="text1"/>
        </w:rPr>
        <w:t>, ed. by Marvin W. Meyer and Paul Allan Mirecki, Religions in the Graeco-Roman World, v. 129 (Leiden; New York: Brill, 1995), pp. 457–76</w:t>
      </w:r>
    </w:p>
    <w:p w14:paraId="0CD87811"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6782EC54"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van der Horst, Pieter W, ‘The Great Magical Papyrus of Paris (PGM IV) and The Bible’, in </w:t>
      </w:r>
      <w:r w:rsidRPr="00985A6A">
        <w:rPr>
          <w:rFonts w:ascii="Times New Roman" w:eastAsia="Times New Roman" w:hAnsi="Times New Roman" w:cs="Times New Roman"/>
          <w:i/>
          <w:iCs/>
          <w:color w:val="000000" w:themeColor="text1"/>
        </w:rPr>
        <w:t>A Kind of Magic: Understanding Magic in the New Testament and Its Religious Environment</w:t>
      </w:r>
      <w:r w:rsidRPr="00985A6A">
        <w:rPr>
          <w:rFonts w:ascii="Times New Roman" w:eastAsia="Times New Roman" w:hAnsi="Times New Roman" w:cs="Times New Roman"/>
          <w:color w:val="000000" w:themeColor="text1"/>
        </w:rPr>
        <w:t>, ed. by Michael Labahn and Bert Jan Lietaert Peerbolte (London; New York: T &amp; T Clark, 2007), pp. 173–83</w:t>
      </w:r>
    </w:p>
    <w:p w14:paraId="24B14FA6"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414953D1"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Janowitz, Naomi, </w:t>
      </w:r>
      <w:r w:rsidRPr="00985A6A">
        <w:rPr>
          <w:rFonts w:ascii="Times New Roman" w:eastAsia="Times New Roman" w:hAnsi="Times New Roman" w:cs="Times New Roman"/>
          <w:i/>
          <w:iCs/>
          <w:color w:val="000000" w:themeColor="text1"/>
        </w:rPr>
        <w:t>Magic in the Roman World: Pagans, Jews, and Christians</w:t>
      </w:r>
      <w:r w:rsidRPr="00985A6A">
        <w:rPr>
          <w:rFonts w:ascii="Times New Roman" w:eastAsia="Times New Roman" w:hAnsi="Times New Roman" w:cs="Times New Roman"/>
          <w:color w:val="000000" w:themeColor="text1"/>
        </w:rPr>
        <w:t>, Religion in the First Christian Centuries (London; New York: Routledge, 2001)</w:t>
      </w:r>
    </w:p>
    <w:p w14:paraId="352161D4"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5CB2C0E1"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Knox, Wilfred Lawrence, ‘Jewish Liturgical Exorcism’, </w:t>
      </w:r>
      <w:r w:rsidRPr="00985A6A">
        <w:rPr>
          <w:rFonts w:ascii="Times New Roman" w:eastAsia="Times New Roman" w:hAnsi="Times New Roman" w:cs="Times New Roman"/>
          <w:i/>
          <w:iCs/>
          <w:color w:val="000000" w:themeColor="text1"/>
        </w:rPr>
        <w:t>Harvard Theological Review</w:t>
      </w:r>
      <w:r w:rsidRPr="00985A6A">
        <w:rPr>
          <w:rFonts w:ascii="Times New Roman" w:eastAsia="Times New Roman" w:hAnsi="Times New Roman" w:cs="Times New Roman"/>
          <w:color w:val="000000" w:themeColor="text1"/>
        </w:rPr>
        <w:t>, 31 (1938), 191–203</w:t>
      </w:r>
    </w:p>
    <w:p w14:paraId="509E60C9"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66F3F22F"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Kotansky, Roy, ‘Greek Exorcistic Amulets’, in </w:t>
      </w:r>
      <w:r w:rsidRPr="00985A6A">
        <w:rPr>
          <w:rFonts w:ascii="Times New Roman" w:eastAsia="Times New Roman" w:hAnsi="Times New Roman" w:cs="Times New Roman"/>
          <w:i/>
          <w:iCs/>
          <w:color w:val="000000" w:themeColor="text1"/>
        </w:rPr>
        <w:t>Ancient Magic and Ritual Power</w:t>
      </w:r>
      <w:r w:rsidRPr="00985A6A">
        <w:rPr>
          <w:rFonts w:ascii="Times New Roman" w:eastAsia="Times New Roman" w:hAnsi="Times New Roman" w:cs="Times New Roman"/>
          <w:color w:val="000000" w:themeColor="text1"/>
        </w:rPr>
        <w:t>, ed. by Marvin W. Meyer and Paul Allan Mirecki, Religions in the Graeco-Roman World, v. 129 (Leiden; New York: Brill, 1995), pp. 243–77</w:t>
      </w:r>
    </w:p>
    <w:p w14:paraId="379ED5E2"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63800CA7"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noProof/>
          <w:color w:val="000000" w:themeColor="text1"/>
        </w:rPr>
        <mc:AlternateContent>
          <mc:Choice Requires="wpi">
            <w:drawing>
              <wp:anchor distT="0" distB="0" distL="114300" distR="114300" simplePos="0" relativeHeight="251670528" behindDoc="0" locked="0" layoutInCell="1" allowOverlap="1" wp14:anchorId="16A50B15" wp14:editId="54A6EA50">
                <wp:simplePos x="0" y="0"/>
                <wp:positionH relativeFrom="column">
                  <wp:posOffset>7632691</wp:posOffset>
                </wp:positionH>
                <wp:positionV relativeFrom="paragraph">
                  <wp:posOffset>495425</wp:posOffset>
                </wp:positionV>
                <wp:extent cx="30240" cy="22680"/>
                <wp:effectExtent l="57150" t="57150" r="46355" b="53975"/>
                <wp:wrapNone/>
                <wp:docPr id="205447801" name="Ink 1"/>
                <wp:cNvGraphicFramePr/>
                <a:graphic xmlns:a="http://schemas.openxmlformats.org/drawingml/2006/main">
                  <a:graphicData uri="http://schemas.microsoft.com/office/word/2010/wordprocessingInk">
                    <w14:contentPart bwMode="auto" r:id="rId30">
                      <w14:nvContentPartPr>
                        <w14:cNvContentPartPr/>
                      </w14:nvContentPartPr>
                      <w14:xfrm>
                        <a:off x="0" y="0"/>
                        <a:ext cx="30240" cy="22680"/>
                      </w14:xfrm>
                    </w14:contentPart>
                  </a:graphicData>
                </a:graphic>
              </wp:anchor>
            </w:drawing>
          </mc:Choice>
          <mc:Fallback>
            <w:pict>
              <v:shape w14:anchorId="16AF40C9" id="Ink 1" o:spid="_x0000_s1026" type="#_x0000_t75" style="position:absolute;margin-left:600.3pt;margin-top:38.3pt;width:3.8pt;height:3.2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">
                <v:imagedata r:id="rId31" o:title=""/>
              </v:shape>
            </w:pict>
          </mc:Fallback>
        </mc:AlternateContent>
      </w:r>
      <w:r w:rsidRPr="00985A6A">
        <w:rPr>
          <w:rFonts w:ascii="Times New Roman" w:eastAsia="Times New Roman" w:hAnsi="Times New Roman" w:cs="Times New Roman"/>
          <w:noProof/>
          <w:color w:val="000000" w:themeColor="text1"/>
        </w:rPr>
        <mc:AlternateContent>
          <mc:Choice Requires="wpi">
            <w:drawing>
              <wp:anchor distT="0" distB="0" distL="114300" distR="114300" simplePos="0" relativeHeight="251665408" behindDoc="0" locked="0" layoutInCell="1" allowOverlap="1" wp14:anchorId="2277D60E" wp14:editId="6A5BAC80">
                <wp:simplePos x="0" y="0"/>
                <wp:positionH relativeFrom="column">
                  <wp:posOffset>8305342</wp:posOffset>
                </wp:positionH>
                <wp:positionV relativeFrom="paragraph">
                  <wp:posOffset>388785</wp:posOffset>
                </wp:positionV>
                <wp:extent cx="24840" cy="28440"/>
                <wp:effectExtent l="38100" t="38100" r="51435" b="48260"/>
                <wp:wrapNone/>
                <wp:docPr id="843119004" name="Ink 1"/>
                <wp:cNvGraphicFramePr/>
                <a:graphic xmlns:a="http://schemas.openxmlformats.org/drawingml/2006/main">
                  <a:graphicData uri="http://schemas.microsoft.com/office/word/2010/wordprocessingInk">
                    <w14:contentPart bwMode="auto" r:id="rId32">
                      <w14:nvContentPartPr>
                        <w14:cNvContentPartPr/>
                      </w14:nvContentPartPr>
                      <w14:xfrm>
                        <a:off x="0" y="0"/>
                        <a:ext cx="24840" cy="28440"/>
                      </w14:xfrm>
                    </w14:contentPart>
                  </a:graphicData>
                </a:graphic>
              </wp:anchor>
            </w:drawing>
          </mc:Choice>
          <mc:Fallback>
            <w:pict>
              <v:shape w14:anchorId="30A9E2ED" id="Ink 1" o:spid="_x0000_s1026" type="#_x0000_t75" style="position:absolute;margin-left:653.45pt;margin-top:30.1pt;width:2.9pt;height:3.2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">
                <v:imagedata r:id="rId33" o:title=""/>
              </v:shape>
            </w:pict>
          </mc:Fallback>
        </mc:AlternateContent>
      </w:r>
      <w:r w:rsidRPr="00985A6A">
        <w:rPr>
          <w:rFonts w:ascii="Times New Roman" w:eastAsia="Times New Roman" w:hAnsi="Times New Roman" w:cs="Times New Roman"/>
          <w:color w:val="000000" w:themeColor="text1"/>
        </w:rPr>
        <w:t xml:space="preserve">Kousoulis, Panagiotis, ‘Introduction: The Demonic Lore of Ancient Egypt: Questions on Definition’, in </w:t>
      </w:r>
      <w:r w:rsidRPr="00985A6A">
        <w:rPr>
          <w:rFonts w:ascii="Times New Roman" w:eastAsia="Times New Roman" w:hAnsi="Times New Roman" w:cs="Times New Roman"/>
          <w:i/>
          <w:iCs/>
          <w:color w:val="000000" w:themeColor="text1"/>
        </w:rPr>
        <w:t>Ancient Egyptian Demonology: Studies on the Boundaries between the Demonic and the Divine in Egyptian Magic</w:t>
      </w:r>
      <w:r w:rsidRPr="00985A6A">
        <w:rPr>
          <w:rFonts w:ascii="Times New Roman" w:eastAsia="Times New Roman" w:hAnsi="Times New Roman" w:cs="Times New Roman"/>
          <w:color w:val="000000" w:themeColor="text1"/>
        </w:rPr>
        <w:t>, ed. by Panagiotis Kousoulis, Orientalia Lovaniensia Analecta, 175 (Leuven: Peeters Publishers, 2011), pp. ix–xxi</w:t>
      </w:r>
    </w:p>
    <w:p w14:paraId="42723C6F"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33853907"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LiDonnici, Lynn R, ‘Compositional Patterns in PGM IV (= P.Bibl.Nat.Suppl. Gr. No. 574)’, </w:t>
      </w:r>
      <w:r w:rsidRPr="00985A6A">
        <w:rPr>
          <w:rFonts w:ascii="Times New Roman" w:eastAsia="Times New Roman" w:hAnsi="Times New Roman" w:cs="Times New Roman"/>
          <w:i/>
          <w:iCs/>
          <w:color w:val="000000" w:themeColor="text1"/>
        </w:rPr>
        <w:t>The Bulletin of the American Society of Papyrologists</w:t>
      </w:r>
      <w:r w:rsidRPr="00985A6A">
        <w:rPr>
          <w:rFonts w:ascii="Times New Roman" w:eastAsia="Times New Roman" w:hAnsi="Times New Roman" w:cs="Times New Roman"/>
          <w:color w:val="000000" w:themeColor="text1"/>
        </w:rPr>
        <w:t xml:space="preserve">, 40 (2003), 141–78 </w:t>
      </w:r>
    </w:p>
    <w:p w14:paraId="18E99F0E" w14:textId="77777777" w:rsidR="00373C6E" w:rsidRPr="00985A6A" w:rsidRDefault="00373C6E" w:rsidP="00373C6E">
      <w:pPr>
        <w:spacing w:line="240" w:lineRule="auto"/>
        <w:ind w:left="960" w:hanging="480"/>
        <w:rPr>
          <w:rFonts w:ascii="Times New Roman" w:eastAsia="Times New Roman" w:hAnsi="Times New Roman" w:cs="Times New Roman"/>
          <w:color w:val="000000" w:themeColor="text1"/>
        </w:rPr>
      </w:pPr>
    </w:p>
    <w:p w14:paraId="5587A9EF"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Nock, Arthur Darby, ‘Greek Magical Papyri’, </w:t>
      </w:r>
      <w:r w:rsidRPr="00985A6A">
        <w:rPr>
          <w:rFonts w:ascii="Times New Roman" w:eastAsia="Times New Roman" w:hAnsi="Times New Roman" w:cs="Times New Roman"/>
          <w:i/>
          <w:iCs/>
          <w:color w:val="000000" w:themeColor="text1"/>
        </w:rPr>
        <w:t>The Journal of Egyptian Archaeology</w:t>
      </w:r>
      <w:r w:rsidRPr="00985A6A">
        <w:rPr>
          <w:rFonts w:ascii="Times New Roman" w:eastAsia="Times New Roman" w:hAnsi="Times New Roman" w:cs="Times New Roman"/>
          <w:color w:val="000000" w:themeColor="text1"/>
        </w:rPr>
        <w:t>, 15 (1929), 219-235</w:t>
      </w:r>
    </w:p>
    <w:p w14:paraId="508F2B76"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1F832E74" w14:textId="77777777" w:rsidR="00373C6E" w:rsidRPr="00985A6A" w:rsidRDefault="00373C6E" w:rsidP="00373C6E">
      <w:pPr>
        <w:spacing w:line="240" w:lineRule="auto"/>
        <w:ind w:left="475" w:hanging="475"/>
        <w:rPr>
          <w:rFonts w:ascii="Times New Roman" w:eastAsia="Times New Roman" w:hAnsi="Times New Roman" w:cs="Times New Roman"/>
          <w:color w:val="000000" w:themeColor="text1"/>
        </w:rPr>
      </w:pPr>
      <w:r w:rsidRPr="00985A6A">
        <w:rPr>
          <w:rFonts w:ascii="Times New Roman" w:eastAsia="Times New Roman" w:hAnsi="Times New Roman" w:cs="Times New Roman"/>
          <w:noProof/>
          <w:color w:val="000000" w:themeColor="text1"/>
        </w:rPr>
        <mc:AlternateContent>
          <mc:Choice Requires="wpi">
            <w:drawing>
              <wp:anchor distT="0" distB="0" distL="114300" distR="114300" simplePos="0" relativeHeight="251673600" behindDoc="0" locked="0" layoutInCell="1" allowOverlap="1" wp14:anchorId="59F5AD66" wp14:editId="410A0868">
                <wp:simplePos x="0" y="0"/>
                <wp:positionH relativeFrom="column">
                  <wp:posOffset>7424946</wp:posOffset>
                </wp:positionH>
                <wp:positionV relativeFrom="paragraph">
                  <wp:posOffset>267415</wp:posOffset>
                </wp:positionV>
                <wp:extent cx="360" cy="360"/>
                <wp:effectExtent l="57150" t="57150" r="57150" b="57150"/>
                <wp:wrapNone/>
                <wp:docPr id="1114631371" name="Ink 1"/>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75FD6CF7" id="Ink 1" o:spid="_x0000_s1026" type="#_x0000_t75" style="position:absolute;margin-left:583.95pt;margin-top:20.35pt;width:1.45pt;height:1.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">
                <v:imagedata r:id="rId35" o:title=""/>
              </v:shape>
            </w:pict>
          </mc:Fallback>
        </mc:AlternateContent>
      </w:r>
      <w:r w:rsidRPr="00985A6A">
        <w:rPr>
          <w:rFonts w:ascii="Times New Roman" w:eastAsia="Times New Roman" w:hAnsi="Times New Roman" w:cs="Times New Roman"/>
          <w:noProof/>
          <w:color w:val="000000" w:themeColor="text1"/>
        </w:rPr>
        <mc:AlternateContent>
          <mc:Choice Requires="wpi">
            <w:drawing>
              <wp:anchor distT="0" distB="0" distL="114300" distR="114300" simplePos="0" relativeHeight="251666432" behindDoc="0" locked="0" layoutInCell="1" allowOverlap="1" wp14:anchorId="38F15C44" wp14:editId="1E6D786B">
                <wp:simplePos x="0" y="0"/>
                <wp:positionH relativeFrom="column">
                  <wp:posOffset>9402262</wp:posOffset>
                </wp:positionH>
                <wp:positionV relativeFrom="paragraph">
                  <wp:posOffset>252305</wp:posOffset>
                </wp:positionV>
                <wp:extent cx="48960" cy="113760"/>
                <wp:effectExtent l="38100" t="38100" r="46355" b="38735"/>
                <wp:wrapNone/>
                <wp:docPr id="1737914924" name="Ink 2"/>
                <wp:cNvGraphicFramePr/>
                <a:graphic xmlns:a="http://schemas.openxmlformats.org/drawingml/2006/main">
                  <a:graphicData uri="http://schemas.microsoft.com/office/word/2010/wordprocessingInk">
                    <w14:contentPart bwMode="auto" r:id="rId36">
                      <w14:nvContentPartPr>
                        <w14:cNvContentPartPr/>
                      </w14:nvContentPartPr>
                      <w14:xfrm>
                        <a:off x="0" y="0"/>
                        <a:ext cx="48960" cy="113760"/>
                      </w14:xfrm>
                    </w14:contentPart>
                  </a:graphicData>
                </a:graphic>
              </wp:anchor>
            </w:drawing>
          </mc:Choice>
          <mc:Fallback>
            <w:pict>
              <v:shape w14:anchorId="0756BCCE" id="Ink 2" o:spid="_x0000_s1026" type="#_x0000_t75" style="position:absolute;margin-left:739.85pt;margin-top:19.35pt;width:4.8pt;height:9.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">
                <v:imagedata r:id="rId37" o:title=""/>
              </v:shape>
            </w:pict>
          </mc:Fallback>
        </mc:AlternateContent>
      </w:r>
      <w:r w:rsidRPr="00985A6A">
        <w:rPr>
          <w:rFonts w:ascii="Times New Roman" w:eastAsia="Times New Roman" w:hAnsi="Times New Roman" w:cs="Times New Roman"/>
          <w:color w:val="000000" w:themeColor="text1"/>
        </w:rPr>
        <w:t xml:space="preserve">Pachoumi, Eleni, </w:t>
      </w:r>
      <w:r w:rsidRPr="00985A6A">
        <w:rPr>
          <w:rFonts w:ascii="Times New Roman" w:eastAsia="Times New Roman" w:hAnsi="Times New Roman" w:cs="Times New Roman"/>
          <w:i/>
          <w:iCs/>
          <w:color w:val="000000" w:themeColor="text1"/>
        </w:rPr>
        <w:t>The Concepts of the Divine in the Greek Magical Papyri</w:t>
      </w:r>
      <w:r w:rsidRPr="00985A6A">
        <w:rPr>
          <w:rFonts w:ascii="Times New Roman" w:eastAsia="Times New Roman" w:hAnsi="Times New Roman" w:cs="Times New Roman"/>
          <w:color w:val="000000" w:themeColor="text1"/>
        </w:rPr>
        <w:t>, Studien Und Texte Zu Antike Und Christentum, 102 (Tübingen: Mohr Siebeck, 2017)</w:t>
      </w:r>
    </w:p>
    <w:p w14:paraId="0699D0CA" w14:textId="77777777" w:rsidR="00373C6E" w:rsidRPr="00985A6A" w:rsidRDefault="00373C6E" w:rsidP="00373C6E">
      <w:pPr>
        <w:spacing w:line="240" w:lineRule="auto"/>
        <w:ind w:left="475" w:hanging="475"/>
        <w:rPr>
          <w:rFonts w:ascii="Times New Roman" w:eastAsia="Times New Roman" w:hAnsi="Times New Roman" w:cs="Times New Roman"/>
          <w:color w:val="000000" w:themeColor="text1"/>
        </w:rPr>
      </w:pPr>
    </w:p>
    <w:p w14:paraId="55EB9525" w14:textId="77777777" w:rsidR="00373C6E" w:rsidRPr="00985A6A" w:rsidRDefault="00373C6E" w:rsidP="00373C6E">
      <w:pPr>
        <w:spacing w:line="240" w:lineRule="auto"/>
        <w:ind w:left="475" w:hanging="475"/>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Scibilia, Anna, ‘Supernatural Assistance in the Greek Magical Papyri: The Figure of the Parhedros’, in </w:t>
      </w:r>
      <w:r w:rsidRPr="00985A6A">
        <w:rPr>
          <w:rFonts w:ascii="Times New Roman" w:eastAsia="Times New Roman" w:hAnsi="Times New Roman" w:cs="Times New Roman"/>
          <w:i/>
          <w:iCs/>
          <w:color w:val="000000" w:themeColor="text1"/>
        </w:rPr>
        <w:t>The Metamorphosis of Magic from Late Antiquity to the Early Modern Period</w:t>
      </w:r>
      <w:r w:rsidRPr="00985A6A">
        <w:rPr>
          <w:rFonts w:ascii="Times New Roman" w:eastAsia="Times New Roman" w:hAnsi="Times New Roman" w:cs="Times New Roman"/>
          <w:color w:val="000000" w:themeColor="text1"/>
        </w:rPr>
        <w:t>, ed. by Jan N. Bremmer and Jan R. Veenstra, Groningen Studies in Cultural Change, Vol. 1 (Leuven: Peeters, 2002), pp. 71–86</w:t>
      </w:r>
    </w:p>
    <w:p w14:paraId="49C59C62" w14:textId="77777777" w:rsidR="00373C6E" w:rsidRPr="00985A6A" w:rsidRDefault="00373C6E" w:rsidP="00373C6E">
      <w:pPr>
        <w:spacing w:line="240" w:lineRule="auto"/>
        <w:ind w:left="475" w:hanging="475"/>
        <w:rPr>
          <w:rFonts w:ascii="Times New Roman" w:eastAsia="Times New Roman" w:hAnsi="Times New Roman" w:cs="Times New Roman"/>
          <w:color w:val="000000" w:themeColor="text1"/>
        </w:rPr>
      </w:pPr>
    </w:p>
    <w:p w14:paraId="3D0D43AD"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Smith, Morton, ‘The Jewish Elements in the Magical Papyri’, in </w:t>
      </w:r>
      <w:r w:rsidRPr="00985A6A">
        <w:rPr>
          <w:rFonts w:ascii="Times New Roman" w:eastAsia="Times New Roman" w:hAnsi="Times New Roman" w:cs="Times New Roman"/>
          <w:i/>
          <w:iCs/>
          <w:color w:val="000000" w:themeColor="text1"/>
        </w:rPr>
        <w:t>Studies in the Cult of Yahweh</w:t>
      </w:r>
      <w:r w:rsidRPr="00985A6A">
        <w:rPr>
          <w:rFonts w:ascii="Times New Roman" w:eastAsia="Times New Roman" w:hAnsi="Times New Roman" w:cs="Times New Roman"/>
          <w:color w:val="000000" w:themeColor="text1"/>
        </w:rPr>
        <w:t>, ed. by Shaye J. D. Cohen, Religions in the Graeco-Roman World, v. 130 (Leiden; New York: Brill, 1996), II, 242–56</w:t>
      </w:r>
    </w:p>
    <w:p w14:paraId="40EA2927"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p>
    <w:p w14:paraId="723986D2"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S</w:t>
      </w:r>
      <w:bookmarkStart w:id="9" w:name="_Hlk196583135"/>
      <w:r w:rsidRPr="00985A6A">
        <w:rPr>
          <w:rFonts w:ascii="Times New Roman" w:eastAsia="Times New Roman" w:hAnsi="Times New Roman" w:cs="Times New Roman"/>
          <w:color w:val="000000" w:themeColor="text1"/>
        </w:rPr>
        <w:t xml:space="preserve">umler, Alan, ‘Ingesting Magic: Ingredients and Ecstatic Outcomes in the Greek and Demotic Magical Papyri’, </w:t>
      </w:r>
      <w:r w:rsidRPr="00985A6A">
        <w:rPr>
          <w:rFonts w:ascii="Times New Roman" w:eastAsia="Times New Roman" w:hAnsi="Times New Roman" w:cs="Times New Roman"/>
          <w:i/>
          <w:iCs/>
          <w:color w:val="000000" w:themeColor="text1"/>
        </w:rPr>
        <w:t>Arion: A Journal of Humanities and the Classics</w:t>
      </w:r>
      <w:r w:rsidRPr="00985A6A">
        <w:rPr>
          <w:rFonts w:ascii="Times New Roman" w:eastAsia="Times New Roman" w:hAnsi="Times New Roman" w:cs="Times New Roman"/>
          <w:color w:val="000000" w:themeColor="text1"/>
        </w:rPr>
        <w:t>, 25 (2017), 99–126</w:t>
      </w:r>
    </w:p>
    <w:bookmarkEnd w:id="9"/>
    <w:p w14:paraId="23F61556" w14:textId="77777777" w:rsidR="00373C6E" w:rsidRPr="00985A6A" w:rsidRDefault="00373C6E" w:rsidP="00373C6E">
      <w:pPr>
        <w:spacing w:line="240" w:lineRule="auto"/>
        <w:ind w:left="475" w:hanging="475"/>
        <w:rPr>
          <w:rFonts w:ascii="Times New Roman" w:eastAsia="Times New Roman" w:hAnsi="Times New Roman" w:cs="Times New Roman"/>
          <w:color w:val="000000" w:themeColor="text1"/>
        </w:rPr>
      </w:pPr>
    </w:p>
    <w:p w14:paraId="329D3F36" w14:textId="77777777" w:rsidR="00373C6E" w:rsidRPr="00985A6A" w:rsidRDefault="00373C6E" w:rsidP="00373C6E">
      <w:pPr>
        <w:spacing w:line="240" w:lineRule="auto"/>
        <w:ind w:left="475" w:hanging="475"/>
        <w:rPr>
          <w:rFonts w:ascii="Times New Roman" w:eastAsia="Times New Roman" w:hAnsi="Times New Roman" w:cs="Times New Roman"/>
          <w:color w:val="000000" w:themeColor="text1"/>
        </w:rPr>
      </w:pPr>
      <w:r w:rsidRPr="00985A6A">
        <w:rPr>
          <w:rFonts w:ascii="Times New Roman" w:eastAsia="Times New Roman" w:hAnsi="Times New Roman" w:cs="Times New Roman"/>
          <w:i/>
          <w:iCs/>
          <w:noProof/>
          <w:color w:val="000000" w:themeColor="text1"/>
        </w:rPr>
        <mc:AlternateContent>
          <mc:Choice Requires="wpi">
            <w:drawing>
              <wp:anchor distT="0" distB="0" distL="114300" distR="114300" simplePos="0" relativeHeight="251671552" behindDoc="0" locked="0" layoutInCell="1" allowOverlap="1" wp14:anchorId="68B160EF" wp14:editId="77E09646">
                <wp:simplePos x="0" y="0"/>
                <wp:positionH relativeFrom="column">
                  <wp:posOffset>7423171</wp:posOffset>
                </wp:positionH>
                <wp:positionV relativeFrom="paragraph">
                  <wp:posOffset>110123</wp:posOffset>
                </wp:positionV>
                <wp:extent cx="15840" cy="12600"/>
                <wp:effectExtent l="38100" t="38100" r="41910" b="45085"/>
                <wp:wrapNone/>
                <wp:docPr id="1456720579" name="Ink 2"/>
                <wp:cNvGraphicFramePr/>
                <a:graphic xmlns:a="http://schemas.openxmlformats.org/drawingml/2006/main">
                  <a:graphicData uri="http://schemas.microsoft.com/office/word/2010/wordprocessingInk">
                    <w14:contentPart bwMode="auto" r:id="rId38">
                      <w14:nvContentPartPr>
                        <w14:cNvContentPartPr/>
                      </w14:nvContentPartPr>
                      <w14:xfrm>
                        <a:off x="0" y="0"/>
                        <a:ext cx="15840" cy="12600"/>
                      </w14:xfrm>
                    </w14:contentPart>
                  </a:graphicData>
                </a:graphic>
              </wp:anchor>
            </w:drawing>
          </mc:Choice>
          <mc:Fallback>
            <w:pict>
              <v:shape w14:anchorId="3232711F" id="Ink 2" o:spid="_x0000_s1026" type="#_x0000_t75" style="position:absolute;margin-left:584pt;margin-top:8.2pt;width:2.25pt;height: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">
                <v:imagedata r:id="rId39" o:title=""/>
              </v:shape>
            </w:pict>
          </mc:Fallback>
        </mc:AlternateContent>
      </w:r>
      <w:r w:rsidRPr="00985A6A">
        <w:rPr>
          <w:rFonts w:ascii="Times New Roman" w:eastAsia="Times New Roman" w:hAnsi="Times New Roman" w:cs="Times New Roman"/>
          <w:i/>
          <w:iCs/>
          <w:color w:val="000000" w:themeColor="text1"/>
        </w:rPr>
        <w:t>The Greco-Egyptian Magical Formularies: Libraries, Books, and Individual Recipes</w:t>
      </w:r>
      <w:r w:rsidRPr="00985A6A">
        <w:rPr>
          <w:rFonts w:ascii="Times New Roman" w:eastAsia="Times New Roman" w:hAnsi="Times New Roman" w:cs="Times New Roman"/>
          <w:color w:val="000000" w:themeColor="text1"/>
        </w:rPr>
        <w:t>, ed. by Christopher A. Faraone and Sofía Torallas Tovar, New Texts from Ancient Cultures (Ann Arbor, MI: University of Michigan Press, 2022)</w:t>
      </w:r>
    </w:p>
    <w:p w14:paraId="558ED295" w14:textId="77777777" w:rsidR="00373C6E" w:rsidRPr="00985A6A" w:rsidRDefault="00373C6E" w:rsidP="00373C6E">
      <w:pPr>
        <w:spacing w:line="240" w:lineRule="auto"/>
        <w:ind w:left="475" w:hanging="475"/>
        <w:rPr>
          <w:rFonts w:ascii="Times New Roman" w:eastAsia="Times New Roman" w:hAnsi="Times New Roman" w:cs="Times New Roman"/>
          <w:color w:val="000000" w:themeColor="text1"/>
        </w:rPr>
      </w:pPr>
    </w:p>
    <w:p w14:paraId="63318168" w14:textId="77777777" w:rsidR="00373C6E" w:rsidRPr="00985A6A" w:rsidRDefault="00373C6E" w:rsidP="00373C6E">
      <w:pPr>
        <w:spacing w:line="240" w:lineRule="auto"/>
        <w:ind w:left="480" w:hanging="480"/>
        <w:rPr>
          <w:rFonts w:ascii="Times New Roman" w:eastAsia="Times New Roman" w:hAnsi="Times New Roman" w:cs="Times New Roman"/>
          <w:color w:val="000000" w:themeColor="text1"/>
        </w:rPr>
      </w:pPr>
      <w:r w:rsidRPr="00985A6A">
        <w:rPr>
          <w:rFonts w:ascii="Times New Roman" w:eastAsia="Times New Roman" w:hAnsi="Times New Roman" w:cs="Times New Roman"/>
          <w:color w:val="000000" w:themeColor="text1"/>
        </w:rPr>
        <w:t xml:space="preserve">Twelftree, Graham H, ‘Jesus the Exorcist and Ancient Magic’, in </w:t>
      </w:r>
      <w:r w:rsidRPr="00985A6A">
        <w:rPr>
          <w:rFonts w:ascii="Times New Roman" w:eastAsia="Times New Roman" w:hAnsi="Times New Roman" w:cs="Times New Roman"/>
          <w:i/>
          <w:iCs/>
          <w:color w:val="000000" w:themeColor="text1"/>
        </w:rPr>
        <w:t>A Kind of Magic: Understanding Magic in the New Testament and Its Religious Environment</w:t>
      </w:r>
      <w:r w:rsidRPr="00985A6A">
        <w:rPr>
          <w:rFonts w:ascii="Times New Roman" w:eastAsia="Times New Roman" w:hAnsi="Times New Roman" w:cs="Times New Roman"/>
          <w:color w:val="000000" w:themeColor="text1"/>
        </w:rPr>
        <w:t>, ed. by Michael Labahn and Bert Jan Lietaert Peerbolte (London; New York: T &amp; T Clark, 2007), pp. 57–86</w:t>
      </w:r>
    </w:p>
    <w:p w14:paraId="09B7DFB4" w14:textId="77777777" w:rsidR="00373C6E" w:rsidRPr="00740BDF" w:rsidRDefault="00373C6E" w:rsidP="00373C6E">
      <w:pPr>
        <w:spacing w:line="240" w:lineRule="auto"/>
        <w:ind w:firstLine="0"/>
        <w:rPr>
          <w:color w:val="FF0000"/>
        </w:rPr>
      </w:pPr>
    </w:p>
    <w:sectPr w:rsidR="00373C6E" w:rsidRPr="00740BDF" w:rsidSect="00122E61">
      <w:headerReference w:type="default" r:id="rId4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66E2D" w14:textId="77777777" w:rsidR="00477169" w:rsidRPr="00985A6A" w:rsidRDefault="00477169" w:rsidP="005C077E">
      <w:pPr>
        <w:spacing w:line="240" w:lineRule="auto"/>
      </w:pPr>
      <w:r w:rsidRPr="00985A6A">
        <w:separator/>
      </w:r>
    </w:p>
  </w:endnote>
  <w:endnote w:type="continuationSeparator" w:id="0">
    <w:p w14:paraId="71354B66" w14:textId="77777777" w:rsidR="00477169" w:rsidRPr="00985A6A" w:rsidRDefault="00477169" w:rsidP="005C077E">
      <w:pPr>
        <w:spacing w:line="240" w:lineRule="auto"/>
      </w:pPr>
      <w:r w:rsidRPr="00985A6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F0300" w14:textId="77777777" w:rsidR="00477169" w:rsidRPr="00985A6A" w:rsidRDefault="00477169" w:rsidP="005C077E">
      <w:pPr>
        <w:spacing w:line="240" w:lineRule="auto"/>
      </w:pPr>
      <w:r w:rsidRPr="00985A6A">
        <w:separator/>
      </w:r>
    </w:p>
  </w:footnote>
  <w:footnote w:type="continuationSeparator" w:id="0">
    <w:p w14:paraId="4797B2F0" w14:textId="77777777" w:rsidR="00477169" w:rsidRPr="00985A6A" w:rsidRDefault="00477169" w:rsidP="005C077E">
      <w:pPr>
        <w:spacing w:line="240" w:lineRule="auto"/>
      </w:pPr>
      <w:r w:rsidRPr="00985A6A">
        <w:continuationSeparator/>
      </w:r>
    </w:p>
  </w:footnote>
  <w:footnote w:id="1">
    <w:p w14:paraId="7C36C7CF" w14:textId="17CFBE6B" w:rsidR="00A554A3" w:rsidRPr="00985A6A" w:rsidRDefault="00A554A3" w:rsidP="00013288">
      <w:pPr>
        <w:spacing w:line="240" w:lineRule="auto"/>
        <w:ind w:left="144" w:hanging="144"/>
        <w:rPr>
          <w:rFonts w:ascii="Times New Roman" w:hAnsi="Times New Roman" w:cs="Times New Roman"/>
          <w:sz w:val="20"/>
          <w:szCs w:val="20"/>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w:t>
      </w:r>
      <w:r w:rsidR="00013288" w:rsidRPr="00985A6A">
        <w:rPr>
          <w:rFonts w:ascii="Times New Roman" w:hAnsi="Times New Roman" w:cs="Times New Roman"/>
          <w:sz w:val="20"/>
          <w:szCs w:val="20"/>
        </w:rPr>
        <w:t xml:space="preserve">Hans Dieter Betz, </w:t>
      </w:r>
      <w:r w:rsidR="00013288" w:rsidRPr="00985A6A">
        <w:rPr>
          <w:rFonts w:ascii="Times New Roman" w:hAnsi="Times New Roman" w:cs="Times New Roman"/>
          <w:i/>
          <w:iCs/>
          <w:sz w:val="20"/>
          <w:szCs w:val="20"/>
        </w:rPr>
        <w:t>The Greek Magical Papyri in Translation, Including the Demotic Spells</w:t>
      </w:r>
      <w:r w:rsidR="00013288" w:rsidRPr="00985A6A">
        <w:rPr>
          <w:rFonts w:ascii="Times New Roman" w:hAnsi="Times New Roman" w:cs="Times New Roman"/>
          <w:sz w:val="20"/>
          <w:szCs w:val="20"/>
        </w:rPr>
        <w:t xml:space="preserve">, </w:t>
      </w:r>
      <w:r w:rsidR="003968DD" w:rsidRPr="00985A6A">
        <w:rPr>
          <w:rFonts w:ascii="Times New Roman" w:hAnsi="Times New Roman" w:cs="Times New Roman"/>
          <w:sz w:val="20"/>
          <w:szCs w:val="20"/>
        </w:rPr>
        <w:t>2</w:t>
      </w:r>
      <w:r w:rsidR="003968DD" w:rsidRPr="00985A6A">
        <w:rPr>
          <w:rFonts w:ascii="Times New Roman" w:hAnsi="Times New Roman" w:cs="Times New Roman"/>
          <w:sz w:val="20"/>
          <w:szCs w:val="20"/>
          <w:vertAlign w:val="superscript"/>
        </w:rPr>
        <w:t>nd</w:t>
      </w:r>
      <w:r w:rsidR="003968DD" w:rsidRPr="00985A6A">
        <w:rPr>
          <w:rFonts w:ascii="Times New Roman" w:hAnsi="Times New Roman" w:cs="Times New Roman"/>
          <w:sz w:val="20"/>
          <w:szCs w:val="20"/>
        </w:rPr>
        <w:t xml:space="preserve"> ed., </w:t>
      </w:r>
      <w:r w:rsidR="00013288" w:rsidRPr="00985A6A">
        <w:rPr>
          <w:rFonts w:ascii="Times New Roman" w:hAnsi="Times New Roman" w:cs="Times New Roman"/>
          <w:sz w:val="20"/>
          <w:szCs w:val="20"/>
        </w:rPr>
        <w:t>(Chicago: University of Chicago Press, 1</w:t>
      </w:r>
      <w:r w:rsidR="008F3393" w:rsidRPr="00985A6A">
        <w:rPr>
          <w:rFonts w:ascii="Times New Roman" w:hAnsi="Times New Roman" w:cs="Times New Roman"/>
          <w:sz w:val="20"/>
          <w:szCs w:val="20"/>
        </w:rPr>
        <w:t>992</w:t>
      </w:r>
      <w:r w:rsidR="00013288" w:rsidRPr="00985A6A">
        <w:rPr>
          <w:rFonts w:ascii="Times New Roman" w:hAnsi="Times New Roman" w:cs="Times New Roman"/>
          <w:sz w:val="20"/>
          <w:szCs w:val="20"/>
        </w:rPr>
        <w:t>)</w:t>
      </w:r>
      <w:r w:rsidR="007974BC" w:rsidRPr="00985A6A">
        <w:rPr>
          <w:rFonts w:ascii="Times New Roman" w:hAnsi="Times New Roman" w:cs="Times New Roman"/>
          <w:sz w:val="20"/>
          <w:szCs w:val="20"/>
        </w:rPr>
        <w:t>, p</w:t>
      </w:r>
      <w:r w:rsidR="0047206F" w:rsidRPr="00985A6A">
        <w:rPr>
          <w:rFonts w:ascii="Times New Roman" w:hAnsi="Times New Roman" w:cs="Times New Roman"/>
          <w:sz w:val="20"/>
          <w:szCs w:val="20"/>
        </w:rPr>
        <w:t>p. 96-97.</w:t>
      </w:r>
      <w:r w:rsidR="007A06F4" w:rsidRPr="00985A6A">
        <w:rPr>
          <w:rFonts w:ascii="Times New Roman" w:hAnsi="Times New Roman" w:cs="Times New Roman"/>
          <w:sz w:val="20"/>
          <w:szCs w:val="20"/>
        </w:rPr>
        <w:t xml:space="preserve"> </w:t>
      </w:r>
    </w:p>
  </w:footnote>
  <w:footnote w:id="2">
    <w:p w14:paraId="3A161B6A" w14:textId="6D05A4AD" w:rsidR="0047206F" w:rsidRPr="00985A6A" w:rsidRDefault="0047206F">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Betz, </w:t>
      </w:r>
      <w:r w:rsidR="00083722" w:rsidRPr="00985A6A">
        <w:rPr>
          <w:rFonts w:ascii="Times New Roman" w:hAnsi="Times New Roman" w:cs="Times New Roman"/>
          <w:i/>
          <w:iCs/>
        </w:rPr>
        <w:t>Greek Magical Papyri</w:t>
      </w:r>
      <w:r w:rsidRPr="00985A6A">
        <w:rPr>
          <w:rFonts w:ascii="Times New Roman" w:eastAsia="Times New Roman" w:hAnsi="Times New Roman" w:cs="Times New Roman"/>
          <w:lang w:eastAsia="en-GB"/>
        </w:rPr>
        <w:t xml:space="preserve">, </w:t>
      </w:r>
      <w:r w:rsidR="003355AB" w:rsidRPr="00985A6A">
        <w:rPr>
          <w:rFonts w:ascii="Times New Roman" w:eastAsia="Times New Roman" w:hAnsi="Times New Roman" w:cs="Times New Roman"/>
          <w:lang w:eastAsia="en-GB"/>
        </w:rPr>
        <w:t xml:space="preserve">p. </w:t>
      </w:r>
      <w:r w:rsidRPr="00985A6A">
        <w:rPr>
          <w:rFonts w:ascii="Times New Roman" w:eastAsia="Times New Roman" w:hAnsi="Times New Roman" w:cs="Times New Roman"/>
          <w:lang w:eastAsia="en-GB"/>
        </w:rPr>
        <w:t>xli.</w:t>
      </w:r>
    </w:p>
  </w:footnote>
  <w:footnote w:id="3">
    <w:p w14:paraId="07F3CDCC" w14:textId="6158A0A3" w:rsidR="002C644F" w:rsidRPr="00985A6A" w:rsidRDefault="002C644F">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Betz, </w:t>
      </w:r>
      <w:r w:rsidRPr="00985A6A">
        <w:rPr>
          <w:rFonts w:ascii="Times New Roman" w:hAnsi="Times New Roman" w:cs="Times New Roman"/>
          <w:i/>
          <w:iCs/>
        </w:rPr>
        <w:t>Greek Magical Papyri</w:t>
      </w:r>
      <w:r w:rsidRPr="00985A6A">
        <w:rPr>
          <w:rFonts w:ascii="Times New Roman" w:eastAsia="Times New Roman" w:hAnsi="Times New Roman" w:cs="Times New Roman"/>
          <w:lang w:eastAsia="en-GB"/>
        </w:rPr>
        <w:t>, p. xlvii.</w:t>
      </w:r>
    </w:p>
  </w:footnote>
  <w:footnote w:id="4">
    <w:p w14:paraId="41F7D656" w14:textId="12ABCDF6" w:rsidR="008129CB" w:rsidRPr="00985A6A" w:rsidRDefault="008129CB" w:rsidP="00695594">
      <w:pPr>
        <w:pStyle w:val="FootnoteText"/>
        <w:ind w:left="144" w:hanging="144"/>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Naomi </w:t>
      </w:r>
      <w:r w:rsidRPr="00985A6A">
        <w:rPr>
          <w:rFonts w:ascii="Times New Roman" w:eastAsia="Times New Roman" w:hAnsi="Times New Roman" w:cs="Times New Roman"/>
        </w:rPr>
        <w:t xml:space="preserve">Janowitz, </w:t>
      </w:r>
      <w:r w:rsidRPr="00985A6A">
        <w:rPr>
          <w:rFonts w:ascii="Times New Roman" w:eastAsia="Times New Roman" w:hAnsi="Times New Roman" w:cs="Times New Roman"/>
          <w:i/>
          <w:iCs/>
        </w:rPr>
        <w:t>Magic in the Roman World: Pagans, Jews, and Christians</w:t>
      </w:r>
      <w:r w:rsidRPr="00985A6A">
        <w:rPr>
          <w:rFonts w:ascii="Times New Roman" w:eastAsia="Times New Roman" w:hAnsi="Times New Roman" w:cs="Times New Roman"/>
        </w:rPr>
        <w:t xml:space="preserve"> (London; New York: Routledge, 2001), p</w:t>
      </w:r>
      <w:r w:rsidR="00695594" w:rsidRPr="00985A6A">
        <w:rPr>
          <w:rFonts w:ascii="Times New Roman" w:eastAsia="Times New Roman" w:hAnsi="Times New Roman" w:cs="Times New Roman"/>
        </w:rPr>
        <w:t xml:space="preserve">. 27. </w:t>
      </w:r>
    </w:p>
  </w:footnote>
  <w:footnote w:id="5">
    <w:p w14:paraId="099CE12A" w14:textId="77A2AC2E" w:rsidR="002C644F" w:rsidRPr="00985A6A" w:rsidRDefault="002C644F" w:rsidP="007A06F4">
      <w:pPr>
        <w:pStyle w:val="FootnoteText"/>
        <w:ind w:left="144" w:hanging="144"/>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00DA5B9A" w:rsidRPr="00985A6A">
        <w:rPr>
          <w:rFonts w:ascii="Times New Roman" w:hAnsi="Times New Roman" w:cs="Times New Roman"/>
          <w:color w:val="000000" w:themeColor="text1"/>
        </w:rPr>
        <w:t xml:space="preserve">Hans Dieter </w:t>
      </w:r>
      <w:r w:rsidR="00DA5B9A" w:rsidRPr="00985A6A">
        <w:rPr>
          <w:rFonts w:ascii="Times New Roman" w:eastAsia="Times New Roman" w:hAnsi="Times New Roman" w:cs="Times New Roman"/>
          <w:color w:val="000000" w:themeColor="text1"/>
          <w:lang w:eastAsia="en-GB"/>
        </w:rPr>
        <w:t xml:space="preserve">Betz, </w:t>
      </w:r>
      <w:r w:rsidR="00DA5B9A" w:rsidRPr="00985A6A">
        <w:rPr>
          <w:rFonts w:ascii="Times New Roman" w:eastAsia="Times New Roman" w:hAnsi="Times New Roman" w:cs="Times New Roman"/>
          <w:color w:val="000000" w:themeColor="text1"/>
        </w:rPr>
        <w:t>‘Jewish Magic in the Greek Magical Papyri (PGM VII.260-71)</w:t>
      </w:r>
      <w:r w:rsidR="00C629B1" w:rsidRPr="00985A6A">
        <w:rPr>
          <w:rFonts w:ascii="Times New Roman" w:eastAsia="Times New Roman" w:hAnsi="Times New Roman" w:cs="Times New Roman"/>
          <w:color w:val="000000" w:themeColor="text1"/>
        </w:rPr>
        <w:t>’,</w:t>
      </w:r>
      <w:r w:rsidR="00DA5B9A" w:rsidRPr="00985A6A">
        <w:rPr>
          <w:rFonts w:ascii="Times New Roman" w:eastAsia="Times New Roman" w:hAnsi="Times New Roman" w:cs="Times New Roman"/>
          <w:color w:val="000000" w:themeColor="text1"/>
        </w:rPr>
        <w:t xml:space="preserve"> in </w:t>
      </w:r>
      <w:r w:rsidR="00DA5B9A" w:rsidRPr="00985A6A">
        <w:rPr>
          <w:rFonts w:ascii="Times New Roman" w:eastAsia="Times New Roman" w:hAnsi="Times New Roman" w:cs="Times New Roman"/>
          <w:i/>
          <w:iCs/>
          <w:color w:val="000000" w:themeColor="text1"/>
        </w:rPr>
        <w:t>Envisioning Magic: A Princeton Seminar and Symposium</w:t>
      </w:r>
      <w:r w:rsidR="00DA5B9A" w:rsidRPr="00985A6A">
        <w:rPr>
          <w:rFonts w:ascii="Times New Roman" w:eastAsia="Times New Roman" w:hAnsi="Times New Roman" w:cs="Times New Roman"/>
          <w:color w:val="000000" w:themeColor="text1"/>
        </w:rPr>
        <w:t>, ed. by Peter Schäfer and Hans G. Kippenberg, (Leiden; New York: Brill, 1997), pp. 45–63 (p. 60).</w:t>
      </w:r>
      <w:r w:rsidR="00B7462A" w:rsidRPr="00985A6A">
        <w:rPr>
          <w:rFonts w:ascii="Times New Roman" w:eastAsia="Times New Roman" w:hAnsi="Times New Roman" w:cs="Times New Roman"/>
          <w:color w:val="000000" w:themeColor="text1"/>
        </w:rPr>
        <w:t xml:space="preserve"> According to Betz, i</w:t>
      </w:r>
      <w:r w:rsidRPr="00985A6A">
        <w:rPr>
          <w:rFonts w:ascii="Times New Roman" w:hAnsi="Times New Roman" w:cs="Times New Roman"/>
          <w:color w:val="000000" w:themeColor="text1"/>
        </w:rPr>
        <w:t xml:space="preserve">n the varying traditions, afflictions could be viewed as stemming from a disorder of divine nature, or as manifestations of demonic activity. </w:t>
      </w:r>
    </w:p>
  </w:footnote>
  <w:footnote w:id="6">
    <w:p w14:paraId="2F5540D9" w14:textId="05411D49" w:rsidR="001561EB" w:rsidRPr="00985A6A" w:rsidRDefault="001561EB" w:rsidP="00124373">
      <w:pPr>
        <w:pStyle w:val="FootnoteText"/>
        <w:ind w:left="144" w:hanging="144"/>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00D7155F" w:rsidRPr="00985A6A">
        <w:rPr>
          <w:rFonts w:ascii="Times New Roman" w:hAnsi="Times New Roman" w:cs="Times New Roman"/>
        </w:rPr>
        <w:t xml:space="preserve">For the remainder of this essay, I will default to the </w:t>
      </w:r>
      <w:r w:rsidR="00963CEB" w:rsidRPr="00985A6A">
        <w:rPr>
          <w:rFonts w:ascii="Times New Roman" w:hAnsi="Times New Roman" w:cs="Times New Roman"/>
        </w:rPr>
        <w:t>term ‘daimon</w:t>
      </w:r>
      <w:r w:rsidR="00766B01" w:rsidRPr="00985A6A">
        <w:rPr>
          <w:rFonts w:ascii="Times New Roman" w:hAnsi="Times New Roman" w:cs="Times New Roman"/>
        </w:rPr>
        <w:t xml:space="preserve">’ in the context of the PGM. </w:t>
      </w:r>
      <w:r w:rsidR="00124373" w:rsidRPr="00985A6A">
        <w:rPr>
          <w:rFonts w:ascii="Times New Roman" w:hAnsi="Times New Roman" w:cs="Times New Roman"/>
        </w:rPr>
        <w:t xml:space="preserve">For examples from Christian </w:t>
      </w:r>
      <w:r w:rsidR="00DD6393" w:rsidRPr="00985A6A">
        <w:rPr>
          <w:rFonts w:ascii="Times New Roman" w:hAnsi="Times New Roman" w:cs="Times New Roman"/>
        </w:rPr>
        <w:t>texts</w:t>
      </w:r>
      <w:r w:rsidR="00124373" w:rsidRPr="00985A6A">
        <w:rPr>
          <w:rFonts w:ascii="Times New Roman" w:hAnsi="Times New Roman" w:cs="Times New Roman"/>
        </w:rPr>
        <w:t xml:space="preserve">, the term ‘demon’ will be used. </w:t>
      </w:r>
    </w:p>
  </w:footnote>
  <w:footnote w:id="7">
    <w:p w14:paraId="669ED170" w14:textId="6940A558" w:rsidR="00580B9D" w:rsidRPr="00985A6A" w:rsidRDefault="00580B9D">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Betz, </w:t>
      </w:r>
      <w:r w:rsidRPr="00985A6A">
        <w:rPr>
          <w:rFonts w:ascii="Times New Roman" w:eastAsia="Times New Roman" w:hAnsi="Times New Roman" w:cs="Times New Roman"/>
          <w:i/>
          <w:iCs/>
          <w:lang w:eastAsia="en-GB"/>
        </w:rPr>
        <w:t>The Greek Magical Papyri</w:t>
      </w:r>
      <w:r w:rsidRPr="00985A6A">
        <w:rPr>
          <w:rFonts w:ascii="Times New Roman" w:eastAsia="Times New Roman" w:hAnsi="Times New Roman" w:cs="Times New Roman"/>
          <w:lang w:eastAsia="en-GB"/>
        </w:rPr>
        <w:t>, p. xli.</w:t>
      </w:r>
    </w:p>
  </w:footnote>
  <w:footnote w:id="8">
    <w:p w14:paraId="1CF4323C" w14:textId="10DE6CF1" w:rsidR="00580B9D" w:rsidRPr="00985A6A" w:rsidRDefault="00580B9D">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lang w:eastAsia="en-GB"/>
        </w:rPr>
        <w:t xml:space="preserve">Betz, </w:t>
      </w:r>
      <w:r w:rsidR="00B7462A" w:rsidRPr="00985A6A">
        <w:rPr>
          <w:rFonts w:ascii="Times New Roman" w:eastAsia="Times New Roman" w:hAnsi="Times New Roman" w:cs="Times New Roman"/>
          <w:lang w:eastAsia="en-GB"/>
        </w:rPr>
        <w:t>‘</w:t>
      </w:r>
      <w:r w:rsidRPr="00985A6A">
        <w:rPr>
          <w:rFonts w:ascii="Times New Roman" w:eastAsia="Times New Roman" w:hAnsi="Times New Roman" w:cs="Times New Roman"/>
          <w:lang w:eastAsia="en-GB"/>
        </w:rPr>
        <w:t>Jewish Magic</w:t>
      </w:r>
      <w:r w:rsidR="00C629B1" w:rsidRPr="00985A6A">
        <w:rPr>
          <w:rFonts w:ascii="Times New Roman" w:eastAsia="Times New Roman" w:hAnsi="Times New Roman" w:cs="Times New Roman"/>
          <w:lang w:eastAsia="en-GB"/>
        </w:rPr>
        <w:t>’,</w:t>
      </w:r>
      <w:r w:rsidRPr="00985A6A">
        <w:rPr>
          <w:rFonts w:ascii="Times New Roman" w:eastAsia="Times New Roman" w:hAnsi="Times New Roman" w:cs="Times New Roman"/>
          <w:lang w:eastAsia="en-GB"/>
        </w:rPr>
        <w:t xml:space="preserve"> </w:t>
      </w:r>
      <w:r w:rsidR="00F60E61" w:rsidRPr="00985A6A">
        <w:rPr>
          <w:rFonts w:ascii="Times New Roman" w:eastAsia="Times New Roman" w:hAnsi="Times New Roman" w:cs="Times New Roman"/>
          <w:lang w:eastAsia="en-GB"/>
        </w:rPr>
        <w:t xml:space="preserve">p. </w:t>
      </w:r>
      <w:r w:rsidR="00A6683C" w:rsidRPr="00985A6A">
        <w:rPr>
          <w:rFonts w:ascii="Times New Roman" w:eastAsia="Times New Roman" w:hAnsi="Times New Roman" w:cs="Times New Roman"/>
          <w:lang w:eastAsia="en-GB"/>
        </w:rPr>
        <w:t>58</w:t>
      </w:r>
      <w:r w:rsidRPr="00985A6A">
        <w:rPr>
          <w:rFonts w:ascii="Times New Roman" w:eastAsia="Times New Roman" w:hAnsi="Times New Roman" w:cs="Times New Roman"/>
          <w:lang w:eastAsia="en-GB"/>
        </w:rPr>
        <w:t>.</w:t>
      </w:r>
    </w:p>
  </w:footnote>
  <w:footnote w:id="9">
    <w:p w14:paraId="486E4401" w14:textId="5501004C" w:rsidR="002A107E" w:rsidRPr="00985A6A" w:rsidRDefault="002A107E" w:rsidP="00B46D3C">
      <w:pPr>
        <w:spacing w:line="240" w:lineRule="auto"/>
        <w:ind w:left="144" w:hanging="144"/>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Gideon Bohak</w:t>
      </w:r>
      <w:r w:rsidRPr="00985A6A">
        <w:rPr>
          <w:rFonts w:ascii="Times New Roman" w:eastAsia="Times New Roman" w:hAnsi="Times New Roman" w:cs="Times New Roman"/>
          <w:sz w:val="20"/>
          <w:szCs w:val="20"/>
        </w:rPr>
        <w:t xml:space="preserve">, ‘The Diffusion of the Greco-Egyptian Magical Tradition in Late Antiquity’, in </w:t>
      </w:r>
      <w:r w:rsidRPr="00985A6A">
        <w:rPr>
          <w:rFonts w:ascii="Times New Roman" w:eastAsia="Times New Roman" w:hAnsi="Times New Roman" w:cs="Times New Roman"/>
          <w:i/>
          <w:iCs/>
          <w:sz w:val="20"/>
          <w:szCs w:val="20"/>
        </w:rPr>
        <w:t>Graeco-Egyptian Interactions: Literature, Translation, and Culture, 500 BC-AD 300</w:t>
      </w:r>
      <w:r w:rsidRPr="00985A6A">
        <w:rPr>
          <w:rFonts w:ascii="Times New Roman" w:eastAsia="Times New Roman" w:hAnsi="Times New Roman" w:cs="Times New Roman"/>
          <w:sz w:val="20"/>
          <w:szCs w:val="20"/>
        </w:rPr>
        <w:t xml:space="preserve">, ed. by Ian Rutherford, First edition (Oxford: Oxford University Press, 2016), pp. 357-58. </w:t>
      </w:r>
    </w:p>
  </w:footnote>
  <w:footnote w:id="10">
    <w:p w14:paraId="3100F4C1" w14:textId="784380E5" w:rsidR="006621EE" w:rsidRPr="00985A6A" w:rsidRDefault="006621EE" w:rsidP="007A06F4">
      <w:pPr>
        <w:spacing w:line="240" w:lineRule="auto"/>
        <w:ind w:left="144" w:hanging="144"/>
        <w:rPr>
          <w:rFonts w:ascii="Times New Roman" w:hAnsi="Times New Roman" w:cs="Times New Roman"/>
          <w:sz w:val="20"/>
          <w:szCs w:val="20"/>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w:t>
      </w:r>
      <w:r w:rsidR="005204B0" w:rsidRPr="00985A6A">
        <w:rPr>
          <w:rFonts w:ascii="Times New Roman" w:hAnsi="Times New Roman" w:cs="Times New Roman"/>
          <w:sz w:val="20"/>
          <w:szCs w:val="20"/>
        </w:rPr>
        <w:t>Bohak</w:t>
      </w:r>
      <w:r w:rsidR="005204B0" w:rsidRPr="00985A6A">
        <w:rPr>
          <w:rFonts w:ascii="Times New Roman" w:eastAsia="Times New Roman" w:hAnsi="Times New Roman" w:cs="Times New Roman"/>
          <w:sz w:val="20"/>
          <w:szCs w:val="20"/>
        </w:rPr>
        <w:t>, ‘Diffusion of the Greco-Egyptian Magical Tradition’, p. 3</w:t>
      </w:r>
      <w:r w:rsidR="0028059E" w:rsidRPr="00985A6A">
        <w:rPr>
          <w:rFonts w:ascii="Times New Roman" w:eastAsia="Times New Roman" w:hAnsi="Times New Roman" w:cs="Times New Roman"/>
          <w:sz w:val="20"/>
          <w:szCs w:val="20"/>
        </w:rPr>
        <w:t xml:space="preserve">61; </w:t>
      </w:r>
      <w:r w:rsidR="008A69E2" w:rsidRPr="00985A6A">
        <w:rPr>
          <w:rFonts w:ascii="Times New Roman" w:hAnsi="Times New Roman" w:cs="Times New Roman"/>
          <w:sz w:val="20"/>
          <w:szCs w:val="20"/>
        </w:rPr>
        <w:t>Pieter W. v</w:t>
      </w:r>
      <w:r w:rsidR="008A69E2" w:rsidRPr="00985A6A">
        <w:rPr>
          <w:rFonts w:ascii="Times New Roman" w:eastAsia="Times New Roman" w:hAnsi="Times New Roman" w:cs="Times New Roman"/>
          <w:sz w:val="20"/>
          <w:szCs w:val="20"/>
        </w:rPr>
        <w:t>an der Horst, ‘The Great Magical Papyrus of Paris</w:t>
      </w:r>
      <w:r w:rsidR="002A107E" w:rsidRPr="00985A6A">
        <w:rPr>
          <w:rFonts w:ascii="Times New Roman" w:eastAsia="Times New Roman" w:hAnsi="Times New Roman" w:cs="Times New Roman"/>
          <w:sz w:val="20"/>
          <w:szCs w:val="20"/>
        </w:rPr>
        <w:t>’,</w:t>
      </w:r>
      <w:r w:rsidR="008A69E2" w:rsidRPr="00985A6A">
        <w:rPr>
          <w:rFonts w:ascii="Times New Roman" w:eastAsia="Times New Roman" w:hAnsi="Times New Roman" w:cs="Times New Roman"/>
          <w:sz w:val="20"/>
          <w:szCs w:val="20"/>
        </w:rPr>
        <w:t xml:space="preserve"> in </w:t>
      </w:r>
      <w:r w:rsidR="008A69E2" w:rsidRPr="00985A6A">
        <w:rPr>
          <w:rFonts w:ascii="Times New Roman" w:eastAsia="Times New Roman" w:hAnsi="Times New Roman" w:cs="Times New Roman"/>
          <w:i/>
          <w:iCs/>
          <w:sz w:val="20"/>
          <w:szCs w:val="20"/>
        </w:rPr>
        <w:t>A Kind of Magic: Understanding Magic in the New Testament and Its Religious Environment</w:t>
      </w:r>
      <w:r w:rsidR="008A69E2" w:rsidRPr="00985A6A">
        <w:rPr>
          <w:rFonts w:ascii="Times New Roman" w:eastAsia="Times New Roman" w:hAnsi="Times New Roman" w:cs="Times New Roman"/>
          <w:sz w:val="20"/>
          <w:szCs w:val="20"/>
        </w:rPr>
        <w:t xml:space="preserve">, ed. by Michael Labahn and Bert Jan Lietaert Peerbolte (London; New York: T &amp; T Clark, 2007), p. 173; </w:t>
      </w:r>
      <w:r w:rsidRPr="00985A6A">
        <w:rPr>
          <w:rFonts w:ascii="Times New Roman" w:hAnsi="Times New Roman" w:cs="Times New Roman"/>
          <w:sz w:val="20"/>
          <w:szCs w:val="20"/>
        </w:rPr>
        <w:t xml:space="preserve">Morton Smith, </w:t>
      </w:r>
      <w:r w:rsidR="00A31190" w:rsidRPr="00985A6A">
        <w:rPr>
          <w:rFonts w:ascii="Times New Roman" w:eastAsia="Times New Roman" w:hAnsi="Times New Roman" w:cs="Times New Roman"/>
          <w:sz w:val="20"/>
          <w:szCs w:val="20"/>
        </w:rPr>
        <w:t xml:space="preserve">‘The Jewish Elements in the Magical Papyri’, </w:t>
      </w:r>
      <w:r w:rsidR="00846166" w:rsidRPr="00985A6A">
        <w:rPr>
          <w:rFonts w:ascii="Times New Roman" w:eastAsia="Times New Roman" w:hAnsi="Times New Roman" w:cs="Times New Roman"/>
          <w:sz w:val="20"/>
          <w:szCs w:val="20"/>
        </w:rPr>
        <w:t xml:space="preserve">in </w:t>
      </w:r>
      <w:r w:rsidR="00A31190" w:rsidRPr="00985A6A">
        <w:rPr>
          <w:rFonts w:ascii="Times New Roman" w:eastAsia="Times New Roman" w:hAnsi="Times New Roman" w:cs="Times New Roman"/>
          <w:i/>
          <w:iCs/>
          <w:sz w:val="20"/>
          <w:szCs w:val="20"/>
        </w:rPr>
        <w:t>Studies in the Cult of Yahweh</w:t>
      </w:r>
      <w:r w:rsidR="00A31190" w:rsidRPr="00985A6A">
        <w:rPr>
          <w:rFonts w:ascii="Times New Roman" w:eastAsia="Times New Roman" w:hAnsi="Times New Roman" w:cs="Times New Roman"/>
          <w:sz w:val="20"/>
          <w:szCs w:val="20"/>
        </w:rPr>
        <w:t xml:space="preserve">, ed. by Shaye J. D. Cohen, (Leiden; New York: Brill, 1996), II, </w:t>
      </w:r>
      <w:r w:rsidR="00846166" w:rsidRPr="00985A6A">
        <w:rPr>
          <w:rFonts w:ascii="Times New Roman" w:eastAsia="Times New Roman" w:hAnsi="Times New Roman" w:cs="Times New Roman"/>
          <w:sz w:val="20"/>
          <w:szCs w:val="20"/>
        </w:rPr>
        <w:t xml:space="preserve">pp. </w:t>
      </w:r>
      <w:r w:rsidR="00A31190" w:rsidRPr="00985A6A">
        <w:rPr>
          <w:rFonts w:ascii="Times New Roman" w:eastAsia="Times New Roman" w:hAnsi="Times New Roman" w:cs="Times New Roman"/>
          <w:sz w:val="20"/>
          <w:szCs w:val="20"/>
        </w:rPr>
        <w:t>242–56</w:t>
      </w:r>
      <w:r w:rsidR="00846166" w:rsidRPr="00985A6A">
        <w:rPr>
          <w:rFonts w:ascii="Times New Roman" w:eastAsia="Times New Roman" w:hAnsi="Times New Roman" w:cs="Times New Roman"/>
          <w:sz w:val="20"/>
          <w:szCs w:val="20"/>
        </w:rPr>
        <w:t xml:space="preserve"> (</w:t>
      </w:r>
      <w:r w:rsidR="002463A7" w:rsidRPr="00985A6A">
        <w:rPr>
          <w:rFonts w:ascii="Times New Roman" w:eastAsia="Times New Roman" w:hAnsi="Times New Roman" w:cs="Times New Roman"/>
          <w:sz w:val="20"/>
          <w:szCs w:val="20"/>
        </w:rPr>
        <w:t xml:space="preserve">p. 243). </w:t>
      </w:r>
    </w:p>
  </w:footnote>
  <w:footnote w:id="11">
    <w:p w14:paraId="193F1268" w14:textId="5C590353" w:rsidR="0095114D" w:rsidRPr="00985A6A" w:rsidRDefault="0095114D" w:rsidP="00B5301F">
      <w:pPr>
        <w:spacing w:line="240" w:lineRule="auto"/>
        <w:ind w:left="144" w:hanging="144"/>
        <w:rPr>
          <w:rFonts w:ascii="Times New Roman" w:eastAsia="Times New Roman" w:hAnsi="Times New Roman" w:cs="Times New Roman"/>
          <w:sz w:val="20"/>
          <w:szCs w:val="20"/>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William M. </w:t>
      </w:r>
      <w:r w:rsidRPr="00985A6A">
        <w:rPr>
          <w:rFonts w:ascii="Times New Roman" w:eastAsia="Times New Roman" w:hAnsi="Times New Roman" w:cs="Times New Roman"/>
          <w:sz w:val="20"/>
          <w:szCs w:val="20"/>
        </w:rPr>
        <w:t>Brashear, ‘The Greek Magical Papyri: an Introduction and Survey; Annotated Bibliography (1928-1994)</w:t>
      </w:r>
      <w:r w:rsidR="00AB57E8" w:rsidRPr="00985A6A">
        <w:rPr>
          <w:rFonts w:ascii="Times New Roman" w:eastAsia="Times New Roman" w:hAnsi="Times New Roman" w:cs="Times New Roman"/>
          <w:sz w:val="20"/>
          <w:szCs w:val="20"/>
        </w:rPr>
        <w:t>’,</w:t>
      </w:r>
      <w:r w:rsidRPr="00985A6A">
        <w:rPr>
          <w:rFonts w:ascii="Times New Roman" w:eastAsia="Times New Roman" w:hAnsi="Times New Roman" w:cs="Times New Roman"/>
          <w:sz w:val="20"/>
          <w:szCs w:val="20"/>
        </w:rPr>
        <w:t xml:space="preserve"> in </w:t>
      </w:r>
      <w:r w:rsidRPr="00985A6A">
        <w:rPr>
          <w:rFonts w:ascii="Times New Roman" w:eastAsia="Times New Roman" w:hAnsi="Times New Roman" w:cs="Times New Roman"/>
          <w:i/>
          <w:iCs/>
          <w:sz w:val="20"/>
          <w:szCs w:val="20"/>
        </w:rPr>
        <w:t xml:space="preserve">Band 18/5. Teilband Religion. Heidentum: Die religiösen Verhältnisse in den Provinzen </w:t>
      </w:r>
      <w:r w:rsidRPr="00985A6A">
        <w:rPr>
          <w:rFonts w:ascii="Times New Roman" w:eastAsia="Times New Roman" w:hAnsi="Times New Roman" w:cs="Times New Roman"/>
          <w:sz w:val="20"/>
          <w:szCs w:val="20"/>
        </w:rPr>
        <w:t>(Berlin: De Gruyter, 2016), pp. 3380–</w:t>
      </w:r>
      <w:r w:rsidR="00487340" w:rsidRPr="00985A6A">
        <w:rPr>
          <w:rFonts w:ascii="Times New Roman" w:eastAsia="Times New Roman" w:hAnsi="Times New Roman" w:cs="Times New Roman"/>
          <w:sz w:val="20"/>
          <w:szCs w:val="20"/>
        </w:rPr>
        <w:t>3</w:t>
      </w:r>
      <w:r w:rsidRPr="00985A6A">
        <w:rPr>
          <w:rFonts w:ascii="Times New Roman" w:eastAsia="Times New Roman" w:hAnsi="Times New Roman" w:cs="Times New Roman"/>
          <w:sz w:val="20"/>
          <w:szCs w:val="20"/>
        </w:rPr>
        <w:t>684 (</w:t>
      </w:r>
      <w:r w:rsidR="0070347E" w:rsidRPr="00985A6A">
        <w:rPr>
          <w:rFonts w:ascii="Times New Roman" w:eastAsia="Times New Roman" w:hAnsi="Times New Roman" w:cs="Times New Roman"/>
          <w:sz w:val="20"/>
          <w:szCs w:val="20"/>
        </w:rPr>
        <w:t>pp. 3402-</w:t>
      </w:r>
      <w:r w:rsidR="005807A8" w:rsidRPr="00985A6A">
        <w:rPr>
          <w:rFonts w:ascii="Times New Roman" w:eastAsia="Times New Roman" w:hAnsi="Times New Roman" w:cs="Times New Roman"/>
          <w:sz w:val="20"/>
          <w:szCs w:val="20"/>
        </w:rPr>
        <w:t>0</w:t>
      </w:r>
      <w:r w:rsidR="0070347E" w:rsidRPr="00985A6A">
        <w:rPr>
          <w:rFonts w:ascii="Times New Roman" w:eastAsia="Times New Roman" w:hAnsi="Times New Roman" w:cs="Times New Roman"/>
          <w:sz w:val="20"/>
          <w:szCs w:val="20"/>
        </w:rPr>
        <w:t>3)</w:t>
      </w:r>
      <w:r w:rsidR="00147FF1" w:rsidRPr="00985A6A">
        <w:rPr>
          <w:rFonts w:ascii="Times New Roman" w:eastAsia="Times New Roman" w:hAnsi="Times New Roman" w:cs="Times New Roman"/>
          <w:sz w:val="20"/>
          <w:szCs w:val="20"/>
        </w:rPr>
        <w:t xml:space="preserve">; </w:t>
      </w:r>
      <w:r w:rsidR="00906F1E" w:rsidRPr="00985A6A">
        <w:rPr>
          <w:rFonts w:ascii="Times New Roman" w:eastAsia="Times New Roman" w:hAnsi="Times New Roman" w:cs="Times New Roman"/>
          <w:sz w:val="20"/>
          <w:szCs w:val="20"/>
        </w:rPr>
        <w:t xml:space="preserve">Jacco </w:t>
      </w:r>
      <w:r w:rsidR="00147FF1" w:rsidRPr="00985A6A">
        <w:rPr>
          <w:rFonts w:ascii="Times New Roman" w:eastAsia="Times New Roman" w:hAnsi="Times New Roman" w:cs="Times New Roman"/>
          <w:sz w:val="20"/>
          <w:szCs w:val="20"/>
        </w:rPr>
        <w:t>Dieleman, ‘Greco-Egyptian Magical Formularies</w:t>
      </w:r>
      <w:r w:rsidR="00B5301F" w:rsidRPr="00985A6A">
        <w:rPr>
          <w:rFonts w:ascii="Times New Roman" w:eastAsia="Times New Roman" w:hAnsi="Times New Roman" w:cs="Times New Roman"/>
          <w:sz w:val="20"/>
          <w:szCs w:val="20"/>
        </w:rPr>
        <w:t>’, i</w:t>
      </w:r>
      <w:r w:rsidR="00147FF1" w:rsidRPr="00985A6A">
        <w:rPr>
          <w:rFonts w:ascii="Times New Roman" w:eastAsia="Times New Roman" w:hAnsi="Times New Roman" w:cs="Times New Roman"/>
          <w:sz w:val="20"/>
          <w:szCs w:val="20"/>
        </w:rPr>
        <w:t xml:space="preserve">n </w:t>
      </w:r>
      <w:r w:rsidR="00147FF1" w:rsidRPr="00985A6A">
        <w:rPr>
          <w:rFonts w:ascii="Times New Roman" w:eastAsia="Times New Roman" w:hAnsi="Times New Roman" w:cs="Times New Roman"/>
          <w:i/>
          <w:iCs/>
          <w:sz w:val="20"/>
          <w:szCs w:val="20"/>
        </w:rPr>
        <w:t>Guide to the Study of Ancient Magic</w:t>
      </w:r>
      <w:r w:rsidR="00147FF1" w:rsidRPr="00985A6A">
        <w:rPr>
          <w:rFonts w:ascii="Times New Roman" w:eastAsia="Times New Roman" w:hAnsi="Times New Roman" w:cs="Times New Roman"/>
          <w:sz w:val="20"/>
          <w:szCs w:val="20"/>
        </w:rPr>
        <w:t>, ed. by David Frankfurter</w:t>
      </w:r>
      <w:r w:rsidR="00906F1E" w:rsidRPr="00985A6A">
        <w:rPr>
          <w:rFonts w:ascii="Times New Roman" w:eastAsia="Times New Roman" w:hAnsi="Times New Roman" w:cs="Times New Roman"/>
          <w:sz w:val="20"/>
          <w:szCs w:val="20"/>
        </w:rPr>
        <w:t xml:space="preserve"> </w:t>
      </w:r>
      <w:r w:rsidR="00147FF1" w:rsidRPr="00985A6A">
        <w:rPr>
          <w:rFonts w:ascii="Times New Roman" w:eastAsia="Times New Roman" w:hAnsi="Times New Roman" w:cs="Times New Roman"/>
          <w:sz w:val="20"/>
          <w:szCs w:val="20"/>
        </w:rPr>
        <w:t>(Leiden; Boston: Brill, 2019), pp. 283–321</w:t>
      </w:r>
      <w:r w:rsidR="00906F1E" w:rsidRPr="00985A6A">
        <w:rPr>
          <w:rFonts w:ascii="Times New Roman" w:eastAsia="Times New Roman" w:hAnsi="Times New Roman" w:cs="Times New Roman"/>
          <w:sz w:val="20"/>
          <w:szCs w:val="20"/>
        </w:rPr>
        <w:t xml:space="preserve"> (p. </w:t>
      </w:r>
      <w:r w:rsidR="00ED7D85" w:rsidRPr="00985A6A">
        <w:rPr>
          <w:rFonts w:ascii="Times New Roman" w:eastAsia="Times New Roman" w:hAnsi="Times New Roman" w:cs="Times New Roman"/>
          <w:sz w:val="20"/>
          <w:szCs w:val="20"/>
        </w:rPr>
        <w:t xml:space="preserve">292). </w:t>
      </w:r>
    </w:p>
  </w:footnote>
  <w:footnote w:id="12">
    <w:p w14:paraId="75A422C8" w14:textId="03782855" w:rsidR="00FF695D" w:rsidRPr="00985A6A" w:rsidRDefault="00FF695D" w:rsidP="00B435B4">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rPr>
        <w:t xml:space="preserve">Brashear, ‘The Greek Magical Papyri’, p. </w:t>
      </w:r>
      <w:r w:rsidR="000D5CA4" w:rsidRPr="00985A6A">
        <w:rPr>
          <w:rFonts w:ascii="Times New Roman" w:eastAsia="Times New Roman" w:hAnsi="Times New Roman" w:cs="Times New Roman"/>
        </w:rPr>
        <w:t xml:space="preserve">3405. </w:t>
      </w:r>
    </w:p>
  </w:footnote>
  <w:footnote w:id="13">
    <w:p w14:paraId="5B5BE534" w14:textId="6586C803" w:rsidR="007F7F2C" w:rsidRPr="00985A6A" w:rsidRDefault="007F7F2C" w:rsidP="00B435B4">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rPr>
        <w:t xml:space="preserve">Brashear, ‘The Greek Magical Papyri’, p. 3404. </w:t>
      </w:r>
    </w:p>
  </w:footnote>
  <w:footnote w:id="14">
    <w:p w14:paraId="359CA08F" w14:textId="70626078" w:rsidR="002E228E" w:rsidRPr="00985A6A" w:rsidRDefault="002E228E" w:rsidP="00B435B4">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rPr>
        <w:t>Brashear, ‘The Greek Magical Papyri’, p</w:t>
      </w:r>
      <w:r w:rsidR="005807A8" w:rsidRPr="00985A6A">
        <w:rPr>
          <w:rFonts w:ascii="Times New Roman" w:eastAsia="Times New Roman" w:hAnsi="Times New Roman" w:cs="Times New Roman"/>
        </w:rPr>
        <w:t>p</w:t>
      </w:r>
      <w:r w:rsidRPr="00985A6A">
        <w:rPr>
          <w:rFonts w:ascii="Times New Roman" w:eastAsia="Times New Roman" w:hAnsi="Times New Roman" w:cs="Times New Roman"/>
        </w:rPr>
        <w:t>. 3414-</w:t>
      </w:r>
      <w:r w:rsidR="005807A8" w:rsidRPr="00985A6A">
        <w:rPr>
          <w:rFonts w:ascii="Times New Roman" w:eastAsia="Times New Roman" w:hAnsi="Times New Roman" w:cs="Times New Roman"/>
        </w:rPr>
        <w:t>15</w:t>
      </w:r>
      <w:r w:rsidR="00090139" w:rsidRPr="00985A6A">
        <w:rPr>
          <w:rFonts w:ascii="Times New Roman" w:eastAsia="Times New Roman" w:hAnsi="Times New Roman" w:cs="Times New Roman"/>
        </w:rPr>
        <w:t>.</w:t>
      </w:r>
    </w:p>
  </w:footnote>
  <w:footnote w:id="15">
    <w:p w14:paraId="7A3661E2" w14:textId="77777777" w:rsidR="00EC5A70" w:rsidRPr="00985A6A" w:rsidRDefault="00EC5A70" w:rsidP="00EC5A70">
      <w:pPr>
        <w:spacing w:line="240" w:lineRule="auto"/>
        <w:ind w:left="144" w:hanging="144"/>
        <w:rPr>
          <w:rFonts w:ascii="Times New Roman" w:eastAsia="Times New Roman" w:hAnsi="Times New Roman" w:cs="Times New Roman"/>
          <w:sz w:val="20"/>
          <w:szCs w:val="20"/>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w:t>
      </w:r>
      <w:r w:rsidRPr="00985A6A">
        <w:rPr>
          <w:rFonts w:ascii="Times New Roman" w:eastAsia="Times New Roman" w:hAnsi="Times New Roman" w:cs="Times New Roman"/>
          <w:sz w:val="20"/>
          <w:szCs w:val="20"/>
        </w:rPr>
        <w:t xml:space="preserve">Dieleman, ‘Greco-Egyptian Magical Formularies’, p. 293. </w:t>
      </w:r>
    </w:p>
  </w:footnote>
  <w:footnote w:id="16">
    <w:p w14:paraId="17CF8FB6" w14:textId="6C09CBDF" w:rsidR="00054A7E" w:rsidRPr="00985A6A" w:rsidRDefault="00054A7E" w:rsidP="00B435B4">
      <w:pPr>
        <w:spacing w:line="240" w:lineRule="auto"/>
        <w:ind w:left="144" w:hanging="144"/>
        <w:rPr>
          <w:rFonts w:ascii="Times New Roman" w:hAnsi="Times New Roman" w:cs="Times New Roman"/>
          <w:sz w:val="20"/>
          <w:szCs w:val="20"/>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Christopher A. </w:t>
      </w:r>
      <w:r w:rsidRPr="00985A6A">
        <w:rPr>
          <w:rFonts w:ascii="Times New Roman" w:eastAsia="Times New Roman" w:hAnsi="Times New Roman" w:cs="Times New Roman"/>
          <w:sz w:val="20"/>
          <w:szCs w:val="20"/>
        </w:rPr>
        <w:t xml:space="preserve">Faraone, ‘The Composite Recipes in GEMF 57 (=PGM IV) and How They Grew’, in </w:t>
      </w:r>
      <w:r w:rsidRPr="00985A6A">
        <w:rPr>
          <w:rFonts w:ascii="Times New Roman" w:eastAsia="Times New Roman" w:hAnsi="Times New Roman" w:cs="Times New Roman"/>
          <w:i/>
          <w:iCs/>
          <w:sz w:val="20"/>
          <w:szCs w:val="20"/>
        </w:rPr>
        <w:t>The Greco-Egyptian Magical Formularies: Libraries, Books, and Individual Recipes</w:t>
      </w:r>
      <w:r w:rsidRPr="00985A6A">
        <w:rPr>
          <w:rFonts w:ascii="Times New Roman" w:eastAsia="Times New Roman" w:hAnsi="Times New Roman" w:cs="Times New Roman"/>
          <w:sz w:val="20"/>
          <w:szCs w:val="20"/>
        </w:rPr>
        <w:t>, ed. by Christopher A. Faraone and Sofia Torallas Tovar (Ann Arbor, MI: University of Michigan Press, 2022), p</w:t>
      </w:r>
      <w:r w:rsidR="00CC77A9" w:rsidRPr="00985A6A">
        <w:rPr>
          <w:rFonts w:ascii="Times New Roman" w:eastAsia="Times New Roman" w:hAnsi="Times New Roman" w:cs="Times New Roman"/>
          <w:sz w:val="20"/>
          <w:szCs w:val="20"/>
        </w:rPr>
        <w:t>. 3</w:t>
      </w:r>
      <w:r w:rsidR="00C8030F" w:rsidRPr="00985A6A">
        <w:rPr>
          <w:rFonts w:ascii="Times New Roman" w:eastAsia="Times New Roman" w:hAnsi="Times New Roman" w:cs="Times New Roman"/>
          <w:sz w:val="20"/>
          <w:szCs w:val="20"/>
        </w:rPr>
        <w:t>69.</w:t>
      </w:r>
    </w:p>
  </w:footnote>
  <w:footnote w:id="17">
    <w:p w14:paraId="2DF56BA0" w14:textId="50402CD2" w:rsidR="00C8030F" w:rsidRPr="00985A6A" w:rsidRDefault="00C8030F" w:rsidP="00B435B4">
      <w:pPr>
        <w:spacing w:line="240" w:lineRule="auto"/>
        <w:ind w:left="144" w:hanging="144"/>
        <w:rPr>
          <w:rFonts w:ascii="Times New Roman" w:eastAsia="Times New Roman" w:hAnsi="Times New Roman" w:cs="Times New Roman"/>
          <w:sz w:val="20"/>
          <w:szCs w:val="20"/>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Lynn R. </w:t>
      </w:r>
      <w:r w:rsidRPr="00985A6A">
        <w:rPr>
          <w:rFonts w:ascii="Times New Roman" w:eastAsia="Times New Roman" w:hAnsi="Times New Roman" w:cs="Times New Roman"/>
          <w:sz w:val="20"/>
          <w:szCs w:val="20"/>
        </w:rPr>
        <w:t>LiDonnici, ‘Compositional Patterns in PGM IV (= P.Bibl.Nat.Suppl. Gr. No. 574)</w:t>
      </w:r>
      <w:r w:rsidR="008B65D6" w:rsidRPr="00985A6A">
        <w:rPr>
          <w:rFonts w:ascii="Times New Roman" w:eastAsia="Times New Roman" w:hAnsi="Times New Roman" w:cs="Times New Roman"/>
          <w:sz w:val="20"/>
          <w:szCs w:val="20"/>
        </w:rPr>
        <w:t>’,</w:t>
      </w:r>
      <w:r w:rsidRPr="00985A6A">
        <w:rPr>
          <w:rFonts w:ascii="Times New Roman" w:eastAsia="Times New Roman" w:hAnsi="Times New Roman" w:cs="Times New Roman"/>
          <w:sz w:val="20"/>
          <w:szCs w:val="20"/>
        </w:rPr>
        <w:t xml:space="preserve"> </w:t>
      </w:r>
      <w:r w:rsidRPr="00985A6A">
        <w:rPr>
          <w:rFonts w:ascii="Times New Roman" w:eastAsia="Times New Roman" w:hAnsi="Times New Roman" w:cs="Times New Roman"/>
          <w:i/>
          <w:iCs/>
          <w:sz w:val="20"/>
          <w:szCs w:val="20"/>
        </w:rPr>
        <w:t>The Bulletin of the American Society of Papyrologists</w:t>
      </w:r>
      <w:r w:rsidRPr="00985A6A">
        <w:rPr>
          <w:rFonts w:ascii="Times New Roman" w:eastAsia="Times New Roman" w:hAnsi="Times New Roman" w:cs="Times New Roman"/>
          <w:sz w:val="20"/>
          <w:szCs w:val="20"/>
        </w:rPr>
        <w:t xml:space="preserve">, 40 (2003), </w:t>
      </w:r>
      <w:r w:rsidR="00BB4E28" w:rsidRPr="00985A6A">
        <w:rPr>
          <w:rFonts w:ascii="Times New Roman" w:eastAsia="Times New Roman" w:hAnsi="Times New Roman" w:cs="Times New Roman"/>
          <w:sz w:val="20"/>
          <w:szCs w:val="20"/>
        </w:rPr>
        <w:t xml:space="preserve">pp. </w:t>
      </w:r>
      <w:r w:rsidRPr="00985A6A">
        <w:rPr>
          <w:rFonts w:ascii="Times New Roman" w:eastAsia="Times New Roman" w:hAnsi="Times New Roman" w:cs="Times New Roman"/>
          <w:sz w:val="20"/>
          <w:szCs w:val="20"/>
        </w:rPr>
        <w:t>141–78</w:t>
      </w:r>
      <w:r w:rsidR="00743005" w:rsidRPr="00985A6A">
        <w:rPr>
          <w:rFonts w:ascii="Times New Roman" w:eastAsia="Times New Roman" w:hAnsi="Times New Roman" w:cs="Times New Roman"/>
          <w:sz w:val="20"/>
          <w:szCs w:val="20"/>
        </w:rPr>
        <w:t xml:space="preserve"> (p</w:t>
      </w:r>
      <w:r w:rsidR="004C3A11" w:rsidRPr="00985A6A">
        <w:rPr>
          <w:rFonts w:ascii="Times New Roman" w:eastAsia="Times New Roman" w:hAnsi="Times New Roman" w:cs="Times New Roman"/>
          <w:sz w:val="20"/>
          <w:szCs w:val="20"/>
        </w:rPr>
        <w:t>p</w:t>
      </w:r>
      <w:r w:rsidR="00743005" w:rsidRPr="00985A6A">
        <w:rPr>
          <w:rFonts w:ascii="Times New Roman" w:eastAsia="Times New Roman" w:hAnsi="Times New Roman" w:cs="Times New Roman"/>
          <w:sz w:val="20"/>
          <w:szCs w:val="20"/>
        </w:rPr>
        <w:t xml:space="preserve">. </w:t>
      </w:r>
      <w:r w:rsidR="00876DA7" w:rsidRPr="00985A6A">
        <w:rPr>
          <w:rFonts w:ascii="Times New Roman" w:eastAsia="Times New Roman" w:hAnsi="Times New Roman" w:cs="Times New Roman"/>
          <w:sz w:val="20"/>
          <w:szCs w:val="20"/>
        </w:rPr>
        <w:t>14</w:t>
      </w:r>
      <w:r w:rsidR="004C3A11" w:rsidRPr="00985A6A">
        <w:rPr>
          <w:rFonts w:ascii="Times New Roman" w:eastAsia="Times New Roman" w:hAnsi="Times New Roman" w:cs="Times New Roman"/>
          <w:sz w:val="20"/>
          <w:szCs w:val="20"/>
        </w:rPr>
        <w:t>3</w:t>
      </w:r>
      <w:r w:rsidR="00876DA7" w:rsidRPr="00985A6A">
        <w:rPr>
          <w:rFonts w:ascii="Times New Roman" w:eastAsia="Times New Roman" w:hAnsi="Times New Roman" w:cs="Times New Roman"/>
          <w:sz w:val="20"/>
          <w:szCs w:val="20"/>
        </w:rPr>
        <w:t>-4</w:t>
      </w:r>
      <w:r w:rsidR="004C3A11" w:rsidRPr="00985A6A">
        <w:rPr>
          <w:rFonts w:ascii="Times New Roman" w:eastAsia="Times New Roman" w:hAnsi="Times New Roman" w:cs="Times New Roman"/>
          <w:sz w:val="20"/>
          <w:szCs w:val="20"/>
        </w:rPr>
        <w:t>4</w:t>
      </w:r>
      <w:r w:rsidR="00876DA7" w:rsidRPr="00985A6A">
        <w:rPr>
          <w:rFonts w:ascii="Times New Roman" w:eastAsia="Times New Roman" w:hAnsi="Times New Roman" w:cs="Times New Roman"/>
          <w:sz w:val="20"/>
          <w:szCs w:val="20"/>
        </w:rPr>
        <w:t xml:space="preserve">). </w:t>
      </w:r>
    </w:p>
  </w:footnote>
  <w:footnote w:id="18">
    <w:p w14:paraId="0682C529" w14:textId="50481DFE" w:rsidR="00CC77A9" w:rsidRPr="00985A6A" w:rsidRDefault="00CC77A9" w:rsidP="00BA2C05">
      <w:pPr>
        <w:spacing w:line="240" w:lineRule="auto"/>
        <w:ind w:left="144" w:hanging="144"/>
        <w:rPr>
          <w:rFonts w:ascii="Times New Roman" w:hAnsi="Times New Roman" w:cs="Times New Roman"/>
          <w:sz w:val="20"/>
          <w:szCs w:val="20"/>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w:t>
      </w:r>
      <w:r w:rsidR="00F90E99" w:rsidRPr="00985A6A">
        <w:rPr>
          <w:rFonts w:ascii="Times New Roman" w:eastAsia="Times New Roman" w:hAnsi="Times New Roman" w:cs="Times New Roman"/>
          <w:sz w:val="20"/>
          <w:szCs w:val="20"/>
        </w:rPr>
        <w:t xml:space="preserve">Ljuba Merlina Bortolani and Svenja Nagel, ‘Introduction’, in </w:t>
      </w:r>
      <w:r w:rsidR="00F90E99" w:rsidRPr="00985A6A">
        <w:rPr>
          <w:rFonts w:ascii="Times New Roman" w:eastAsia="Times New Roman" w:hAnsi="Times New Roman" w:cs="Times New Roman"/>
          <w:i/>
          <w:iCs/>
          <w:sz w:val="20"/>
          <w:szCs w:val="20"/>
        </w:rPr>
        <w:t>Cultural Plurality in Ancient Magical Texts and Practices: Graeco-Egyptian Handbooks and Related Traditions</w:t>
      </w:r>
      <w:r w:rsidR="00F90E99" w:rsidRPr="00985A6A">
        <w:rPr>
          <w:rFonts w:ascii="Times New Roman" w:eastAsia="Times New Roman" w:hAnsi="Times New Roman" w:cs="Times New Roman"/>
          <w:sz w:val="20"/>
          <w:szCs w:val="20"/>
        </w:rPr>
        <w:t>, ed. by Ljuba Merlina Bortolani, William D. Furley, Svenja Nagel, and Joachim Friedrich Quack (Tübingen: Mohr Siebeck, 2019), p. 14</w:t>
      </w:r>
      <w:r w:rsidR="00BA2C05" w:rsidRPr="00985A6A">
        <w:rPr>
          <w:rFonts w:ascii="Times New Roman" w:eastAsia="Times New Roman" w:hAnsi="Times New Roman" w:cs="Times New Roman"/>
          <w:sz w:val="20"/>
          <w:szCs w:val="20"/>
        </w:rPr>
        <w:t xml:space="preserve">; </w:t>
      </w:r>
      <w:r w:rsidRPr="00985A6A">
        <w:rPr>
          <w:rFonts w:ascii="Times New Roman" w:eastAsia="Times New Roman" w:hAnsi="Times New Roman" w:cs="Times New Roman"/>
          <w:sz w:val="20"/>
          <w:szCs w:val="20"/>
        </w:rPr>
        <w:t xml:space="preserve">Faraone, ‘Composite Recipes’, pp. 368-69. </w:t>
      </w:r>
    </w:p>
  </w:footnote>
  <w:footnote w:id="19">
    <w:p w14:paraId="0967D9EB" w14:textId="272FAF77" w:rsidR="00090139" w:rsidRPr="00985A6A" w:rsidRDefault="00090139" w:rsidP="00B435B4">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rPr>
        <w:t>Brashear, ‘The Greek Magical Papyri’, p. 34</w:t>
      </w:r>
      <w:r w:rsidR="00B435B4" w:rsidRPr="00985A6A">
        <w:rPr>
          <w:rFonts w:ascii="Times New Roman" w:eastAsia="Times New Roman" w:hAnsi="Times New Roman" w:cs="Times New Roman"/>
        </w:rPr>
        <w:t xml:space="preserve">19. </w:t>
      </w:r>
    </w:p>
  </w:footnote>
  <w:footnote w:id="20">
    <w:p w14:paraId="7D885430" w14:textId="7CA5E713" w:rsidR="00F828AF" w:rsidRPr="00985A6A" w:rsidRDefault="00F828AF" w:rsidP="00307391">
      <w:pPr>
        <w:pStyle w:val="FootnoteText"/>
        <w:ind w:left="144" w:hanging="144"/>
      </w:pPr>
      <w:r w:rsidRPr="00985A6A">
        <w:rPr>
          <w:rStyle w:val="FootnoteReference"/>
          <w:rFonts w:ascii="Times New Roman" w:hAnsi="Times New Roman" w:cs="Times New Roman"/>
        </w:rPr>
        <w:footnoteRef/>
      </w:r>
      <w:r w:rsidRPr="00985A6A">
        <w:rPr>
          <w:rFonts w:ascii="Times New Roman" w:hAnsi="Times New Roman" w:cs="Times New Roman"/>
        </w:rPr>
        <w:t xml:space="preserve"> The </w:t>
      </w:r>
      <w:r w:rsidR="00E4154C" w:rsidRPr="00985A6A">
        <w:rPr>
          <w:rFonts w:ascii="Times New Roman" w:hAnsi="Times New Roman" w:cs="Times New Roman"/>
        </w:rPr>
        <w:t>section</w:t>
      </w:r>
      <w:r w:rsidRPr="00985A6A">
        <w:rPr>
          <w:rFonts w:ascii="Times New Roman" w:hAnsi="Times New Roman" w:cs="Times New Roman"/>
        </w:rPr>
        <w:t xml:space="preserve"> on syncretism draw</w:t>
      </w:r>
      <w:r w:rsidR="0062281C" w:rsidRPr="00985A6A">
        <w:rPr>
          <w:rFonts w:ascii="Times New Roman" w:hAnsi="Times New Roman" w:cs="Times New Roman"/>
        </w:rPr>
        <w:t>s</w:t>
      </w:r>
      <w:r w:rsidRPr="00985A6A">
        <w:rPr>
          <w:rFonts w:ascii="Times New Roman" w:hAnsi="Times New Roman" w:cs="Times New Roman"/>
        </w:rPr>
        <w:t xml:space="preserve"> extensively from: Eleni P</w:t>
      </w:r>
      <w:r w:rsidRPr="00985A6A">
        <w:rPr>
          <w:rFonts w:ascii="Times New Roman" w:eastAsia="Times New Roman" w:hAnsi="Times New Roman" w:cs="Times New Roman"/>
        </w:rPr>
        <w:t xml:space="preserve">achoumi, </w:t>
      </w:r>
      <w:r w:rsidRPr="00985A6A">
        <w:rPr>
          <w:rFonts w:ascii="Times New Roman" w:eastAsia="Times New Roman" w:hAnsi="Times New Roman" w:cs="Times New Roman"/>
          <w:i/>
          <w:iCs/>
        </w:rPr>
        <w:t>The Concepts of the Divine in the Greek Magical Papyri</w:t>
      </w:r>
      <w:r w:rsidRPr="00985A6A">
        <w:rPr>
          <w:rFonts w:ascii="Times New Roman" w:eastAsia="Times New Roman" w:hAnsi="Times New Roman" w:cs="Times New Roman"/>
        </w:rPr>
        <w:t>, (Tübingen: Mohr Siebeck, 2017), pp. 164-69.</w:t>
      </w:r>
    </w:p>
  </w:footnote>
  <w:footnote w:id="21">
    <w:p w14:paraId="404F0922" w14:textId="77777777" w:rsidR="006B7B91" w:rsidRPr="00985A6A" w:rsidRDefault="006B7B91" w:rsidP="006B7B91">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rPr>
        <w:t>Dieleman, ‘Greco-Egyptian Magical Formularies’, p. 316.</w:t>
      </w:r>
    </w:p>
  </w:footnote>
  <w:footnote w:id="22">
    <w:p w14:paraId="331E2BF4" w14:textId="77777777" w:rsidR="006B7B91" w:rsidRPr="00985A6A" w:rsidRDefault="006B7B91" w:rsidP="006B7B91">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Betz, </w:t>
      </w:r>
      <w:r w:rsidRPr="00985A6A">
        <w:rPr>
          <w:rFonts w:ascii="Times New Roman" w:eastAsia="Times New Roman" w:hAnsi="Times New Roman" w:cs="Times New Roman"/>
          <w:i/>
          <w:iCs/>
          <w:lang w:eastAsia="en-GB"/>
        </w:rPr>
        <w:t>The Greek Magical Papyri</w:t>
      </w:r>
      <w:r w:rsidRPr="00985A6A">
        <w:rPr>
          <w:rFonts w:ascii="Times New Roman" w:eastAsia="Times New Roman" w:hAnsi="Times New Roman" w:cs="Times New Roman"/>
          <w:lang w:eastAsia="en-GB"/>
        </w:rPr>
        <w:t>, pp. xlv-xlvi.</w:t>
      </w:r>
    </w:p>
  </w:footnote>
  <w:footnote w:id="23">
    <w:p w14:paraId="0BF1594A" w14:textId="229B5708" w:rsidR="0047673E" w:rsidRPr="00985A6A" w:rsidRDefault="0047673E" w:rsidP="00632C11">
      <w:pPr>
        <w:spacing w:line="240" w:lineRule="auto"/>
        <w:ind w:left="144" w:hanging="144"/>
        <w:rPr>
          <w:rFonts w:ascii="Times New Roman" w:hAnsi="Times New Roman" w:cs="Times New Roman"/>
          <w:sz w:val="20"/>
          <w:szCs w:val="20"/>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w:t>
      </w:r>
      <w:r w:rsidR="00585215" w:rsidRPr="00985A6A">
        <w:rPr>
          <w:rFonts w:ascii="Times New Roman" w:hAnsi="Times New Roman" w:cs="Times New Roman"/>
          <w:sz w:val="20"/>
          <w:szCs w:val="20"/>
        </w:rPr>
        <w:t>P</w:t>
      </w:r>
      <w:r w:rsidR="00585215" w:rsidRPr="00985A6A">
        <w:rPr>
          <w:rFonts w:ascii="Times New Roman" w:eastAsia="Times New Roman" w:hAnsi="Times New Roman" w:cs="Times New Roman"/>
          <w:sz w:val="20"/>
          <w:szCs w:val="20"/>
        </w:rPr>
        <w:t xml:space="preserve">achoumi, </w:t>
      </w:r>
      <w:r w:rsidR="00585215" w:rsidRPr="00985A6A">
        <w:rPr>
          <w:rFonts w:ascii="Times New Roman" w:eastAsia="Times New Roman" w:hAnsi="Times New Roman" w:cs="Times New Roman"/>
          <w:i/>
          <w:iCs/>
          <w:sz w:val="20"/>
          <w:szCs w:val="20"/>
        </w:rPr>
        <w:t>The Concepts of the Divine</w:t>
      </w:r>
      <w:r w:rsidR="00585215" w:rsidRPr="00985A6A">
        <w:rPr>
          <w:rFonts w:ascii="Times New Roman" w:eastAsia="Times New Roman" w:hAnsi="Times New Roman" w:cs="Times New Roman"/>
          <w:sz w:val="20"/>
          <w:szCs w:val="20"/>
        </w:rPr>
        <w:t xml:space="preserve">, pp. </w:t>
      </w:r>
      <w:r w:rsidR="00632C11" w:rsidRPr="00985A6A">
        <w:rPr>
          <w:rFonts w:ascii="Times New Roman" w:eastAsia="Times New Roman" w:hAnsi="Times New Roman" w:cs="Times New Roman"/>
          <w:sz w:val="20"/>
          <w:szCs w:val="20"/>
        </w:rPr>
        <w:t>164-6</w:t>
      </w:r>
      <w:r w:rsidR="00F828AF" w:rsidRPr="00985A6A">
        <w:rPr>
          <w:rFonts w:ascii="Times New Roman" w:eastAsia="Times New Roman" w:hAnsi="Times New Roman" w:cs="Times New Roman"/>
          <w:sz w:val="20"/>
          <w:szCs w:val="20"/>
        </w:rPr>
        <w:t>5</w:t>
      </w:r>
      <w:r w:rsidR="0036224F" w:rsidRPr="00985A6A">
        <w:rPr>
          <w:rFonts w:ascii="Times New Roman" w:eastAsia="Times New Roman" w:hAnsi="Times New Roman" w:cs="Times New Roman"/>
          <w:sz w:val="20"/>
          <w:szCs w:val="20"/>
        </w:rPr>
        <w:t xml:space="preserve">. </w:t>
      </w:r>
    </w:p>
  </w:footnote>
  <w:footnote w:id="24">
    <w:p w14:paraId="0C898028" w14:textId="2ECADB6C" w:rsidR="009A6B50" w:rsidRPr="00A94F37" w:rsidRDefault="009A6B50">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eastAsia="Times New Roman" w:hAnsi="Times New Roman" w:cs="Times New Roman"/>
        </w:rPr>
        <w:t>Dieleman, ‘Greco-Egyptian Magical Formularies’, p. 2</w:t>
      </w:r>
      <w:r w:rsidR="00A718B9" w:rsidRPr="00A94F37">
        <w:rPr>
          <w:rFonts w:ascii="Times New Roman" w:eastAsia="Times New Roman" w:hAnsi="Times New Roman" w:cs="Times New Roman"/>
        </w:rPr>
        <w:t>84.</w:t>
      </w:r>
    </w:p>
  </w:footnote>
  <w:footnote w:id="25">
    <w:p w14:paraId="613E6237" w14:textId="2C32F8B7" w:rsidR="00E45AD6" w:rsidRPr="00A94F37" w:rsidRDefault="00E45AD6" w:rsidP="0023298A">
      <w:pPr>
        <w:spacing w:line="240" w:lineRule="auto"/>
        <w:ind w:left="144" w:hanging="144"/>
        <w:rPr>
          <w:rFonts w:ascii="Times New Roman" w:hAnsi="Times New Roman" w:cs="Times New Roman"/>
        </w:rPr>
      </w:pPr>
      <w:r w:rsidRPr="00A94F37">
        <w:rPr>
          <w:rStyle w:val="FootnoteReference"/>
          <w:rFonts w:ascii="Times New Roman" w:hAnsi="Times New Roman" w:cs="Times New Roman"/>
          <w:sz w:val="20"/>
          <w:szCs w:val="20"/>
        </w:rPr>
        <w:footnoteRef/>
      </w:r>
      <w:r w:rsidRPr="00A94F37">
        <w:rPr>
          <w:rFonts w:ascii="Times New Roman" w:hAnsi="Times New Roman" w:cs="Times New Roman"/>
          <w:sz w:val="20"/>
          <w:szCs w:val="20"/>
        </w:rPr>
        <w:t xml:space="preserve"> Anna </w:t>
      </w:r>
      <w:r w:rsidRPr="00A94F37">
        <w:rPr>
          <w:rFonts w:ascii="Times New Roman" w:eastAsia="Times New Roman" w:hAnsi="Times New Roman" w:cs="Times New Roman"/>
          <w:sz w:val="20"/>
          <w:szCs w:val="20"/>
        </w:rPr>
        <w:t xml:space="preserve">Scibilia, ‘Supernatural Assistance in the Greek Magical Papyri: The Figure of the Parhedros,’ in </w:t>
      </w:r>
      <w:r w:rsidRPr="00A94F37">
        <w:rPr>
          <w:rFonts w:ascii="Times New Roman" w:eastAsia="Times New Roman" w:hAnsi="Times New Roman" w:cs="Times New Roman"/>
          <w:i/>
          <w:iCs/>
          <w:sz w:val="20"/>
          <w:szCs w:val="20"/>
        </w:rPr>
        <w:t>The Metamorphosis of Magic from Late Antiquity to the Early Modern Period</w:t>
      </w:r>
      <w:r w:rsidRPr="00A94F37">
        <w:rPr>
          <w:rFonts w:ascii="Times New Roman" w:eastAsia="Times New Roman" w:hAnsi="Times New Roman" w:cs="Times New Roman"/>
          <w:sz w:val="20"/>
          <w:szCs w:val="20"/>
        </w:rPr>
        <w:t>, ed. by Jan N. Bremmer and Jan R. Veenstra (Leuven: Peeters, 2002), p</w:t>
      </w:r>
      <w:r w:rsidR="00F455E9" w:rsidRPr="00A94F37">
        <w:rPr>
          <w:rFonts w:ascii="Times New Roman" w:eastAsia="Times New Roman" w:hAnsi="Times New Roman" w:cs="Times New Roman"/>
          <w:sz w:val="20"/>
          <w:szCs w:val="20"/>
        </w:rPr>
        <w:t xml:space="preserve">. 74. </w:t>
      </w:r>
    </w:p>
  </w:footnote>
  <w:footnote w:id="26">
    <w:p w14:paraId="2D61F357" w14:textId="28F33D69" w:rsidR="002E2D56" w:rsidRPr="00A94F37" w:rsidRDefault="002E2D56">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00E24CE7" w:rsidRPr="00A94F37">
        <w:rPr>
          <w:rFonts w:ascii="Times New Roman" w:eastAsia="Times New Roman" w:hAnsi="Times New Roman" w:cs="Times New Roman"/>
        </w:rPr>
        <w:t>Bortolani and Nagel, ‘Introduction’, p. 17</w:t>
      </w:r>
      <w:r w:rsidR="00E24CE7" w:rsidRPr="00A94F37">
        <w:rPr>
          <w:rFonts w:ascii="Times New Roman" w:hAnsi="Times New Roman" w:cs="Times New Roman"/>
        </w:rPr>
        <w:t xml:space="preserve">; </w:t>
      </w:r>
      <w:r w:rsidRPr="00A94F37">
        <w:rPr>
          <w:rFonts w:ascii="Times New Roman" w:eastAsia="Times New Roman" w:hAnsi="Times New Roman" w:cs="Times New Roman"/>
        </w:rPr>
        <w:t>Dieleman, ‘Greco-Egyptian Magical Formularies’, p. 285.</w:t>
      </w:r>
    </w:p>
  </w:footnote>
  <w:footnote w:id="27">
    <w:p w14:paraId="2ECF04EA" w14:textId="0D598727" w:rsidR="001445A0" w:rsidRPr="00A94F37" w:rsidRDefault="001445A0" w:rsidP="00B61D94">
      <w:pPr>
        <w:spacing w:line="240" w:lineRule="auto"/>
        <w:ind w:left="144" w:hanging="144"/>
        <w:rPr>
          <w:rFonts w:ascii="Times New Roman" w:hAnsi="Times New Roman" w:cs="Times New Roman"/>
        </w:rPr>
      </w:pPr>
      <w:r w:rsidRPr="00A94F37">
        <w:rPr>
          <w:rStyle w:val="FootnoteReference"/>
          <w:rFonts w:ascii="Times New Roman" w:hAnsi="Times New Roman" w:cs="Times New Roman"/>
          <w:sz w:val="20"/>
          <w:szCs w:val="20"/>
        </w:rPr>
        <w:footnoteRef/>
      </w:r>
      <w:r w:rsidRPr="00A94F37">
        <w:rPr>
          <w:rFonts w:ascii="Times New Roman" w:hAnsi="Times New Roman" w:cs="Times New Roman"/>
          <w:sz w:val="20"/>
          <w:szCs w:val="20"/>
        </w:rPr>
        <w:t xml:space="preserve"> </w:t>
      </w:r>
      <w:r w:rsidRPr="00A94F37">
        <w:rPr>
          <w:rFonts w:ascii="Times New Roman" w:eastAsia="Times New Roman" w:hAnsi="Times New Roman" w:cs="Times New Roman"/>
          <w:sz w:val="20"/>
          <w:szCs w:val="20"/>
        </w:rPr>
        <w:t>Dieleman, ‘Greco-Egyptian Magical Formularies’, p. 2</w:t>
      </w:r>
      <w:r w:rsidR="00130F64" w:rsidRPr="00A94F37">
        <w:rPr>
          <w:rFonts w:ascii="Times New Roman" w:eastAsia="Times New Roman" w:hAnsi="Times New Roman" w:cs="Times New Roman"/>
          <w:sz w:val="20"/>
          <w:szCs w:val="20"/>
        </w:rPr>
        <w:t xml:space="preserve">83. </w:t>
      </w:r>
    </w:p>
  </w:footnote>
  <w:footnote w:id="28">
    <w:p w14:paraId="72F3448E" w14:textId="34389A15" w:rsidR="0028059E" w:rsidRPr="00A94F37" w:rsidRDefault="0028059E">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v</w:t>
      </w:r>
      <w:r w:rsidRPr="00A94F37">
        <w:rPr>
          <w:rFonts w:ascii="Times New Roman" w:eastAsia="Times New Roman" w:hAnsi="Times New Roman" w:cs="Times New Roman"/>
        </w:rPr>
        <w:t xml:space="preserve">an der Horst, ‘The Great Magical Papyrus of Paris’, p. 177. </w:t>
      </w:r>
    </w:p>
  </w:footnote>
  <w:footnote w:id="29">
    <w:p w14:paraId="62205140" w14:textId="1AA56242" w:rsidR="00604073" w:rsidRPr="00985A6A" w:rsidRDefault="00604073" w:rsidP="00604073">
      <w:pPr>
        <w:spacing w:line="240" w:lineRule="auto"/>
        <w:ind w:left="144" w:hanging="144"/>
        <w:rPr>
          <w:rFonts w:ascii="Times New Roman" w:eastAsia="Times New Roman" w:hAnsi="Times New Roman" w:cs="Times New Roman"/>
          <w:sz w:val="20"/>
          <w:szCs w:val="20"/>
        </w:rPr>
      </w:pPr>
      <w:r w:rsidRPr="00A94F37">
        <w:rPr>
          <w:rStyle w:val="FootnoteReference"/>
          <w:rFonts w:ascii="Times New Roman" w:hAnsi="Times New Roman" w:cs="Times New Roman"/>
          <w:sz w:val="20"/>
          <w:szCs w:val="20"/>
        </w:rPr>
        <w:footnoteRef/>
      </w:r>
      <w:r w:rsidRPr="00A94F37">
        <w:rPr>
          <w:rFonts w:ascii="Times New Roman" w:hAnsi="Times New Roman" w:cs="Times New Roman"/>
          <w:sz w:val="20"/>
          <w:szCs w:val="20"/>
        </w:rPr>
        <w:t xml:space="preserve"> </w:t>
      </w:r>
      <w:r w:rsidRPr="00A94F37">
        <w:rPr>
          <w:rFonts w:ascii="Times New Roman" w:eastAsia="Times New Roman" w:hAnsi="Times New Roman" w:cs="Times New Roman"/>
          <w:sz w:val="20"/>
          <w:szCs w:val="20"/>
        </w:rPr>
        <w:t xml:space="preserve">Janowitz, </w:t>
      </w:r>
      <w:r w:rsidRPr="00A94F37">
        <w:rPr>
          <w:rFonts w:ascii="Times New Roman" w:eastAsia="Times New Roman" w:hAnsi="Times New Roman" w:cs="Times New Roman"/>
          <w:i/>
          <w:iCs/>
          <w:sz w:val="20"/>
          <w:szCs w:val="20"/>
        </w:rPr>
        <w:t xml:space="preserve">Magic in the Roman </w:t>
      </w:r>
      <w:r w:rsidRPr="00A94F37">
        <w:rPr>
          <w:rFonts w:ascii="Times New Roman" w:eastAsia="Times New Roman" w:hAnsi="Times New Roman" w:cs="Times New Roman"/>
          <w:sz w:val="20"/>
          <w:szCs w:val="20"/>
        </w:rPr>
        <w:t>World</w:t>
      </w:r>
      <w:r w:rsidR="003A020C" w:rsidRPr="00A94F37">
        <w:rPr>
          <w:rFonts w:ascii="Times New Roman" w:eastAsia="Times New Roman" w:hAnsi="Times New Roman" w:cs="Times New Roman"/>
          <w:sz w:val="20"/>
          <w:szCs w:val="20"/>
        </w:rPr>
        <w:t xml:space="preserve">, </w:t>
      </w:r>
      <w:r w:rsidRPr="00A94F37">
        <w:rPr>
          <w:rFonts w:ascii="Times New Roman" w:eastAsia="Times New Roman" w:hAnsi="Times New Roman" w:cs="Times New Roman"/>
          <w:sz w:val="20"/>
          <w:szCs w:val="20"/>
        </w:rPr>
        <w:t>p</w:t>
      </w:r>
      <w:r w:rsidR="006E3D1E" w:rsidRPr="00A94F37">
        <w:rPr>
          <w:rFonts w:ascii="Times New Roman" w:eastAsia="Times New Roman" w:hAnsi="Times New Roman" w:cs="Times New Roman"/>
          <w:sz w:val="20"/>
          <w:szCs w:val="20"/>
        </w:rPr>
        <w:t>p. 30-31.</w:t>
      </w:r>
      <w:r w:rsidR="006E3D1E" w:rsidRPr="00985A6A">
        <w:rPr>
          <w:rFonts w:ascii="Times New Roman" w:eastAsia="Times New Roman" w:hAnsi="Times New Roman" w:cs="Times New Roman"/>
          <w:sz w:val="20"/>
          <w:szCs w:val="20"/>
        </w:rPr>
        <w:t xml:space="preserve"> </w:t>
      </w:r>
      <w:r w:rsidRPr="00985A6A">
        <w:rPr>
          <w:rFonts w:ascii="Times New Roman" w:eastAsia="Times New Roman" w:hAnsi="Times New Roman" w:cs="Times New Roman"/>
          <w:sz w:val="20"/>
          <w:szCs w:val="20"/>
        </w:rPr>
        <w:t xml:space="preserve"> </w:t>
      </w:r>
    </w:p>
  </w:footnote>
  <w:footnote w:id="30">
    <w:p w14:paraId="3B4B73DF" w14:textId="663A5420" w:rsidR="00023A53" w:rsidRPr="00985A6A" w:rsidRDefault="00023A53">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rPr>
        <w:t xml:space="preserve">Janowitz, </w:t>
      </w:r>
      <w:r w:rsidRPr="00985A6A">
        <w:rPr>
          <w:rFonts w:ascii="Times New Roman" w:eastAsia="Times New Roman" w:hAnsi="Times New Roman" w:cs="Times New Roman"/>
          <w:i/>
          <w:iCs/>
        </w:rPr>
        <w:t xml:space="preserve">Magic in the Roman </w:t>
      </w:r>
      <w:r w:rsidRPr="00985A6A">
        <w:rPr>
          <w:rFonts w:ascii="Times New Roman" w:eastAsia="Times New Roman" w:hAnsi="Times New Roman" w:cs="Times New Roman"/>
        </w:rPr>
        <w:t xml:space="preserve">World, p. 28. </w:t>
      </w:r>
    </w:p>
  </w:footnote>
  <w:footnote w:id="31">
    <w:p w14:paraId="15F9BF97" w14:textId="57392B08" w:rsidR="00875ED0" w:rsidRPr="00985A6A" w:rsidRDefault="00875ED0">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rPr>
        <w:t xml:space="preserve">Janowitz, </w:t>
      </w:r>
      <w:r w:rsidRPr="00985A6A">
        <w:rPr>
          <w:rFonts w:ascii="Times New Roman" w:eastAsia="Times New Roman" w:hAnsi="Times New Roman" w:cs="Times New Roman"/>
          <w:i/>
          <w:iCs/>
        </w:rPr>
        <w:t xml:space="preserve">Magic in the Roman </w:t>
      </w:r>
      <w:r w:rsidRPr="00985A6A">
        <w:rPr>
          <w:rFonts w:ascii="Times New Roman" w:eastAsia="Times New Roman" w:hAnsi="Times New Roman" w:cs="Times New Roman"/>
        </w:rPr>
        <w:t xml:space="preserve">World, p. 27. </w:t>
      </w:r>
    </w:p>
  </w:footnote>
  <w:footnote w:id="32">
    <w:p w14:paraId="4D0C52B1" w14:textId="66BA0D51" w:rsidR="00561CA3" w:rsidRPr="00985A6A" w:rsidRDefault="00561CA3" w:rsidP="00C352E5">
      <w:pPr>
        <w:spacing w:line="240" w:lineRule="auto"/>
        <w:ind w:left="144" w:hanging="144"/>
        <w:rPr>
          <w:rFonts w:ascii="Times New Roman" w:eastAsia="Times New Roman" w:hAnsi="Times New Roman" w:cs="Times New Roman"/>
          <w:color w:val="000000" w:themeColor="text1"/>
          <w:sz w:val="20"/>
          <w:szCs w:val="20"/>
        </w:rPr>
      </w:pPr>
      <w:r w:rsidRPr="00985A6A">
        <w:rPr>
          <w:rStyle w:val="FootnoteReference"/>
          <w:rFonts w:ascii="Times New Roman" w:hAnsi="Times New Roman" w:cs="Times New Roman"/>
          <w:color w:val="000000" w:themeColor="text1"/>
          <w:sz w:val="20"/>
          <w:szCs w:val="20"/>
        </w:rPr>
        <w:footnoteRef/>
      </w:r>
      <w:r w:rsidRPr="00985A6A">
        <w:rPr>
          <w:rFonts w:ascii="Times New Roman" w:hAnsi="Times New Roman" w:cs="Times New Roman"/>
          <w:color w:val="000000" w:themeColor="text1"/>
          <w:sz w:val="20"/>
          <w:szCs w:val="20"/>
        </w:rPr>
        <w:t xml:space="preserve"> </w:t>
      </w:r>
      <w:r w:rsidR="00206BB1" w:rsidRPr="00985A6A">
        <w:rPr>
          <w:rFonts w:ascii="Times New Roman" w:hAnsi="Times New Roman" w:cs="Times New Roman"/>
          <w:color w:val="000000" w:themeColor="text1"/>
          <w:sz w:val="20"/>
          <w:szCs w:val="20"/>
        </w:rPr>
        <w:t>Panagiotis K</w:t>
      </w:r>
      <w:r w:rsidR="00206BB1" w:rsidRPr="00985A6A">
        <w:rPr>
          <w:rFonts w:ascii="Times New Roman" w:eastAsia="Times New Roman" w:hAnsi="Times New Roman" w:cs="Times New Roman"/>
          <w:color w:val="000000" w:themeColor="text1"/>
          <w:sz w:val="20"/>
          <w:szCs w:val="20"/>
        </w:rPr>
        <w:t xml:space="preserve">ousoulis, ‘Introduction: The Demonic Lore of Ancient Egypt: Questions on Definition,’ in </w:t>
      </w:r>
      <w:r w:rsidR="00206BB1" w:rsidRPr="00985A6A">
        <w:rPr>
          <w:rFonts w:ascii="Times New Roman" w:eastAsia="Times New Roman" w:hAnsi="Times New Roman" w:cs="Times New Roman"/>
          <w:i/>
          <w:iCs/>
          <w:color w:val="000000" w:themeColor="text1"/>
          <w:sz w:val="20"/>
          <w:szCs w:val="20"/>
        </w:rPr>
        <w:t>Ancient Egyptian Demonology: Studies on the Boundaries between the Demonic and the Divine in Egyptian Magic</w:t>
      </w:r>
      <w:r w:rsidR="00206BB1" w:rsidRPr="00985A6A">
        <w:rPr>
          <w:rFonts w:ascii="Times New Roman" w:eastAsia="Times New Roman" w:hAnsi="Times New Roman" w:cs="Times New Roman"/>
          <w:color w:val="000000" w:themeColor="text1"/>
          <w:sz w:val="20"/>
          <w:szCs w:val="20"/>
        </w:rPr>
        <w:t>, ed. by Panagiotis Kousoulis</w:t>
      </w:r>
      <w:r w:rsidR="007C0D2D" w:rsidRPr="00985A6A">
        <w:rPr>
          <w:rFonts w:ascii="Times New Roman" w:eastAsia="Times New Roman" w:hAnsi="Times New Roman" w:cs="Times New Roman"/>
          <w:color w:val="000000" w:themeColor="text1"/>
          <w:sz w:val="20"/>
          <w:szCs w:val="20"/>
        </w:rPr>
        <w:t xml:space="preserve"> </w:t>
      </w:r>
      <w:r w:rsidR="00206BB1" w:rsidRPr="00985A6A">
        <w:rPr>
          <w:rFonts w:ascii="Times New Roman" w:eastAsia="Times New Roman" w:hAnsi="Times New Roman" w:cs="Times New Roman"/>
          <w:color w:val="000000" w:themeColor="text1"/>
          <w:sz w:val="20"/>
          <w:szCs w:val="20"/>
        </w:rPr>
        <w:t>(Leuven: Peeters Publishers, 2011), p</w:t>
      </w:r>
      <w:r w:rsidR="00F61C97" w:rsidRPr="00985A6A">
        <w:rPr>
          <w:rFonts w:ascii="Times New Roman" w:eastAsia="Times New Roman" w:hAnsi="Times New Roman" w:cs="Times New Roman"/>
          <w:color w:val="000000" w:themeColor="text1"/>
          <w:sz w:val="20"/>
          <w:szCs w:val="20"/>
        </w:rPr>
        <w:t>p</w:t>
      </w:r>
      <w:r w:rsidR="00206BB1" w:rsidRPr="00985A6A">
        <w:rPr>
          <w:rFonts w:ascii="Times New Roman" w:eastAsia="Times New Roman" w:hAnsi="Times New Roman" w:cs="Times New Roman"/>
          <w:color w:val="000000" w:themeColor="text1"/>
          <w:sz w:val="20"/>
          <w:szCs w:val="20"/>
        </w:rPr>
        <w:t>. xi</w:t>
      </w:r>
      <w:r w:rsidR="00F61C97" w:rsidRPr="00985A6A">
        <w:rPr>
          <w:rFonts w:ascii="Times New Roman" w:eastAsia="Times New Roman" w:hAnsi="Times New Roman" w:cs="Times New Roman"/>
          <w:color w:val="000000" w:themeColor="text1"/>
          <w:sz w:val="20"/>
          <w:szCs w:val="20"/>
        </w:rPr>
        <w:t xml:space="preserve">-xiv. </w:t>
      </w:r>
    </w:p>
  </w:footnote>
  <w:footnote w:id="33">
    <w:p w14:paraId="16C85FC8" w14:textId="1D794A1D" w:rsidR="00177FF0" w:rsidRPr="00985A6A" w:rsidRDefault="00177FF0">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rPr>
        <w:t xml:space="preserve">Janowitz, </w:t>
      </w:r>
      <w:r w:rsidRPr="00985A6A">
        <w:rPr>
          <w:rFonts w:ascii="Times New Roman" w:eastAsia="Times New Roman" w:hAnsi="Times New Roman" w:cs="Times New Roman"/>
          <w:i/>
          <w:iCs/>
        </w:rPr>
        <w:t xml:space="preserve">Magic in the Roman </w:t>
      </w:r>
      <w:r w:rsidRPr="00985A6A">
        <w:rPr>
          <w:rFonts w:ascii="Times New Roman" w:eastAsia="Times New Roman" w:hAnsi="Times New Roman" w:cs="Times New Roman"/>
        </w:rPr>
        <w:t>World, pp. 32-33.</w:t>
      </w:r>
    </w:p>
  </w:footnote>
  <w:footnote w:id="34">
    <w:p w14:paraId="25454C42" w14:textId="3E048BB6" w:rsidR="00E7642B" w:rsidRPr="00985A6A" w:rsidRDefault="00E7642B" w:rsidP="00B61D94">
      <w:pPr>
        <w:pStyle w:val="FootnoteText"/>
        <w:ind w:left="144" w:hanging="144"/>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00245DC6" w:rsidRPr="00985A6A">
        <w:rPr>
          <w:rFonts w:ascii="Times New Roman" w:hAnsi="Times New Roman" w:cs="Times New Roman"/>
        </w:rPr>
        <w:t xml:space="preserve">Roy </w:t>
      </w:r>
      <w:r w:rsidR="00245DC6" w:rsidRPr="00985A6A">
        <w:rPr>
          <w:rFonts w:ascii="Times New Roman" w:eastAsia="Times New Roman" w:hAnsi="Times New Roman" w:cs="Times New Roman"/>
        </w:rPr>
        <w:t>Kotansky, ‘Greek Exorcistic Amulets</w:t>
      </w:r>
      <w:r w:rsidR="00F469A9" w:rsidRPr="00985A6A">
        <w:rPr>
          <w:rFonts w:ascii="Times New Roman" w:eastAsia="Times New Roman" w:hAnsi="Times New Roman" w:cs="Times New Roman"/>
        </w:rPr>
        <w:t>’,</w:t>
      </w:r>
      <w:r w:rsidR="00245DC6" w:rsidRPr="00985A6A">
        <w:rPr>
          <w:rFonts w:ascii="Times New Roman" w:eastAsia="Times New Roman" w:hAnsi="Times New Roman" w:cs="Times New Roman"/>
        </w:rPr>
        <w:t xml:space="preserve"> in </w:t>
      </w:r>
      <w:r w:rsidR="00245DC6" w:rsidRPr="00985A6A">
        <w:rPr>
          <w:rFonts w:ascii="Times New Roman" w:eastAsia="Times New Roman" w:hAnsi="Times New Roman" w:cs="Times New Roman"/>
          <w:i/>
          <w:iCs/>
        </w:rPr>
        <w:t>Ancient Magic and Ritual Power</w:t>
      </w:r>
      <w:r w:rsidR="00245DC6" w:rsidRPr="00985A6A">
        <w:rPr>
          <w:rFonts w:ascii="Times New Roman" w:eastAsia="Times New Roman" w:hAnsi="Times New Roman" w:cs="Times New Roman"/>
        </w:rPr>
        <w:t>, ed. by Marvin W. Meyer and Paul Allan Mirecki (Leiden; New York: Brill, 1995), p. 246.</w:t>
      </w:r>
    </w:p>
  </w:footnote>
  <w:footnote w:id="35">
    <w:p w14:paraId="6A7A50DE" w14:textId="0D35CCE3" w:rsidR="009D0781" w:rsidRPr="00985A6A" w:rsidRDefault="009D0781" w:rsidP="009D0781">
      <w:pPr>
        <w:spacing w:line="240" w:lineRule="auto"/>
        <w:ind w:left="144" w:hanging="144"/>
        <w:rPr>
          <w:rFonts w:ascii="Times New Roman" w:eastAsia="Times New Roman" w:hAnsi="Times New Roman" w:cs="Times New Roman"/>
          <w:sz w:val="20"/>
          <w:szCs w:val="20"/>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w:t>
      </w:r>
      <w:r w:rsidRPr="00985A6A">
        <w:rPr>
          <w:rFonts w:ascii="Times New Roman" w:eastAsia="Times New Roman" w:hAnsi="Times New Roman" w:cs="Times New Roman"/>
          <w:sz w:val="20"/>
          <w:szCs w:val="20"/>
        </w:rPr>
        <w:t xml:space="preserve">Janowitz, </w:t>
      </w:r>
      <w:r w:rsidRPr="00985A6A">
        <w:rPr>
          <w:rFonts w:ascii="Times New Roman" w:eastAsia="Times New Roman" w:hAnsi="Times New Roman" w:cs="Times New Roman"/>
          <w:i/>
          <w:iCs/>
          <w:sz w:val="20"/>
          <w:szCs w:val="20"/>
        </w:rPr>
        <w:t xml:space="preserve">Magic in the Roman </w:t>
      </w:r>
      <w:r w:rsidRPr="00985A6A">
        <w:rPr>
          <w:rFonts w:ascii="Times New Roman" w:eastAsia="Times New Roman" w:hAnsi="Times New Roman" w:cs="Times New Roman"/>
          <w:sz w:val="20"/>
          <w:szCs w:val="20"/>
        </w:rPr>
        <w:t>World</w:t>
      </w:r>
      <w:r w:rsidR="00F97E0F" w:rsidRPr="00985A6A">
        <w:rPr>
          <w:rFonts w:ascii="Times New Roman" w:eastAsia="Times New Roman" w:hAnsi="Times New Roman" w:cs="Times New Roman"/>
          <w:sz w:val="20"/>
          <w:szCs w:val="20"/>
        </w:rPr>
        <w:t xml:space="preserve">, </w:t>
      </w:r>
      <w:r w:rsidRPr="00985A6A">
        <w:rPr>
          <w:rFonts w:ascii="Times New Roman" w:eastAsia="Times New Roman" w:hAnsi="Times New Roman" w:cs="Times New Roman"/>
          <w:sz w:val="20"/>
          <w:szCs w:val="20"/>
        </w:rPr>
        <w:t>p. 3</w:t>
      </w:r>
      <w:r w:rsidR="00F97E0F" w:rsidRPr="00985A6A">
        <w:rPr>
          <w:rFonts w:ascii="Times New Roman" w:eastAsia="Times New Roman" w:hAnsi="Times New Roman" w:cs="Times New Roman"/>
          <w:sz w:val="20"/>
          <w:szCs w:val="20"/>
        </w:rPr>
        <w:t>1.</w:t>
      </w:r>
    </w:p>
  </w:footnote>
  <w:footnote w:id="36">
    <w:p w14:paraId="106E943D" w14:textId="74416738" w:rsidR="00DA5043" w:rsidRPr="003B12B4" w:rsidRDefault="00DA5043" w:rsidP="009647B3">
      <w:pPr>
        <w:spacing w:line="240" w:lineRule="auto"/>
        <w:ind w:left="144" w:hanging="144"/>
        <w:rPr>
          <w:rFonts w:ascii="Times New Roman" w:hAnsi="Times New Roman" w:cs="Times New Roman"/>
        </w:rPr>
      </w:pPr>
      <w:r w:rsidRPr="003B12B4">
        <w:rPr>
          <w:rStyle w:val="FootnoteReference"/>
          <w:rFonts w:ascii="Times New Roman" w:hAnsi="Times New Roman" w:cs="Times New Roman"/>
          <w:sz w:val="20"/>
          <w:szCs w:val="20"/>
        </w:rPr>
        <w:footnoteRef/>
      </w:r>
      <w:r w:rsidRPr="003B12B4">
        <w:rPr>
          <w:rFonts w:ascii="Times New Roman" w:hAnsi="Times New Roman" w:cs="Times New Roman"/>
          <w:sz w:val="20"/>
          <w:szCs w:val="20"/>
        </w:rPr>
        <w:t xml:space="preserve"> </w:t>
      </w:r>
      <w:r w:rsidRPr="003B12B4">
        <w:rPr>
          <w:rFonts w:ascii="Times New Roman" w:eastAsia="Times New Roman" w:hAnsi="Times New Roman" w:cs="Times New Roman"/>
          <w:color w:val="000000" w:themeColor="text1"/>
          <w:sz w:val="20"/>
          <w:szCs w:val="20"/>
          <w:lang w:eastAsia="en-GB"/>
        </w:rPr>
        <w:t xml:space="preserve">Betz, </w:t>
      </w:r>
      <w:r w:rsidRPr="003B12B4">
        <w:rPr>
          <w:rFonts w:ascii="Times New Roman" w:eastAsia="Times New Roman" w:hAnsi="Times New Roman" w:cs="Times New Roman"/>
          <w:color w:val="000000" w:themeColor="text1"/>
          <w:sz w:val="20"/>
          <w:szCs w:val="20"/>
        </w:rPr>
        <w:t>‘Jewish Magic’, p. 46</w:t>
      </w:r>
      <w:r w:rsidR="009647B3" w:rsidRPr="003B12B4">
        <w:rPr>
          <w:rFonts w:ascii="Times New Roman" w:eastAsia="Times New Roman" w:hAnsi="Times New Roman" w:cs="Times New Roman"/>
          <w:color w:val="000000" w:themeColor="text1"/>
          <w:sz w:val="20"/>
          <w:szCs w:val="20"/>
        </w:rPr>
        <w:t xml:space="preserve">; Graham H. </w:t>
      </w:r>
      <w:r w:rsidR="009647B3" w:rsidRPr="003B12B4">
        <w:rPr>
          <w:rFonts w:ascii="Times New Roman" w:eastAsia="Times New Roman" w:hAnsi="Times New Roman" w:cs="Times New Roman"/>
          <w:sz w:val="20"/>
          <w:szCs w:val="20"/>
        </w:rPr>
        <w:t>Twelftree, ‘Jesus the Exorcist and Ancient Magic</w:t>
      </w:r>
      <w:r w:rsidR="00F469A9" w:rsidRPr="003B12B4">
        <w:rPr>
          <w:rFonts w:ascii="Times New Roman" w:eastAsia="Times New Roman" w:hAnsi="Times New Roman" w:cs="Times New Roman"/>
          <w:sz w:val="20"/>
          <w:szCs w:val="20"/>
        </w:rPr>
        <w:t>’,</w:t>
      </w:r>
      <w:r w:rsidR="009647B3" w:rsidRPr="003B12B4">
        <w:rPr>
          <w:rFonts w:ascii="Times New Roman" w:eastAsia="Times New Roman" w:hAnsi="Times New Roman" w:cs="Times New Roman"/>
          <w:sz w:val="20"/>
          <w:szCs w:val="20"/>
        </w:rPr>
        <w:t xml:space="preserve"> in </w:t>
      </w:r>
      <w:r w:rsidR="009647B3" w:rsidRPr="003B12B4">
        <w:rPr>
          <w:rFonts w:ascii="Times New Roman" w:eastAsia="Times New Roman" w:hAnsi="Times New Roman" w:cs="Times New Roman"/>
          <w:i/>
          <w:iCs/>
          <w:sz w:val="20"/>
          <w:szCs w:val="20"/>
        </w:rPr>
        <w:t>A Kind of Magic: Understanding Magic in the New Testament and Its Religious Environment</w:t>
      </w:r>
      <w:r w:rsidR="009647B3" w:rsidRPr="003B12B4">
        <w:rPr>
          <w:rFonts w:ascii="Times New Roman" w:eastAsia="Times New Roman" w:hAnsi="Times New Roman" w:cs="Times New Roman"/>
          <w:sz w:val="20"/>
          <w:szCs w:val="20"/>
        </w:rPr>
        <w:t>, ed. by Michael Labahn and Bert Jan Lietaert Peerbolte (London; New York: T &amp; T Clark, 2007), p</w:t>
      </w:r>
      <w:r w:rsidR="007F3124" w:rsidRPr="003B12B4">
        <w:rPr>
          <w:rFonts w:ascii="Times New Roman" w:eastAsia="Times New Roman" w:hAnsi="Times New Roman" w:cs="Times New Roman"/>
          <w:sz w:val="20"/>
          <w:szCs w:val="20"/>
        </w:rPr>
        <w:t>p. 63</w:t>
      </w:r>
      <w:r w:rsidR="00CB71F8">
        <w:rPr>
          <w:rFonts w:ascii="Times New Roman" w:eastAsia="Times New Roman" w:hAnsi="Times New Roman" w:cs="Times New Roman"/>
          <w:sz w:val="20"/>
          <w:szCs w:val="20"/>
        </w:rPr>
        <w:t>-</w:t>
      </w:r>
      <w:r w:rsidR="007F3124" w:rsidRPr="003B12B4">
        <w:rPr>
          <w:rFonts w:ascii="Times New Roman" w:eastAsia="Times New Roman" w:hAnsi="Times New Roman" w:cs="Times New Roman"/>
          <w:sz w:val="20"/>
          <w:szCs w:val="20"/>
        </w:rPr>
        <w:t xml:space="preserve">64. </w:t>
      </w:r>
    </w:p>
  </w:footnote>
  <w:footnote w:id="37">
    <w:p w14:paraId="2D5B861F" w14:textId="1F2C5A0E" w:rsidR="00DA5043" w:rsidRPr="003B12B4" w:rsidRDefault="00DA5043">
      <w:pPr>
        <w:pStyle w:val="FootnoteText"/>
        <w:rPr>
          <w:rFonts w:ascii="Times New Roman" w:hAnsi="Times New Roman" w:cs="Times New Roman"/>
        </w:rPr>
      </w:pPr>
      <w:r w:rsidRPr="003B12B4">
        <w:rPr>
          <w:rStyle w:val="FootnoteReference"/>
          <w:rFonts w:ascii="Times New Roman" w:hAnsi="Times New Roman" w:cs="Times New Roman"/>
        </w:rPr>
        <w:footnoteRef/>
      </w:r>
      <w:r w:rsidRPr="003B12B4">
        <w:rPr>
          <w:rFonts w:ascii="Times New Roman" w:hAnsi="Times New Roman" w:cs="Times New Roman"/>
        </w:rPr>
        <w:t xml:space="preserve"> </w:t>
      </w:r>
      <w:r w:rsidR="00F67661" w:rsidRPr="003B12B4">
        <w:rPr>
          <w:rFonts w:ascii="Times New Roman" w:hAnsi="Times New Roman" w:cs="Times New Roman"/>
        </w:rPr>
        <w:t>As examples</w:t>
      </w:r>
      <w:r w:rsidR="00274684" w:rsidRPr="003B12B4">
        <w:rPr>
          <w:rFonts w:ascii="Times New Roman" w:hAnsi="Times New Roman" w:cs="Times New Roman"/>
        </w:rPr>
        <w:t>:</w:t>
      </w:r>
      <w:r w:rsidRPr="003B12B4">
        <w:rPr>
          <w:rFonts w:ascii="Times New Roman" w:hAnsi="Times New Roman" w:cs="Times New Roman"/>
        </w:rPr>
        <w:t xml:space="preserve"> Mark 1:23-26, 5:1-15; Matthew 8:28-33; Luke 4:33-35, 8:26-39.</w:t>
      </w:r>
    </w:p>
  </w:footnote>
  <w:footnote w:id="38">
    <w:p w14:paraId="341A04E6" w14:textId="1D233950" w:rsidR="00BF6810" w:rsidRPr="003B12B4" w:rsidRDefault="00BF6810" w:rsidP="004F52B1">
      <w:pPr>
        <w:spacing w:line="240" w:lineRule="auto"/>
        <w:ind w:left="144" w:hanging="144"/>
        <w:rPr>
          <w:rFonts w:ascii="Times New Roman" w:hAnsi="Times New Roman" w:cs="Times New Roman"/>
          <w:sz w:val="20"/>
          <w:szCs w:val="20"/>
        </w:rPr>
      </w:pPr>
      <w:r w:rsidRPr="003B12B4">
        <w:rPr>
          <w:rStyle w:val="FootnoteReference"/>
          <w:rFonts w:ascii="Times New Roman" w:hAnsi="Times New Roman" w:cs="Times New Roman"/>
          <w:sz w:val="20"/>
          <w:szCs w:val="20"/>
        </w:rPr>
        <w:footnoteRef/>
      </w:r>
      <w:r w:rsidRPr="003B12B4">
        <w:rPr>
          <w:rFonts w:ascii="Times New Roman" w:hAnsi="Times New Roman" w:cs="Times New Roman"/>
          <w:sz w:val="20"/>
          <w:szCs w:val="20"/>
        </w:rPr>
        <w:t xml:space="preserve"> </w:t>
      </w:r>
      <w:r w:rsidR="005C6CF6" w:rsidRPr="003B12B4">
        <w:rPr>
          <w:rFonts w:ascii="Times New Roman" w:hAnsi="Times New Roman" w:cs="Times New Roman"/>
          <w:sz w:val="20"/>
          <w:szCs w:val="20"/>
        </w:rPr>
        <w:t xml:space="preserve">Betz, </w:t>
      </w:r>
      <w:r w:rsidR="005C6CF6" w:rsidRPr="003B12B4">
        <w:rPr>
          <w:rFonts w:ascii="Times New Roman" w:hAnsi="Times New Roman" w:cs="Times New Roman"/>
          <w:i/>
          <w:iCs/>
          <w:sz w:val="20"/>
          <w:szCs w:val="20"/>
        </w:rPr>
        <w:t>Greek Magical Papyri</w:t>
      </w:r>
      <w:r w:rsidR="005C6CF6" w:rsidRPr="003B12B4">
        <w:rPr>
          <w:rFonts w:ascii="Times New Roman" w:hAnsi="Times New Roman" w:cs="Times New Roman"/>
          <w:sz w:val="20"/>
          <w:szCs w:val="20"/>
        </w:rPr>
        <w:t>, pp. 96-97. The English translations of PGM IV. 3007-86 and other spells used throughout this paper are from this volume, unless otherwise noted</w:t>
      </w:r>
      <w:r w:rsidR="00C64CD9" w:rsidRPr="003B12B4">
        <w:rPr>
          <w:rFonts w:ascii="Times New Roman" w:hAnsi="Times New Roman" w:cs="Times New Roman"/>
          <w:sz w:val="20"/>
          <w:szCs w:val="20"/>
        </w:rPr>
        <w:t xml:space="preserve">. </w:t>
      </w:r>
      <w:r w:rsidRPr="003B12B4">
        <w:rPr>
          <w:rFonts w:ascii="Times New Roman" w:eastAsia="Times New Roman" w:hAnsi="Times New Roman" w:cs="Times New Roman"/>
          <w:sz w:val="20"/>
          <w:szCs w:val="20"/>
          <w:lang w:eastAsia="en-GB"/>
        </w:rPr>
        <w:t xml:space="preserve">Wilfred Lawrence Knox, </w:t>
      </w:r>
      <w:r w:rsidR="00B36DA6" w:rsidRPr="003B12B4">
        <w:rPr>
          <w:rFonts w:ascii="Times New Roman" w:eastAsia="Times New Roman" w:hAnsi="Times New Roman" w:cs="Times New Roman"/>
          <w:sz w:val="20"/>
          <w:szCs w:val="20"/>
          <w:lang w:eastAsia="en-GB"/>
        </w:rPr>
        <w:t>‘</w:t>
      </w:r>
      <w:r w:rsidRPr="003B12B4">
        <w:rPr>
          <w:rFonts w:ascii="Times New Roman" w:eastAsia="Times New Roman" w:hAnsi="Times New Roman" w:cs="Times New Roman"/>
          <w:sz w:val="20"/>
          <w:szCs w:val="20"/>
          <w:lang w:eastAsia="en-GB"/>
        </w:rPr>
        <w:t>Jewish Liturgical Exorcism.</w:t>
      </w:r>
      <w:r w:rsidR="00B36DA6" w:rsidRPr="003B12B4">
        <w:rPr>
          <w:rFonts w:ascii="Times New Roman" w:eastAsia="Times New Roman" w:hAnsi="Times New Roman" w:cs="Times New Roman"/>
          <w:sz w:val="20"/>
          <w:szCs w:val="20"/>
          <w:lang w:eastAsia="en-GB"/>
        </w:rPr>
        <w:t>’</w:t>
      </w:r>
      <w:r w:rsidRPr="003B12B4">
        <w:rPr>
          <w:rFonts w:ascii="Times New Roman" w:eastAsia="Times New Roman" w:hAnsi="Times New Roman" w:cs="Times New Roman"/>
          <w:sz w:val="20"/>
          <w:szCs w:val="20"/>
          <w:lang w:eastAsia="en-GB"/>
        </w:rPr>
        <w:t xml:space="preserve"> </w:t>
      </w:r>
      <w:r w:rsidRPr="003B12B4">
        <w:rPr>
          <w:rFonts w:ascii="Times New Roman" w:eastAsia="Times New Roman" w:hAnsi="Times New Roman" w:cs="Times New Roman"/>
          <w:i/>
          <w:iCs/>
          <w:sz w:val="20"/>
          <w:szCs w:val="20"/>
          <w:lang w:eastAsia="en-GB"/>
        </w:rPr>
        <w:t>HTR</w:t>
      </w:r>
      <w:r w:rsidRPr="003B12B4">
        <w:rPr>
          <w:rFonts w:ascii="Times New Roman" w:eastAsia="Times New Roman" w:hAnsi="Times New Roman" w:cs="Times New Roman"/>
          <w:sz w:val="20"/>
          <w:szCs w:val="20"/>
          <w:lang w:eastAsia="en-GB"/>
        </w:rPr>
        <w:t xml:space="preserve"> 31, no. 3 (1938): </w:t>
      </w:r>
      <w:r w:rsidR="00884DFA" w:rsidRPr="003B12B4">
        <w:rPr>
          <w:rFonts w:ascii="Times New Roman" w:eastAsia="Times New Roman" w:hAnsi="Times New Roman" w:cs="Times New Roman"/>
          <w:sz w:val="20"/>
          <w:szCs w:val="20"/>
          <w:lang w:eastAsia="en-GB"/>
        </w:rPr>
        <w:t xml:space="preserve">pp. 191-203 (p. </w:t>
      </w:r>
      <w:r w:rsidRPr="003B12B4">
        <w:rPr>
          <w:rFonts w:ascii="Times New Roman" w:eastAsia="Times New Roman" w:hAnsi="Times New Roman" w:cs="Times New Roman"/>
          <w:sz w:val="20"/>
          <w:szCs w:val="20"/>
          <w:lang w:eastAsia="en-GB"/>
        </w:rPr>
        <w:t>193</w:t>
      </w:r>
      <w:r w:rsidR="00884DFA" w:rsidRPr="003B12B4">
        <w:rPr>
          <w:rFonts w:ascii="Times New Roman" w:eastAsia="Times New Roman" w:hAnsi="Times New Roman" w:cs="Times New Roman"/>
          <w:sz w:val="20"/>
          <w:szCs w:val="20"/>
          <w:lang w:eastAsia="en-GB"/>
        </w:rPr>
        <w:t>)</w:t>
      </w:r>
      <w:r w:rsidRPr="003B12B4">
        <w:rPr>
          <w:rFonts w:ascii="Times New Roman" w:eastAsia="Times New Roman" w:hAnsi="Times New Roman" w:cs="Times New Roman"/>
          <w:sz w:val="20"/>
          <w:szCs w:val="20"/>
          <w:lang w:eastAsia="en-GB"/>
        </w:rPr>
        <w:t>.</w:t>
      </w:r>
    </w:p>
  </w:footnote>
  <w:footnote w:id="39">
    <w:p w14:paraId="4A89710D" w14:textId="356AFC3D" w:rsidR="00C94586" w:rsidRPr="003B12B4" w:rsidRDefault="00C94586">
      <w:pPr>
        <w:pStyle w:val="FootnoteText"/>
        <w:rPr>
          <w:rFonts w:ascii="Times New Roman" w:hAnsi="Times New Roman" w:cs="Times New Roman"/>
        </w:rPr>
      </w:pPr>
      <w:r w:rsidRPr="003B12B4">
        <w:rPr>
          <w:rStyle w:val="FootnoteReference"/>
          <w:rFonts w:ascii="Times New Roman" w:hAnsi="Times New Roman" w:cs="Times New Roman"/>
        </w:rPr>
        <w:footnoteRef/>
      </w:r>
      <w:r w:rsidRPr="003B12B4">
        <w:rPr>
          <w:rFonts w:ascii="Times New Roman" w:hAnsi="Times New Roman" w:cs="Times New Roman"/>
        </w:rPr>
        <w:t xml:space="preserve"> </w:t>
      </w:r>
      <w:r w:rsidR="00B47F3A" w:rsidRPr="003B12B4">
        <w:rPr>
          <w:rFonts w:ascii="Times New Roman" w:hAnsi="Times New Roman" w:cs="Times New Roman"/>
        </w:rPr>
        <w:t>See also</w:t>
      </w:r>
      <w:r w:rsidR="00F57C60" w:rsidRPr="003B12B4">
        <w:rPr>
          <w:rFonts w:ascii="Times New Roman" w:hAnsi="Times New Roman" w:cs="Times New Roman"/>
        </w:rPr>
        <w:t xml:space="preserve">: </w:t>
      </w:r>
      <w:r w:rsidRPr="003B12B4">
        <w:rPr>
          <w:rFonts w:ascii="Times New Roman" w:hAnsi="Times New Roman" w:cs="Times New Roman"/>
        </w:rPr>
        <w:t xml:space="preserve">PGM IV.1227-64, </w:t>
      </w:r>
      <w:r w:rsidR="00B36DA6" w:rsidRPr="003B12B4">
        <w:rPr>
          <w:rFonts w:ascii="Times New Roman" w:hAnsi="Times New Roman" w:cs="Times New Roman"/>
        </w:rPr>
        <w:t>‘</w:t>
      </w:r>
      <w:r w:rsidRPr="003B12B4">
        <w:rPr>
          <w:rFonts w:ascii="Times New Roman" w:hAnsi="Times New Roman" w:cs="Times New Roman"/>
        </w:rPr>
        <w:t>Excellent rite for driving out daimons</w:t>
      </w:r>
      <w:r w:rsidR="00B36DA6" w:rsidRPr="003B12B4">
        <w:rPr>
          <w:rFonts w:ascii="Times New Roman" w:hAnsi="Times New Roman" w:cs="Times New Roman"/>
        </w:rPr>
        <w:t xml:space="preserve">’ (Betz, </w:t>
      </w:r>
      <w:r w:rsidR="00B36DA6" w:rsidRPr="003B12B4">
        <w:rPr>
          <w:rFonts w:ascii="Times New Roman" w:hAnsi="Times New Roman" w:cs="Times New Roman"/>
          <w:i/>
          <w:iCs/>
        </w:rPr>
        <w:t>Greek Magical Papyri</w:t>
      </w:r>
      <w:r w:rsidR="00B36DA6" w:rsidRPr="003B12B4">
        <w:rPr>
          <w:rFonts w:ascii="Times New Roman" w:hAnsi="Times New Roman" w:cs="Times New Roman"/>
        </w:rPr>
        <w:t xml:space="preserve">, </w:t>
      </w:r>
      <w:r w:rsidR="001C2A3A" w:rsidRPr="003B12B4">
        <w:rPr>
          <w:rFonts w:ascii="Times New Roman" w:hAnsi="Times New Roman" w:cs="Times New Roman"/>
        </w:rPr>
        <w:t xml:space="preserve">p. 62). </w:t>
      </w:r>
    </w:p>
  </w:footnote>
  <w:footnote w:id="40">
    <w:p w14:paraId="14105820" w14:textId="1B85899C" w:rsidR="003B12B4" w:rsidRPr="003B12B4" w:rsidRDefault="003B12B4" w:rsidP="003B12B4">
      <w:pPr>
        <w:pStyle w:val="FootnoteText"/>
        <w:ind w:left="144" w:hanging="144"/>
        <w:rPr>
          <w:rFonts w:ascii="Times New Roman" w:hAnsi="Times New Roman" w:cs="Times New Roman"/>
          <w:lang w:val="en-US"/>
        </w:rPr>
      </w:pPr>
      <w:r w:rsidRPr="003B12B4">
        <w:rPr>
          <w:rStyle w:val="FootnoteReference"/>
          <w:rFonts w:ascii="Times New Roman" w:hAnsi="Times New Roman" w:cs="Times New Roman"/>
        </w:rPr>
        <w:footnoteRef/>
      </w:r>
      <w:r w:rsidRPr="003B12B4">
        <w:rPr>
          <w:rFonts w:ascii="Times New Roman" w:hAnsi="Times New Roman" w:cs="Times New Roman"/>
        </w:rPr>
        <w:t xml:space="preserve"> </w:t>
      </w:r>
      <w:r w:rsidRPr="003B12B4">
        <w:rPr>
          <w:rFonts w:ascii="Times New Roman" w:hAnsi="Times New Roman" w:cs="Times New Roman"/>
          <w:lang w:val="en-US"/>
        </w:rPr>
        <w:t>PGM IV.3019-3020 (</w:t>
      </w:r>
      <w:r w:rsidRPr="003B12B4">
        <w:rPr>
          <w:rFonts w:ascii="Times New Roman" w:hAnsi="Times New Roman" w:cs="Times New Roman"/>
        </w:rPr>
        <w:t xml:space="preserve">Betz, </w:t>
      </w:r>
      <w:r w:rsidRPr="003B12B4">
        <w:rPr>
          <w:rFonts w:ascii="Times New Roman" w:hAnsi="Times New Roman" w:cs="Times New Roman"/>
          <w:i/>
          <w:iCs/>
        </w:rPr>
        <w:t>Greek Magical Papyri</w:t>
      </w:r>
      <w:r w:rsidRPr="003B12B4">
        <w:rPr>
          <w:rFonts w:ascii="Times New Roman" w:hAnsi="Times New Roman" w:cs="Times New Roman"/>
        </w:rPr>
        <w:t xml:space="preserve">, p. 96; Adolf </w:t>
      </w:r>
      <w:r w:rsidRPr="003B12B4">
        <w:rPr>
          <w:rFonts w:ascii="Times New Roman" w:eastAsia="Times New Roman" w:hAnsi="Times New Roman" w:cs="Times New Roman"/>
        </w:rPr>
        <w:t xml:space="preserve">Deissmann, </w:t>
      </w:r>
      <w:r w:rsidRPr="003B12B4">
        <w:rPr>
          <w:rFonts w:ascii="Times New Roman" w:eastAsia="Times New Roman" w:hAnsi="Times New Roman" w:cs="Times New Roman"/>
          <w:i/>
          <w:iCs/>
        </w:rPr>
        <w:t>Light from the Ancient East: The New Testament Illustrated by Recently Discovered Texts of the Graeco-Roman World</w:t>
      </w:r>
      <w:r w:rsidRPr="003B12B4">
        <w:rPr>
          <w:rFonts w:ascii="Times New Roman" w:eastAsia="Times New Roman" w:hAnsi="Times New Roman" w:cs="Times New Roman"/>
        </w:rPr>
        <w:t>, trans. by Lionel R. M. Strachan (New York; London: Harper &amp; Brothers, 1922), pp. 2</w:t>
      </w:r>
      <w:r w:rsidR="00616EFF">
        <w:rPr>
          <w:rFonts w:ascii="Times New Roman" w:eastAsia="Times New Roman" w:hAnsi="Times New Roman" w:cs="Times New Roman"/>
        </w:rPr>
        <w:t>59-</w:t>
      </w:r>
      <w:r>
        <w:rPr>
          <w:rFonts w:ascii="Times New Roman" w:eastAsia="Times New Roman" w:hAnsi="Times New Roman" w:cs="Times New Roman"/>
        </w:rPr>
        <w:t>60</w:t>
      </w:r>
      <w:r w:rsidRPr="003B12B4">
        <w:rPr>
          <w:rFonts w:ascii="Times New Roman" w:hAnsi="Times New Roman" w:cs="Times New Roman"/>
        </w:rPr>
        <w:t>).</w:t>
      </w:r>
      <w:r w:rsidR="00824911">
        <w:rPr>
          <w:rFonts w:ascii="Times New Roman" w:hAnsi="Times New Roman" w:cs="Times New Roman"/>
        </w:rPr>
        <w:t xml:space="preserve"> </w:t>
      </w:r>
      <w:r w:rsidR="00824911" w:rsidRPr="00824911">
        <w:rPr>
          <w:rFonts w:ascii="Times New Roman" w:hAnsi="Times New Roman" w:cs="Times New Roman"/>
        </w:rPr>
        <w:t>Throughout this paper, line numbers are referenced from the Deissmann edition, which provides a more exact presentation of the text’s structure than the translation presented in Betz.</w:t>
      </w:r>
    </w:p>
  </w:footnote>
  <w:footnote w:id="41">
    <w:p w14:paraId="6A445B8D" w14:textId="5F79CFF9" w:rsidR="00ED1203" w:rsidRPr="00985A6A" w:rsidRDefault="00ED1203" w:rsidP="00DF174F">
      <w:pPr>
        <w:spacing w:line="240" w:lineRule="auto"/>
        <w:ind w:left="144" w:hanging="144"/>
        <w:rPr>
          <w:rFonts w:ascii="Times New Roman" w:hAnsi="Times New Roman" w:cs="Times New Roman"/>
        </w:rPr>
      </w:pPr>
      <w:r w:rsidRPr="003B12B4">
        <w:rPr>
          <w:rStyle w:val="FootnoteReference"/>
          <w:rFonts w:ascii="Times New Roman" w:hAnsi="Times New Roman" w:cs="Times New Roman"/>
          <w:sz w:val="20"/>
          <w:szCs w:val="20"/>
        </w:rPr>
        <w:footnoteRef/>
      </w:r>
      <w:r w:rsidRPr="003B12B4">
        <w:rPr>
          <w:rFonts w:ascii="Times New Roman" w:hAnsi="Times New Roman" w:cs="Times New Roman"/>
          <w:sz w:val="20"/>
          <w:szCs w:val="20"/>
        </w:rPr>
        <w:t xml:space="preserve"> </w:t>
      </w:r>
      <w:r w:rsidR="00274684" w:rsidRPr="003B12B4">
        <w:rPr>
          <w:rFonts w:ascii="Times New Roman" w:hAnsi="Times New Roman" w:cs="Times New Roman"/>
          <w:sz w:val="20"/>
          <w:szCs w:val="20"/>
        </w:rPr>
        <w:t>As examples</w:t>
      </w:r>
      <w:r w:rsidR="00265E24" w:rsidRPr="003B12B4">
        <w:rPr>
          <w:rFonts w:ascii="Times New Roman" w:hAnsi="Times New Roman" w:cs="Times New Roman"/>
          <w:sz w:val="20"/>
          <w:szCs w:val="20"/>
        </w:rPr>
        <w:t xml:space="preserve">: </w:t>
      </w:r>
      <w:r w:rsidRPr="003B12B4">
        <w:rPr>
          <w:rFonts w:ascii="Times New Roman" w:eastAsia="Times New Roman" w:hAnsi="Times New Roman" w:cs="Times New Roman"/>
          <w:sz w:val="20"/>
          <w:szCs w:val="20"/>
        </w:rPr>
        <w:t xml:space="preserve">Deissmann, </w:t>
      </w:r>
      <w:r w:rsidRPr="003B12B4">
        <w:rPr>
          <w:rFonts w:ascii="Times New Roman" w:eastAsia="Times New Roman" w:hAnsi="Times New Roman" w:cs="Times New Roman"/>
          <w:i/>
          <w:iCs/>
          <w:sz w:val="20"/>
          <w:szCs w:val="20"/>
        </w:rPr>
        <w:t xml:space="preserve">Light from the Ancient </w:t>
      </w:r>
      <w:r w:rsidRPr="003B12B4">
        <w:rPr>
          <w:rFonts w:ascii="Times New Roman" w:eastAsia="Times New Roman" w:hAnsi="Times New Roman" w:cs="Times New Roman"/>
          <w:sz w:val="20"/>
          <w:szCs w:val="20"/>
        </w:rPr>
        <w:t>East</w:t>
      </w:r>
      <w:r w:rsidR="003B12B4">
        <w:rPr>
          <w:rFonts w:ascii="Times New Roman" w:eastAsia="Times New Roman" w:hAnsi="Times New Roman" w:cs="Times New Roman"/>
          <w:sz w:val="20"/>
          <w:szCs w:val="20"/>
        </w:rPr>
        <w:t xml:space="preserve">, </w:t>
      </w:r>
      <w:r w:rsidR="004711EE" w:rsidRPr="003B12B4">
        <w:rPr>
          <w:rFonts w:ascii="Times New Roman" w:eastAsia="Times New Roman" w:hAnsi="Times New Roman" w:cs="Times New Roman"/>
          <w:sz w:val="20"/>
          <w:szCs w:val="20"/>
        </w:rPr>
        <w:t xml:space="preserve">pp. </w:t>
      </w:r>
      <w:r w:rsidR="007E05BB" w:rsidRPr="003B12B4">
        <w:rPr>
          <w:rFonts w:ascii="Times New Roman" w:eastAsia="Times New Roman" w:hAnsi="Times New Roman" w:cs="Times New Roman"/>
          <w:sz w:val="20"/>
          <w:szCs w:val="20"/>
        </w:rPr>
        <w:t>191–203</w:t>
      </w:r>
      <w:r w:rsidR="00FC079A" w:rsidRPr="003B12B4">
        <w:rPr>
          <w:rFonts w:ascii="Times New Roman" w:eastAsia="Times New Roman" w:hAnsi="Times New Roman" w:cs="Times New Roman"/>
          <w:sz w:val="20"/>
          <w:szCs w:val="20"/>
        </w:rPr>
        <w:t xml:space="preserve">; Arthur Darby Nock, ‘Greek Magical Papyri,’ </w:t>
      </w:r>
      <w:r w:rsidR="00FC079A" w:rsidRPr="003B12B4">
        <w:rPr>
          <w:rFonts w:ascii="Times New Roman" w:eastAsia="Times New Roman" w:hAnsi="Times New Roman" w:cs="Times New Roman"/>
          <w:i/>
          <w:iCs/>
          <w:sz w:val="20"/>
          <w:szCs w:val="20"/>
        </w:rPr>
        <w:t>The Journal of Egyptian Archaeology</w:t>
      </w:r>
      <w:r w:rsidR="00FC079A" w:rsidRPr="003B12B4">
        <w:rPr>
          <w:rFonts w:ascii="Times New Roman" w:eastAsia="Times New Roman" w:hAnsi="Times New Roman" w:cs="Times New Roman"/>
          <w:sz w:val="20"/>
          <w:szCs w:val="20"/>
        </w:rPr>
        <w:t xml:space="preserve">, 15 (1929), </w:t>
      </w:r>
      <w:r w:rsidR="00E41B21" w:rsidRPr="003B12B4">
        <w:rPr>
          <w:rFonts w:ascii="Times New Roman" w:eastAsia="Times New Roman" w:hAnsi="Times New Roman" w:cs="Times New Roman"/>
          <w:sz w:val="20"/>
          <w:szCs w:val="20"/>
        </w:rPr>
        <w:t xml:space="preserve">pp. </w:t>
      </w:r>
      <w:r w:rsidR="00FC079A" w:rsidRPr="003B12B4">
        <w:rPr>
          <w:rFonts w:ascii="Times New Roman" w:eastAsia="Times New Roman" w:hAnsi="Times New Roman" w:cs="Times New Roman"/>
          <w:sz w:val="20"/>
          <w:szCs w:val="20"/>
        </w:rPr>
        <w:t>219-235</w:t>
      </w:r>
      <w:r w:rsidR="00E41B21" w:rsidRPr="003B12B4">
        <w:rPr>
          <w:rFonts w:ascii="Times New Roman" w:eastAsia="Times New Roman" w:hAnsi="Times New Roman" w:cs="Times New Roman"/>
          <w:sz w:val="20"/>
          <w:szCs w:val="20"/>
        </w:rPr>
        <w:t xml:space="preserve"> (p. 183).</w:t>
      </w:r>
      <w:r w:rsidR="00E41B21" w:rsidRPr="00985A6A">
        <w:rPr>
          <w:rFonts w:ascii="Times New Roman" w:eastAsia="Times New Roman" w:hAnsi="Times New Roman" w:cs="Times New Roman"/>
          <w:sz w:val="20"/>
          <w:szCs w:val="20"/>
        </w:rPr>
        <w:t xml:space="preserve"> </w:t>
      </w:r>
    </w:p>
  </w:footnote>
  <w:footnote w:id="42">
    <w:p w14:paraId="1F27780F" w14:textId="7CCE02FA" w:rsidR="00F5221A" w:rsidRPr="00985A6A" w:rsidRDefault="00F5221A" w:rsidP="0054137A">
      <w:pPr>
        <w:spacing w:line="240" w:lineRule="auto"/>
        <w:ind w:left="144" w:hanging="144"/>
        <w:rPr>
          <w:rFonts w:ascii="Times New Roman" w:eastAsia="Times New Roman" w:hAnsi="Times New Roman" w:cs="Times New Roman"/>
          <w:sz w:val="20"/>
          <w:szCs w:val="20"/>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Betz, </w:t>
      </w:r>
      <w:r w:rsidRPr="00985A6A">
        <w:rPr>
          <w:rFonts w:ascii="Times New Roman" w:hAnsi="Times New Roman" w:cs="Times New Roman"/>
          <w:i/>
          <w:iCs/>
          <w:sz w:val="20"/>
          <w:szCs w:val="20"/>
        </w:rPr>
        <w:t>Greek Magical Papyri</w:t>
      </w:r>
      <w:r w:rsidRPr="00985A6A">
        <w:rPr>
          <w:rFonts w:ascii="Times New Roman" w:hAnsi="Times New Roman" w:cs="Times New Roman"/>
          <w:sz w:val="20"/>
          <w:szCs w:val="20"/>
        </w:rPr>
        <w:t>, p. 96</w:t>
      </w:r>
      <w:r w:rsidR="0096602B" w:rsidRPr="00985A6A">
        <w:rPr>
          <w:rFonts w:ascii="Times New Roman" w:hAnsi="Times New Roman" w:cs="Times New Roman"/>
          <w:sz w:val="20"/>
          <w:szCs w:val="20"/>
        </w:rPr>
        <w:t xml:space="preserve"> (fn. 386). </w:t>
      </w:r>
      <w:r w:rsidR="00700A68" w:rsidRPr="00985A6A">
        <w:rPr>
          <w:rFonts w:ascii="Times New Roman" w:hAnsi="Times New Roman" w:cs="Times New Roman"/>
          <w:sz w:val="20"/>
          <w:szCs w:val="20"/>
        </w:rPr>
        <w:t>‘Pibechus’ also means ‘falcon’</w:t>
      </w:r>
      <w:r w:rsidR="0054137A" w:rsidRPr="00985A6A">
        <w:rPr>
          <w:rFonts w:ascii="Times New Roman" w:hAnsi="Times New Roman" w:cs="Times New Roman"/>
          <w:sz w:val="20"/>
          <w:szCs w:val="20"/>
        </w:rPr>
        <w:t>, see</w:t>
      </w:r>
      <w:r w:rsidR="0087272C">
        <w:rPr>
          <w:rFonts w:ascii="Times New Roman" w:hAnsi="Times New Roman" w:cs="Times New Roman"/>
          <w:sz w:val="20"/>
          <w:szCs w:val="20"/>
        </w:rPr>
        <w:t>:</w:t>
      </w:r>
      <w:r w:rsidR="0054137A" w:rsidRPr="00985A6A">
        <w:rPr>
          <w:rFonts w:ascii="Times New Roman" w:hAnsi="Times New Roman" w:cs="Times New Roman"/>
          <w:sz w:val="20"/>
          <w:szCs w:val="20"/>
        </w:rPr>
        <w:t xml:space="preserve"> </w:t>
      </w:r>
      <w:r w:rsidR="0054137A" w:rsidRPr="00985A6A">
        <w:rPr>
          <w:rFonts w:ascii="Times New Roman" w:eastAsia="Times New Roman" w:hAnsi="Times New Roman" w:cs="Times New Roman"/>
          <w:sz w:val="20"/>
          <w:szCs w:val="20"/>
        </w:rPr>
        <w:t xml:space="preserve">Janowitz, </w:t>
      </w:r>
      <w:r w:rsidR="0054137A" w:rsidRPr="00985A6A">
        <w:rPr>
          <w:rFonts w:ascii="Times New Roman" w:eastAsia="Times New Roman" w:hAnsi="Times New Roman" w:cs="Times New Roman"/>
          <w:i/>
          <w:iCs/>
          <w:sz w:val="20"/>
          <w:szCs w:val="20"/>
        </w:rPr>
        <w:t xml:space="preserve">Magic in the Roman </w:t>
      </w:r>
      <w:r w:rsidR="0054137A" w:rsidRPr="00985A6A">
        <w:rPr>
          <w:rFonts w:ascii="Times New Roman" w:eastAsia="Times New Roman" w:hAnsi="Times New Roman" w:cs="Times New Roman"/>
          <w:sz w:val="20"/>
          <w:szCs w:val="20"/>
        </w:rPr>
        <w:t>World, p. 42.</w:t>
      </w:r>
    </w:p>
  </w:footnote>
  <w:footnote w:id="43">
    <w:p w14:paraId="05E2275A" w14:textId="744E13DD" w:rsidR="00E1391A" w:rsidRPr="00985A6A" w:rsidRDefault="00E1391A">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00274684" w:rsidRPr="00985A6A">
        <w:rPr>
          <w:rFonts w:ascii="Times New Roman" w:eastAsia="Times New Roman" w:hAnsi="Times New Roman" w:cs="Times New Roman"/>
        </w:rPr>
        <w:t>Kotansky</w:t>
      </w:r>
      <w:r w:rsidRPr="00985A6A">
        <w:rPr>
          <w:rFonts w:ascii="Times New Roman" w:eastAsia="Times New Roman" w:hAnsi="Times New Roman" w:cs="Times New Roman"/>
        </w:rPr>
        <w:t>, ‘Greek Exorcistic Amulets</w:t>
      </w:r>
      <w:r w:rsidR="00F469A9" w:rsidRPr="00985A6A">
        <w:rPr>
          <w:rFonts w:ascii="Times New Roman" w:eastAsia="Times New Roman" w:hAnsi="Times New Roman" w:cs="Times New Roman"/>
        </w:rPr>
        <w:t>’,</w:t>
      </w:r>
      <w:r w:rsidRPr="00985A6A">
        <w:rPr>
          <w:rFonts w:ascii="Times New Roman" w:eastAsia="Times New Roman" w:hAnsi="Times New Roman" w:cs="Times New Roman"/>
        </w:rPr>
        <w:t xml:space="preserve"> pp. </w:t>
      </w:r>
      <w:r w:rsidR="002C5C37" w:rsidRPr="00985A6A">
        <w:rPr>
          <w:rFonts w:ascii="Times New Roman" w:eastAsia="Times New Roman" w:hAnsi="Times New Roman" w:cs="Times New Roman"/>
        </w:rPr>
        <w:t xml:space="preserve">264-65. </w:t>
      </w:r>
    </w:p>
  </w:footnote>
  <w:footnote w:id="44">
    <w:p w14:paraId="0248C08F" w14:textId="2F8FB798" w:rsidR="006E44D2" w:rsidRPr="00985A6A" w:rsidRDefault="006E44D2">
      <w:pPr>
        <w:pStyle w:val="FootnoteText"/>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rPr>
        <w:t xml:space="preserve">Janowitz, </w:t>
      </w:r>
      <w:r w:rsidRPr="00985A6A">
        <w:rPr>
          <w:rFonts w:ascii="Times New Roman" w:eastAsia="Times New Roman" w:hAnsi="Times New Roman" w:cs="Times New Roman"/>
          <w:i/>
          <w:iCs/>
        </w:rPr>
        <w:t xml:space="preserve">Magic in the Roman </w:t>
      </w:r>
      <w:r w:rsidRPr="00985A6A">
        <w:rPr>
          <w:rFonts w:ascii="Times New Roman" w:eastAsia="Times New Roman" w:hAnsi="Times New Roman" w:cs="Times New Roman"/>
        </w:rPr>
        <w:t xml:space="preserve">World, p. 41. </w:t>
      </w:r>
    </w:p>
  </w:footnote>
  <w:footnote w:id="45">
    <w:p w14:paraId="24A3BABD" w14:textId="3CD45ECD" w:rsidR="00136558" w:rsidRPr="00985A6A" w:rsidRDefault="00136558" w:rsidP="00136558">
      <w:pPr>
        <w:spacing w:line="240" w:lineRule="auto"/>
        <w:ind w:left="144" w:hanging="144"/>
        <w:rPr>
          <w:rFonts w:ascii="Times New Roman" w:eastAsia="Times New Roman" w:hAnsi="Times New Roman" w:cs="Times New Roman"/>
          <w:color w:val="FF0000"/>
          <w:sz w:val="20"/>
          <w:szCs w:val="20"/>
        </w:rPr>
      </w:pPr>
      <w:r w:rsidRPr="00985A6A">
        <w:rPr>
          <w:rStyle w:val="FootnoteReference"/>
          <w:rFonts w:ascii="Times New Roman" w:hAnsi="Times New Roman" w:cs="Times New Roman"/>
          <w:color w:val="000000" w:themeColor="text1"/>
          <w:sz w:val="20"/>
          <w:szCs w:val="20"/>
        </w:rPr>
        <w:footnoteRef/>
      </w:r>
      <w:r w:rsidRPr="00985A6A">
        <w:rPr>
          <w:rFonts w:ascii="Times New Roman" w:hAnsi="Times New Roman" w:cs="Times New Roman"/>
          <w:color w:val="000000" w:themeColor="text1"/>
          <w:sz w:val="20"/>
          <w:szCs w:val="20"/>
        </w:rPr>
        <w:t xml:space="preserve"> Alan S</w:t>
      </w:r>
      <w:r w:rsidRPr="00985A6A">
        <w:rPr>
          <w:rFonts w:ascii="Times New Roman" w:eastAsia="Times New Roman" w:hAnsi="Times New Roman" w:cs="Times New Roman"/>
          <w:color w:val="000000" w:themeColor="text1"/>
          <w:sz w:val="20"/>
          <w:szCs w:val="20"/>
        </w:rPr>
        <w:t xml:space="preserve">umler, ‘Ingesting Magic: Ingredients and Ecstatic Outcomes in the Greek and Demotic Magical Papyri,’ </w:t>
      </w:r>
      <w:r w:rsidRPr="00985A6A">
        <w:rPr>
          <w:rFonts w:ascii="Times New Roman" w:eastAsia="Times New Roman" w:hAnsi="Times New Roman" w:cs="Times New Roman"/>
          <w:i/>
          <w:iCs/>
          <w:color w:val="000000" w:themeColor="text1"/>
          <w:sz w:val="20"/>
          <w:szCs w:val="20"/>
        </w:rPr>
        <w:t>Arion: A Journal of Humanities and the Classics</w:t>
      </w:r>
      <w:r w:rsidRPr="00985A6A">
        <w:rPr>
          <w:rFonts w:ascii="Times New Roman" w:eastAsia="Times New Roman" w:hAnsi="Times New Roman" w:cs="Times New Roman"/>
          <w:color w:val="000000" w:themeColor="text1"/>
          <w:sz w:val="20"/>
          <w:szCs w:val="20"/>
        </w:rPr>
        <w:t xml:space="preserve">, 25 (2017), pp. 99–126 (p. 102). </w:t>
      </w:r>
    </w:p>
  </w:footnote>
  <w:footnote w:id="46">
    <w:p w14:paraId="0B99CD7D" w14:textId="56DC4D74" w:rsidR="0054137A" w:rsidRPr="00985A6A" w:rsidRDefault="0054137A" w:rsidP="001F6613">
      <w:pPr>
        <w:pStyle w:val="FootnoteText"/>
        <w:ind w:left="144" w:hanging="144"/>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Betz, </w:t>
      </w:r>
      <w:r w:rsidRPr="00985A6A">
        <w:rPr>
          <w:rFonts w:ascii="Times New Roman" w:hAnsi="Times New Roman" w:cs="Times New Roman"/>
          <w:i/>
          <w:iCs/>
        </w:rPr>
        <w:t>Greek Magical Papyri</w:t>
      </w:r>
      <w:r w:rsidRPr="00985A6A">
        <w:rPr>
          <w:rFonts w:ascii="Times New Roman" w:hAnsi="Times New Roman" w:cs="Times New Roman"/>
        </w:rPr>
        <w:t>, p. 95. PGM IV also contains another ‘spell for picking a plant</w:t>
      </w:r>
      <w:r w:rsidR="0087272C">
        <w:rPr>
          <w:rFonts w:ascii="Times New Roman" w:hAnsi="Times New Roman" w:cs="Times New Roman"/>
        </w:rPr>
        <w:t xml:space="preserve">,’ </w:t>
      </w:r>
      <w:r w:rsidRPr="00985A6A">
        <w:rPr>
          <w:rFonts w:ascii="Times New Roman" w:hAnsi="Times New Roman" w:cs="Times New Roman"/>
        </w:rPr>
        <w:t>PGM IV.286-</w:t>
      </w:r>
      <w:r w:rsidR="0087272C">
        <w:rPr>
          <w:rFonts w:ascii="Times New Roman" w:hAnsi="Times New Roman" w:cs="Times New Roman"/>
        </w:rPr>
        <w:t>2</w:t>
      </w:r>
      <w:r w:rsidRPr="00985A6A">
        <w:rPr>
          <w:rFonts w:ascii="Times New Roman" w:hAnsi="Times New Roman" w:cs="Times New Roman"/>
        </w:rPr>
        <w:t>95, see</w:t>
      </w:r>
      <w:r w:rsidR="0087272C">
        <w:rPr>
          <w:rFonts w:ascii="Times New Roman" w:hAnsi="Times New Roman" w:cs="Times New Roman"/>
        </w:rPr>
        <w:t>:</w:t>
      </w:r>
      <w:r w:rsidRPr="00985A6A">
        <w:rPr>
          <w:rFonts w:ascii="Times New Roman" w:hAnsi="Times New Roman" w:cs="Times New Roman"/>
        </w:rPr>
        <w:t xml:space="preserve"> Betz, </w:t>
      </w:r>
      <w:r w:rsidRPr="00985A6A">
        <w:rPr>
          <w:rFonts w:ascii="Times New Roman" w:hAnsi="Times New Roman" w:cs="Times New Roman"/>
          <w:i/>
          <w:iCs/>
        </w:rPr>
        <w:t>Greek Magical Papyri</w:t>
      </w:r>
      <w:r w:rsidRPr="00985A6A">
        <w:rPr>
          <w:rFonts w:ascii="Times New Roman" w:hAnsi="Times New Roman" w:cs="Times New Roman"/>
        </w:rPr>
        <w:t>, p</w:t>
      </w:r>
      <w:r w:rsidR="0087272C">
        <w:rPr>
          <w:rFonts w:ascii="Times New Roman" w:hAnsi="Times New Roman" w:cs="Times New Roman"/>
        </w:rPr>
        <w:t>p</w:t>
      </w:r>
      <w:r w:rsidRPr="00985A6A">
        <w:rPr>
          <w:rFonts w:ascii="Times New Roman" w:hAnsi="Times New Roman" w:cs="Times New Roman"/>
        </w:rPr>
        <w:t xml:space="preserve">. 43-44. </w:t>
      </w:r>
    </w:p>
  </w:footnote>
  <w:footnote w:id="47">
    <w:p w14:paraId="5DF5899F" w14:textId="77777777" w:rsidR="00E964BB" w:rsidRPr="00A94F37" w:rsidRDefault="00E964BB" w:rsidP="00E964BB">
      <w:pPr>
        <w:spacing w:line="240" w:lineRule="auto"/>
        <w:ind w:left="144" w:hanging="144"/>
        <w:rPr>
          <w:rFonts w:ascii="Times New Roman" w:eastAsia="Times New Roman" w:hAnsi="Times New Roman" w:cs="Times New Roman"/>
          <w:color w:val="FF0000"/>
          <w:sz w:val="20"/>
          <w:szCs w:val="20"/>
        </w:rPr>
      </w:pPr>
      <w:r w:rsidRPr="00A94F37">
        <w:rPr>
          <w:rStyle w:val="FootnoteReference"/>
          <w:rFonts w:ascii="Times New Roman" w:hAnsi="Times New Roman" w:cs="Times New Roman"/>
          <w:sz w:val="20"/>
          <w:szCs w:val="20"/>
        </w:rPr>
        <w:footnoteRef/>
      </w:r>
      <w:r w:rsidRPr="00A94F37">
        <w:rPr>
          <w:rFonts w:ascii="Times New Roman" w:hAnsi="Times New Roman" w:cs="Times New Roman"/>
          <w:sz w:val="20"/>
          <w:szCs w:val="20"/>
        </w:rPr>
        <w:t xml:space="preserve"> </w:t>
      </w:r>
      <w:r w:rsidRPr="00A94F37">
        <w:rPr>
          <w:rFonts w:ascii="Times New Roman" w:hAnsi="Times New Roman" w:cs="Times New Roman"/>
          <w:color w:val="000000" w:themeColor="text1"/>
          <w:sz w:val="20"/>
          <w:szCs w:val="20"/>
        </w:rPr>
        <w:t>S</w:t>
      </w:r>
      <w:r w:rsidRPr="00A94F37">
        <w:rPr>
          <w:rFonts w:ascii="Times New Roman" w:eastAsia="Times New Roman" w:hAnsi="Times New Roman" w:cs="Times New Roman"/>
          <w:color w:val="000000" w:themeColor="text1"/>
          <w:sz w:val="20"/>
          <w:szCs w:val="20"/>
        </w:rPr>
        <w:t xml:space="preserve">umler, ‘Ingesting Magic’, p. 102. </w:t>
      </w:r>
    </w:p>
  </w:footnote>
  <w:footnote w:id="48">
    <w:p w14:paraId="2FAD8004" w14:textId="77777777" w:rsidR="00E964BB" w:rsidRPr="00A94F37" w:rsidRDefault="00E964BB" w:rsidP="00E964BB">
      <w:pPr>
        <w:spacing w:line="240" w:lineRule="auto"/>
        <w:ind w:left="144" w:hanging="144"/>
        <w:rPr>
          <w:rFonts w:ascii="Times New Roman" w:eastAsia="Times New Roman" w:hAnsi="Times New Roman" w:cs="Times New Roman"/>
          <w:sz w:val="20"/>
          <w:szCs w:val="20"/>
        </w:rPr>
      </w:pPr>
      <w:r w:rsidRPr="00A94F37">
        <w:rPr>
          <w:rStyle w:val="FootnoteReference"/>
          <w:rFonts w:ascii="Times New Roman" w:hAnsi="Times New Roman" w:cs="Times New Roman"/>
          <w:sz w:val="20"/>
          <w:szCs w:val="20"/>
        </w:rPr>
        <w:footnoteRef/>
      </w:r>
      <w:r w:rsidRPr="00A94F37">
        <w:rPr>
          <w:rFonts w:ascii="Times New Roman" w:hAnsi="Times New Roman" w:cs="Times New Roman"/>
          <w:sz w:val="20"/>
          <w:szCs w:val="20"/>
        </w:rPr>
        <w:t xml:space="preserve"> </w:t>
      </w:r>
      <w:r w:rsidRPr="00A94F37">
        <w:rPr>
          <w:rFonts w:ascii="Times New Roman" w:eastAsia="Times New Roman" w:hAnsi="Times New Roman" w:cs="Times New Roman"/>
          <w:sz w:val="20"/>
          <w:szCs w:val="20"/>
        </w:rPr>
        <w:t xml:space="preserve">Janowitz, </w:t>
      </w:r>
      <w:r w:rsidRPr="00A94F37">
        <w:rPr>
          <w:rFonts w:ascii="Times New Roman" w:eastAsia="Times New Roman" w:hAnsi="Times New Roman" w:cs="Times New Roman"/>
          <w:i/>
          <w:iCs/>
          <w:sz w:val="20"/>
          <w:szCs w:val="20"/>
        </w:rPr>
        <w:t xml:space="preserve">Magic in the Roman </w:t>
      </w:r>
      <w:r w:rsidRPr="00A94F37">
        <w:rPr>
          <w:rFonts w:ascii="Times New Roman" w:eastAsia="Times New Roman" w:hAnsi="Times New Roman" w:cs="Times New Roman"/>
          <w:sz w:val="20"/>
          <w:szCs w:val="20"/>
        </w:rPr>
        <w:t>World, p. 42.</w:t>
      </w:r>
    </w:p>
  </w:footnote>
  <w:footnote w:id="49">
    <w:p w14:paraId="5FB93E27" w14:textId="5C945246" w:rsidR="000A1515" w:rsidRPr="00A94F37" w:rsidRDefault="000A1515">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hAnsi="Times New Roman" w:cs="Times New Roman"/>
          <w:color w:val="000000" w:themeColor="text1"/>
        </w:rPr>
        <w:t>S</w:t>
      </w:r>
      <w:r w:rsidRPr="00A94F37">
        <w:rPr>
          <w:rFonts w:ascii="Times New Roman" w:eastAsia="Times New Roman" w:hAnsi="Times New Roman" w:cs="Times New Roman"/>
          <w:color w:val="000000" w:themeColor="text1"/>
        </w:rPr>
        <w:t xml:space="preserve">umler, ‘Ingesting Magic’, p. 102. </w:t>
      </w:r>
    </w:p>
  </w:footnote>
  <w:footnote w:id="50">
    <w:p w14:paraId="1D2F1597" w14:textId="171AF28C" w:rsidR="000A1515" w:rsidRPr="00A94F37" w:rsidRDefault="000A1515">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hAnsi="Times New Roman" w:cs="Times New Roman"/>
          <w:color w:val="000000" w:themeColor="text1"/>
        </w:rPr>
        <w:t>S</w:t>
      </w:r>
      <w:r w:rsidRPr="00A94F37">
        <w:rPr>
          <w:rFonts w:ascii="Times New Roman" w:eastAsia="Times New Roman" w:hAnsi="Times New Roman" w:cs="Times New Roman"/>
          <w:color w:val="000000" w:themeColor="text1"/>
        </w:rPr>
        <w:t>umler, ‘Ingesting Magic’, pp. 104-05.</w:t>
      </w:r>
    </w:p>
  </w:footnote>
  <w:footnote w:id="51">
    <w:p w14:paraId="140DB455" w14:textId="7E2E0CEF" w:rsidR="00616EFF" w:rsidRPr="00A94F37" w:rsidRDefault="00616EFF" w:rsidP="00616EFF">
      <w:pPr>
        <w:pStyle w:val="FootnoteText"/>
        <w:ind w:left="144" w:hanging="144"/>
        <w:rPr>
          <w:rFonts w:ascii="Times New Roman" w:hAnsi="Times New Roman" w:cs="Times New Roman"/>
          <w:lang w:val="en-US"/>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hAnsi="Times New Roman" w:cs="Times New Roman"/>
          <w:lang w:val="en-US"/>
        </w:rPr>
        <w:t>PGM IV.3017 (</w:t>
      </w:r>
      <w:r w:rsidRPr="00A94F37">
        <w:rPr>
          <w:rFonts w:ascii="Times New Roman" w:hAnsi="Times New Roman" w:cs="Times New Roman"/>
        </w:rPr>
        <w:t xml:space="preserve">Betz, </w:t>
      </w:r>
      <w:r w:rsidRPr="00A94F37">
        <w:rPr>
          <w:rFonts w:ascii="Times New Roman" w:hAnsi="Times New Roman" w:cs="Times New Roman"/>
          <w:i/>
          <w:iCs/>
        </w:rPr>
        <w:t>Greek Magical Papyri</w:t>
      </w:r>
      <w:r w:rsidRPr="00A94F37">
        <w:rPr>
          <w:rFonts w:ascii="Times New Roman" w:hAnsi="Times New Roman" w:cs="Times New Roman"/>
        </w:rPr>
        <w:t xml:space="preserve">, p. 96; </w:t>
      </w:r>
      <w:r w:rsidRPr="00A94F37">
        <w:rPr>
          <w:rFonts w:ascii="Times New Roman" w:eastAsia="Times New Roman" w:hAnsi="Times New Roman" w:cs="Times New Roman"/>
        </w:rPr>
        <w:t xml:space="preserve">Deissmann, </w:t>
      </w:r>
      <w:r w:rsidRPr="00A94F37">
        <w:rPr>
          <w:rFonts w:ascii="Times New Roman" w:eastAsia="Times New Roman" w:hAnsi="Times New Roman" w:cs="Times New Roman"/>
          <w:i/>
          <w:iCs/>
        </w:rPr>
        <w:t xml:space="preserve">Light from the Ancient </w:t>
      </w:r>
      <w:r w:rsidRPr="00A94F37">
        <w:rPr>
          <w:rFonts w:ascii="Times New Roman" w:eastAsia="Times New Roman" w:hAnsi="Times New Roman" w:cs="Times New Roman"/>
        </w:rPr>
        <w:t>East, p. 260</w:t>
      </w:r>
      <w:r w:rsidRPr="00A94F37">
        <w:rPr>
          <w:rFonts w:ascii="Times New Roman" w:hAnsi="Times New Roman" w:cs="Times New Roman"/>
        </w:rPr>
        <w:t>).</w:t>
      </w:r>
    </w:p>
  </w:footnote>
  <w:footnote w:id="52">
    <w:p w14:paraId="099257B3" w14:textId="7CB43236" w:rsidR="0092654B" w:rsidRPr="00A94F37" w:rsidRDefault="0092654B">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eastAsia="Times New Roman" w:hAnsi="Times New Roman" w:cs="Times New Roman"/>
        </w:rPr>
        <w:t xml:space="preserve">Janowitz, </w:t>
      </w:r>
      <w:r w:rsidRPr="00A94F37">
        <w:rPr>
          <w:rFonts w:ascii="Times New Roman" w:eastAsia="Times New Roman" w:hAnsi="Times New Roman" w:cs="Times New Roman"/>
          <w:i/>
          <w:iCs/>
        </w:rPr>
        <w:t xml:space="preserve">Magic in the Roman </w:t>
      </w:r>
      <w:r w:rsidRPr="00A94F37">
        <w:rPr>
          <w:rFonts w:ascii="Times New Roman" w:eastAsia="Times New Roman" w:hAnsi="Times New Roman" w:cs="Times New Roman"/>
        </w:rPr>
        <w:t>World, p. 56.</w:t>
      </w:r>
    </w:p>
  </w:footnote>
  <w:footnote w:id="53">
    <w:p w14:paraId="3512819C" w14:textId="52850AE9" w:rsidR="00DE41D0" w:rsidRPr="00985A6A" w:rsidRDefault="00DE41D0">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eastAsia="Times New Roman" w:hAnsi="Times New Roman" w:cs="Times New Roman"/>
        </w:rPr>
        <w:t>Brashear, ‘The Greek Magical Papyri’, p. 3444.</w:t>
      </w:r>
    </w:p>
  </w:footnote>
  <w:footnote w:id="54">
    <w:p w14:paraId="1598D1CA" w14:textId="4125404A" w:rsidR="00503618" w:rsidRPr="00A94F37" w:rsidRDefault="00503618">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hAnsi="Times New Roman" w:cs="Times New Roman"/>
          <w:color w:val="000000" w:themeColor="text1"/>
        </w:rPr>
        <w:t>S</w:t>
      </w:r>
      <w:r w:rsidRPr="00A94F37">
        <w:rPr>
          <w:rFonts w:ascii="Times New Roman" w:eastAsia="Times New Roman" w:hAnsi="Times New Roman" w:cs="Times New Roman"/>
          <w:color w:val="000000" w:themeColor="text1"/>
        </w:rPr>
        <w:t>umler, ‘Ingesting Magic’, p. 102.</w:t>
      </w:r>
    </w:p>
  </w:footnote>
  <w:footnote w:id="55">
    <w:p w14:paraId="10E3AA6B" w14:textId="55FF5DAC" w:rsidR="00200D10" w:rsidRPr="00A94F37" w:rsidRDefault="00200D10">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eastAsia="Times New Roman" w:hAnsi="Times New Roman" w:cs="Times New Roman"/>
        </w:rPr>
        <w:t>Dieleman, ‘Greco-Egyptian Magical Formularies’, p. 303.</w:t>
      </w:r>
    </w:p>
  </w:footnote>
  <w:footnote w:id="56">
    <w:p w14:paraId="4A042154" w14:textId="437F4DCD" w:rsidR="00503618" w:rsidRPr="00A94F37" w:rsidRDefault="00503618">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eastAsia="Times New Roman" w:hAnsi="Times New Roman" w:cs="Times New Roman"/>
        </w:rPr>
        <w:t>Kotansky, ‘Greek Exorcistic Amulets</w:t>
      </w:r>
      <w:r w:rsidR="00F469A9" w:rsidRPr="00A94F37">
        <w:rPr>
          <w:rFonts w:ascii="Times New Roman" w:eastAsia="Times New Roman" w:hAnsi="Times New Roman" w:cs="Times New Roman"/>
        </w:rPr>
        <w:t>’,</w:t>
      </w:r>
      <w:r w:rsidRPr="00A94F37">
        <w:rPr>
          <w:rFonts w:ascii="Times New Roman" w:eastAsia="Times New Roman" w:hAnsi="Times New Roman" w:cs="Times New Roman"/>
        </w:rPr>
        <w:t xml:space="preserve"> pp. 262-263.</w:t>
      </w:r>
    </w:p>
  </w:footnote>
  <w:footnote w:id="57">
    <w:p w14:paraId="0E30A05B" w14:textId="312C224A" w:rsidR="00A94F37" w:rsidRPr="00A94F37" w:rsidRDefault="00A94F37" w:rsidP="00486F35">
      <w:pPr>
        <w:pStyle w:val="FootnoteText"/>
        <w:ind w:left="144" w:hanging="144"/>
        <w:rPr>
          <w:rFonts w:ascii="Times New Roman" w:hAnsi="Times New Roman" w:cs="Times New Roman"/>
          <w:lang w:val="en-US"/>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hAnsi="Times New Roman" w:cs="Times New Roman"/>
          <w:lang w:val="en-US"/>
        </w:rPr>
        <w:t>For example, PGMIV.3019, 3030, 3037, 3052, 3056 (</w:t>
      </w:r>
      <w:r w:rsidRPr="00A94F37">
        <w:rPr>
          <w:rFonts w:ascii="Times New Roman" w:hAnsi="Times New Roman" w:cs="Times New Roman"/>
        </w:rPr>
        <w:t xml:space="preserve">Betz, </w:t>
      </w:r>
      <w:r w:rsidRPr="00A94F37">
        <w:rPr>
          <w:rFonts w:ascii="Times New Roman" w:hAnsi="Times New Roman" w:cs="Times New Roman"/>
          <w:i/>
          <w:iCs/>
        </w:rPr>
        <w:t>Greek Magical Papyri</w:t>
      </w:r>
      <w:r w:rsidRPr="00A94F37">
        <w:rPr>
          <w:rFonts w:ascii="Times New Roman" w:hAnsi="Times New Roman" w:cs="Times New Roman"/>
        </w:rPr>
        <w:t xml:space="preserve">, pp. 96-97; </w:t>
      </w:r>
      <w:r w:rsidRPr="00A94F37">
        <w:rPr>
          <w:rFonts w:ascii="Times New Roman" w:eastAsia="Times New Roman" w:hAnsi="Times New Roman" w:cs="Times New Roman"/>
        </w:rPr>
        <w:t xml:space="preserve">Deissmann, </w:t>
      </w:r>
      <w:r w:rsidRPr="00A94F37">
        <w:rPr>
          <w:rFonts w:ascii="Times New Roman" w:eastAsia="Times New Roman" w:hAnsi="Times New Roman" w:cs="Times New Roman"/>
          <w:i/>
          <w:iCs/>
        </w:rPr>
        <w:t xml:space="preserve">Light from the Ancient </w:t>
      </w:r>
      <w:r w:rsidRPr="00A94F37">
        <w:rPr>
          <w:rFonts w:ascii="Times New Roman" w:eastAsia="Times New Roman" w:hAnsi="Times New Roman" w:cs="Times New Roman"/>
        </w:rPr>
        <w:t>East, pp. 260-62</w:t>
      </w:r>
      <w:r w:rsidRPr="00A94F37">
        <w:rPr>
          <w:rFonts w:ascii="Times New Roman" w:hAnsi="Times New Roman" w:cs="Times New Roman"/>
        </w:rPr>
        <w:t>).</w:t>
      </w:r>
    </w:p>
  </w:footnote>
  <w:footnote w:id="58">
    <w:p w14:paraId="788378D6" w14:textId="5EF4FD6D" w:rsidR="002636F9" w:rsidRPr="00985A6A" w:rsidRDefault="002636F9">
      <w:pPr>
        <w:pStyle w:val="FootnoteText"/>
        <w:rPr>
          <w:rFonts w:ascii="Times New Roman" w:hAnsi="Times New Roman" w:cs="Times New Roman"/>
        </w:rPr>
      </w:pPr>
      <w:r w:rsidRPr="00A94F37">
        <w:rPr>
          <w:rStyle w:val="FootnoteReference"/>
          <w:rFonts w:ascii="Times New Roman" w:hAnsi="Times New Roman" w:cs="Times New Roman"/>
        </w:rPr>
        <w:footnoteRef/>
      </w:r>
      <w:r w:rsidRPr="00A94F37">
        <w:rPr>
          <w:rFonts w:ascii="Times New Roman" w:hAnsi="Times New Roman" w:cs="Times New Roman"/>
        </w:rPr>
        <w:t xml:space="preserve"> </w:t>
      </w:r>
      <w:r w:rsidRPr="00A94F37">
        <w:rPr>
          <w:rFonts w:ascii="Times New Roman" w:eastAsia="Times New Roman" w:hAnsi="Times New Roman" w:cs="Times New Roman"/>
        </w:rPr>
        <w:t>Twelftree, ‘Jesus the Exorcist and Ancient Magic</w:t>
      </w:r>
      <w:r w:rsidR="00F469A9" w:rsidRPr="00A94F37">
        <w:rPr>
          <w:rFonts w:ascii="Times New Roman" w:eastAsia="Times New Roman" w:hAnsi="Times New Roman" w:cs="Times New Roman"/>
        </w:rPr>
        <w:t>’,</w:t>
      </w:r>
      <w:r w:rsidRPr="00A94F37">
        <w:rPr>
          <w:rFonts w:ascii="Times New Roman" w:eastAsia="Times New Roman" w:hAnsi="Times New Roman" w:cs="Times New Roman"/>
        </w:rPr>
        <w:t xml:space="preserve"> p. 74.</w:t>
      </w:r>
      <w:r w:rsidRPr="00985A6A">
        <w:rPr>
          <w:rFonts w:ascii="Times New Roman" w:eastAsia="Times New Roman" w:hAnsi="Times New Roman" w:cs="Times New Roman"/>
        </w:rPr>
        <w:t xml:space="preserve"> </w:t>
      </w:r>
    </w:p>
  </w:footnote>
  <w:footnote w:id="59">
    <w:p w14:paraId="20ED8027" w14:textId="10E41482" w:rsidR="00F469A9" w:rsidRPr="00985A6A" w:rsidRDefault="00F469A9">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w:t>
      </w:r>
      <w:r w:rsidRPr="00985A6A">
        <w:rPr>
          <w:rFonts w:ascii="Times New Roman" w:eastAsia="Times New Roman" w:hAnsi="Times New Roman" w:cs="Times New Roman"/>
        </w:rPr>
        <w:t>Knox, ‘Jewish Liturgical Exorcism’, pp. 193-194.</w:t>
      </w:r>
    </w:p>
  </w:footnote>
  <w:footnote w:id="60">
    <w:p w14:paraId="7E180443" w14:textId="31C33A98" w:rsidR="00A94F37" w:rsidRPr="00A94F37" w:rsidRDefault="00A94F37">
      <w:pPr>
        <w:pStyle w:val="FootnoteText"/>
        <w:rPr>
          <w:lang w:val="en-US"/>
        </w:rPr>
      </w:pPr>
      <w:r>
        <w:rPr>
          <w:rStyle w:val="FootnoteReference"/>
        </w:rPr>
        <w:footnoteRef/>
      </w:r>
      <w:r>
        <w:t xml:space="preserve"> </w:t>
      </w:r>
      <w:r w:rsidRPr="00A94F37">
        <w:rPr>
          <w:rFonts w:ascii="Times New Roman" w:hAnsi="Times New Roman" w:cs="Times New Roman"/>
          <w:lang w:val="en-US"/>
        </w:rPr>
        <w:t>PGM IV.30</w:t>
      </w:r>
      <w:r w:rsidR="006F7728">
        <w:rPr>
          <w:rFonts w:ascii="Times New Roman" w:hAnsi="Times New Roman" w:cs="Times New Roman"/>
          <w:lang w:val="en-US"/>
        </w:rPr>
        <w:t>20</w:t>
      </w:r>
      <w:r w:rsidRPr="00A94F37">
        <w:rPr>
          <w:rFonts w:ascii="Times New Roman" w:hAnsi="Times New Roman" w:cs="Times New Roman"/>
          <w:lang w:val="en-US"/>
        </w:rPr>
        <w:t xml:space="preserve"> (</w:t>
      </w:r>
      <w:r w:rsidRPr="00A94F37">
        <w:rPr>
          <w:rFonts w:ascii="Times New Roman" w:hAnsi="Times New Roman" w:cs="Times New Roman"/>
        </w:rPr>
        <w:t xml:space="preserve">Betz, </w:t>
      </w:r>
      <w:r w:rsidRPr="00A94F37">
        <w:rPr>
          <w:rFonts w:ascii="Times New Roman" w:hAnsi="Times New Roman" w:cs="Times New Roman"/>
          <w:i/>
          <w:iCs/>
        </w:rPr>
        <w:t>Greek Magical Papyri</w:t>
      </w:r>
      <w:r w:rsidRPr="00A94F37">
        <w:rPr>
          <w:rFonts w:ascii="Times New Roman" w:hAnsi="Times New Roman" w:cs="Times New Roman"/>
        </w:rPr>
        <w:t xml:space="preserve">, p. 96; </w:t>
      </w:r>
      <w:r w:rsidRPr="00A94F37">
        <w:rPr>
          <w:rFonts w:ascii="Times New Roman" w:eastAsia="Times New Roman" w:hAnsi="Times New Roman" w:cs="Times New Roman"/>
        </w:rPr>
        <w:t xml:space="preserve">Deissmann, </w:t>
      </w:r>
      <w:r w:rsidRPr="00A94F37">
        <w:rPr>
          <w:rFonts w:ascii="Times New Roman" w:eastAsia="Times New Roman" w:hAnsi="Times New Roman" w:cs="Times New Roman"/>
          <w:i/>
          <w:iCs/>
        </w:rPr>
        <w:t xml:space="preserve">Light from the Ancient </w:t>
      </w:r>
      <w:r w:rsidRPr="00A94F37">
        <w:rPr>
          <w:rFonts w:ascii="Times New Roman" w:eastAsia="Times New Roman" w:hAnsi="Times New Roman" w:cs="Times New Roman"/>
        </w:rPr>
        <w:t xml:space="preserve">East, p. </w:t>
      </w:r>
      <w:r w:rsidR="006F7728">
        <w:rPr>
          <w:rFonts w:ascii="Times New Roman" w:eastAsia="Times New Roman" w:hAnsi="Times New Roman" w:cs="Times New Roman"/>
        </w:rPr>
        <w:t>259</w:t>
      </w:r>
      <w:r w:rsidRPr="00A94F37">
        <w:rPr>
          <w:rFonts w:ascii="Times New Roman" w:hAnsi="Times New Roman" w:cs="Times New Roman"/>
        </w:rPr>
        <w:t>).</w:t>
      </w:r>
    </w:p>
  </w:footnote>
  <w:footnote w:id="61">
    <w:p w14:paraId="5EA943F8" w14:textId="718B8DF2" w:rsidR="003F2A32" w:rsidRPr="00985A6A" w:rsidRDefault="003F2A32" w:rsidP="003E465E">
      <w:pPr>
        <w:spacing w:line="240" w:lineRule="auto"/>
        <w:ind w:left="144" w:hanging="144"/>
        <w:rPr>
          <w:rFonts w:ascii="Times New Roman" w:hAnsi="Times New Roman" w:cs="Times New Roman"/>
        </w:rPr>
      </w:pPr>
      <w:r w:rsidRPr="00985A6A">
        <w:rPr>
          <w:rStyle w:val="FootnoteReference"/>
          <w:rFonts w:ascii="Times New Roman" w:hAnsi="Times New Roman" w:cs="Times New Roman"/>
          <w:sz w:val="20"/>
          <w:szCs w:val="20"/>
        </w:rPr>
        <w:footnoteRef/>
      </w:r>
      <w:r w:rsidRPr="00985A6A">
        <w:rPr>
          <w:rFonts w:ascii="Times New Roman" w:hAnsi="Times New Roman" w:cs="Times New Roman"/>
          <w:sz w:val="20"/>
          <w:szCs w:val="20"/>
        </w:rPr>
        <w:t xml:space="preserve"> Theodore S. d</w:t>
      </w:r>
      <w:r w:rsidRPr="00985A6A">
        <w:rPr>
          <w:rFonts w:ascii="Times New Roman" w:eastAsia="Times New Roman" w:hAnsi="Times New Roman" w:cs="Times New Roman"/>
          <w:sz w:val="20"/>
          <w:szCs w:val="20"/>
        </w:rPr>
        <w:t xml:space="preserve">e Bruyn and Jitse H.F. Dijkstra, ‘Greek Amulets and Formularies from Egypt Containing Christian Elements: A Checklist of Papyri, Parchments, Ostraka, and Tablets’, </w:t>
      </w:r>
      <w:r w:rsidRPr="00985A6A">
        <w:rPr>
          <w:rFonts w:ascii="Times New Roman" w:eastAsia="Times New Roman" w:hAnsi="Times New Roman" w:cs="Times New Roman"/>
          <w:i/>
          <w:iCs/>
          <w:sz w:val="20"/>
          <w:szCs w:val="20"/>
        </w:rPr>
        <w:t>The Bulletin of the American Society of Papyrologists</w:t>
      </w:r>
      <w:r w:rsidRPr="00985A6A">
        <w:rPr>
          <w:rFonts w:ascii="Times New Roman" w:eastAsia="Times New Roman" w:hAnsi="Times New Roman" w:cs="Times New Roman"/>
          <w:sz w:val="20"/>
          <w:szCs w:val="20"/>
        </w:rPr>
        <w:t xml:space="preserve">, 48 (2011), pp. 163–216 (p. 184). </w:t>
      </w:r>
      <w:r w:rsidR="00392953" w:rsidRPr="00985A6A">
        <w:rPr>
          <w:rFonts w:ascii="Times New Roman" w:eastAsia="Times New Roman" w:hAnsi="Times New Roman" w:cs="Times New Roman"/>
          <w:sz w:val="20"/>
          <w:szCs w:val="20"/>
        </w:rPr>
        <w:t xml:space="preserve">Also, see fn. 39 above. </w:t>
      </w:r>
    </w:p>
  </w:footnote>
  <w:footnote w:id="62">
    <w:p w14:paraId="3750CB88" w14:textId="2CDC75AD" w:rsidR="003E465E" w:rsidRPr="00985A6A" w:rsidRDefault="003E465E" w:rsidP="00274684">
      <w:pPr>
        <w:pStyle w:val="FootnoteText"/>
        <w:ind w:left="144" w:hanging="144"/>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d</w:t>
      </w:r>
      <w:r w:rsidRPr="00985A6A">
        <w:rPr>
          <w:rFonts w:ascii="Times New Roman" w:eastAsia="Times New Roman" w:hAnsi="Times New Roman" w:cs="Times New Roman"/>
        </w:rPr>
        <w:t>e Bruyn and Dijkstra, ‘Greek Amulets and Formularies from Egypt’, p. 185 (fn. 125)</w:t>
      </w:r>
      <w:r w:rsidRPr="00985A6A">
        <w:rPr>
          <w:rFonts w:ascii="Times New Roman" w:hAnsi="Times New Roman" w:cs="Times New Roman"/>
        </w:rPr>
        <w:t>; v</w:t>
      </w:r>
      <w:r w:rsidRPr="00985A6A">
        <w:rPr>
          <w:rFonts w:ascii="Times New Roman" w:eastAsia="Times New Roman" w:hAnsi="Times New Roman" w:cs="Times New Roman"/>
        </w:rPr>
        <w:t>an der Horst, ‘The Great Magical Papyrus of Paris’, p. 178</w:t>
      </w:r>
      <w:r w:rsidR="008664CA" w:rsidRPr="00985A6A">
        <w:rPr>
          <w:rFonts w:ascii="Times New Roman" w:eastAsia="Times New Roman" w:hAnsi="Times New Roman" w:cs="Times New Roman"/>
        </w:rPr>
        <w:t>; Kotansky, ‘Greek Exorcistic Amulets’, p. 264.</w:t>
      </w:r>
    </w:p>
  </w:footnote>
  <w:footnote w:id="63">
    <w:p w14:paraId="2D3930C2" w14:textId="59026755" w:rsidR="003E465E" w:rsidRPr="00985A6A" w:rsidRDefault="003E465E">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d</w:t>
      </w:r>
      <w:r w:rsidRPr="00985A6A">
        <w:rPr>
          <w:rFonts w:ascii="Times New Roman" w:eastAsia="Times New Roman" w:hAnsi="Times New Roman" w:cs="Times New Roman"/>
        </w:rPr>
        <w:t>e Bruyn and Dijkstra, ‘Greek Amulets and Formularies from Egypt’, p. 179.</w:t>
      </w:r>
    </w:p>
  </w:footnote>
  <w:footnote w:id="64">
    <w:p w14:paraId="69A66AD0" w14:textId="6D103B5C" w:rsidR="003E465E" w:rsidRPr="00985A6A" w:rsidRDefault="003E465E">
      <w:pPr>
        <w:pStyle w:val="FootnoteText"/>
        <w:rPr>
          <w:rFonts w:ascii="Times New Roman" w:hAnsi="Times New Roman" w:cs="Times New Roman"/>
        </w:rPr>
      </w:pPr>
      <w:r w:rsidRPr="00985A6A">
        <w:rPr>
          <w:rStyle w:val="FootnoteReference"/>
          <w:rFonts w:ascii="Times New Roman" w:hAnsi="Times New Roman" w:cs="Times New Roman"/>
        </w:rPr>
        <w:footnoteRef/>
      </w:r>
      <w:r w:rsidRPr="00985A6A">
        <w:rPr>
          <w:rFonts w:ascii="Times New Roman" w:hAnsi="Times New Roman" w:cs="Times New Roman"/>
        </w:rPr>
        <w:t xml:space="preserve"> d</w:t>
      </w:r>
      <w:r w:rsidRPr="00985A6A">
        <w:rPr>
          <w:rFonts w:ascii="Times New Roman" w:eastAsia="Times New Roman" w:hAnsi="Times New Roman" w:cs="Times New Roman"/>
        </w:rPr>
        <w:t xml:space="preserve">e Bruyn and Dijkstra, ‘Greek Amulets and Formularies from Egypt’, p. 180. </w:t>
      </w:r>
    </w:p>
  </w:footnote>
  <w:footnote w:id="65">
    <w:p w14:paraId="0584634D" w14:textId="12470FDF" w:rsidR="00F545F9" w:rsidRPr="0087272C" w:rsidRDefault="00F545F9">
      <w:pPr>
        <w:pStyle w:val="FootnoteText"/>
        <w:rPr>
          <w:rFonts w:ascii="Times New Roman" w:hAnsi="Times New Roman" w:cs="Times New Roman"/>
        </w:rPr>
      </w:pPr>
      <w:r w:rsidRPr="0087272C">
        <w:rPr>
          <w:rStyle w:val="FootnoteReference"/>
          <w:rFonts w:ascii="Times New Roman" w:hAnsi="Times New Roman" w:cs="Times New Roman"/>
        </w:rPr>
        <w:footnoteRef/>
      </w:r>
      <w:r w:rsidRPr="0087272C">
        <w:rPr>
          <w:rFonts w:ascii="Times New Roman" w:hAnsi="Times New Roman" w:cs="Times New Roman"/>
        </w:rPr>
        <w:t xml:space="preserve"> Acts of the Apostles 19:13</w:t>
      </w:r>
      <w:r w:rsidR="0087272C">
        <w:rPr>
          <w:rFonts w:ascii="Times New Roman" w:hAnsi="Times New Roman" w:cs="Times New Roman"/>
        </w:rPr>
        <w:t xml:space="preserve"> (</w:t>
      </w:r>
      <w:r w:rsidRPr="0087272C">
        <w:rPr>
          <w:rFonts w:ascii="Times New Roman" w:hAnsi="Times New Roman" w:cs="Times New Roman"/>
        </w:rPr>
        <w:t>NRSVue</w:t>
      </w:r>
      <w:r w:rsidR="0087272C">
        <w:rPr>
          <w:rFonts w:ascii="Times New Roman" w:hAnsi="Times New Roman" w:cs="Times New Roman"/>
        </w:rPr>
        <w:t>).</w:t>
      </w:r>
    </w:p>
  </w:footnote>
  <w:footnote w:id="66">
    <w:p w14:paraId="01233391" w14:textId="4B389A41" w:rsidR="00707546" w:rsidRPr="0087272C" w:rsidRDefault="00707546" w:rsidP="00707546">
      <w:pPr>
        <w:spacing w:line="240" w:lineRule="auto"/>
        <w:ind w:left="144" w:hanging="144"/>
        <w:rPr>
          <w:rFonts w:ascii="Times New Roman" w:hAnsi="Times New Roman" w:cs="Times New Roman"/>
        </w:rPr>
      </w:pPr>
      <w:r w:rsidRPr="0087272C">
        <w:rPr>
          <w:rStyle w:val="FootnoteReference"/>
          <w:rFonts w:ascii="Times New Roman" w:hAnsi="Times New Roman" w:cs="Times New Roman"/>
          <w:sz w:val="20"/>
          <w:szCs w:val="20"/>
        </w:rPr>
        <w:footnoteRef/>
      </w:r>
      <w:r w:rsidRPr="0087272C">
        <w:rPr>
          <w:rFonts w:ascii="Times New Roman" w:hAnsi="Times New Roman" w:cs="Times New Roman"/>
          <w:sz w:val="20"/>
          <w:szCs w:val="20"/>
        </w:rPr>
        <w:t xml:space="preserve"> </w:t>
      </w:r>
      <w:r w:rsidRPr="0087272C">
        <w:rPr>
          <w:rFonts w:ascii="Times New Roman" w:eastAsia="Times New Roman" w:hAnsi="Times New Roman" w:cs="Times New Roman"/>
          <w:sz w:val="20"/>
          <w:szCs w:val="20"/>
        </w:rPr>
        <w:t xml:space="preserve">Matthew W. Bates, ‘Why Do the Seven Sons of Sceva Fail?: Exorcism, Magic, and Oath Enforcement in Acts 19,13-17’, </w:t>
      </w:r>
      <w:r w:rsidRPr="0087272C">
        <w:rPr>
          <w:rFonts w:ascii="Times New Roman" w:eastAsia="Times New Roman" w:hAnsi="Times New Roman" w:cs="Times New Roman"/>
          <w:i/>
          <w:iCs/>
          <w:sz w:val="20"/>
          <w:szCs w:val="20"/>
        </w:rPr>
        <w:t>Revue Biblique</w:t>
      </w:r>
      <w:r w:rsidRPr="0087272C">
        <w:rPr>
          <w:rFonts w:ascii="Times New Roman" w:eastAsia="Times New Roman" w:hAnsi="Times New Roman" w:cs="Times New Roman"/>
          <w:sz w:val="20"/>
          <w:szCs w:val="20"/>
        </w:rPr>
        <w:t>, 118 (2011), pp. 408–21 (</w:t>
      </w:r>
      <w:r w:rsidR="0087272C">
        <w:rPr>
          <w:rFonts w:ascii="Times New Roman" w:eastAsia="Times New Roman" w:hAnsi="Times New Roman" w:cs="Times New Roman"/>
          <w:sz w:val="20"/>
          <w:szCs w:val="20"/>
        </w:rPr>
        <w:t>p</w:t>
      </w:r>
      <w:r w:rsidRPr="0087272C">
        <w:rPr>
          <w:rFonts w:ascii="Times New Roman" w:eastAsia="Times New Roman" w:hAnsi="Times New Roman" w:cs="Times New Roman"/>
          <w:sz w:val="20"/>
          <w:szCs w:val="20"/>
        </w:rPr>
        <w:t xml:space="preserve">p. 415-16). </w:t>
      </w:r>
    </w:p>
  </w:footnote>
  <w:footnote w:id="67">
    <w:p w14:paraId="49D93EAF" w14:textId="323F3F61" w:rsidR="001256DF" w:rsidRPr="0087272C" w:rsidRDefault="001256DF" w:rsidP="001256DF">
      <w:pPr>
        <w:spacing w:line="240" w:lineRule="auto"/>
        <w:ind w:left="144" w:hanging="144"/>
        <w:rPr>
          <w:rFonts w:ascii="Times New Roman" w:eastAsia="Times New Roman" w:hAnsi="Times New Roman" w:cs="Times New Roman"/>
          <w:sz w:val="20"/>
          <w:szCs w:val="20"/>
        </w:rPr>
      </w:pPr>
      <w:r w:rsidRPr="0087272C">
        <w:rPr>
          <w:rStyle w:val="FootnoteReference"/>
          <w:rFonts w:ascii="Times New Roman" w:hAnsi="Times New Roman" w:cs="Times New Roman"/>
          <w:sz w:val="20"/>
          <w:szCs w:val="20"/>
        </w:rPr>
        <w:footnoteRef/>
      </w:r>
      <w:r w:rsidRPr="0087272C">
        <w:rPr>
          <w:rFonts w:ascii="Times New Roman" w:hAnsi="Times New Roman" w:cs="Times New Roman"/>
          <w:sz w:val="20"/>
          <w:szCs w:val="20"/>
        </w:rPr>
        <w:t xml:space="preserve"> Regarding the possibility that ritual magical specialists wor</w:t>
      </w:r>
      <w:r w:rsidR="00F545F9" w:rsidRPr="0087272C">
        <w:rPr>
          <w:rFonts w:ascii="Times New Roman" w:hAnsi="Times New Roman" w:cs="Times New Roman"/>
          <w:sz w:val="20"/>
          <w:szCs w:val="20"/>
        </w:rPr>
        <w:t xml:space="preserve">e </w:t>
      </w:r>
      <w:r w:rsidRPr="0087272C">
        <w:rPr>
          <w:rFonts w:ascii="Times New Roman" w:hAnsi="Times New Roman" w:cs="Times New Roman"/>
          <w:sz w:val="20"/>
          <w:szCs w:val="20"/>
        </w:rPr>
        <w:t xml:space="preserve">apotropaic-endowed garments, see: </w:t>
      </w:r>
      <w:r w:rsidRPr="0087272C">
        <w:rPr>
          <w:rFonts w:ascii="Times New Roman" w:eastAsia="Times New Roman" w:hAnsi="Times New Roman" w:cs="Times New Roman"/>
          <w:sz w:val="20"/>
          <w:szCs w:val="20"/>
        </w:rPr>
        <w:t xml:space="preserve">Craig A. Evans, ‘Jesus and the Spirits: What Can We Learn from the New Testament World?’, </w:t>
      </w:r>
      <w:r w:rsidRPr="0087272C">
        <w:rPr>
          <w:rFonts w:ascii="Times New Roman" w:eastAsia="Times New Roman" w:hAnsi="Times New Roman" w:cs="Times New Roman"/>
          <w:i/>
          <w:iCs/>
          <w:sz w:val="20"/>
          <w:szCs w:val="20"/>
        </w:rPr>
        <w:t>Transformation: An International Journal of Holistic Mission Studies</w:t>
      </w:r>
      <w:r w:rsidRPr="0087272C">
        <w:rPr>
          <w:rFonts w:ascii="Times New Roman" w:eastAsia="Times New Roman" w:hAnsi="Times New Roman" w:cs="Times New Roman"/>
          <w:sz w:val="20"/>
          <w:szCs w:val="20"/>
        </w:rPr>
        <w:t>, 27 (2010), pp. 146–61 (p. 150).</w:t>
      </w:r>
    </w:p>
  </w:footnote>
  <w:footnote w:id="68">
    <w:p w14:paraId="07D1409C" w14:textId="2E7FD337" w:rsidR="009E5758" w:rsidRPr="0087272C" w:rsidRDefault="009E5758">
      <w:pPr>
        <w:pStyle w:val="FootnoteText"/>
        <w:rPr>
          <w:rFonts w:ascii="Times New Roman" w:hAnsi="Times New Roman" w:cs="Times New Roman"/>
        </w:rPr>
      </w:pPr>
      <w:r w:rsidRPr="0087272C">
        <w:rPr>
          <w:rStyle w:val="FootnoteReference"/>
          <w:rFonts w:ascii="Times New Roman" w:hAnsi="Times New Roman" w:cs="Times New Roman"/>
        </w:rPr>
        <w:footnoteRef/>
      </w:r>
      <w:r w:rsidRPr="0087272C">
        <w:rPr>
          <w:rFonts w:ascii="Times New Roman" w:hAnsi="Times New Roman" w:cs="Times New Roman"/>
        </w:rPr>
        <w:t xml:space="preserve"> </w:t>
      </w:r>
      <w:r w:rsidRPr="0087272C">
        <w:rPr>
          <w:rFonts w:ascii="Times New Roman" w:eastAsia="Times New Roman" w:hAnsi="Times New Roman" w:cs="Times New Roman"/>
        </w:rPr>
        <w:t xml:space="preserve">Kotansky, ‘Greek Exorcistic Amulets’, p. 261. </w:t>
      </w:r>
    </w:p>
  </w:footnote>
  <w:footnote w:id="69">
    <w:p w14:paraId="65362C27" w14:textId="43D21958" w:rsidR="001256DF" w:rsidRPr="0087272C" w:rsidRDefault="001256DF" w:rsidP="001256DF">
      <w:pPr>
        <w:pStyle w:val="FootnoteText"/>
        <w:rPr>
          <w:rFonts w:ascii="Times New Roman" w:hAnsi="Times New Roman" w:cs="Times New Roman"/>
          <w:color w:val="000000" w:themeColor="text1"/>
        </w:rPr>
      </w:pPr>
      <w:r w:rsidRPr="0087272C">
        <w:rPr>
          <w:rStyle w:val="FootnoteReference"/>
          <w:rFonts w:ascii="Times New Roman" w:hAnsi="Times New Roman" w:cs="Times New Roman"/>
          <w:color w:val="000000" w:themeColor="text1"/>
        </w:rPr>
        <w:footnoteRef/>
      </w:r>
      <w:r w:rsidRPr="0087272C">
        <w:rPr>
          <w:rFonts w:ascii="Times New Roman" w:hAnsi="Times New Roman" w:cs="Times New Roman"/>
          <w:color w:val="000000" w:themeColor="text1"/>
        </w:rPr>
        <w:t xml:space="preserve"> Betz, ed., </w:t>
      </w:r>
      <w:r w:rsidRPr="0087272C">
        <w:rPr>
          <w:rFonts w:ascii="Times New Roman" w:eastAsia="Times New Roman" w:hAnsi="Times New Roman" w:cs="Times New Roman"/>
          <w:i/>
          <w:iCs/>
          <w:color w:val="000000" w:themeColor="text1"/>
          <w:lang w:eastAsia="en-GB"/>
        </w:rPr>
        <w:t>The Greek Magical Papyri in Translation</w:t>
      </w:r>
      <w:r w:rsidRPr="0087272C">
        <w:rPr>
          <w:rFonts w:ascii="Times New Roman" w:eastAsia="Times New Roman" w:hAnsi="Times New Roman" w:cs="Times New Roman"/>
          <w:color w:val="000000" w:themeColor="text1"/>
          <w:lang w:eastAsia="en-GB"/>
        </w:rPr>
        <w:t>, xlvi.</w:t>
      </w:r>
    </w:p>
  </w:footnote>
  <w:footnote w:id="70">
    <w:p w14:paraId="49E079F2" w14:textId="719A3437" w:rsidR="00591C54" w:rsidRPr="00985A6A" w:rsidRDefault="00591C54">
      <w:pPr>
        <w:pStyle w:val="FootnoteText"/>
        <w:rPr>
          <w:rFonts w:ascii="Times New Roman" w:hAnsi="Times New Roman" w:cs="Times New Roman"/>
          <w:color w:val="000000" w:themeColor="text1"/>
        </w:rPr>
      </w:pPr>
      <w:r w:rsidRPr="0087272C">
        <w:rPr>
          <w:rStyle w:val="FootnoteReference"/>
          <w:rFonts w:ascii="Times New Roman" w:hAnsi="Times New Roman" w:cs="Times New Roman"/>
          <w:color w:val="000000" w:themeColor="text1"/>
        </w:rPr>
        <w:footnoteRef/>
      </w:r>
      <w:r w:rsidRPr="0087272C">
        <w:rPr>
          <w:rFonts w:ascii="Times New Roman" w:hAnsi="Times New Roman" w:cs="Times New Roman"/>
          <w:color w:val="000000" w:themeColor="text1"/>
        </w:rPr>
        <w:t xml:space="preserve"> </w:t>
      </w:r>
      <w:r w:rsidRPr="0087272C">
        <w:rPr>
          <w:rFonts w:ascii="Times New Roman" w:eastAsia="Times New Roman" w:hAnsi="Times New Roman" w:cs="Times New Roman"/>
          <w:color w:val="000000" w:themeColor="text1"/>
        </w:rPr>
        <w:t xml:space="preserve">Brashear, ‘The Greek Magical Papyri’, pp. 3431-34. </w:t>
      </w:r>
    </w:p>
  </w:footnote>
  <w:footnote w:id="71">
    <w:p w14:paraId="0B290A1E" w14:textId="39A52665" w:rsidR="00A71DC2" w:rsidRPr="00985A6A" w:rsidRDefault="00A71DC2" w:rsidP="000E28BE">
      <w:pPr>
        <w:pStyle w:val="FootnoteText"/>
        <w:ind w:left="144" w:hanging="144"/>
        <w:rPr>
          <w:rFonts w:ascii="Times New Roman" w:hAnsi="Times New Roman" w:cs="Times New Roman"/>
          <w:color w:val="000000" w:themeColor="text1"/>
        </w:rPr>
      </w:pPr>
      <w:r w:rsidRPr="00985A6A">
        <w:rPr>
          <w:rStyle w:val="FootnoteReference"/>
          <w:rFonts w:ascii="Times New Roman" w:hAnsi="Times New Roman" w:cs="Times New Roman"/>
          <w:color w:val="000000" w:themeColor="text1"/>
        </w:rPr>
        <w:footnoteRef/>
      </w:r>
      <w:r w:rsidRPr="00985A6A">
        <w:rPr>
          <w:rFonts w:ascii="Times New Roman" w:hAnsi="Times New Roman" w:cs="Times New Roman"/>
          <w:color w:val="000000" w:themeColor="text1"/>
        </w:rPr>
        <w:t xml:space="preserve"> David </w:t>
      </w:r>
      <w:r w:rsidRPr="00985A6A">
        <w:rPr>
          <w:rFonts w:ascii="Times New Roman" w:eastAsia="Times New Roman" w:hAnsi="Times New Roman" w:cs="Times New Roman"/>
          <w:color w:val="000000" w:themeColor="text1"/>
        </w:rPr>
        <w:t xml:space="preserve">Frankfurter, ‘Narrating Power: The Theory and Practice of the Magical </w:t>
      </w:r>
      <w:r w:rsidRPr="00985A6A">
        <w:rPr>
          <w:rFonts w:ascii="Times New Roman" w:eastAsia="Times New Roman" w:hAnsi="Times New Roman" w:cs="Times New Roman"/>
          <w:i/>
          <w:iCs/>
          <w:color w:val="000000" w:themeColor="text1"/>
        </w:rPr>
        <w:t>Historiola</w:t>
      </w:r>
      <w:r w:rsidRPr="00985A6A">
        <w:rPr>
          <w:rFonts w:ascii="Times New Roman" w:eastAsia="Times New Roman" w:hAnsi="Times New Roman" w:cs="Times New Roman"/>
          <w:color w:val="000000" w:themeColor="text1"/>
        </w:rPr>
        <w:t xml:space="preserve"> in Ritual Spells’, in </w:t>
      </w:r>
      <w:r w:rsidRPr="00985A6A">
        <w:rPr>
          <w:rFonts w:ascii="Times New Roman" w:eastAsia="Times New Roman" w:hAnsi="Times New Roman" w:cs="Times New Roman"/>
          <w:i/>
          <w:iCs/>
          <w:color w:val="000000" w:themeColor="text1"/>
        </w:rPr>
        <w:t>Ancient Magic and Ritual Power</w:t>
      </w:r>
      <w:r w:rsidRPr="00985A6A">
        <w:rPr>
          <w:rFonts w:ascii="Times New Roman" w:eastAsia="Times New Roman" w:hAnsi="Times New Roman" w:cs="Times New Roman"/>
          <w:color w:val="000000" w:themeColor="text1"/>
        </w:rPr>
        <w:t>, ed. by Marvin W. Meyer and Paul Allan Mirecki, Religions in the Graeco-Roman World, v. 129 (Leiden; New York: Brill, 1995), pp. 457–76 (pp. 457, 461).</w:t>
      </w:r>
    </w:p>
  </w:footnote>
  <w:footnote w:id="72">
    <w:p w14:paraId="355ED87C" w14:textId="282C4CA8" w:rsidR="00A71DC2" w:rsidRPr="00985A6A" w:rsidRDefault="00A71DC2">
      <w:pPr>
        <w:pStyle w:val="FootnoteText"/>
        <w:rPr>
          <w:rFonts w:ascii="Times New Roman" w:hAnsi="Times New Roman" w:cs="Times New Roman"/>
          <w:color w:val="000000" w:themeColor="text1"/>
        </w:rPr>
      </w:pPr>
      <w:r w:rsidRPr="00985A6A">
        <w:rPr>
          <w:rStyle w:val="FootnoteReference"/>
          <w:rFonts w:ascii="Times New Roman" w:hAnsi="Times New Roman" w:cs="Times New Roman"/>
          <w:color w:val="000000" w:themeColor="text1"/>
        </w:rPr>
        <w:footnoteRef/>
      </w:r>
      <w:r w:rsidRPr="00985A6A">
        <w:rPr>
          <w:rFonts w:ascii="Times New Roman" w:hAnsi="Times New Roman" w:cs="Times New Roman"/>
          <w:color w:val="000000" w:themeColor="text1"/>
        </w:rPr>
        <w:t xml:space="preserve"> </w:t>
      </w:r>
      <w:r w:rsidRPr="00985A6A">
        <w:rPr>
          <w:rFonts w:ascii="Times New Roman" w:eastAsia="Times New Roman" w:hAnsi="Times New Roman" w:cs="Times New Roman"/>
          <w:color w:val="000000" w:themeColor="text1"/>
        </w:rPr>
        <w:t>Brashear, ‘The Greek Magical Papyri’, p. 3439.</w:t>
      </w:r>
    </w:p>
  </w:footnote>
  <w:footnote w:id="73">
    <w:p w14:paraId="78F3DD40" w14:textId="18504787" w:rsidR="006F7728" w:rsidRPr="006F7728" w:rsidRDefault="006F7728">
      <w:pPr>
        <w:pStyle w:val="FootnoteText"/>
        <w:rPr>
          <w:lang w:val="en-US"/>
        </w:rPr>
      </w:pPr>
      <w:r>
        <w:rPr>
          <w:rStyle w:val="FootnoteReference"/>
        </w:rPr>
        <w:footnoteRef/>
      </w:r>
      <w:r>
        <w:t xml:space="preserve"> </w:t>
      </w:r>
      <w:r w:rsidRPr="00A94F37">
        <w:rPr>
          <w:rFonts w:ascii="Times New Roman" w:hAnsi="Times New Roman" w:cs="Times New Roman"/>
          <w:lang w:val="en-US"/>
        </w:rPr>
        <w:t>PGM IV.30</w:t>
      </w:r>
      <w:r>
        <w:rPr>
          <w:rFonts w:ascii="Times New Roman" w:hAnsi="Times New Roman" w:cs="Times New Roman"/>
          <w:lang w:val="en-US"/>
        </w:rPr>
        <w:t>23</w:t>
      </w:r>
      <w:r w:rsidRPr="00A94F37">
        <w:rPr>
          <w:rFonts w:ascii="Times New Roman" w:hAnsi="Times New Roman" w:cs="Times New Roman"/>
          <w:lang w:val="en-US"/>
        </w:rPr>
        <w:t xml:space="preserve"> (</w:t>
      </w:r>
      <w:r w:rsidRPr="00A94F37">
        <w:rPr>
          <w:rFonts w:ascii="Times New Roman" w:hAnsi="Times New Roman" w:cs="Times New Roman"/>
        </w:rPr>
        <w:t xml:space="preserve">Betz, </w:t>
      </w:r>
      <w:r w:rsidRPr="00A94F37">
        <w:rPr>
          <w:rFonts w:ascii="Times New Roman" w:hAnsi="Times New Roman" w:cs="Times New Roman"/>
          <w:i/>
          <w:iCs/>
        </w:rPr>
        <w:t>Greek Magical Papyri</w:t>
      </w:r>
      <w:r w:rsidRPr="00A94F37">
        <w:rPr>
          <w:rFonts w:ascii="Times New Roman" w:hAnsi="Times New Roman" w:cs="Times New Roman"/>
        </w:rPr>
        <w:t xml:space="preserve">, p. 96; </w:t>
      </w:r>
      <w:r w:rsidRPr="00A94F37">
        <w:rPr>
          <w:rFonts w:ascii="Times New Roman" w:eastAsia="Times New Roman" w:hAnsi="Times New Roman" w:cs="Times New Roman"/>
        </w:rPr>
        <w:t xml:space="preserve">Deissmann, </w:t>
      </w:r>
      <w:r w:rsidRPr="00A94F37">
        <w:rPr>
          <w:rFonts w:ascii="Times New Roman" w:eastAsia="Times New Roman" w:hAnsi="Times New Roman" w:cs="Times New Roman"/>
          <w:i/>
          <w:iCs/>
        </w:rPr>
        <w:t xml:space="preserve">Light from the Ancient </w:t>
      </w:r>
      <w:r w:rsidRPr="00A94F37">
        <w:rPr>
          <w:rFonts w:ascii="Times New Roman" w:eastAsia="Times New Roman" w:hAnsi="Times New Roman" w:cs="Times New Roman"/>
        </w:rPr>
        <w:t>East, p. 260</w:t>
      </w:r>
      <w:r w:rsidRPr="00A94F37">
        <w:rPr>
          <w:rFonts w:ascii="Times New Roman" w:hAnsi="Times New Roman" w:cs="Times New Roman"/>
        </w:rPr>
        <w:t>).</w:t>
      </w:r>
    </w:p>
  </w:footnote>
  <w:footnote w:id="74">
    <w:p w14:paraId="306797C3" w14:textId="2363D833" w:rsidR="006F7728" w:rsidRPr="006F7728" w:rsidRDefault="006F7728">
      <w:pPr>
        <w:pStyle w:val="FootnoteText"/>
        <w:rPr>
          <w:lang w:val="en-US"/>
        </w:rPr>
      </w:pPr>
      <w:r>
        <w:rPr>
          <w:rStyle w:val="FootnoteReference"/>
        </w:rPr>
        <w:footnoteRef/>
      </w:r>
      <w:r>
        <w:t xml:space="preserve"> </w:t>
      </w:r>
      <w:r w:rsidRPr="00A94F37">
        <w:rPr>
          <w:rFonts w:ascii="Times New Roman" w:hAnsi="Times New Roman" w:cs="Times New Roman"/>
          <w:lang w:val="en-US"/>
        </w:rPr>
        <w:t>PGM IV.30</w:t>
      </w:r>
      <w:r>
        <w:rPr>
          <w:rFonts w:ascii="Times New Roman" w:hAnsi="Times New Roman" w:cs="Times New Roman"/>
          <w:lang w:val="en-US"/>
        </w:rPr>
        <w:t>54</w:t>
      </w:r>
      <w:r w:rsidRPr="00A94F37">
        <w:rPr>
          <w:rFonts w:ascii="Times New Roman" w:hAnsi="Times New Roman" w:cs="Times New Roman"/>
          <w:lang w:val="en-US"/>
        </w:rPr>
        <w:t xml:space="preserve"> (</w:t>
      </w:r>
      <w:r w:rsidRPr="00A94F37">
        <w:rPr>
          <w:rFonts w:ascii="Times New Roman" w:hAnsi="Times New Roman" w:cs="Times New Roman"/>
        </w:rPr>
        <w:t xml:space="preserve">Betz, </w:t>
      </w:r>
      <w:r w:rsidRPr="00A94F37">
        <w:rPr>
          <w:rFonts w:ascii="Times New Roman" w:hAnsi="Times New Roman" w:cs="Times New Roman"/>
          <w:i/>
          <w:iCs/>
        </w:rPr>
        <w:t>Greek Magical Papyri</w:t>
      </w:r>
      <w:r w:rsidRPr="00A94F37">
        <w:rPr>
          <w:rFonts w:ascii="Times New Roman" w:hAnsi="Times New Roman" w:cs="Times New Roman"/>
        </w:rPr>
        <w:t>, p. 9</w:t>
      </w:r>
      <w:r>
        <w:rPr>
          <w:rFonts w:ascii="Times New Roman" w:hAnsi="Times New Roman" w:cs="Times New Roman"/>
        </w:rPr>
        <w:t>7</w:t>
      </w:r>
      <w:r w:rsidRPr="00A94F37">
        <w:rPr>
          <w:rFonts w:ascii="Times New Roman" w:hAnsi="Times New Roman" w:cs="Times New Roman"/>
        </w:rPr>
        <w:t xml:space="preserve">; </w:t>
      </w:r>
      <w:r w:rsidRPr="00A94F37">
        <w:rPr>
          <w:rFonts w:ascii="Times New Roman" w:eastAsia="Times New Roman" w:hAnsi="Times New Roman" w:cs="Times New Roman"/>
        </w:rPr>
        <w:t xml:space="preserve">Deissmann, </w:t>
      </w:r>
      <w:r w:rsidRPr="00A94F37">
        <w:rPr>
          <w:rFonts w:ascii="Times New Roman" w:eastAsia="Times New Roman" w:hAnsi="Times New Roman" w:cs="Times New Roman"/>
          <w:i/>
          <w:iCs/>
        </w:rPr>
        <w:t xml:space="preserve">Light from the Ancient </w:t>
      </w:r>
      <w:r w:rsidRPr="00A94F37">
        <w:rPr>
          <w:rFonts w:ascii="Times New Roman" w:eastAsia="Times New Roman" w:hAnsi="Times New Roman" w:cs="Times New Roman"/>
        </w:rPr>
        <w:t>East, p. 26</w:t>
      </w:r>
      <w:r w:rsidR="009F1C60">
        <w:rPr>
          <w:rFonts w:ascii="Times New Roman" w:eastAsia="Times New Roman" w:hAnsi="Times New Roman" w:cs="Times New Roman"/>
        </w:rPr>
        <w:t>2</w:t>
      </w:r>
      <w:r w:rsidRPr="00A94F37">
        <w:rPr>
          <w:rFonts w:ascii="Times New Roman" w:hAnsi="Times New Roman" w:cs="Times New Roman"/>
        </w:rPr>
        <w:t>).</w:t>
      </w:r>
    </w:p>
  </w:footnote>
  <w:footnote w:id="75">
    <w:p w14:paraId="256D8AA4" w14:textId="0006F6A6" w:rsidR="008540E8" w:rsidRPr="00985A6A" w:rsidRDefault="008540E8" w:rsidP="009F1C60">
      <w:pPr>
        <w:pStyle w:val="FootnoteText"/>
        <w:ind w:left="144" w:hanging="144"/>
        <w:rPr>
          <w:rFonts w:ascii="Times New Roman" w:hAnsi="Times New Roman" w:cs="Times New Roman"/>
          <w:color w:val="000000" w:themeColor="text1"/>
        </w:rPr>
      </w:pPr>
      <w:r w:rsidRPr="00985A6A">
        <w:rPr>
          <w:rStyle w:val="FootnoteReference"/>
          <w:rFonts w:ascii="Times New Roman" w:hAnsi="Times New Roman" w:cs="Times New Roman"/>
          <w:color w:val="000000" w:themeColor="text1"/>
        </w:rPr>
        <w:footnoteRef/>
      </w:r>
      <w:r w:rsidRPr="00985A6A">
        <w:rPr>
          <w:rFonts w:ascii="Times New Roman" w:hAnsi="Times New Roman" w:cs="Times New Roman"/>
          <w:color w:val="000000" w:themeColor="text1"/>
        </w:rPr>
        <w:t xml:space="preserve"> </w:t>
      </w:r>
      <w:r w:rsidR="009F1C60" w:rsidRPr="00A94F37">
        <w:rPr>
          <w:rFonts w:ascii="Times New Roman" w:hAnsi="Times New Roman" w:cs="Times New Roman"/>
          <w:lang w:val="en-US"/>
        </w:rPr>
        <w:t>PGM IV.30</w:t>
      </w:r>
      <w:r w:rsidR="009F1C60">
        <w:rPr>
          <w:rFonts w:ascii="Times New Roman" w:hAnsi="Times New Roman" w:cs="Times New Roman"/>
          <w:lang w:val="en-US"/>
        </w:rPr>
        <w:t>37</w:t>
      </w:r>
      <w:r w:rsidR="009F1C60" w:rsidRPr="00A94F37">
        <w:rPr>
          <w:rFonts w:ascii="Times New Roman" w:hAnsi="Times New Roman" w:cs="Times New Roman"/>
          <w:lang w:val="en-US"/>
        </w:rPr>
        <w:t xml:space="preserve"> (</w:t>
      </w:r>
      <w:r w:rsidR="009F1C60" w:rsidRPr="00A94F37">
        <w:rPr>
          <w:rFonts w:ascii="Times New Roman" w:hAnsi="Times New Roman" w:cs="Times New Roman"/>
        </w:rPr>
        <w:t xml:space="preserve">Betz, </w:t>
      </w:r>
      <w:r w:rsidR="009F1C60" w:rsidRPr="00A94F37">
        <w:rPr>
          <w:rFonts w:ascii="Times New Roman" w:hAnsi="Times New Roman" w:cs="Times New Roman"/>
          <w:i/>
          <w:iCs/>
        </w:rPr>
        <w:t>Greek Magical Papyri</w:t>
      </w:r>
      <w:r w:rsidR="009F1C60" w:rsidRPr="00A94F37">
        <w:rPr>
          <w:rFonts w:ascii="Times New Roman" w:hAnsi="Times New Roman" w:cs="Times New Roman"/>
        </w:rPr>
        <w:t xml:space="preserve">, p. 96; </w:t>
      </w:r>
      <w:r w:rsidR="009F1C60" w:rsidRPr="00A94F37">
        <w:rPr>
          <w:rFonts w:ascii="Times New Roman" w:eastAsia="Times New Roman" w:hAnsi="Times New Roman" w:cs="Times New Roman"/>
        </w:rPr>
        <w:t xml:space="preserve">Deissmann, </w:t>
      </w:r>
      <w:r w:rsidR="009F1C60" w:rsidRPr="00A94F37">
        <w:rPr>
          <w:rFonts w:ascii="Times New Roman" w:eastAsia="Times New Roman" w:hAnsi="Times New Roman" w:cs="Times New Roman"/>
          <w:i/>
          <w:iCs/>
        </w:rPr>
        <w:t xml:space="preserve">Light from the Ancient </w:t>
      </w:r>
      <w:r w:rsidR="009F1C60" w:rsidRPr="00A94F37">
        <w:rPr>
          <w:rFonts w:ascii="Times New Roman" w:eastAsia="Times New Roman" w:hAnsi="Times New Roman" w:cs="Times New Roman"/>
        </w:rPr>
        <w:t>East, p. 2</w:t>
      </w:r>
      <w:r w:rsidR="009F1C60">
        <w:rPr>
          <w:rFonts w:ascii="Times New Roman" w:eastAsia="Times New Roman" w:hAnsi="Times New Roman" w:cs="Times New Roman"/>
        </w:rPr>
        <w:t>61</w:t>
      </w:r>
      <w:r w:rsidR="009F1C60" w:rsidRPr="00A94F37">
        <w:rPr>
          <w:rFonts w:ascii="Times New Roman" w:hAnsi="Times New Roman" w:cs="Times New Roman"/>
        </w:rPr>
        <w:t>)</w:t>
      </w:r>
      <w:r w:rsidR="009F1C60">
        <w:rPr>
          <w:rFonts w:ascii="Times New Roman" w:hAnsi="Times New Roman" w:cs="Times New Roman"/>
        </w:rPr>
        <w:t xml:space="preserve">; </w:t>
      </w:r>
      <w:r w:rsidRPr="00985A6A">
        <w:rPr>
          <w:rFonts w:ascii="Times New Roman" w:eastAsia="Times New Roman" w:hAnsi="Times New Roman" w:cs="Times New Roman"/>
          <w:color w:val="000000" w:themeColor="text1"/>
          <w:lang w:eastAsia="en-GB"/>
        </w:rPr>
        <w:t xml:space="preserve">Bates, </w:t>
      </w:r>
      <w:r w:rsidR="00EF3FFD" w:rsidRPr="00985A6A">
        <w:rPr>
          <w:rFonts w:ascii="Times New Roman" w:eastAsia="Times New Roman" w:hAnsi="Times New Roman" w:cs="Times New Roman"/>
          <w:color w:val="000000" w:themeColor="text1"/>
          <w:lang w:eastAsia="en-GB"/>
        </w:rPr>
        <w:t>‘</w:t>
      </w:r>
      <w:r w:rsidRPr="00985A6A">
        <w:rPr>
          <w:rFonts w:ascii="Times New Roman" w:eastAsia="Times New Roman" w:hAnsi="Times New Roman" w:cs="Times New Roman"/>
          <w:color w:val="000000" w:themeColor="text1"/>
          <w:lang w:eastAsia="en-GB"/>
        </w:rPr>
        <w:t>Why Do the Seven Sons of Sceva Fail?</w:t>
      </w:r>
      <w:r w:rsidR="00EF3FFD" w:rsidRPr="00985A6A">
        <w:rPr>
          <w:rFonts w:ascii="Times New Roman" w:eastAsia="Times New Roman" w:hAnsi="Times New Roman" w:cs="Times New Roman"/>
          <w:color w:val="000000" w:themeColor="text1"/>
          <w:lang w:eastAsia="en-GB"/>
        </w:rPr>
        <w:t>’,</w:t>
      </w:r>
      <w:r w:rsidRPr="00985A6A">
        <w:rPr>
          <w:rFonts w:ascii="Times New Roman" w:eastAsia="Times New Roman" w:hAnsi="Times New Roman" w:cs="Times New Roman"/>
          <w:color w:val="000000" w:themeColor="text1"/>
          <w:lang w:eastAsia="en-GB"/>
        </w:rPr>
        <w:t xml:space="preserve"> </w:t>
      </w:r>
      <w:r w:rsidR="00EF3FFD" w:rsidRPr="00985A6A">
        <w:rPr>
          <w:rFonts w:ascii="Times New Roman" w:eastAsia="Times New Roman" w:hAnsi="Times New Roman" w:cs="Times New Roman"/>
          <w:color w:val="000000" w:themeColor="text1"/>
          <w:lang w:eastAsia="en-GB"/>
        </w:rPr>
        <w:t xml:space="preserve">p. </w:t>
      </w:r>
      <w:r w:rsidRPr="00985A6A">
        <w:rPr>
          <w:rFonts w:ascii="Times New Roman" w:eastAsia="Times New Roman" w:hAnsi="Times New Roman" w:cs="Times New Roman"/>
          <w:color w:val="000000" w:themeColor="text1"/>
          <w:lang w:eastAsia="en-GB"/>
        </w:rPr>
        <w:t>417.</w:t>
      </w:r>
    </w:p>
  </w:footnote>
  <w:footnote w:id="76">
    <w:p w14:paraId="32F28749" w14:textId="52BC6803" w:rsidR="008540E8" w:rsidRPr="00411B98" w:rsidRDefault="008540E8">
      <w:pPr>
        <w:pStyle w:val="FootnoteText"/>
        <w:rPr>
          <w:rFonts w:ascii="Times New Roman" w:hAnsi="Times New Roman" w:cs="Times New Roman"/>
          <w:color w:val="000000" w:themeColor="text1"/>
        </w:rPr>
      </w:pPr>
      <w:r w:rsidRPr="00411B98">
        <w:rPr>
          <w:rStyle w:val="FootnoteReference"/>
          <w:rFonts w:ascii="Times New Roman" w:hAnsi="Times New Roman" w:cs="Times New Roman"/>
          <w:color w:val="000000" w:themeColor="text1"/>
        </w:rPr>
        <w:footnoteRef/>
      </w:r>
      <w:r w:rsidRPr="00411B98">
        <w:rPr>
          <w:rFonts w:ascii="Times New Roman" w:hAnsi="Times New Roman" w:cs="Times New Roman"/>
          <w:color w:val="000000" w:themeColor="text1"/>
        </w:rPr>
        <w:t xml:space="preserve"> </w:t>
      </w:r>
      <w:r w:rsidR="00EF3FFD" w:rsidRPr="00411B98">
        <w:rPr>
          <w:rFonts w:ascii="Times New Roman" w:eastAsia="Times New Roman" w:hAnsi="Times New Roman" w:cs="Times New Roman"/>
          <w:color w:val="000000" w:themeColor="text1"/>
          <w:lang w:eastAsia="en-GB"/>
        </w:rPr>
        <w:t>Bates, ‘Why Do the Seven Sons of Sceva Fail?’,</w:t>
      </w:r>
      <w:r w:rsidRPr="00411B98">
        <w:rPr>
          <w:rFonts w:ascii="Times New Roman" w:eastAsia="Times New Roman" w:hAnsi="Times New Roman" w:cs="Times New Roman"/>
          <w:color w:val="000000" w:themeColor="text1"/>
          <w:lang w:eastAsia="en-GB"/>
        </w:rPr>
        <w:t xml:space="preserve"> p. 416.</w:t>
      </w:r>
    </w:p>
  </w:footnote>
  <w:footnote w:id="77">
    <w:p w14:paraId="5EA98154" w14:textId="12C894AF" w:rsidR="008540E8" w:rsidRPr="00411B98" w:rsidRDefault="008540E8">
      <w:pPr>
        <w:pStyle w:val="FootnoteText"/>
        <w:rPr>
          <w:rFonts w:ascii="Times New Roman" w:hAnsi="Times New Roman" w:cs="Times New Roman"/>
          <w:color w:val="000000" w:themeColor="text1"/>
        </w:rPr>
      </w:pPr>
      <w:r w:rsidRPr="00411B98">
        <w:rPr>
          <w:rStyle w:val="FootnoteReference"/>
          <w:rFonts w:ascii="Times New Roman" w:hAnsi="Times New Roman" w:cs="Times New Roman"/>
          <w:color w:val="000000" w:themeColor="text1"/>
        </w:rPr>
        <w:footnoteRef/>
      </w:r>
      <w:r w:rsidRPr="00411B98">
        <w:rPr>
          <w:rFonts w:ascii="Times New Roman" w:hAnsi="Times New Roman" w:cs="Times New Roman"/>
          <w:color w:val="000000" w:themeColor="text1"/>
        </w:rPr>
        <w:t xml:space="preserve"> </w:t>
      </w:r>
      <w:r w:rsidR="00EF3FFD" w:rsidRPr="00411B98">
        <w:rPr>
          <w:rFonts w:ascii="Times New Roman" w:eastAsia="Times New Roman" w:hAnsi="Times New Roman" w:cs="Times New Roman"/>
          <w:color w:val="000000" w:themeColor="text1"/>
          <w:lang w:eastAsia="en-GB"/>
        </w:rPr>
        <w:t>Bates, ‘Why Do the Seven Sons of Sceva Fail?’,</w:t>
      </w:r>
      <w:r w:rsidRPr="00411B98">
        <w:rPr>
          <w:rFonts w:ascii="Times New Roman" w:eastAsia="Times New Roman" w:hAnsi="Times New Roman" w:cs="Times New Roman"/>
          <w:color w:val="000000" w:themeColor="text1"/>
          <w:lang w:eastAsia="en-GB"/>
        </w:rPr>
        <w:t xml:space="preserve"> p. 415,</w:t>
      </w:r>
    </w:p>
  </w:footnote>
  <w:footnote w:id="78">
    <w:p w14:paraId="21849CD2" w14:textId="46E5B9F0" w:rsidR="00411B98" w:rsidRPr="00411B98" w:rsidRDefault="00411B98">
      <w:pPr>
        <w:pStyle w:val="FootnoteText"/>
        <w:rPr>
          <w:rFonts w:ascii="Times New Roman" w:hAnsi="Times New Roman" w:cs="Times New Roman"/>
          <w:lang w:val="en-US"/>
        </w:rPr>
      </w:pPr>
      <w:r w:rsidRPr="00411B98">
        <w:rPr>
          <w:rStyle w:val="FootnoteReference"/>
          <w:rFonts w:ascii="Times New Roman" w:hAnsi="Times New Roman" w:cs="Times New Roman"/>
        </w:rPr>
        <w:footnoteRef/>
      </w:r>
      <w:r w:rsidRPr="00411B98">
        <w:rPr>
          <w:rFonts w:ascii="Times New Roman" w:hAnsi="Times New Roman" w:cs="Times New Roman"/>
        </w:rPr>
        <w:t xml:space="preserve"> </w:t>
      </w:r>
      <w:r w:rsidRPr="00411B98">
        <w:rPr>
          <w:rFonts w:ascii="Times New Roman" w:eastAsia="Times New Roman" w:hAnsi="Times New Roman" w:cs="Times New Roman"/>
        </w:rPr>
        <w:t>Knox, ‘Jewish Liturgical Exorcism’, pp. 193-194.</w:t>
      </w:r>
    </w:p>
  </w:footnote>
  <w:footnote w:id="79">
    <w:p w14:paraId="61BA52C7" w14:textId="44FB0939" w:rsidR="00411B98" w:rsidRPr="00411B98" w:rsidRDefault="00411B98">
      <w:pPr>
        <w:pStyle w:val="FootnoteText"/>
        <w:rPr>
          <w:rFonts w:ascii="Times New Roman" w:hAnsi="Times New Roman" w:cs="Times New Roman"/>
          <w:lang w:val="en-US"/>
        </w:rPr>
      </w:pPr>
      <w:r w:rsidRPr="00411B98">
        <w:rPr>
          <w:rStyle w:val="FootnoteReference"/>
          <w:rFonts w:ascii="Times New Roman" w:hAnsi="Times New Roman" w:cs="Times New Roman"/>
        </w:rPr>
        <w:footnoteRef/>
      </w:r>
      <w:r w:rsidRPr="00411B98">
        <w:rPr>
          <w:rFonts w:ascii="Times New Roman" w:hAnsi="Times New Roman" w:cs="Times New Roman"/>
        </w:rPr>
        <w:t xml:space="preserve"> </w:t>
      </w:r>
      <w:r w:rsidRPr="00411B98">
        <w:rPr>
          <w:rFonts w:ascii="Times New Roman" w:eastAsia="Times New Roman" w:hAnsi="Times New Roman" w:cs="Times New Roman"/>
          <w:color w:val="000000" w:themeColor="text1"/>
          <w:lang w:eastAsia="en-GB"/>
        </w:rPr>
        <w:t xml:space="preserve">Janowitz, </w:t>
      </w:r>
      <w:r w:rsidRPr="00411B98">
        <w:rPr>
          <w:rFonts w:ascii="Times New Roman" w:eastAsia="Times New Roman" w:hAnsi="Times New Roman" w:cs="Times New Roman"/>
          <w:i/>
          <w:iCs/>
          <w:color w:val="000000" w:themeColor="text1"/>
          <w:lang w:eastAsia="en-GB"/>
        </w:rPr>
        <w:t>Magic in the Roman World</w:t>
      </w:r>
      <w:r w:rsidRPr="00411B98">
        <w:rPr>
          <w:rFonts w:ascii="Times New Roman" w:eastAsia="Times New Roman" w:hAnsi="Times New Roman" w:cs="Times New Roman"/>
          <w:color w:val="000000" w:themeColor="text1"/>
          <w:lang w:eastAsia="en-GB"/>
        </w:rPr>
        <w:t>, p. 41.</w:t>
      </w:r>
    </w:p>
  </w:footnote>
  <w:footnote w:id="80">
    <w:p w14:paraId="2501D8D9" w14:textId="6AF0E8E8" w:rsidR="00411B98" w:rsidRPr="00411B98" w:rsidRDefault="00411B98">
      <w:pPr>
        <w:pStyle w:val="FootnoteText"/>
        <w:rPr>
          <w:rFonts w:ascii="Times New Roman" w:hAnsi="Times New Roman" w:cs="Times New Roman"/>
          <w:lang w:val="en-US"/>
        </w:rPr>
      </w:pPr>
      <w:r w:rsidRPr="00411B98">
        <w:rPr>
          <w:rStyle w:val="FootnoteReference"/>
          <w:rFonts w:ascii="Times New Roman" w:hAnsi="Times New Roman" w:cs="Times New Roman"/>
        </w:rPr>
        <w:footnoteRef/>
      </w:r>
      <w:r w:rsidRPr="00411B98">
        <w:rPr>
          <w:rFonts w:ascii="Times New Roman" w:hAnsi="Times New Roman" w:cs="Times New Roman"/>
        </w:rPr>
        <w:t xml:space="preserve"> </w:t>
      </w:r>
      <w:r w:rsidRPr="00411B98">
        <w:rPr>
          <w:rFonts w:ascii="Times New Roman" w:hAnsi="Times New Roman" w:cs="Times New Roman"/>
          <w:lang w:val="en-US"/>
        </w:rPr>
        <w:t>PGM IV.3069-70 (</w:t>
      </w:r>
      <w:r w:rsidRPr="00411B98">
        <w:rPr>
          <w:rFonts w:ascii="Times New Roman" w:hAnsi="Times New Roman" w:cs="Times New Roman"/>
        </w:rPr>
        <w:t xml:space="preserve">Betz, </w:t>
      </w:r>
      <w:r w:rsidRPr="00411B98">
        <w:rPr>
          <w:rFonts w:ascii="Times New Roman" w:hAnsi="Times New Roman" w:cs="Times New Roman"/>
          <w:i/>
          <w:iCs/>
        </w:rPr>
        <w:t>Greek Magical Papyri</w:t>
      </w:r>
      <w:r w:rsidRPr="00411B98">
        <w:rPr>
          <w:rFonts w:ascii="Times New Roman" w:hAnsi="Times New Roman" w:cs="Times New Roman"/>
        </w:rPr>
        <w:t xml:space="preserve">, p. 97; </w:t>
      </w:r>
      <w:r w:rsidRPr="00411B98">
        <w:rPr>
          <w:rFonts w:ascii="Times New Roman" w:eastAsia="Times New Roman" w:hAnsi="Times New Roman" w:cs="Times New Roman"/>
        </w:rPr>
        <w:t xml:space="preserve">Deissmann, </w:t>
      </w:r>
      <w:r w:rsidRPr="00411B98">
        <w:rPr>
          <w:rFonts w:ascii="Times New Roman" w:eastAsia="Times New Roman" w:hAnsi="Times New Roman" w:cs="Times New Roman"/>
          <w:i/>
          <w:iCs/>
        </w:rPr>
        <w:t xml:space="preserve">Light from the Ancient </w:t>
      </w:r>
      <w:r w:rsidRPr="00411B98">
        <w:rPr>
          <w:rFonts w:ascii="Times New Roman" w:eastAsia="Times New Roman" w:hAnsi="Times New Roman" w:cs="Times New Roman"/>
        </w:rPr>
        <w:t>East, p</w:t>
      </w:r>
      <w:r w:rsidR="00E434AD">
        <w:rPr>
          <w:rFonts w:ascii="Times New Roman" w:eastAsia="Times New Roman" w:hAnsi="Times New Roman" w:cs="Times New Roman"/>
        </w:rPr>
        <w:t>p</w:t>
      </w:r>
      <w:r w:rsidRPr="00411B98">
        <w:rPr>
          <w:rFonts w:ascii="Times New Roman" w:eastAsia="Times New Roman" w:hAnsi="Times New Roman" w:cs="Times New Roman"/>
        </w:rPr>
        <w:t>. 262-63</w:t>
      </w:r>
      <w:r w:rsidRPr="00411B98">
        <w:rPr>
          <w:rFonts w:ascii="Times New Roman" w:hAnsi="Times New Roman" w:cs="Times New Roman"/>
        </w:rPr>
        <w:t>).</w:t>
      </w:r>
    </w:p>
  </w:footnote>
  <w:footnote w:id="81">
    <w:p w14:paraId="2C6E9EF0" w14:textId="2B66DDFC" w:rsidR="00411B98" w:rsidRPr="00411B98" w:rsidRDefault="00411B98">
      <w:pPr>
        <w:pStyle w:val="FootnoteText"/>
        <w:rPr>
          <w:lang w:val="en-US"/>
        </w:rPr>
      </w:pPr>
      <w:r w:rsidRPr="00411B98">
        <w:rPr>
          <w:rStyle w:val="FootnoteReference"/>
          <w:rFonts w:ascii="Times New Roman" w:hAnsi="Times New Roman" w:cs="Times New Roman"/>
        </w:rPr>
        <w:footnoteRef/>
      </w:r>
      <w:r w:rsidRPr="00411B98">
        <w:rPr>
          <w:rFonts w:ascii="Times New Roman" w:hAnsi="Times New Roman" w:cs="Times New Roman"/>
        </w:rPr>
        <w:t xml:space="preserve"> Betz, </w:t>
      </w:r>
      <w:r w:rsidRPr="00411B98">
        <w:rPr>
          <w:rFonts w:ascii="Times New Roman" w:hAnsi="Times New Roman" w:cs="Times New Roman"/>
          <w:i/>
          <w:iCs/>
        </w:rPr>
        <w:t>Greek Magical Papyri</w:t>
      </w:r>
      <w:r w:rsidRPr="00411B98">
        <w:rPr>
          <w:rFonts w:ascii="Times New Roman" w:hAnsi="Times New Roman" w:cs="Times New Roman"/>
        </w:rPr>
        <w:t>, p. 97 (fn. 407).</w:t>
      </w:r>
    </w:p>
  </w:footnote>
  <w:footnote w:id="82">
    <w:p w14:paraId="162CEA22" w14:textId="77777777" w:rsidR="0004659F" w:rsidRPr="0079041F" w:rsidRDefault="0004659F" w:rsidP="00792041">
      <w:pPr>
        <w:pStyle w:val="FootnoteText"/>
        <w:ind w:left="144" w:hanging="144"/>
        <w:rPr>
          <w:rFonts w:ascii="Times New Roman" w:hAnsi="Times New Roman" w:cs="Times New Roman"/>
        </w:rPr>
      </w:pPr>
      <w:r w:rsidRPr="0079041F">
        <w:rPr>
          <w:rStyle w:val="FootnoteReference"/>
          <w:rFonts w:ascii="Times New Roman" w:hAnsi="Times New Roman" w:cs="Times New Roman"/>
        </w:rPr>
        <w:footnoteRef/>
      </w:r>
      <w:r w:rsidRPr="0079041F">
        <w:rPr>
          <w:rFonts w:ascii="Times New Roman" w:hAnsi="Times New Roman" w:cs="Times New Roman"/>
        </w:rPr>
        <w:t xml:space="preserve"> </w:t>
      </w:r>
      <w:r w:rsidRPr="0079041F">
        <w:rPr>
          <w:rFonts w:ascii="Times New Roman" w:eastAsia="Times New Roman" w:hAnsi="Times New Roman" w:cs="Times New Roman"/>
        </w:rPr>
        <w:t xml:space="preserve">Deissmann, </w:t>
      </w:r>
      <w:r w:rsidRPr="0079041F">
        <w:rPr>
          <w:rFonts w:ascii="Times New Roman" w:eastAsia="Times New Roman" w:hAnsi="Times New Roman" w:cs="Times New Roman"/>
          <w:i/>
          <w:iCs/>
        </w:rPr>
        <w:t xml:space="preserve">Light from the Ancient </w:t>
      </w:r>
      <w:r w:rsidRPr="0079041F">
        <w:rPr>
          <w:rFonts w:ascii="Times New Roman" w:eastAsia="Times New Roman" w:hAnsi="Times New Roman" w:cs="Times New Roman"/>
        </w:rPr>
        <w:t xml:space="preserve">East, p. 263 (fn. 1); Knox, ‘Jewish Liturgical Exorcism’, p. 200; </w:t>
      </w:r>
      <w:r w:rsidRPr="0079041F">
        <w:rPr>
          <w:rFonts w:ascii="Times New Roman" w:hAnsi="Times New Roman" w:cs="Times New Roman"/>
        </w:rPr>
        <w:t xml:space="preserve">Smith, </w:t>
      </w:r>
      <w:r w:rsidRPr="0079041F">
        <w:rPr>
          <w:rFonts w:ascii="Times New Roman" w:eastAsia="Times New Roman" w:hAnsi="Times New Roman" w:cs="Times New Roman"/>
        </w:rPr>
        <w:t xml:space="preserve">‘Jewish Elements’, p. 250. </w:t>
      </w:r>
    </w:p>
  </w:footnote>
  <w:footnote w:id="83">
    <w:p w14:paraId="3C67D5CC" w14:textId="79F44090" w:rsidR="00C64CD9" w:rsidRPr="0079041F" w:rsidRDefault="00C64CD9" w:rsidP="00792041">
      <w:pPr>
        <w:pStyle w:val="FootnoteText"/>
        <w:ind w:left="144" w:hanging="144"/>
        <w:rPr>
          <w:rFonts w:ascii="Times New Roman" w:hAnsi="Times New Roman" w:cs="Times New Roman"/>
          <w:lang w:val="en-US"/>
        </w:rPr>
      </w:pPr>
      <w:r w:rsidRPr="0079041F">
        <w:rPr>
          <w:rStyle w:val="FootnoteReference"/>
          <w:rFonts w:ascii="Times New Roman" w:hAnsi="Times New Roman" w:cs="Times New Roman"/>
        </w:rPr>
        <w:footnoteRef/>
      </w:r>
      <w:r w:rsidRPr="0079041F">
        <w:rPr>
          <w:rFonts w:ascii="Times New Roman" w:hAnsi="Times New Roman" w:cs="Times New Roman"/>
        </w:rPr>
        <w:t xml:space="preserve"> </w:t>
      </w:r>
      <w:r w:rsidRPr="0079041F">
        <w:rPr>
          <w:rFonts w:ascii="Times New Roman" w:eastAsia="Times New Roman" w:hAnsi="Times New Roman" w:cs="Times New Roman"/>
        </w:rPr>
        <w:t>Brashear, ‘The Greek Magical Papyri’, p. 3419.</w:t>
      </w:r>
    </w:p>
  </w:footnote>
  <w:footnote w:id="84">
    <w:p w14:paraId="4C722579" w14:textId="40C89B0C" w:rsidR="00411B98" w:rsidRPr="00411B98" w:rsidRDefault="00411B98">
      <w:pPr>
        <w:pStyle w:val="FootnoteText"/>
        <w:rPr>
          <w:rFonts w:ascii="Times New Roman" w:hAnsi="Times New Roman" w:cs="Times New Roman"/>
          <w:lang w:val="en-US"/>
        </w:rPr>
      </w:pPr>
      <w:r>
        <w:rPr>
          <w:rStyle w:val="FootnoteReference"/>
        </w:rPr>
        <w:footnoteRef/>
      </w:r>
      <w:r>
        <w:t xml:space="preserve"> </w:t>
      </w:r>
      <w:r w:rsidRPr="00411B98">
        <w:rPr>
          <w:rFonts w:ascii="Times New Roman" w:hAnsi="Times New Roman" w:cs="Times New Roman"/>
          <w:lang w:val="en-US"/>
        </w:rPr>
        <w:t>PGM IV.30</w:t>
      </w:r>
      <w:r w:rsidR="00E434AD">
        <w:rPr>
          <w:rFonts w:ascii="Times New Roman" w:hAnsi="Times New Roman" w:cs="Times New Roman"/>
          <w:lang w:val="en-US"/>
        </w:rPr>
        <w:t>44</w:t>
      </w:r>
      <w:r w:rsidRPr="00411B98">
        <w:rPr>
          <w:rFonts w:ascii="Times New Roman" w:hAnsi="Times New Roman" w:cs="Times New Roman"/>
          <w:lang w:val="en-US"/>
        </w:rPr>
        <w:t xml:space="preserve"> (</w:t>
      </w:r>
      <w:r w:rsidRPr="00411B98">
        <w:rPr>
          <w:rFonts w:ascii="Times New Roman" w:hAnsi="Times New Roman" w:cs="Times New Roman"/>
        </w:rPr>
        <w:t xml:space="preserve">Betz, </w:t>
      </w:r>
      <w:r w:rsidRPr="00411B98">
        <w:rPr>
          <w:rFonts w:ascii="Times New Roman" w:hAnsi="Times New Roman" w:cs="Times New Roman"/>
          <w:i/>
          <w:iCs/>
        </w:rPr>
        <w:t>Greek Magical Papyri</w:t>
      </w:r>
      <w:r w:rsidRPr="00411B98">
        <w:rPr>
          <w:rFonts w:ascii="Times New Roman" w:hAnsi="Times New Roman" w:cs="Times New Roman"/>
        </w:rPr>
        <w:t xml:space="preserve">, p. 97; </w:t>
      </w:r>
      <w:r w:rsidRPr="00411B98">
        <w:rPr>
          <w:rFonts w:ascii="Times New Roman" w:eastAsia="Times New Roman" w:hAnsi="Times New Roman" w:cs="Times New Roman"/>
        </w:rPr>
        <w:t xml:space="preserve">Deissmann, </w:t>
      </w:r>
      <w:r w:rsidRPr="00411B98">
        <w:rPr>
          <w:rFonts w:ascii="Times New Roman" w:eastAsia="Times New Roman" w:hAnsi="Times New Roman" w:cs="Times New Roman"/>
          <w:i/>
          <w:iCs/>
        </w:rPr>
        <w:t xml:space="preserve">Light from the Ancient </w:t>
      </w:r>
      <w:r w:rsidRPr="00411B98">
        <w:rPr>
          <w:rFonts w:ascii="Times New Roman" w:eastAsia="Times New Roman" w:hAnsi="Times New Roman" w:cs="Times New Roman"/>
        </w:rPr>
        <w:t>East, p. 26</w:t>
      </w:r>
      <w:r w:rsidR="00E434AD">
        <w:rPr>
          <w:rFonts w:ascii="Times New Roman" w:eastAsia="Times New Roman" w:hAnsi="Times New Roman" w:cs="Times New Roman"/>
        </w:rPr>
        <w:t>1</w:t>
      </w:r>
      <w:r w:rsidRPr="00411B98">
        <w:rPr>
          <w:rFonts w:ascii="Times New Roman" w:hAnsi="Times New Roman" w:cs="Times New Roman"/>
        </w:rPr>
        <w:t>).</w:t>
      </w:r>
    </w:p>
  </w:footnote>
  <w:footnote w:id="85">
    <w:p w14:paraId="3AA04CE5" w14:textId="382D723E" w:rsidR="00B97B77" w:rsidRPr="0079041F" w:rsidRDefault="00B97B77" w:rsidP="00792041">
      <w:pPr>
        <w:pStyle w:val="FootnoteText"/>
        <w:ind w:left="144" w:hanging="144"/>
        <w:rPr>
          <w:rFonts w:ascii="Times New Roman" w:hAnsi="Times New Roman" w:cs="Times New Roman"/>
          <w:lang w:val="en-US"/>
        </w:rPr>
      </w:pPr>
      <w:r w:rsidRPr="0079041F">
        <w:rPr>
          <w:rStyle w:val="FootnoteReference"/>
          <w:rFonts w:ascii="Times New Roman" w:hAnsi="Times New Roman" w:cs="Times New Roman"/>
        </w:rPr>
        <w:footnoteRef/>
      </w:r>
      <w:r w:rsidRPr="0079041F">
        <w:rPr>
          <w:rFonts w:ascii="Times New Roman" w:hAnsi="Times New Roman" w:cs="Times New Roman"/>
        </w:rPr>
        <w:t xml:space="preserve"> Betz, </w:t>
      </w:r>
      <w:r w:rsidRPr="0079041F">
        <w:rPr>
          <w:rFonts w:ascii="Times New Roman" w:hAnsi="Times New Roman" w:cs="Times New Roman"/>
          <w:i/>
          <w:iCs/>
        </w:rPr>
        <w:t>Greek Magical Papyri</w:t>
      </w:r>
      <w:r w:rsidRPr="0079041F">
        <w:rPr>
          <w:rFonts w:ascii="Times New Roman" w:eastAsia="Times New Roman" w:hAnsi="Times New Roman" w:cs="Times New Roman"/>
          <w:lang w:eastAsia="en-GB"/>
        </w:rPr>
        <w:t xml:space="preserve">, p. 96 (fn. 395); </w:t>
      </w:r>
      <w:r w:rsidR="006F2D56" w:rsidRPr="0079041F">
        <w:rPr>
          <w:rFonts w:ascii="Times New Roman" w:eastAsia="Times New Roman" w:hAnsi="Times New Roman" w:cs="Times New Roman"/>
        </w:rPr>
        <w:t>Weissmann</w:t>
      </w:r>
      <w:r w:rsidRPr="0079041F">
        <w:rPr>
          <w:rFonts w:ascii="Times New Roman" w:eastAsia="Times New Roman" w:hAnsi="Times New Roman" w:cs="Times New Roman"/>
        </w:rPr>
        <w:t xml:space="preserve">, </w:t>
      </w:r>
      <w:r w:rsidRPr="0079041F">
        <w:rPr>
          <w:rFonts w:ascii="Times New Roman" w:eastAsia="Times New Roman" w:hAnsi="Times New Roman" w:cs="Times New Roman"/>
          <w:i/>
          <w:iCs/>
        </w:rPr>
        <w:t xml:space="preserve">Light from the Ancient </w:t>
      </w:r>
      <w:r w:rsidRPr="0079041F">
        <w:rPr>
          <w:rFonts w:ascii="Times New Roman" w:eastAsia="Times New Roman" w:hAnsi="Times New Roman" w:cs="Times New Roman"/>
        </w:rPr>
        <w:t xml:space="preserve">East, p. 261 (fn. 11); </w:t>
      </w:r>
      <w:r w:rsidRPr="0079041F">
        <w:rPr>
          <w:rFonts w:ascii="Times New Roman" w:hAnsi="Times New Roman" w:cs="Times New Roman"/>
        </w:rPr>
        <w:t>v</w:t>
      </w:r>
      <w:r w:rsidRPr="0079041F">
        <w:rPr>
          <w:rFonts w:ascii="Times New Roman" w:eastAsia="Times New Roman" w:hAnsi="Times New Roman" w:cs="Times New Roman"/>
        </w:rPr>
        <w:t>an der Horst, ‘The Great Magical Papyrus of Paris’, p. 180</w:t>
      </w:r>
      <w:r w:rsidR="00792041" w:rsidRPr="0079041F">
        <w:rPr>
          <w:rFonts w:ascii="Times New Roman" w:eastAsia="Times New Roman" w:hAnsi="Times New Roman" w:cs="Times New Roman"/>
        </w:rPr>
        <w:t>.</w:t>
      </w:r>
    </w:p>
  </w:footnote>
  <w:footnote w:id="86">
    <w:p w14:paraId="42D191BA" w14:textId="745F2A91" w:rsidR="00B97B77" w:rsidRPr="0079041F" w:rsidRDefault="00B97B77" w:rsidP="00792041">
      <w:pPr>
        <w:pStyle w:val="FootnoteText"/>
        <w:ind w:left="144" w:hanging="144"/>
        <w:rPr>
          <w:rFonts w:ascii="Times New Roman" w:hAnsi="Times New Roman" w:cs="Times New Roman"/>
          <w:lang w:val="en-US"/>
        </w:rPr>
      </w:pPr>
      <w:r w:rsidRPr="0079041F">
        <w:rPr>
          <w:rStyle w:val="FootnoteReference"/>
          <w:rFonts w:ascii="Times New Roman" w:hAnsi="Times New Roman" w:cs="Times New Roman"/>
        </w:rPr>
        <w:footnoteRef/>
      </w:r>
      <w:r w:rsidRPr="0079041F">
        <w:rPr>
          <w:rFonts w:ascii="Times New Roman" w:hAnsi="Times New Roman" w:cs="Times New Roman"/>
        </w:rPr>
        <w:t xml:space="preserve"> v</w:t>
      </w:r>
      <w:r w:rsidRPr="0079041F">
        <w:rPr>
          <w:rFonts w:ascii="Times New Roman" w:eastAsia="Times New Roman" w:hAnsi="Times New Roman" w:cs="Times New Roman"/>
        </w:rPr>
        <w:t>an der Horst, ‘The Great Magical Papyrus of Paris’, p. 180; Knox, ‘Jewish Liturgical Exorcism’, pp. 193-194.</w:t>
      </w:r>
    </w:p>
  </w:footnote>
  <w:footnote w:id="87">
    <w:p w14:paraId="1F4C56C1" w14:textId="3749560F" w:rsidR="0079041F" w:rsidRPr="00E434AD" w:rsidRDefault="0079041F">
      <w:pPr>
        <w:pStyle w:val="FootnoteText"/>
        <w:rPr>
          <w:rFonts w:ascii="Times New Roman" w:hAnsi="Times New Roman" w:cs="Times New Roman"/>
          <w:lang w:val="en-US"/>
        </w:rPr>
      </w:pPr>
      <w:r w:rsidRPr="00E434AD">
        <w:rPr>
          <w:rStyle w:val="FootnoteReference"/>
          <w:rFonts w:ascii="Times New Roman" w:hAnsi="Times New Roman" w:cs="Times New Roman"/>
        </w:rPr>
        <w:footnoteRef/>
      </w:r>
      <w:r w:rsidRPr="00E434AD">
        <w:rPr>
          <w:rFonts w:ascii="Times New Roman" w:hAnsi="Times New Roman" w:cs="Times New Roman"/>
        </w:rPr>
        <w:t xml:space="preserve"> </w:t>
      </w:r>
      <w:r w:rsidRPr="00E434AD">
        <w:rPr>
          <w:rFonts w:ascii="Times New Roman" w:hAnsi="Times New Roman" w:cs="Times New Roman"/>
          <w:lang w:val="en-US"/>
        </w:rPr>
        <w:t xml:space="preserve">Mark 5:7; Acts 19:13. </w:t>
      </w:r>
    </w:p>
  </w:footnote>
  <w:footnote w:id="88">
    <w:p w14:paraId="7598FF4A" w14:textId="2B007B68" w:rsidR="00E434AD" w:rsidRPr="00E434AD" w:rsidRDefault="00E434AD">
      <w:pPr>
        <w:pStyle w:val="FootnoteText"/>
        <w:rPr>
          <w:rFonts w:ascii="Times New Roman" w:hAnsi="Times New Roman" w:cs="Times New Roman"/>
          <w:lang w:val="en-US"/>
        </w:rPr>
      </w:pPr>
      <w:r w:rsidRPr="00E434AD">
        <w:rPr>
          <w:rStyle w:val="FootnoteReference"/>
          <w:rFonts w:ascii="Times New Roman" w:hAnsi="Times New Roman" w:cs="Times New Roman"/>
        </w:rPr>
        <w:footnoteRef/>
      </w:r>
      <w:r w:rsidRPr="00E434AD">
        <w:rPr>
          <w:rFonts w:ascii="Times New Roman" w:hAnsi="Times New Roman" w:cs="Times New Roman"/>
        </w:rPr>
        <w:t xml:space="preserve"> </w:t>
      </w:r>
      <w:r w:rsidRPr="00E434AD">
        <w:rPr>
          <w:rFonts w:ascii="Times New Roman" w:hAnsi="Times New Roman" w:cs="Times New Roman"/>
          <w:lang w:val="en-US"/>
        </w:rPr>
        <w:t>PGM IV.3079-80 (</w:t>
      </w:r>
      <w:r w:rsidRPr="00E434AD">
        <w:rPr>
          <w:rFonts w:ascii="Times New Roman" w:hAnsi="Times New Roman" w:cs="Times New Roman"/>
        </w:rPr>
        <w:t xml:space="preserve">Betz, </w:t>
      </w:r>
      <w:r w:rsidRPr="00E434AD">
        <w:rPr>
          <w:rFonts w:ascii="Times New Roman" w:hAnsi="Times New Roman" w:cs="Times New Roman"/>
          <w:i/>
          <w:iCs/>
        </w:rPr>
        <w:t>Greek Magical Papyri</w:t>
      </w:r>
      <w:r w:rsidRPr="00E434AD">
        <w:rPr>
          <w:rFonts w:ascii="Times New Roman" w:hAnsi="Times New Roman" w:cs="Times New Roman"/>
        </w:rPr>
        <w:t xml:space="preserve">, p. 97; </w:t>
      </w:r>
      <w:r w:rsidRPr="00E434AD">
        <w:rPr>
          <w:rFonts w:ascii="Times New Roman" w:eastAsia="Times New Roman" w:hAnsi="Times New Roman" w:cs="Times New Roman"/>
        </w:rPr>
        <w:t xml:space="preserve">Deissmann, </w:t>
      </w:r>
      <w:r w:rsidRPr="00E434AD">
        <w:rPr>
          <w:rFonts w:ascii="Times New Roman" w:eastAsia="Times New Roman" w:hAnsi="Times New Roman" w:cs="Times New Roman"/>
          <w:i/>
          <w:iCs/>
        </w:rPr>
        <w:t xml:space="preserve">Light from the Ancient </w:t>
      </w:r>
      <w:r w:rsidRPr="00E434AD">
        <w:rPr>
          <w:rFonts w:ascii="Times New Roman" w:eastAsia="Times New Roman" w:hAnsi="Times New Roman" w:cs="Times New Roman"/>
        </w:rPr>
        <w:t>East, p. 263</w:t>
      </w:r>
      <w:r w:rsidRPr="00E434AD">
        <w:rPr>
          <w:rFonts w:ascii="Times New Roman" w:hAnsi="Times New Roman" w:cs="Times New Roman"/>
        </w:rPr>
        <w:t>).</w:t>
      </w:r>
    </w:p>
  </w:footnote>
  <w:footnote w:id="89">
    <w:p w14:paraId="240EB724" w14:textId="71B0C188" w:rsidR="0079041F" w:rsidRPr="0079041F" w:rsidRDefault="0079041F">
      <w:pPr>
        <w:pStyle w:val="FootnoteText"/>
        <w:rPr>
          <w:lang w:val="en-US"/>
        </w:rPr>
      </w:pPr>
      <w:r w:rsidRPr="00E434AD">
        <w:rPr>
          <w:rStyle w:val="FootnoteReference"/>
          <w:rFonts w:ascii="Times New Roman" w:hAnsi="Times New Roman" w:cs="Times New Roman"/>
        </w:rPr>
        <w:footnoteRef/>
      </w:r>
      <w:r w:rsidRPr="00E434AD">
        <w:rPr>
          <w:rFonts w:ascii="Times New Roman" w:hAnsi="Times New Roman" w:cs="Times New Roman"/>
        </w:rPr>
        <w:t xml:space="preserve"> Betz, </w:t>
      </w:r>
      <w:r w:rsidRPr="00E434AD">
        <w:rPr>
          <w:rFonts w:ascii="Times New Roman" w:hAnsi="Times New Roman" w:cs="Times New Roman"/>
          <w:i/>
          <w:iCs/>
        </w:rPr>
        <w:t>Greek Magical Papyri</w:t>
      </w:r>
      <w:r w:rsidRPr="00E434AD">
        <w:rPr>
          <w:rFonts w:ascii="Times New Roman" w:eastAsia="Times New Roman" w:hAnsi="Times New Roman" w:cs="Times New Roman"/>
          <w:lang w:eastAsia="en-GB"/>
        </w:rPr>
        <w:t>, p. 97 (fn. 410).</w:t>
      </w:r>
      <w:r>
        <w:rPr>
          <w:rFonts w:ascii="Times New Roman" w:eastAsia="Times New Roman" w:hAnsi="Times New Roman" w:cs="Times New Roman"/>
          <w:lang w:eastAsia="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546B1" w14:textId="3A8248CE" w:rsidR="003A020C" w:rsidRPr="00985A6A" w:rsidRDefault="003A020C">
    <w:pPr>
      <w:pStyle w:val="Header"/>
      <w:jc w:val="right"/>
    </w:pPr>
  </w:p>
  <w:p w14:paraId="23E7112A" w14:textId="77777777" w:rsidR="003A020C" w:rsidRPr="00985A6A" w:rsidRDefault="003A02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7A652" w14:textId="3C1CD893" w:rsidR="00122E61" w:rsidRPr="00122E61" w:rsidRDefault="00122E61">
    <w:pPr>
      <w:pStyle w:val="Header"/>
      <w:jc w:val="right"/>
      <w:rPr>
        <w:rFonts w:ascii="Times New Roman" w:hAnsi="Times New Roman" w:cs="Times New Roman"/>
      </w:rPr>
    </w:pPr>
    <w:r>
      <w:rPr>
        <w:rFonts w:ascii="Times New Roman" w:hAnsi="Times New Roman" w:cs="Times New Roman"/>
      </w:rPr>
      <w:t xml:space="preserve">Taps  </w:t>
    </w:r>
    <w:r w:rsidRPr="00122E61">
      <w:rPr>
        <w:rFonts w:ascii="Times New Roman" w:hAnsi="Times New Roman" w:cs="Times New Roman"/>
      </w:rPr>
      <w:fldChar w:fldCharType="begin"/>
    </w:r>
    <w:r w:rsidRPr="00122E61">
      <w:rPr>
        <w:rFonts w:ascii="Times New Roman" w:hAnsi="Times New Roman" w:cs="Times New Roman"/>
      </w:rPr>
      <w:instrText xml:space="preserve"> PAGE   \* MERGEFORMAT </w:instrText>
    </w:r>
    <w:r w:rsidRPr="00122E61">
      <w:rPr>
        <w:rFonts w:ascii="Times New Roman" w:hAnsi="Times New Roman" w:cs="Times New Roman"/>
      </w:rPr>
      <w:fldChar w:fldCharType="separate"/>
    </w:r>
    <w:r w:rsidRPr="00122E61">
      <w:rPr>
        <w:rFonts w:ascii="Times New Roman" w:hAnsi="Times New Roman" w:cs="Times New Roman"/>
        <w:noProof/>
      </w:rPr>
      <w:t>1</w:t>
    </w:r>
    <w:r w:rsidRPr="00122E61">
      <w:rPr>
        <w:rFonts w:ascii="Times New Roman" w:hAnsi="Times New Roman" w:cs="Times New Roman"/>
        <w:noProof/>
      </w:rPr>
      <w:fldChar w:fldCharType="end"/>
    </w:r>
  </w:p>
  <w:p w14:paraId="55046B8F" w14:textId="77777777" w:rsidR="00122E61" w:rsidRPr="00985A6A" w:rsidRDefault="00122E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SzsDAxNjcxNjMzNDZS0lEKTi0uzszPAykwMqoFAEQp5L0tAAAA"/>
  </w:docVars>
  <w:rsids>
    <w:rsidRoot w:val="00875230"/>
    <w:rsid w:val="00010181"/>
    <w:rsid w:val="00013288"/>
    <w:rsid w:val="0001440B"/>
    <w:rsid w:val="000213EC"/>
    <w:rsid w:val="00023A53"/>
    <w:rsid w:val="000264FC"/>
    <w:rsid w:val="00030CD5"/>
    <w:rsid w:val="00035C04"/>
    <w:rsid w:val="000365C5"/>
    <w:rsid w:val="000402C0"/>
    <w:rsid w:val="000412E3"/>
    <w:rsid w:val="0004659F"/>
    <w:rsid w:val="00054A7E"/>
    <w:rsid w:val="000566DB"/>
    <w:rsid w:val="0005687B"/>
    <w:rsid w:val="0005766A"/>
    <w:rsid w:val="00061435"/>
    <w:rsid w:val="00061FE8"/>
    <w:rsid w:val="0006205B"/>
    <w:rsid w:val="000634F8"/>
    <w:rsid w:val="00063B84"/>
    <w:rsid w:val="00065699"/>
    <w:rsid w:val="000664F6"/>
    <w:rsid w:val="000754F4"/>
    <w:rsid w:val="00083722"/>
    <w:rsid w:val="000900F2"/>
    <w:rsid w:val="00090139"/>
    <w:rsid w:val="000A1515"/>
    <w:rsid w:val="000A25C6"/>
    <w:rsid w:val="000A6CA5"/>
    <w:rsid w:val="000A7CA5"/>
    <w:rsid w:val="000B28F6"/>
    <w:rsid w:val="000B4ABC"/>
    <w:rsid w:val="000C276C"/>
    <w:rsid w:val="000C5E7F"/>
    <w:rsid w:val="000D4AD5"/>
    <w:rsid w:val="000D595A"/>
    <w:rsid w:val="000D5CA4"/>
    <w:rsid w:val="000E1586"/>
    <w:rsid w:val="000E28BE"/>
    <w:rsid w:val="000E5140"/>
    <w:rsid w:val="000E7A12"/>
    <w:rsid w:val="000E7A8B"/>
    <w:rsid w:val="000F6D4C"/>
    <w:rsid w:val="000F76EA"/>
    <w:rsid w:val="001013A9"/>
    <w:rsid w:val="00111C50"/>
    <w:rsid w:val="00113BA1"/>
    <w:rsid w:val="00114A19"/>
    <w:rsid w:val="00120BD3"/>
    <w:rsid w:val="00122E61"/>
    <w:rsid w:val="00124373"/>
    <w:rsid w:val="001256DF"/>
    <w:rsid w:val="00130F64"/>
    <w:rsid w:val="00132431"/>
    <w:rsid w:val="00136558"/>
    <w:rsid w:val="00136E67"/>
    <w:rsid w:val="001445A0"/>
    <w:rsid w:val="00147FF1"/>
    <w:rsid w:val="00154645"/>
    <w:rsid w:val="001561EB"/>
    <w:rsid w:val="001562EF"/>
    <w:rsid w:val="00163680"/>
    <w:rsid w:val="00166BF5"/>
    <w:rsid w:val="0016755A"/>
    <w:rsid w:val="00173733"/>
    <w:rsid w:val="00175DB0"/>
    <w:rsid w:val="00177FF0"/>
    <w:rsid w:val="001802BC"/>
    <w:rsid w:val="00181DA5"/>
    <w:rsid w:val="001830B8"/>
    <w:rsid w:val="0018644F"/>
    <w:rsid w:val="00191BFC"/>
    <w:rsid w:val="001950BB"/>
    <w:rsid w:val="001A78FD"/>
    <w:rsid w:val="001B2885"/>
    <w:rsid w:val="001B36AD"/>
    <w:rsid w:val="001B4D7D"/>
    <w:rsid w:val="001C06D8"/>
    <w:rsid w:val="001C2A3A"/>
    <w:rsid w:val="001C708E"/>
    <w:rsid w:val="001D05C2"/>
    <w:rsid w:val="001D7909"/>
    <w:rsid w:val="001E2D0B"/>
    <w:rsid w:val="001E5022"/>
    <w:rsid w:val="001E7B69"/>
    <w:rsid w:val="001F0F38"/>
    <w:rsid w:val="001F2C9C"/>
    <w:rsid w:val="001F6613"/>
    <w:rsid w:val="002002DF"/>
    <w:rsid w:val="00200D10"/>
    <w:rsid w:val="002014AD"/>
    <w:rsid w:val="00201E49"/>
    <w:rsid w:val="00201F0E"/>
    <w:rsid w:val="00205CC6"/>
    <w:rsid w:val="00206BB1"/>
    <w:rsid w:val="00210494"/>
    <w:rsid w:val="0021096B"/>
    <w:rsid w:val="00216105"/>
    <w:rsid w:val="00220A4D"/>
    <w:rsid w:val="002222DA"/>
    <w:rsid w:val="00224239"/>
    <w:rsid w:val="0023298A"/>
    <w:rsid w:val="002338DE"/>
    <w:rsid w:val="00237ADB"/>
    <w:rsid w:val="00242CBB"/>
    <w:rsid w:val="00242DD1"/>
    <w:rsid w:val="00245653"/>
    <w:rsid w:val="00245DC6"/>
    <w:rsid w:val="002463A7"/>
    <w:rsid w:val="00247164"/>
    <w:rsid w:val="002636F9"/>
    <w:rsid w:val="00265E24"/>
    <w:rsid w:val="00267E79"/>
    <w:rsid w:val="002714FB"/>
    <w:rsid w:val="002717A6"/>
    <w:rsid w:val="00271D31"/>
    <w:rsid w:val="00272FEA"/>
    <w:rsid w:val="00273456"/>
    <w:rsid w:val="00274684"/>
    <w:rsid w:val="00276980"/>
    <w:rsid w:val="00277DE7"/>
    <w:rsid w:val="0028059E"/>
    <w:rsid w:val="00280B83"/>
    <w:rsid w:val="00282738"/>
    <w:rsid w:val="00286E69"/>
    <w:rsid w:val="002908C6"/>
    <w:rsid w:val="002A107E"/>
    <w:rsid w:val="002A212D"/>
    <w:rsid w:val="002A3584"/>
    <w:rsid w:val="002A464F"/>
    <w:rsid w:val="002A701E"/>
    <w:rsid w:val="002A77E4"/>
    <w:rsid w:val="002B3787"/>
    <w:rsid w:val="002C23ED"/>
    <w:rsid w:val="002C3105"/>
    <w:rsid w:val="002C3434"/>
    <w:rsid w:val="002C4406"/>
    <w:rsid w:val="002C5C37"/>
    <w:rsid w:val="002C644F"/>
    <w:rsid w:val="002D06BF"/>
    <w:rsid w:val="002D22BE"/>
    <w:rsid w:val="002D2AF6"/>
    <w:rsid w:val="002D5AAB"/>
    <w:rsid w:val="002D62BC"/>
    <w:rsid w:val="002D6E77"/>
    <w:rsid w:val="002E228E"/>
    <w:rsid w:val="002E2D56"/>
    <w:rsid w:val="002E408F"/>
    <w:rsid w:val="002E48DA"/>
    <w:rsid w:val="002F0581"/>
    <w:rsid w:val="002F0EE7"/>
    <w:rsid w:val="002F4E26"/>
    <w:rsid w:val="002F6E5A"/>
    <w:rsid w:val="003010BA"/>
    <w:rsid w:val="00301D6B"/>
    <w:rsid w:val="00307391"/>
    <w:rsid w:val="003136E6"/>
    <w:rsid w:val="00316947"/>
    <w:rsid w:val="003175CE"/>
    <w:rsid w:val="00323772"/>
    <w:rsid w:val="00326E8C"/>
    <w:rsid w:val="00332D20"/>
    <w:rsid w:val="0033446A"/>
    <w:rsid w:val="003355AB"/>
    <w:rsid w:val="00335C56"/>
    <w:rsid w:val="003372DE"/>
    <w:rsid w:val="00345F12"/>
    <w:rsid w:val="00346020"/>
    <w:rsid w:val="00352844"/>
    <w:rsid w:val="00353C4B"/>
    <w:rsid w:val="0035648D"/>
    <w:rsid w:val="0035700C"/>
    <w:rsid w:val="0036224F"/>
    <w:rsid w:val="003721FA"/>
    <w:rsid w:val="003736B3"/>
    <w:rsid w:val="00373C6E"/>
    <w:rsid w:val="00374065"/>
    <w:rsid w:val="003765E7"/>
    <w:rsid w:val="003766BF"/>
    <w:rsid w:val="00377EAA"/>
    <w:rsid w:val="00392953"/>
    <w:rsid w:val="003950FD"/>
    <w:rsid w:val="003968DD"/>
    <w:rsid w:val="00397D52"/>
    <w:rsid w:val="003A020C"/>
    <w:rsid w:val="003A136B"/>
    <w:rsid w:val="003B12B4"/>
    <w:rsid w:val="003B2B16"/>
    <w:rsid w:val="003B7CBA"/>
    <w:rsid w:val="003B7DCF"/>
    <w:rsid w:val="003C12B8"/>
    <w:rsid w:val="003C31F5"/>
    <w:rsid w:val="003C3341"/>
    <w:rsid w:val="003C368C"/>
    <w:rsid w:val="003C5193"/>
    <w:rsid w:val="003D6C8A"/>
    <w:rsid w:val="003E465E"/>
    <w:rsid w:val="003F2A32"/>
    <w:rsid w:val="003F2EEF"/>
    <w:rsid w:val="003F3815"/>
    <w:rsid w:val="003F591B"/>
    <w:rsid w:val="003F6923"/>
    <w:rsid w:val="004076BF"/>
    <w:rsid w:val="00411451"/>
    <w:rsid w:val="00411B98"/>
    <w:rsid w:val="004127A0"/>
    <w:rsid w:val="004140DE"/>
    <w:rsid w:val="00415222"/>
    <w:rsid w:val="00422643"/>
    <w:rsid w:val="00436719"/>
    <w:rsid w:val="004406BD"/>
    <w:rsid w:val="00443EB0"/>
    <w:rsid w:val="0044467C"/>
    <w:rsid w:val="00444C16"/>
    <w:rsid w:val="0045132D"/>
    <w:rsid w:val="00455355"/>
    <w:rsid w:val="00455A30"/>
    <w:rsid w:val="004615BA"/>
    <w:rsid w:val="00466A4E"/>
    <w:rsid w:val="00466F6A"/>
    <w:rsid w:val="00467CD0"/>
    <w:rsid w:val="004711EE"/>
    <w:rsid w:val="004717FA"/>
    <w:rsid w:val="0047206F"/>
    <w:rsid w:val="004725D3"/>
    <w:rsid w:val="0047545D"/>
    <w:rsid w:val="00475FA5"/>
    <w:rsid w:val="0047673E"/>
    <w:rsid w:val="00477169"/>
    <w:rsid w:val="004772FC"/>
    <w:rsid w:val="00484C98"/>
    <w:rsid w:val="00485854"/>
    <w:rsid w:val="00486F35"/>
    <w:rsid w:val="00487340"/>
    <w:rsid w:val="00490BAE"/>
    <w:rsid w:val="00491025"/>
    <w:rsid w:val="0049766F"/>
    <w:rsid w:val="004A2385"/>
    <w:rsid w:val="004A6C5F"/>
    <w:rsid w:val="004A79AC"/>
    <w:rsid w:val="004B13F7"/>
    <w:rsid w:val="004B1DF6"/>
    <w:rsid w:val="004B5245"/>
    <w:rsid w:val="004B6319"/>
    <w:rsid w:val="004B760E"/>
    <w:rsid w:val="004B7B74"/>
    <w:rsid w:val="004C058A"/>
    <w:rsid w:val="004C1F20"/>
    <w:rsid w:val="004C2142"/>
    <w:rsid w:val="004C3A11"/>
    <w:rsid w:val="004C4530"/>
    <w:rsid w:val="004C5717"/>
    <w:rsid w:val="004D1978"/>
    <w:rsid w:val="004D4204"/>
    <w:rsid w:val="004D4706"/>
    <w:rsid w:val="004D5927"/>
    <w:rsid w:val="004E11BB"/>
    <w:rsid w:val="004E7A8F"/>
    <w:rsid w:val="004F4CD2"/>
    <w:rsid w:val="004F4D38"/>
    <w:rsid w:val="004F52B1"/>
    <w:rsid w:val="004F5EE5"/>
    <w:rsid w:val="00500ABF"/>
    <w:rsid w:val="00501566"/>
    <w:rsid w:val="0050211C"/>
    <w:rsid w:val="00503618"/>
    <w:rsid w:val="00503791"/>
    <w:rsid w:val="00504F26"/>
    <w:rsid w:val="00511639"/>
    <w:rsid w:val="005204B0"/>
    <w:rsid w:val="00521715"/>
    <w:rsid w:val="0052267E"/>
    <w:rsid w:val="00525A18"/>
    <w:rsid w:val="00527CF4"/>
    <w:rsid w:val="005362D6"/>
    <w:rsid w:val="0054137A"/>
    <w:rsid w:val="0054609E"/>
    <w:rsid w:val="00551032"/>
    <w:rsid w:val="00554337"/>
    <w:rsid w:val="0056037C"/>
    <w:rsid w:val="00561CA3"/>
    <w:rsid w:val="00564FF8"/>
    <w:rsid w:val="005745E9"/>
    <w:rsid w:val="00576129"/>
    <w:rsid w:val="005807A8"/>
    <w:rsid w:val="00580B9D"/>
    <w:rsid w:val="00585215"/>
    <w:rsid w:val="00590495"/>
    <w:rsid w:val="00591C54"/>
    <w:rsid w:val="00593113"/>
    <w:rsid w:val="00593494"/>
    <w:rsid w:val="00594A8D"/>
    <w:rsid w:val="0059576E"/>
    <w:rsid w:val="005A063D"/>
    <w:rsid w:val="005B5C37"/>
    <w:rsid w:val="005B6A76"/>
    <w:rsid w:val="005C077E"/>
    <w:rsid w:val="005C4498"/>
    <w:rsid w:val="005C4A50"/>
    <w:rsid w:val="005C6CF6"/>
    <w:rsid w:val="005C7648"/>
    <w:rsid w:val="005D2E7C"/>
    <w:rsid w:val="005D4DCA"/>
    <w:rsid w:val="005D5EAC"/>
    <w:rsid w:val="005D69DB"/>
    <w:rsid w:val="005D7BF6"/>
    <w:rsid w:val="005E3FA3"/>
    <w:rsid w:val="005E50C5"/>
    <w:rsid w:val="005E6671"/>
    <w:rsid w:val="006033E9"/>
    <w:rsid w:val="00604073"/>
    <w:rsid w:val="00607888"/>
    <w:rsid w:val="006102B3"/>
    <w:rsid w:val="00614AAF"/>
    <w:rsid w:val="00616EFF"/>
    <w:rsid w:val="0062281C"/>
    <w:rsid w:val="00622F8F"/>
    <w:rsid w:val="0062409A"/>
    <w:rsid w:val="00625A56"/>
    <w:rsid w:val="00627684"/>
    <w:rsid w:val="00631551"/>
    <w:rsid w:val="00631FDC"/>
    <w:rsid w:val="00632C11"/>
    <w:rsid w:val="006442E6"/>
    <w:rsid w:val="0065034D"/>
    <w:rsid w:val="00652E07"/>
    <w:rsid w:val="00657EB2"/>
    <w:rsid w:val="00661333"/>
    <w:rsid w:val="006621EE"/>
    <w:rsid w:val="00677C66"/>
    <w:rsid w:val="00680A54"/>
    <w:rsid w:val="00684032"/>
    <w:rsid w:val="0068752A"/>
    <w:rsid w:val="00695594"/>
    <w:rsid w:val="006A6EE6"/>
    <w:rsid w:val="006B0E7F"/>
    <w:rsid w:val="006B7B91"/>
    <w:rsid w:val="006C61F4"/>
    <w:rsid w:val="006C7DD2"/>
    <w:rsid w:val="006D182E"/>
    <w:rsid w:val="006D2E32"/>
    <w:rsid w:val="006D4B24"/>
    <w:rsid w:val="006D4BC9"/>
    <w:rsid w:val="006D7DC8"/>
    <w:rsid w:val="006E00A5"/>
    <w:rsid w:val="006E0180"/>
    <w:rsid w:val="006E3D1E"/>
    <w:rsid w:val="006E3E5D"/>
    <w:rsid w:val="006E44D2"/>
    <w:rsid w:val="006E667B"/>
    <w:rsid w:val="006E6CAD"/>
    <w:rsid w:val="006F2D56"/>
    <w:rsid w:val="006F353C"/>
    <w:rsid w:val="006F5513"/>
    <w:rsid w:val="006F7728"/>
    <w:rsid w:val="006F77D4"/>
    <w:rsid w:val="00700A68"/>
    <w:rsid w:val="00701033"/>
    <w:rsid w:val="0070347E"/>
    <w:rsid w:val="00707546"/>
    <w:rsid w:val="00711B49"/>
    <w:rsid w:val="00711E8C"/>
    <w:rsid w:val="0071263D"/>
    <w:rsid w:val="007147C0"/>
    <w:rsid w:val="007174F8"/>
    <w:rsid w:val="00731FC9"/>
    <w:rsid w:val="0073239E"/>
    <w:rsid w:val="00735BC3"/>
    <w:rsid w:val="00737892"/>
    <w:rsid w:val="00740BDF"/>
    <w:rsid w:val="00740D8B"/>
    <w:rsid w:val="0074235E"/>
    <w:rsid w:val="00743005"/>
    <w:rsid w:val="00744BDA"/>
    <w:rsid w:val="00747B7C"/>
    <w:rsid w:val="00750A15"/>
    <w:rsid w:val="0075459F"/>
    <w:rsid w:val="0076015D"/>
    <w:rsid w:val="007666DA"/>
    <w:rsid w:val="00766B01"/>
    <w:rsid w:val="0077110A"/>
    <w:rsid w:val="00772873"/>
    <w:rsid w:val="00774894"/>
    <w:rsid w:val="00774D1B"/>
    <w:rsid w:val="00776CCD"/>
    <w:rsid w:val="00782F1E"/>
    <w:rsid w:val="007858B1"/>
    <w:rsid w:val="00786CBB"/>
    <w:rsid w:val="0079041F"/>
    <w:rsid w:val="00792041"/>
    <w:rsid w:val="007956AC"/>
    <w:rsid w:val="007974BC"/>
    <w:rsid w:val="007A06F4"/>
    <w:rsid w:val="007A62F2"/>
    <w:rsid w:val="007B093E"/>
    <w:rsid w:val="007B627D"/>
    <w:rsid w:val="007B6527"/>
    <w:rsid w:val="007B6BD0"/>
    <w:rsid w:val="007C0D2D"/>
    <w:rsid w:val="007C21B9"/>
    <w:rsid w:val="007C42E2"/>
    <w:rsid w:val="007C45A3"/>
    <w:rsid w:val="007C648C"/>
    <w:rsid w:val="007C75AF"/>
    <w:rsid w:val="007D548C"/>
    <w:rsid w:val="007D7AF1"/>
    <w:rsid w:val="007E0525"/>
    <w:rsid w:val="007E05BB"/>
    <w:rsid w:val="007E1575"/>
    <w:rsid w:val="007E35E6"/>
    <w:rsid w:val="007F3124"/>
    <w:rsid w:val="007F424D"/>
    <w:rsid w:val="007F5BD9"/>
    <w:rsid w:val="007F71B2"/>
    <w:rsid w:val="007F7F2C"/>
    <w:rsid w:val="00802C90"/>
    <w:rsid w:val="008031D0"/>
    <w:rsid w:val="008062AF"/>
    <w:rsid w:val="008129CB"/>
    <w:rsid w:val="0081362D"/>
    <w:rsid w:val="008179ED"/>
    <w:rsid w:val="00817C84"/>
    <w:rsid w:val="00817D17"/>
    <w:rsid w:val="00820496"/>
    <w:rsid w:val="00824911"/>
    <w:rsid w:val="0084150F"/>
    <w:rsid w:val="00844D3D"/>
    <w:rsid w:val="00844FC7"/>
    <w:rsid w:val="00845F5C"/>
    <w:rsid w:val="00846166"/>
    <w:rsid w:val="0084735E"/>
    <w:rsid w:val="008508EE"/>
    <w:rsid w:val="008540E8"/>
    <w:rsid w:val="0085703A"/>
    <w:rsid w:val="00861A9B"/>
    <w:rsid w:val="00864B12"/>
    <w:rsid w:val="008664CA"/>
    <w:rsid w:val="008710BB"/>
    <w:rsid w:val="0087272C"/>
    <w:rsid w:val="00875230"/>
    <w:rsid w:val="0087563B"/>
    <w:rsid w:val="00875ED0"/>
    <w:rsid w:val="00876DA7"/>
    <w:rsid w:val="00877C87"/>
    <w:rsid w:val="008823DC"/>
    <w:rsid w:val="00884DFA"/>
    <w:rsid w:val="008953A7"/>
    <w:rsid w:val="008A0C59"/>
    <w:rsid w:val="008A2F0D"/>
    <w:rsid w:val="008A3B8E"/>
    <w:rsid w:val="008A6582"/>
    <w:rsid w:val="008A69E2"/>
    <w:rsid w:val="008A740A"/>
    <w:rsid w:val="008A7533"/>
    <w:rsid w:val="008B4CBE"/>
    <w:rsid w:val="008B53AA"/>
    <w:rsid w:val="008B65D6"/>
    <w:rsid w:val="008B7638"/>
    <w:rsid w:val="008C6DC2"/>
    <w:rsid w:val="008D3125"/>
    <w:rsid w:val="008D4E33"/>
    <w:rsid w:val="008F28A9"/>
    <w:rsid w:val="008F3393"/>
    <w:rsid w:val="008F6B78"/>
    <w:rsid w:val="00901D98"/>
    <w:rsid w:val="009024E7"/>
    <w:rsid w:val="00902F13"/>
    <w:rsid w:val="00906793"/>
    <w:rsid w:val="00906F1E"/>
    <w:rsid w:val="009125E9"/>
    <w:rsid w:val="00912A81"/>
    <w:rsid w:val="00924200"/>
    <w:rsid w:val="009263DA"/>
    <w:rsid w:val="0092654B"/>
    <w:rsid w:val="00926955"/>
    <w:rsid w:val="009304C7"/>
    <w:rsid w:val="00934E40"/>
    <w:rsid w:val="009379B7"/>
    <w:rsid w:val="009438C7"/>
    <w:rsid w:val="0095114D"/>
    <w:rsid w:val="00952FE9"/>
    <w:rsid w:val="00956963"/>
    <w:rsid w:val="009620BC"/>
    <w:rsid w:val="00963CEB"/>
    <w:rsid w:val="009647B3"/>
    <w:rsid w:val="0096507E"/>
    <w:rsid w:val="0096602B"/>
    <w:rsid w:val="009666D4"/>
    <w:rsid w:val="00966A0F"/>
    <w:rsid w:val="00967854"/>
    <w:rsid w:val="00971BD5"/>
    <w:rsid w:val="009723A8"/>
    <w:rsid w:val="009801B5"/>
    <w:rsid w:val="0098027A"/>
    <w:rsid w:val="00985A6A"/>
    <w:rsid w:val="0099358C"/>
    <w:rsid w:val="009A016A"/>
    <w:rsid w:val="009A05F5"/>
    <w:rsid w:val="009A37D0"/>
    <w:rsid w:val="009A526F"/>
    <w:rsid w:val="009A6B50"/>
    <w:rsid w:val="009A716A"/>
    <w:rsid w:val="009A7B43"/>
    <w:rsid w:val="009A7F6C"/>
    <w:rsid w:val="009B44FF"/>
    <w:rsid w:val="009C1560"/>
    <w:rsid w:val="009C24E3"/>
    <w:rsid w:val="009C4566"/>
    <w:rsid w:val="009C6134"/>
    <w:rsid w:val="009D042D"/>
    <w:rsid w:val="009D0781"/>
    <w:rsid w:val="009D38A4"/>
    <w:rsid w:val="009D41DB"/>
    <w:rsid w:val="009E407D"/>
    <w:rsid w:val="009E45D8"/>
    <w:rsid w:val="009E5758"/>
    <w:rsid w:val="009E5E96"/>
    <w:rsid w:val="009F100D"/>
    <w:rsid w:val="009F1C60"/>
    <w:rsid w:val="009F320F"/>
    <w:rsid w:val="009F6A89"/>
    <w:rsid w:val="009F6BF0"/>
    <w:rsid w:val="00A05F00"/>
    <w:rsid w:val="00A11032"/>
    <w:rsid w:val="00A13411"/>
    <w:rsid w:val="00A142C8"/>
    <w:rsid w:val="00A16FE8"/>
    <w:rsid w:val="00A174EB"/>
    <w:rsid w:val="00A20FF6"/>
    <w:rsid w:val="00A25FDA"/>
    <w:rsid w:val="00A26DEB"/>
    <w:rsid w:val="00A31190"/>
    <w:rsid w:val="00A3248D"/>
    <w:rsid w:val="00A36418"/>
    <w:rsid w:val="00A37235"/>
    <w:rsid w:val="00A4343F"/>
    <w:rsid w:val="00A45CD9"/>
    <w:rsid w:val="00A46D2B"/>
    <w:rsid w:val="00A4769A"/>
    <w:rsid w:val="00A52D1D"/>
    <w:rsid w:val="00A55339"/>
    <w:rsid w:val="00A554A3"/>
    <w:rsid w:val="00A56372"/>
    <w:rsid w:val="00A57382"/>
    <w:rsid w:val="00A60613"/>
    <w:rsid w:val="00A6683C"/>
    <w:rsid w:val="00A718B9"/>
    <w:rsid w:val="00A71DC2"/>
    <w:rsid w:val="00A72599"/>
    <w:rsid w:val="00A865B9"/>
    <w:rsid w:val="00A94F37"/>
    <w:rsid w:val="00A96BED"/>
    <w:rsid w:val="00A974A6"/>
    <w:rsid w:val="00AA00ED"/>
    <w:rsid w:val="00AA1805"/>
    <w:rsid w:val="00AA2BBB"/>
    <w:rsid w:val="00AA7D6D"/>
    <w:rsid w:val="00AB57E8"/>
    <w:rsid w:val="00AC019F"/>
    <w:rsid w:val="00AC04E6"/>
    <w:rsid w:val="00AC38EE"/>
    <w:rsid w:val="00AC3AA8"/>
    <w:rsid w:val="00AC4674"/>
    <w:rsid w:val="00AD0655"/>
    <w:rsid w:val="00AD7EFA"/>
    <w:rsid w:val="00AE0D9C"/>
    <w:rsid w:val="00AE1D0B"/>
    <w:rsid w:val="00AE2412"/>
    <w:rsid w:val="00AE3A41"/>
    <w:rsid w:val="00AE40D0"/>
    <w:rsid w:val="00AE5529"/>
    <w:rsid w:val="00AE5811"/>
    <w:rsid w:val="00AF19C7"/>
    <w:rsid w:val="00AF4FCC"/>
    <w:rsid w:val="00B007B9"/>
    <w:rsid w:val="00B1035D"/>
    <w:rsid w:val="00B22807"/>
    <w:rsid w:val="00B3303A"/>
    <w:rsid w:val="00B33BA0"/>
    <w:rsid w:val="00B34E6E"/>
    <w:rsid w:val="00B36834"/>
    <w:rsid w:val="00B36DA6"/>
    <w:rsid w:val="00B42CA4"/>
    <w:rsid w:val="00B435B4"/>
    <w:rsid w:val="00B46D3C"/>
    <w:rsid w:val="00B47F3A"/>
    <w:rsid w:val="00B51393"/>
    <w:rsid w:val="00B52E6F"/>
    <w:rsid w:val="00B52F41"/>
    <w:rsid w:val="00B5301F"/>
    <w:rsid w:val="00B54214"/>
    <w:rsid w:val="00B55E74"/>
    <w:rsid w:val="00B5615C"/>
    <w:rsid w:val="00B61D94"/>
    <w:rsid w:val="00B70498"/>
    <w:rsid w:val="00B739F6"/>
    <w:rsid w:val="00B74625"/>
    <w:rsid w:val="00B7462A"/>
    <w:rsid w:val="00B766B0"/>
    <w:rsid w:val="00B8056E"/>
    <w:rsid w:val="00B84449"/>
    <w:rsid w:val="00B8491E"/>
    <w:rsid w:val="00B871F9"/>
    <w:rsid w:val="00B907BA"/>
    <w:rsid w:val="00B90F73"/>
    <w:rsid w:val="00B9119A"/>
    <w:rsid w:val="00B93FBB"/>
    <w:rsid w:val="00B9479C"/>
    <w:rsid w:val="00B94F96"/>
    <w:rsid w:val="00B95E43"/>
    <w:rsid w:val="00B97B77"/>
    <w:rsid w:val="00BA2C05"/>
    <w:rsid w:val="00BA2CE5"/>
    <w:rsid w:val="00BA626E"/>
    <w:rsid w:val="00BA685F"/>
    <w:rsid w:val="00BB272A"/>
    <w:rsid w:val="00BB2870"/>
    <w:rsid w:val="00BB4B52"/>
    <w:rsid w:val="00BB4E28"/>
    <w:rsid w:val="00BB541E"/>
    <w:rsid w:val="00BB5F6B"/>
    <w:rsid w:val="00BB7FDF"/>
    <w:rsid w:val="00BC11D2"/>
    <w:rsid w:val="00BC6342"/>
    <w:rsid w:val="00BC63BB"/>
    <w:rsid w:val="00BC7BB0"/>
    <w:rsid w:val="00BD366C"/>
    <w:rsid w:val="00BD64E6"/>
    <w:rsid w:val="00BE2589"/>
    <w:rsid w:val="00BE2D23"/>
    <w:rsid w:val="00BF1463"/>
    <w:rsid w:val="00BF3CAB"/>
    <w:rsid w:val="00BF3DC1"/>
    <w:rsid w:val="00BF5B72"/>
    <w:rsid w:val="00BF6135"/>
    <w:rsid w:val="00BF6810"/>
    <w:rsid w:val="00C02318"/>
    <w:rsid w:val="00C02E33"/>
    <w:rsid w:val="00C12FF2"/>
    <w:rsid w:val="00C1441C"/>
    <w:rsid w:val="00C14C64"/>
    <w:rsid w:val="00C1622C"/>
    <w:rsid w:val="00C1799B"/>
    <w:rsid w:val="00C20C60"/>
    <w:rsid w:val="00C32CBF"/>
    <w:rsid w:val="00C352E5"/>
    <w:rsid w:val="00C4284D"/>
    <w:rsid w:val="00C42CF2"/>
    <w:rsid w:val="00C4436F"/>
    <w:rsid w:val="00C54643"/>
    <w:rsid w:val="00C57F26"/>
    <w:rsid w:val="00C60489"/>
    <w:rsid w:val="00C629B1"/>
    <w:rsid w:val="00C647F6"/>
    <w:rsid w:val="00C64CD9"/>
    <w:rsid w:val="00C661E3"/>
    <w:rsid w:val="00C666A8"/>
    <w:rsid w:val="00C67ADA"/>
    <w:rsid w:val="00C73ABF"/>
    <w:rsid w:val="00C77CD4"/>
    <w:rsid w:val="00C8030F"/>
    <w:rsid w:val="00C81235"/>
    <w:rsid w:val="00C8273D"/>
    <w:rsid w:val="00C82BF3"/>
    <w:rsid w:val="00C84E78"/>
    <w:rsid w:val="00C863D5"/>
    <w:rsid w:val="00C92CAB"/>
    <w:rsid w:val="00C94586"/>
    <w:rsid w:val="00C978AF"/>
    <w:rsid w:val="00C978BC"/>
    <w:rsid w:val="00CA5198"/>
    <w:rsid w:val="00CA6B39"/>
    <w:rsid w:val="00CA77A1"/>
    <w:rsid w:val="00CB0DCD"/>
    <w:rsid w:val="00CB38F9"/>
    <w:rsid w:val="00CB4405"/>
    <w:rsid w:val="00CB5AC8"/>
    <w:rsid w:val="00CB71F8"/>
    <w:rsid w:val="00CC0E8F"/>
    <w:rsid w:val="00CC2011"/>
    <w:rsid w:val="00CC2790"/>
    <w:rsid w:val="00CC4040"/>
    <w:rsid w:val="00CC4CB4"/>
    <w:rsid w:val="00CC75C2"/>
    <w:rsid w:val="00CC75F6"/>
    <w:rsid w:val="00CC77A9"/>
    <w:rsid w:val="00CD3812"/>
    <w:rsid w:val="00CD5FB9"/>
    <w:rsid w:val="00CD6028"/>
    <w:rsid w:val="00CD69AE"/>
    <w:rsid w:val="00CE1A56"/>
    <w:rsid w:val="00CE4B00"/>
    <w:rsid w:val="00CF6E03"/>
    <w:rsid w:val="00CF7225"/>
    <w:rsid w:val="00CF7E08"/>
    <w:rsid w:val="00D03427"/>
    <w:rsid w:val="00D03619"/>
    <w:rsid w:val="00D0524B"/>
    <w:rsid w:val="00D207F4"/>
    <w:rsid w:val="00D228E5"/>
    <w:rsid w:val="00D23AB5"/>
    <w:rsid w:val="00D26865"/>
    <w:rsid w:val="00D3005A"/>
    <w:rsid w:val="00D322D1"/>
    <w:rsid w:val="00D34FA9"/>
    <w:rsid w:val="00D43D4D"/>
    <w:rsid w:val="00D44D4E"/>
    <w:rsid w:val="00D460A4"/>
    <w:rsid w:val="00D47B8F"/>
    <w:rsid w:val="00D54F67"/>
    <w:rsid w:val="00D5556C"/>
    <w:rsid w:val="00D57E61"/>
    <w:rsid w:val="00D63F62"/>
    <w:rsid w:val="00D67B08"/>
    <w:rsid w:val="00D7155F"/>
    <w:rsid w:val="00D71CA5"/>
    <w:rsid w:val="00D72489"/>
    <w:rsid w:val="00D75162"/>
    <w:rsid w:val="00D76033"/>
    <w:rsid w:val="00D80BF1"/>
    <w:rsid w:val="00D8292E"/>
    <w:rsid w:val="00D83F45"/>
    <w:rsid w:val="00D853FD"/>
    <w:rsid w:val="00D86265"/>
    <w:rsid w:val="00D90397"/>
    <w:rsid w:val="00D9433F"/>
    <w:rsid w:val="00D963EF"/>
    <w:rsid w:val="00D96849"/>
    <w:rsid w:val="00D96D93"/>
    <w:rsid w:val="00D97FAF"/>
    <w:rsid w:val="00DA1870"/>
    <w:rsid w:val="00DA3B8F"/>
    <w:rsid w:val="00DA5043"/>
    <w:rsid w:val="00DA5B9A"/>
    <w:rsid w:val="00DB0EEB"/>
    <w:rsid w:val="00DB446D"/>
    <w:rsid w:val="00DC7629"/>
    <w:rsid w:val="00DD0B36"/>
    <w:rsid w:val="00DD33D3"/>
    <w:rsid w:val="00DD51FC"/>
    <w:rsid w:val="00DD5CA3"/>
    <w:rsid w:val="00DD6393"/>
    <w:rsid w:val="00DD6D65"/>
    <w:rsid w:val="00DE1B26"/>
    <w:rsid w:val="00DE2747"/>
    <w:rsid w:val="00DE41D0"/>
    <w:rsid w:val="00DE6CE9"/>
    <w:rsid w:val="00DF174F"/>
    <w:rsid w:val="00DF1C30"/>
    <w:rsid w:val="00DF61EE"/>
    <w:rsid w:val="00E04561"/>
    <w:rsid w:val="00E07348"/>
    <w:rsid w:val="00E075FD"/>
    <w:rsid w:val="00E111E8"/>
    <w:rsid w:val="00E1204D"/>
    <w:rsid w:val="00E1391A"/>
    <w:rsid w:val="00E153AA"/>
    <w:rsid w:val="00E204B6"/>
    <w:rsid w:val="00E24CE7"/>
    <w:rsid w:val="00E2520D"/>
    <w:rsid w:val="00E2777C"/>
    <w:rsid w:val="00E30C5A"/>
    <w:rsid w:val="00E325B9"/>
    <w:rsid w:val="00E34C11"/>
    <w:rsid w:val="00E37703"/>
    <w:rsid w:val="00E4154C"/>
    <w:rsid w:val="00E41B21"/>
    <w:rsid w:val="00E434AD"/>
    <w:rsid w:val="00E43D1D"/>
    <w:rsid w:val="00E45AD6"/>
    <w:rsid w:val="00E45FB8"/>
    <w:rsid w:val="00E47611"/>
    <w:rsid w:val="00E510C4"/>
    <w:rsid w:val="00E51CBF"/>
    <w:rsid w:val="00E527D7"/>
    <w:rsid w:val="00E55814"/>
    <w:rsid w:val="00E609CF"/>
    <w:rsid w:val="00E62B11"/>
    <w:rsid w:val="00E644C6"/>
    <w:rsid w:val="00E651EE"/>
    <w:rsid w:val="00E66322"/>
    <w:rsid w:val="00E74BED"/>
    <w:rsid w:val="00E7642B"/>
    <w:rsid w:val="00E76DA4"/>
    <w:rsid w:val="00E77C20"/>
    <w:rsid w:val="00E80777"/>
    <w:rsid w:val="00E81672"/>
    <w:rsid w:val="00E84BAC"/>
    <w:rsid w:val="00E85EEF"/>
    <w:rsid w:val="00E90532"/>
    <w:rsid w:val="00E92345"/>
    <w:rsid w:val="00E92A99"/>
    <w:rsid w:val="00E92F34"/>
    <w:rsid w:val="00E94293"/>
    <w:rsid w:val="00E964BB"/>
    <w:rsid w:val="00E97B96"/>
    <w:rsid w:val="00EA5ECB"/>
    <w:rsid w:val="00EA74DF"/>
    <w:rsid w:val="00EB4705"/>
    <w:rsid w:val="00EC0883"/>
    <w:rsid w:val="00EC101D"/>
    <w:rsid w:val="00EC2885"/>
    <w:rsid w:val="00EC2A7A"/>
    <w:rsid w:val="00EC5A70"/>
    <w:rsid w:val="00ED1203"/>
    <w:rsid w:val="00ED5DF3"/>
    <w:rsid w:val="00ED7D85"/>
    <w:rsid w:val="00EE5733"/>
    <w:rsid w:val="00EE654E"/>
    <w:rsid w:val="00EF24F1"/>
    <w:rsid w:val="00EF3FFD"/>
    <w:rsid w:val="00F03AA7"/>
    <w:rsid w:val="00F04295"/>
    <w:rsid w:val="00F0753B"/>
    <w:rsid w:val="00F07745"/>
    <w:rsid w:val="00F10882"/>
    <w:rsid w:val="00F10F64"/>
    <w:rsid w:val="00F15F4A"/>
    <w:rsid w:val="00F16A3B"/>
    <w:rsid w:val="00F2341A"/>
    <w:rsid w:val="00F24F1A"/>
    <w:rsid w:val="00F3387A"/>
    <w:rsid w:val="00F340FB"/>
    <w:rsid w:val="00F411FA"/>
    <w:rsid w:val="00F455E9"/>
    <w:rsid w:val="00F46708"/>
    <w:rsid w:val="00F469A9"/>
    <w:rsid w:val="00F47850"/>
    <w:rsid w:val="00F51165"/>
    <w:rsid w:val="00F5221A"/>
    <w:rsid w:val="00F52E7F"/>
    <w:rsid w:val="00F53CD0"/>
    <w:rsid w:val="00F545F9"/>
    <w:rsid w:val="00F56BE1"/>
    <w:rsid w:val="00F57C60"/>
    <w:rsid w:val="00F60E61"/>
    <w:rsid w:val="00F61C97"/>
    <w:rsid w:val="00F61DBC"/>
    <w:rsid w:val="00F658A1"/>
    <w:rsid w:val="00F65C88"/>
    <w:rsid w:val="00F67661"/>
    <w:rsid w:val="00F733F3"/>
    <w:rsid w:val="00F757DD"/>
    <w:rsid w:val="00F82850"/>
    <w:rsid w:val="00F828AF"/>
    <w:rsid w:val="00F90E99"/>
    <w:rsid w:val="00F90FCA"/>
    <w:rsid w:val="00F9204C"/>
    <w:rsid w:val="00F93A6E"/>
    <w:rsid w:val="00F96F7B"/>
    <w:rsid w:val="00F97E0F"/>
    <w:rsid w:val="00FA3EBC"/>
    <w:rsid w:val="00FB0ED6"/>
    <w:rsid w:val="00FB29C5"/>
    <w:rsid w:val="00FB44B4"/>
    <w:rsid w:val="00FC079A"/>
    <w:rsid w:val="00FC2981"/>
    <w:rsid w:val="00FC4BF5"/>
    <w:rsid w:val="00FC5559"/>
    <w:rsid w:val="00FD07C7"/>
    <w:rsid w:val="00FD1A34"/>
    <w:rsid w:val="00FD539D"/>
    <w:rsid w:val="00FE0B43"/>
    <w:rsid w:val="00FE1219"/>
    <w:rsid w:val="00FE2696"/>
    <w:rsid w:val="00FE3F84"/>
    <w:rsid w:val="00FE4371"/>
    <w:rsid w:val="00FE6485"/>
    <w:rsid w:val="00FE791B"/>
    <w:rsid w:val="00FF3EB9"/>
    <w:rsid w:val="00FF4C5E"/>
    <w:rsid w:val="00FF69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663D8D"/>
  <w15:chartTrackingRefBased/>
  <w15:docId w15:val="{A4D043A7-FE34-4CDD-BC60-0EAECE94F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77E"/>
    <w:pPr>
      <w:spacing w:after="0" w:line="480" w:lineRule="auto"/>
      <w:ind w:firstLine="576"/>
    </w:pPr>
    <w:rPr>
      <w:rFonts w:ascii="Georgia" w:hAnsi="Georgia"/>
      <w:kern w:val="0"/>
      <w:lang w:val="en-GB"/>
      <w14:ligatures w14:val="none"/>
    </w:rPr>
  </w:style>
  <w:style w:type="paragraph" w:styleId="Heading1">
    <w:name w:val="heading 1"/>
    <w:basedOn w:val="Normal"/>
    <w:next w:val="Normal"/>
    <w:link w:val="Heading1Char"/>
    <w:uiPriority w:val="9"/>
    <w:qFormat/>
    <w:rsid w:val="00875230"/>
    <w:pPr>
      <w:keepNext/>
      <w:keepLines/>
      <w:spacing w:before="360" w:after="80" w:line="278" w:lineRule="auto"/>
      <w:ind w:firstLine="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75230"/>
    <w:pPr>
      <w:keepNext/>
      <w:keepLines/>
      <w:spacing w:before="160" w:after="80" w:line="278" w:lineRule="auto"/>
      <w:ind w:firstLine="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nhideWhenUsed/>
    <w:qFormat/>
    <w:rsid w:val="00875230"/>
    <w:pPr>
      <w:keepNext/>
      <w:keepLines/>
      <w:spacing w:before="160" w:after="80" w:line="278" w:lineRule="auto"/>
      <w:ind w:firstLine="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75230"/>
    <w:pPr>
      <w:keepNext/>
      <w:keepLines/>
      <w:spacing w:before="80" w:after="40" w:line="278" w:lineRule="auto"/>
      <w:ind w:firstLine="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75230"/>
    <w:pPr>
      <w:keepNext/>
      <w:keepLines/>
      <w:spacing w:before="80" w:after="40" w:line="278" w:lineRule="auto"/>
      <w:ind w:firstLine="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75230"/>
    <w:pPr>
      <w:keepNext/>
      <w:keepLines/>
      <w:spacing w:before="40" w:line="278" w:lineRule="auto"/>
      <w:ind w:firstLine="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75230"/>
    <w:pPr>
      <w:keepNext/>
      <w:keepLines/>
      <w:spacing w:before="40" w:line="278" w:lineRule="auto"/>
      <w:ind w:firstLine="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75230"/>
    <w:pPr>
      <w:keepNext/>
      <w:keepLines/>
      <w:spacing w:line="278" w:lineRule="auto"/>
      <w:ind w:firstLine="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75230"/>
    <w:pPr>
      <w:keepNext/>
      <w:keepLines/>
      <w:spacing w:line="278" w:lineRule="auto"/>
      <w:ind w:firstLine="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2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52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52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52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52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52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52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52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5230"/>
    <w:rPr>
      <w:rFonts w:eastAsiaTheme="majorEastAsia" w:cstheme="majorBidi"/>
      <w:color w:val="272727" w:themeColor="text1" w:themeTint="D8"/>
    </w:rPr>
  </w:style>
  <w:style w:type="paragraph" w:styleId="Title">
    <w:name w:val="Title"/>
    <w:basedOn w:val="Normal"/>
    <w:next w:val="Normal"/>
    <w:link w:val="TitleChar"/>
    <w:uiPriority w:val="10"/>
    <w:qFormat/>
    <w:rsid w:val="00875230"/>
    <w:pPr>
      <w:spacing w:after="80" w:line="240" w:lineRule="auto"/>
      <w:ind w:firstLine="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752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230"/>
    <w:pPr>
      <w:numPr>
        <w:ilvl w:val="1"/>
      </w:numPr>
      <w:spacing w:after="160" w:line="278" w:lineRule="auto"/>
      <w:ind w:firstLine="576"/>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752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5230"/>
    <w:pPr>
      <w:spacing w:before="160" w:after="160" w:line="278" w:lineRule="auto"/>
      <w:ind w:firstLine="0"/>
      <w:jc w:val="center"/>
    </w:pPr>
    <w:rPr>
      <w:rFonts w:asciiTheme="minorHAnsi" w:hAnsiTheme="minorHAnsi"/>
      <w:i/>
      <w:iCs/>
      <w:color w:val="404040" w:themeColor="text1" w:themeTint="BF"/>
      <w:kern w:val="2"/>
      <w14:ligatures w14:val="standardContextual"/>
    </w:rPr>
  </w:style>
  <w:style w:type="character" w:customStyle="1" w:styleId="QuoteChar">
    <w:name w:val="Quote Char"/>
    <w:basedOn w:val="DefaultParagraphFont"/>
    <w:link w:val="Quote"/>
    <w:uiPriority w:val="29"/>
    <w:rsid w:val="00875230"/>
    <w:rPr>
      <w:i/>
      <w:iCs/>
      <w:color w:val="404040" w:themeColor="text1" w:themeTint="BF"/>
    </w:rPr>
  </w:style>
  <w:style w:type="paragraph" w:styleId="ListParagraph">
    <w:name w:val="List Paragraph"/>
    <w:basedOn w:val="Normal"/>
    <w:uiPriority w:val="34"/>
    <w:qFormat/>
    <w:rsid w:val="00875230"/>
    <w:pPr>
      <w:spacing w:after="160" w:line="278" w:lineRule="auto"/>
      <w:ind w:left="720" w:firstLine="0"/>
      <w:contextualSpacing/>
    </w:pPr>
    <w:rPr>
      <w:rFonts w:asciiTheme="minorHAnsi" w:hAnsiTheme="minorHAnsi"/>
      <w:kern w:val="2"/>
      <w14:ligatures w14:val="standardContextual"/>
    </w:rPr>
  </w:style>
  <w:style w:type="character" w:styleId="IntenseEmphasis">
    <w:name w:val="Intense Emphasis"/>
    <w:basedOn w:val="DefaultParagraphFont"/>
    <w:uiPriority w:val="21"/>
    <w:qFormat/>
    <w:rsid w:val="00875230"/>
    <w:rPr>
      <w:i/>
      <w:iCs/>
      <w:color w:val="0F4761" w:themeColor="accent1" w:themeShade="BF"/>
    </w:rPr>
  </w:style>
  <w:style w:type="paragraph" w:styleId="IntenseQuote">
    <w:name w:val="Intense Quote"/>
    <w:basedOn w:val="Normal"/>
    <w:next w:val="Normal"/>
    <w:link w:val="IntenseQuoteChar"/>
    <w:uiPriority w:val="30"/>
    <w:qFormat/>
    <w:rsid w:val="00875230"/>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hAnsiTheme="minorHAns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75230"/>
    <w:rPr>
      <w:i/>
      <w:iCs/>
      <w:color w:val="0F4761" w:themeColor="accent1" w:themeShade="BF"/>
    </w:rPr>
  </w:style>
  <w:style w:type="character" w:styleId="IntenseReference">
    <w:name w:val="Intense Reference"/>
    <w:basedOn w:val="DefaultParagraphFont"/>
    <w:uiPriority w:val="32"/>
    <w:qFormat/>
    <w:rsid w:val="00875230"/>
    <w:rPr>
      <w:b/>
      <w:bCs/>
      <w:smallCaps/>
      <w:color w:val="0F4761" w:themeColor="accent1" w:themeShade="BF"/>
      <w:spacing w:val="5"/>
    </w:rPr>
  </w:style>
  <w:style w:type="paragraph" w:styleId="FootnoteText">
    <w:name w:val="footnote text"/>
    <w:basedOn w:val="Normal"/>
    <w:link w:val="FootnoteTextChar"/>
    <w:uiPriority w:val="99"/>
    <w:unhideWhenUsed/>
    <w:rsid w:val="005C077E"/>
    <w:pPr>
      <w:spacing w:line="240" w:lineRule="auto"/>
      <w:ind w:firstLine="0"/>
    </w:pPr>
    <w:rPr>
      <w:sz w:val="20"/>
      <w:szCs w:val="20"/>
    </w:rPr>
  </w:style>
  <w:style w:type="character" w:customStyle="1" w:styleId="FootnoteTextChar">
    <w:name w:val="Footnote Text Char"/>
    <w:basedOn w:val="DefaultParagraphFont"/>
    <w:link w:val="FootnoteText"/>
    <w:uiPriority w:val="99"/>
    <w:rsid w:val="005C077E"/>
    <w:rPr>
      <w:rFonts w:ascii="Georgia" w:hAnsi="Georgia"/>
      <w:kern w:val="0"/>
      <w:sz w:val="20"/>
      <w:szCs w:val="20"/>
      <w14:ligatures w14:val="none"/>
    </w:rPr>
  </w:style>
  <w:style w:type="character" w:styleId="FootnoteReference">
    <w:name w:val="footnote reference"/>
    <w:basedOn w:val="DefaultParagraphFont"/>
    <w:uiPriority w:val="99"/>
    <w:semiHidden/>
    <w:unhideWhenUsed/>
    <w:rsid w:val="005C077E"/>
    <w:rPr>
      <w:vertAlign w:val="superscript"/>
    </w:rPr>
  </w:style>
  <w:style w:type="paragraph" w:styleId="NormalWeb">
    <w:name w:val="Normal (Web)"/>
    <w:basedOn w:val="Normal"/>
    <w:uiPriority w:val="99"/>
    <w:rsid w:val="00C67ADA"/>
    <w:pPr>
      <w:spacing w:before="100" w:beforeAutospacing="1" w:after="100" w:afterAutospacing="1" w:line="240" w:lineRule="auto"/>
      <w:ind w:firstLine="0"/>
    </w:pPr>
    <w:rPr>
      <w:rFonts w:eastAsia="SimSun" w:cs="Times New Roman"/>
      <w:color w:val="000000"/>
      <w:sz w:val="21"/>
      <w:szCs w:val="21"/>
      <w:lang w:eastAsia="zh-CN"/>
    </w:rPr>
  </w:style>
  <w:style w:type="paragraph" w:styleId="Header">
    <w:name w:val="header"/>
    <w:basedOn w:val="Normal"/>
    <w:link w:val="HeaderChar"/>
    <w:uiPriority w:val="99"/>
    <w:unhideWhenUsed/>
    <w:rsid w:val="004C2142"/>
    <w:pPr>
      <w:tabs>
        <w:tab w:val="center" w:pos="4680"/>
        <w:tab w:val="right" w:pos="9360"/>
      </w:tabs>
      <w:spacing w:line="240" w:lineRule="auto"/>
    </w:pPr>
  </w:style>
  <w:style w:type="character" w:customStyle="1" w:styleId="HeaderChar">
    <w:name w:val="Header Char"/>
    <w:basedOn w:val="DefaultParagraphFont"/>
    <w:link w:val="Header"/>
    <w:uiPriority w:val="99"/>
    <w:rsid w:val="004C2142"/>
    <w:rPr>
      <w:rFonts w:ascii="Georgia" w:hAnsi="Georgia"/>
      <w:kern w:val="0"/>
      <w14:ligatures w14:val="none"/>
    </w:rPr>
  </w:style>
  <w:style w:type="paragraph" w:styleId="Footer">
    <w:name w:val="footer"/>
    <w:basedOn w:val="Normal"/>
    <w:link w:val="FooterChar"/>
    <w:uiPriority w:val="99"/>
    <w:unhideWhenUsed/>
    <w:rsid w:val="004C2142"/>
    <w:pPr>
      <w:tabs>
        <w:tab w:val="center" w:pos="4680"/>
        <w:tab w:val="right" w:pos="9360"/>
      </w:tabs>
      <w:spacing w:line="240" w:lineRule="auto"/>
    </w:pPr>
  </w:style>
  <w:style w:type="character" w:customStyle="1" w:styleId="FooterChar">
    <w:name w:val="Footer Char"/>
    <w:basedOn w:val="DefaultParagraphFont"/>
    <w:link w:val="Footer"/>
    <w:uiPriority w:val="99"/>
    <w:rsid w:val="004C2142"/>
    <w:rPr>
      <w:rFonts w:ascii="Georgia" w:hAnsi="Georgia"/>
      <w:kern w:val="0"/>
      <w14:ligatures w14:val="none"/>
    </w:rPr>
  </w:style>
  <w:style w:type="character" w:styleId="Strong">
    <w:name w:val="Strong"/>
    <w:basedOn w:val="DefaultParagraphFont"/>
    <w:uiPriority w:val="22"/>
    <w:qFormat/>
    <w:rsid w:val="00175DB0"/>
    <w:rPr>
      <w:b/>
      <w:bCs/>
    </w:rPr>
  </w:style>
  <w:style w:type="character" w:styleId="Emphasis">
    <w:name w:val="Emphasis"/>
    <w:basedOn w:val="DefaultParagraphFont"/>
    <w:uiPriority w:val="20"/>
    <w:qFormat/>
    <w:rsid w:val="00D86265"/>
    <w:rPr>
      <w:i/>
      <w:iCs/>
    </w:rPr>
  </w:style>
  <w:style w:type="character" w:customStyle="1" w:styleId="overflow-hidden">
    <w:name w:val="overflow-hidden"/>
    <w:basedOn w:val="DefaultParagraphFont"/>
    <w:rsid w:val="00FB4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0110">
      <w:bodyDiv w:val="1"/>
      <w:marLeft w:val="0"/>
      <w:marRight w:val="0"/>
      <w:marTop w:val="0"/>
      <w:marBottom w:val="0"/>
      <w:divBdr>
        <w:top w:val="none" w:sz="0" w:space="0" w:color="auto"/>
        <w:left w:val="none" w:sz="0" w:space="0" w:color="auto"/>
        <w:bottom w:val="none" w:sz="0" w:space="0" w:color="auto"/>
        <w:right w:val="none" w:sz="0" w:space="0" w:color="auto"/>
      </w:divBdr>
    </w:div>
    <w:div w:id="350256124">
      <w:bodyDiv w:val="1"/>
      <w:marLeft w:val="0"/>
      <w:marRight w:val="0"/>
      <w:marTop w:val="0"/>
      <w:marBottom w:val="0"/>
      <w:divBdr>
        <w:top w:val="none" w:sz="0" w:space="0" w:color="auto"/>
        <w:left w:val="none" w:sz="0" w:space="0" w:color="auto"/>
        <w:bottom w:val="none" w:sz="0" w:space="0" w:color="auto"/>
        <w:right w:val="none" w:sz="0" w:space="0" w:color="auto"/>
      </w:divBdr>
    </w:div>
    <w:div w:id="499004795">
      <w:bodyDiv w:val="1"/>
      <w:marLeft w:val="0"/>
      <w:marRight w:val="0"/>
      <w:marTop w:val="0"/>
      <w:marBottom w:val="0"/>
      <w:divBdr>
        <w:top w:val="none" w:sz="0" w:space="0" w:color="auto"/>
        <w:left w:val="none" w:sz="0" w:space="0" w:color="auto"/>
        <w:bottom w:val="none" w:sz="0" w:space="0" w:color="auto"/>
        <w:right w:val="none" w:sz="0" w:space="0" w:color="auto"/>
      </w:divBdr>
      <w:divsChild>
        <w:div w:id="1357610344">
          <w:marLeft w:val="0"/>
          <w:marRight w:val="0"/>
          <w:marTop w:val="0"/>
          <w:marBottom w:val="0"/>
          <w:divBdr>
            <w:top w:val="none" w:sz="0" w:space="0" w:color="auto"/>
            <w:left w:val="none" w:sz="0" w:space="0" w:color="auto"/>
            <w:bottom w:val="none" w:sz="0" w:space="0" w:color="auto"/>
            <w:right w:val="none" w:sz="0" w:space="0" w:color="auto"/>
          </w:divBdr>
          <w:divsChild>
            <w:div w:id="872962723">
              <w:marLeft w:val="0"/>
              <w:marRight w:val="0"/>
              <w:marTop w:val="0"/>
              <w:marBottom w:val="0"/>
              <w:divBdr>
                <w:top w:val="none" w:sz="0" w:space="0" w:color="auto"/>
                <w:left w:val="none" w:sz="0" w:space="0" w:color="auto"/>
                <w:bottom w:val="none" w:sz="0" w:space="0" w:color="auto"/>
                <w:right w:val="none" w:sz="0" w:space="0" w:color="auto"/>
              </w:divBdr>
              <w:divsChild>
                <w:div w:id="2035109688">
                  <w:marLeft w:val="0"/>
                  <w:marRight w:val="0"/>
                  <w:marTop w:val="0"/>
                  <w:marBottom w:val="0"/>
                  <w:divBdr>
                    <w:top w:val="none" w:sz="0" w:space="0" w:color="auto"/>
                    <w:left w:val="none" w:sz="0" w:space="0" w:color="auto"/>
                    <w:bottom w:val="none" w:sz="0" w:space="0" w:color="auto"/>
                    <w:right w:val="none" w:sz="0" w:space="0" w:color="auto"/>
                  </w:divBdr>
                  <w:divsChild>
                    <w:div w:id="1585141079">
                      <w:marLeft w:val="0"/>
                      <w:marRight w:val="0"/>
                      <w:marTop w:val="0"/>
                      <w:marBottom w:val="0"/>
                      <w:divBdr>
                        <w:top w:val="none" w:sz="0" w:space="0" w:color="auto"/>
                        <w:left w:val="none" w:sz="0" w:space="0" w:color="auto"/>
                        <w:bottom w:val="none" w:sz="0" w:space="0" w:color="auto"/>
                        <w:right w:val="none" w:sz="0" w:space="0" w:color="auto"/>
                      </w:divBdr>
                      <w:divsChild>
                        <w:div w:id="778766445">
                          <w:marLeft w:val="0"/>
                          <w:marRight w:val="0"/>
                          <w:marTop w:val="0"/>
                          <w:marBottom w:val="0"/>
                          <w:divBdr>
                            <w:top w:val="none" w:sz="0" w:space="0" w:color="auto"/>
                            <w:left w:val="none" w:sz="0" w:space="0" w:color="auto"/>
                            <w:bottom w:val="none" w:sz="0" w:space="0" w:color="auto"/>
                            <w:right w:val="none" w:sz="0" w:space="0" w:color="auto"/>
                          </w:divBdr>
                          <w:divsChild>
                            <w:div w:id="1180201783">
                              <w:marLeft w:val="0"/>
                              <w:marRight w:val="0"/>
                              <w:marTop w:val="0"/>
                              <w:marBottom w:val="0"/>
                              <w:divBdr>
                                <w:top w:val="none" w:sz="0" w:space="0" w:color="auto"/>
                                <w:left w:val="none" w:sz="0" w:space="0" w:color="auto"/>
                                <w:bottom w:val="none" w:sz="0" w:space="0" w:color="auto"/>
                                <w:right w:val="none" w:sz="0" w:space="0" w:color="auto"/>
                              </w:divBdr>
                              <w:divsChild>
                                <w:div w:id="1464031894">
                                  <w:marLeft w:val="0"/>
                                  <w:marRight w:val="0"/>
                                  <w:marTop w:val="0"/>
                                  <w:marBottom w:val="0"/>
                                  <w:divBdr>
                                    <w:top w:val="none" w:sz="0" w:space="0" w:color="auto"/>
                                    <w:left w:val="none" w:sz="0" w:space="0" w:color="auto"/>
                                    <w:bottom w:val="none" w:sz="0" w:space="0" w:color="auto"/>
                                    <w:right w:val="none" w:sz="0" w:space="0" w:color="auto"/>
                                  </w:divBdr>
                                  <w:divsChild>
                                    <w:div w:id="41562484">
                                      <w:marLeft w:val="0"/>
                                      <w:marRight w:val="0"/>
                                      <w:marTop w:val="0"/>
                                      <w:marBottom w:val="0"/>
                                      <w:divBdr>
                                        <w:top w:val="none" w:sz="0" w:space="0" w:color="auto"/>
                                        <w:left w:val="none" w:sz="0" w:space="0" w:color="auto"/>
                                        <w:bottom w:val="none" w:sz="0" w:space="0" w:color="auto"/>
                                        <w:right w:val="none" w:sz="0" w:space="0" w:color="auto"/>
                                      </w:divBdr>
                                      <w:divsChild>
                                        <w:div w:id="446483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2659087">
                          <w:marLeft w:val="0"/>
                          <w:marRight w:val="0"/>
                          <w:marTop w:val="0"/>
                          <w:marBottom w:val="0"/>
                          <w:divBdr>
                            <w:top w:val="none" w:sz="0" w:space="0" w:color="auto"/>
                            <w:left w:val="none" w:sz="0" w:space="0" w:color="auto"/>
                            <w:bottom w:val="none" w:sz="0" w:space="0" w:color="auto"/>
                            <w:right w:val="none" w:sz="0" w:space="0" w:color="auto"/>
                          </w:divBdr>
                          <w:divsChild>
                            <w:div w:id="1113014490">
                              <w:marLeft w:val="0"/>
                              <w:marRight w:val="0"/>
                              <w:marTop w:val="0"/>
                              <w:marBottom w:val="0"/>
                              <w:divBdr>
                                <w:top w:val="none" w:sz="0" w:space="0" w:color="auto"/>
                                <w:left w:val="none" w:sz="0" w:space="0" w:color="auto"/>
                                <w:bottom w:val="none" w:sz="0" w:space="0" w:color="auto"/>
                                <w:right w:val="none" w:sz="0" w:space="0" w:color="auto"/>
                              </w:divBdr>
                              <w:divsChild>
                                <w:div w:id="144226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174620">
      <w:bodyDiv w:val="1"/>
      <w:marLeft w:val="0"/>
      <w:marRight w:val="0"/>
      <w:marTop w:val="0"/>
      <w:marBottom w:val="0"/>
      <w:divBdr>
        <w:top w:val="none" w:sz="0" w:space="0" w:color="auto"/>
        <w:left w:val="none" w:sz="0" w:space="0" w:color="auto"/>
        <w:bottom w:val="none" w:sz="0" w:space="0" w:color="auto"/>
        <w:right w:val="none" w:sz="0" w:space="0" w:color="auto"/>
      </w:divBdr>
    </w:div>
    <w:div w:id="582908046">
      <w:bodyDiv w:val="1"/>
      <w:marLeft w:val="0"/>
      <w:marRight w:val="0"/>
      <w:marTop w:val="0"/>
      <w:marBottom w:val="0"/>
      <w:divBdr>
        <w:top w:val="none" w:sz="0" w:space="0" w:color="auto"/>
        <w:left w:val="none" w:sz="0" w:space="0" w:color="auto"/>
        <w:bottom w:val="none" w:sz="0" w:space="0" w:color="auto"/>
        <w:right w:val="none" w:sz="0" w:space="0" w:color="auto"/>
      </w:divBdr>
    </w:div>
    <w:div w:id="962149764">
      <w:bodyDiv w:val="1"/>
      <w:marLeft w:val="0"/>
      <w:marRight w:val="0"/>
      <w:marTop w:val="0"/>
      <w:marBottom w:val="0"/>
      <w:divBdr>
        <w:top w:val="none" w:sz="0" w:space="0" w:color="auto"/>
        <w:left w:val="none" w:sz="0" w:space="0" w:color="auto"/>
        <w:bottom w:val="none" w:sz="0" w:space="0" w:color="auto"/>
        <w:right w:val="none" w:sz="0" w:space="0" w:color="auto"/>
      </w:divBdr>
      <w:divsChild>
        <w:div w:id="1886794730">
          <w:marLeft w:val="0"/>
          <w:marRight w:val="0"/>
          <w:marTop w:val="0"/>
          <w:marBottom w:val="0"/>
          <w:divBdr>
            <w:top w:val="none" w:sz="0" w:space="0" w:color="auto"/>
            <w:left w:val="none" w:sz="0" w:space="0" w:color="auto"/>
            <w:bottom w:val="none" w:sz="0" w:space="0" w:color="auto"/>
            <w:right w:val="none" w:sz="0" w:space="0" w:color="auto"/>
          </w:divBdr>
          <w:divsChild>
            <w:div w:id="1583099350">
              <w:marLeft w:val="0"/>
              <w:marRight w:val="0"/>
              <w:marTop w:val="0"/>
              <w:marBottom w:val="0"/>
              <w:divBdr>
                <w:top w:val="none" w:sz="0" w:space="0" w:color="auto"/>
                <w:left w:val="none" w:sz="0" w:space="0" w:color="auto"/>
                <w:bottom w:val="none" w:sz="0" w:space="0" w:color="auto"/>
                <w:right w:val="none" w:sz="0" w:space="0" w:color="auto"/>
              </w:divBdr>
              <w:divsChild>
                <w:div w:id="426849643">
                  <w:marLeft w:val="0"/>
                  <w:marRight w:val="0"/>
                  <w:marTop w:val="0"/>
                  <w:marBottom w:val="0"/>
                  <w:divBdr>
                    <w:top w:val="none" w:sz="0" w:space="0" w:color="auto"/>
                    <w:left w:val="none" w:sz="0" w:space="0" w:color="auto"/>
                    <w:bottom w:val="none" w:sz="0" w:space="0" w:color="auto"/>
                    <w:right w:val="none" w:sz="0" w:space="0" w:color="auto"/>
                  </w:divBdr>
                  <w:divsChild>
                    <w:div w:id="502858806">
                      <w:marLeft w:val="0"/>
                      <w:marRight w:val="0"/>
                      <w:marTop w:val="0"/>
                      <w:marBottom w:val="0"/>
                      <w:divBdr>
                        <w:top w:val="none" w:sz="0" w:space="0" w:color="auto"/>
                        <w:left w:val="none" w:sz="0" w:space="0" w:color="auto"/>
                        <w:bottom w:val="none" w:sz="0" w:space="0" w:color="auto"/>
                        <w:right w:val="none" w:sz="0" w:space="0" w:color="auto"/>
                      </w:divBdr>
                      <w:divsChild>
                        <w:div w:id="930821058">
                          <w:marLeft w:val="0"/>
                          <w:marRight w:val="0"/>
                          <w:marTop w:val="0"/>
                          <w:marBottom w:val="0"/>
                          <w:divBdr>
                            <w:top w:val="none" w:sz="0" w:space="0" w:color="auto"/>
                            <w:left w:val="none" w:sz="0" w:space="0" w:color="auto"/>
                            <w:bottom w:val="none" w:sz="0" w:space="0" w:color="auto"/>
                            <w:right w:val="none" w:sz="0" w:space="0" w:color="auto"/>
                          </w:divBdr>
                          <w:divsChild>
                            <w:div w:id="1302537153">
                              <w:marLeft w:val="0"/>
                              <w:marRight w:val="0"/>
                              <w:marTop w:val="0"/>
                              <w:marBottom w:val="0"/>
                              <w:divBdr>
                                <w:top w:val="none" w:sz="0" w:space="0" w:color="auto"/>
                                <w:left w:val="none" w:sz="0" w:space="0" w:color="auto"/>
                                <w:bottom w:val="none" w:sz="0" w:space="0" w:color="auto"/>
                                <w:right w:val="none" w:sz="0" w:space="0" w:color="auto"/>
                              </w:divBdr>
                              <w:divsChild>
                                <w:div w:id="49043371">
                                  <w:marLeft w:val="0"/>
                                  <w:marRight w:val="0"/>
                                  <w:marTop w:val="0"/>
                                  <w:marBottom w:val="0"/>
                                  <w:divBdr>
                                    <w:top w:val="none" w:sz="0" w:space="0" w:color="auto"/>
                                    <w:left w:val="none" w:sz="0" w:space="0" w:color="auto"/>
                                    <w:bottom w:val="none" w:sz="0" w:space="0" w:color="auto"/>
                                    <w:right w:val="none" w:sz="0" w:space="0" w:color="auto"/>
                                  </w:divBdr>
                                  <w:divsChild>
                                    <w:div w:id="102178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803127">
                          <w:marLeft w:val="0"/>
                          <w:marRight w:val="0"/>
                          <w:marTop w:val="0"/>
                          <w:marBottom w:val="0"/>
                          <w:divBdr>
                            <w:top w:val="none" w:sz="0" w:space="0" w:color="auto"/>
                            <w:left w:val="none" w:sz="0" w:space="0" w:color="auto"/>
                            <w:bottom w:val="none" w:sz="0" w:space="0" w:color="auto"/>
                            <w:right w:val="none" w:sz="0" w:space="0" w:color="auto"/>
                          </w:divBdr>
                          <w:divsChild>
                            <w:div w:id="449863242">
                              <w:marLeft w:val="0"/>
                              <w:marRight w:val="0"/>
                              <w:marTop w:val="0"/>
                              <w:marBottom w:val="0"/>
                              <w:divBdr>
                                <w:top w:val="none" w:sz="0" w:space="0" w:color="auto"/>
                                <w:left w:val="none" w:sz="0" w:space="0" w:color="auto"/>
                                <w:bottom w:val="none" w:sz="0" w:space="0" w:color="auto"/>
                                <w:right w:val="none" w:sz="0" w:space="0" w:color="auto"/>
                              </w:divBdr>
                              <w:divsChild>
                                <w:div w:id="83310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7668286">
      <w:bodyDiv w:val="1"/>
      <w:marLeft w:val="0"/>
      <w:marRight w:val="0"/>
      <w:marTop w:val="0"/>
      <w:marBottom w:val="0"/>
      <w:divBdr>
        <w:top w:val="none" w:sz="0" w:space="0" w:color="auto"/>
        <w:left w:val="none" w:sz="0" w:space="0" w:color="auto"/>
        <w:bottom w:val="none" w:sz="0" w:space="0" w:color="auto"/>
        <w:right w:val="none" w:sz="0" w:space="0" w:color="auto"/>
      </w:divBdr>
    </w:div>
    <w:div w:id="1023632392">
      <w:bodyDiv w:val="1"/>
      <w:marLeft w:val="0"/>
      <w:marRight w:val="0"/>
      <w:marTop w:val="0"/>
      <w:marBottom w:val="0"/>
      <w:divBdr>
        <w:top w:val="none" w:sz="0" w:space="0" w:color="auto"/>
        <w:left w:val="none" w:sz="0" w:space="0" w:color="auto"/>
        <w:bottom w:val="none" w:sz="0" w:space="0" w:color="auto"/>
        <w:right w:val="none" w:sz="0" w:space="0" w:color="auto"/>
      </w:divBdr>
      <w:divsChild>
        <w:div w:id="1262957269">
          <w:marLeft w:val="480"/>
          <w:marRight w:val="0"/>
          <w:marTop w:val="0"/>
          <w:marBottom w:val="0"/>
          <w:divBdr>
            <w:top w:val="none" w:sz="0" w:space="0" w:color="auto"/>
            <w:left w:val="none" w:sz="0" w:space="0" w:color="auto"/>
            <w:bottom w:val="none" w:sz="0" w:space="0" w:color="auto"/>
            <w:right w:val="none" w:sz="0" w:space="0" w:color="auto"/>
          </w:divBdr>
          <w:divsChild>
            <w:div w:id="180102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04828">
      <w:bodyDiv w:val="1"/>
      <w:marLeft w:val="0"/>
      <w:marRight w:val="0"/>
      <w:marTop w:val="0"/>
      <w:marBottom w:val="0"/>
      <w:divBdr>
        <w:top w:val="none" w:sz="0" w:space="0" w:color="auto"/>
        <w:left w:val="none" w:sz="0" w:space="0" w:color="auto"/>
        <w:bottom w:val="none" w:sz="0" w:space="0" w:color="auto"/>
        <w:right w:val="none" w:sz="0" w:space="0" w:color="auto"/>
      </w:divBdr>
    </w:div>
    <w:div w:id="1448041506">
      <w:bodyDiv w:val="1"/>
      <w:marLeft w:val="0"/>
      <w:marRight w:val="0"/>
      <w:marTop w:val="0"/>
      <w:marBottom w:val="0"/>
      <w:divBdr>
        <w:top w:val="none" w:sz="0" w:space="0" w:color="auto"/>
        <w:left w:val="none" w:sz="0" w:space="0" w:color="auto"/>
        <w:bottom w:val="none" w:sz="0" w:space="0" w:color="auto"/>
        <w:right w:val="none" w:sz="0" w:space="0" w:color="auto"/>
      </w:divBdr>
    </w:div>
    <w:div w:id="1697542360">
      <w:bodyDiv w:val="1"/>
      <w:marLeft w:val="0"/>
      <w:marRight w:val="0"/>
      <w:marTop w:val="0"/>
      <w:marBottom w:val="0"/>
      <w:divBdr>
        <w:top w:val="none" w:sz="0" w:space="0" w:color="auto"/>
        <w:left w:val="none" w:sz="0" w:space="0" w:color="auto"/>
        <w:bottom w:val="none" w:sz="0" w:space="0" w:color="auto"/>
        <w:right w:val="none" w:sz="0" w:space="0" w:color="auto"/>
      </w:divBdr>
    </w:div>
    <w:div w:id="1980723794">
      <w:bodyDiv w:val="1"/>
      <w:marLeft w:val="0"/>
      <w:marRight w:val="0"/>
      <w:marTop w:val="0"/>
      <w:marBottom w:val="0"/>
      <w:divBdr>
        <w:top w:val="none" w:sz="0" w:space="0" w:color="auto"/>
        <w:left w:val="none" w:sz="0" w:space="0" w:color="auto"/>
        <w:bottom w:val="none" w:sz="0" w:space="0" w:color="auto"/>
        <w:right w:val="none" w:sz="0" w:space="0" w:color="auto"/>
      </w:divBdr>
    </w:div>
    <w:div w:id="2064060575">
      <w:bodyDiv w:val="1"/>
      <w:marLeft w:val="0"/>
      <w:marRight w:val="0"/>
      <w:marTop w:val="0"/>
      <w:marBottom w:val="0"/>
      <w:divBdr>
        <w:top w:val="none" w:sz="0" w:space="0" w:color="auto"/>
        <w:left w:val="none" w:sz="0" w:space="0" w:color="auto"/>
        <w:bottom w:val="none" w:sz="0" w:space="0" w:color="auto"/>
        <w:right w:val="none" w:sz="0" w:space="0" w:color="auto"/>
      </w:divBdr>
      <w:divsChild>
        <w:div w:id="1278636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26" Type="http://schemas.openxmlformats.org/officeDocument/2006/relationships/customXml" Target="ink/ink7.xml"/><Relationship Id="rId39" Type="http://schemas.openxmlformats.org/officeDocument/2006/relationships/image" Target="media/image13.png"/><Relationship Id="rId21" Type="http://schemas.openxmlformats.org/officeDocument/2006/relationships/image" Target="media/image5.png"/><Relationship Id="rId34" Type="http://schemas.openxmlformats.org/officeDocument/2006/relationships/customXml" Target="ink/ink11.xml"/><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1.xml"/><Relationship Id="rId25" Type="http://schemas.openxmlformats.org/officeDocument/2006/relationships/image" Target="media/image6.png"/><Relationship Id="rId33" Type="http://schemas.openxmlformats.org/officeDocument/2006/relationships/image" Target="media/image10.png"/><Relationship Id="rId38" Type="http://schemas.openxmlformats.org/officeDocument/2006/relationships/customXml" Target="ink/ink13.xml"/><Relationship Id="rId2" Type="http://schemas.openxmlformats.org/officeDocument/2006/relationships/styles" Target="styles.xml"/><Relationship Id="rId20" Type="http://schemas.openxmlformats.org/officeDocument/2006/relationships/customXml" Target="ink/ink4.xml"/><Relationship Id="rId29" Type="http://schemas.openxmlformats.org/officeDocument/2006/relationships/image" Target="media/image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customXml" Target="ink/ink6.xml"/><Relationship Id="rId32" Type="http://schemas.openxmlformats.org/officeDocument/2006/relationships/customXml" Target="ink/ink10.xml"/><Relationship Id="rId37" Type="http://schemas.openxmlformats.org/officeDocument/2006/relationships/image" Target="media/image12.png"/><Relationship Id="rId40" Type="http://schemas.openxmlformats.org/officeDocument/2006/relationships/header" Target="header2.xml"/><Relationship Id="rId5" Type="http://schemas.openxmlformats.org/officeDocument/2006/relationships/footnotes" Target="footnotes.xml"/><Relationship Id="rId23" Type="http://schemas.openxmlformats.org/officeDocument/2006/relationships/image" Target="media/image50.png"/><Relationship Id="rId28" Type="http://schemas.openxmlformats.org/officeDocument/2006/relationships/customXml" Target="ink/ink8.xml"/><Relationship Id="rId36" Type="http://schemas.openxmlformats.org/officeDocument/2006/relationships/customXml" Target="ink/ink12.xml"/><Relationship Id="rId10" Type="http://schemas.openxmlformats.org/officeDocument/2006/relationships/customXml" Target="ink/ink2.xml"/><Relationship Id="rId19" Type="http://schemas.openxmlformats.org/officeDocument/2006/relationships/image" Target="media/image4.png"/><Relationship Id="rId31"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22" Type="http://schemas.openxmlformats.org/officeDocument/2006/relationships/customXml" Target="ink/ink5.xml"/><Relationship Id="rId27" Type="http://schemas.openxmlformats.org/officeDocument/2006/relationships/image" Target="media/image7.png"/><Relationship Id="rId30" Type="http://schemas.openxmlformats.org/officeDocument/2006/relationships/customXml" Target="ink/ink9.xml"/><Relationship Id="rId35" Type="http://schemas.openxmlformats.org/officeDocument/2006/relationships/image" Target="media/image11.png"/><Relationship Id="rId8" Type="http://schemas.openxmlformats.org/officeDocument/2006/relationships/customXml" Target="ink/ink1.xml"/><Relationship Id="rId3"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21T06:37:05.611"/>
    </inkml:context>
    <inkml:brush xml:id="br0">
      <inkml:brushProperty name="width" value="0.035" units="cm"/>
      <inkml:brushProperty name="height" value="0.035" units="cm"/>
    </inkml:brush>
  </inkml:definitions>
  <inkml:trace contextRef="#ctx0" brushRef="#br0">277 37 14280 0 0,'-44'-15'1272'0'0,"23"8"-1016"0"0,-10 1-256 0 0,-3 0 0 0 0,6 6 1551 0 0,-1-3 265 0 0,5 3 48 0 0,4 0 16 0 0,3 0-2096 0 0,-1 3-416 0 0,8-3-80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21T06:37:07.999"/>
    </inkml:context>
    <inkml:brush xml:id="br0">
      <inkml:brushProperty name="width" value="0.035" units="cm"/>
      <inkml:brushProperty name="height" value="0.035" units="cm"/>
    </inkml:brush>
  </inkml:definitions>
  <inkml:trace contextRef="#ctx0" brushRef="#br0">313 244 10224 0 0,'0'0'1106'0'0,"15"3"-724"0"0,7-3-324 0 0,-14 1-48 0 0,0-1 0 0 0,1 1 0 0 0,-1-2 0 0 0,0 0 0 0 0,0 0 0 0 0,10-2 0 0 0,28-13 270 0 0,-2-3 0 0 0,70-38 0 0 0,-85 40-238 0 0,24-15 37 0 0,-47 29-90 0 0,1 0 1 0 0,0 0-1 0 0,0 1 0 0 0,0 0 0 0 0,0 0 0 0 0,8-1 0 0 0,-8 2-67 0 0,-7 1 86 0 0,1 0-1 0 0,-1-1 1 0 0,0 1-1 0 0,0 0 1 0 0,1 0-1 0 0,-1 0 1 0 0,0 0-1 0 0,1-1 1 0 0,-1 1-1 0 0,1 0 1 0 0,-1 0-1 0 0,0 0 1 0 0,1 0-1 0 0,-1 0 1 0 0,0 0-1 0 0,1 0 1 0 0,-1 0 0 0 0,0 0-1 0 0,1 0 1 0 0,-1 0-1 0 0,0 0 1 0 0,1 0-1 0 0,-1 1 1 0 0,1-1-1 0 0,-1 0 1 0 0,0 0-1 0 0,0 0 1 0 0,1 0-1 0 0,-1 1 1 0 0,0-1-1 0 0,1 0 1 0 0,-1 0-1 0 0,0 1 1 0 0,0-1-1 0 0,1 0 1 0 0,-1 0-1 0 0,0 1 1 0 0,0-1-1 0 0,1 0 1 0 0,-1 1-1 0 0,0-1 1 0 0,0 0-1 0 0,0 1 1 0 0,0-1-1 0 0,1 1 1 0 0,-2 3 53 0 0,0 1 0 0 0,1 0-1 0 0,-1-1 1 0 0,-1 1 0 0 0,1-1 0 0 0,-1 1-1 0 0,0-1 1 0 0,-4 7 0 0 0,1 0 111 0 0,-8 21 310 0 0,-2 0 0 0 0,-2 0 0 0 0,-37 53 0 0 0,15-39-494 0 0,-88 79 0 0 0,87-88 263 0 0,22-19-273 0 0,-1 0-1 0 0,-1-2 1 0 0,0 0 0 0 0,-23 12 0 0 0,43-28-35 0 0,0 0 1 0 0,0 0-1 0 0,0 1 1 0 0,-1-1-1 0 0,1 0 1 0 0,0 0 0 0 0,0 0-1 0 0,0 0 1 0 0,0 0-1 0 0,0 0 1 0 0,0 0-1 0 0,-1 0 1 0 0,1 0-1 0 0,0 0 1 0 0,0 0 0 0 0,0 0-1 0 0,0 0 1 0 0,0 0-1 0 0,-1 0 1 0 0,1 0-1 0 0,0 0 1 0 0,0 0 0 0 0,0 0-1 0 0,0 0 1 0 0,0 0-1 0 0,0 0 1 0 0,-1 0-1 0 0,1 0 1 0 0,0 0 0 0 0,0 0-1 0 0,0 0 1 0 0,0 0-1 0 0,0 0 1 0 0,0 0-1 0 0,-1-1 1 0 0,1 1 0 0 0,0 0-1 0 0,0 0 1 0 0,0 0-1 0 0,0 0 1 0 0,0 0-1 0 0,0 0 1 0 0,0 0 0 0 0,0-1-1 0 0,0 1 1 0 0,0 0-1 0 0,0 0 1 0 0,0 0-1 0 0,0 0 1 0 0,-1 0 0 0 0,1 0-1 0 0,0-1 1 0 0,0 1-1 0 0,0 0 1 0 0,2-13-1289 0 0,6-12 44 0 0,9-6-489 0 0</inkml:trace>
  <inkml:trace contextRef="#ctx0" brushRef="#br0" timeOffset="455.29">1296 23 15232 0 0,'0'0'348'0'0,"1"2"49"0"0,2 2-339 0 0,0 0 0 0 0,-1 0 0 0 0,0 0 0 0 0,0 0-1 0 0,0 1 1 0 0,0-1 0 0 0,0 1 0 0 0,-1-1 0 0 0,0 1 0 0 0,0 0 0 0 0,0-1 0 0 0,-1 1 0 0 0,1 0 0 0 0,-1-1 0 0 0,-1 10-1 0 0,-2 0-58 0 0,0 1 0 0 0,-1-1 0 0 0,0 0 0 0 0,-1 0 0 0 0,-1 0 0 0 0,-1 0-1 0 0,0-1 1 0 0,0 0 0 0 0,-1-1 0 0 0,-1 1 0 0 0,0-2 0 0 0,0 1 0 0 0,-17 14-1 0 0,3-9 14 0 0,0 0-1 0 0,-1-1 1 0 0,-1-2-1 0 0,0 0 0 0 0,-48 17 1 0 0,13-11 466 0 0,-96 20 1 0 0,100-31-408 0 0,0-2 0 0 0,-1-3 1 0 0,0-2-1 0 0,0-3 0 0 0,-73-10 1 0 0,96 7-100 0 0,0-2 0 0 0,-45-14 0 0 0,62 15-55 0 0,0-2-1 0 0,0 0 0 0 0,1-1 1 0 0,0 0-1 0 0,0-1 0 0 0,-16-14 0 0 0,15 10-20 0 0,-30-31 0 0 0,41 38 90 0 0,1-1 0 0 0,-1 0 0 0 0,1-1 0 0 0,0 0 0 0 0,1 1 0 0 0,0-1 0 0 0,-5-12 0 0 0,8 17 28 0 0,0 0-1 0 0,1 0 0 0 0,-1 0 1 0 0,1 0-1 0 0,-1 0 0 0 0,1-1 0 0 0,0 1 1 0 0,0 0-1 0 0,0 0 0 0 0,1 0 1 0 0,-1 0-1 0 0,2-4 0 0 0,-2 6-8 0 0,0 0 1 0 0,1 0-1 0 0,-1 1 0 0 0,1-1 0 0 0,-1 0 0 0 0,1 0 1 0 0,0 0-1 0 0,-1 0 0 0 0,1 0 0 0 0,0 1 0 0 0,-1-1 1 0 0,1 0-1 0 0,0 1 0 0 0,0-1 0 0 0,0 0 0 0 0,0 1 1 0 0,0-1-1 0 0,-1 1 0 0 0,1-1 0 0 0,0 1 0 0 0,0 0 1 0 0,0-1-1 0 0,0 1 0 0 0,0 0 0 0 0,1 0 1 0 0,-1 0-1 0 0,0 0 0 0 0,0 0 0 0 0,0 0 0 0 0,0 0 1 0 0,0 0-1 0 0,0 0 0 0 0,0 0 0 0 0,0 0 0 0 0,0 1 1 0 0,2 0-1 0 0,-1-1 5 0 0,4 2 18 0 0,-1-1 1 0 0,1 1 0 0 0,-1 0-1 0 0,0 0 1 0 0,0 0 0 0 0,0 1-1 0 0,0 0 1 0 0,6 4 0 0 0,1 4-1 0 0,0 0 0 0 0,0 1 0 0 0,-1 0 0 0 0,-1 1 0 0 0,0 0 0 0 0,9 16 0 0 0,1 8 217 0 0,20 47 0 0 0,5 1 331 0 0,-33-63-442 0 0,1 0-1 0 0,0-1 0 0 0,2-1 0 0 0,26 28 1 0 0,79 62 271 0 0,-105-98-380 0 0,0 0 0 0 0,0-1 0 0 0,2-1 0 0 0,-1-1 0 0 0,28 12 0 0 0,-32-17-2 0 0,0 0 1 0 0,1-1-1 0 0,-1 0 0 0 0,1 0 1 0 0,0-2-1 0 0,0 1 1 0 0,0-2-1 0 0,-1 0 1 0 0,17-2-1 0 0,0-1 42 0 0,-1-2-1 0 0,1-1 1 0 0,47-17-1 0 0,-59 16-511 0 0,0-1 1 0 0,-1 0-1 0 0,0-1 0 0 0,0 0 1 0 0,-1-2-1 0 0,0 0 0 0 0,14-14 0 0 0,-1 0-5940 0 0</inkml:trace>
  <inkml:trace contextRef="#ctx0" brushRef="#br0" timeOffset="1394.34">1130 552 10592 0 0,'0'0'818'0'0,"10"-9"188"0"0,-8 7-677 0 0,0 1-109 0 0,-1 1 0 0 0,0-1 0 0 0,0 0 0 0 0,0 0 1 0 0,0 0-1 0 0,0 0 0 0 0,-1 0 0 0 0,1 0 0 0 0,0 0 0 0 0,0-1 1 0 0,-1 1-1 0 0,1 0 0 0 0,0 0 0 0 0,-1-1 0 0 0,1 1 0 0 0,-1-2 0 0 0,-13 10 588 0 0,-3 2-491 0 0,1 2 0 0 0,1 0 0 0 0,0 1 0 0 0,-17 17 0 0 0,30-29-314 0 0,-11 12 149 0 0,1 0-1 0 0,0 0 1 0 0,0 1-1 0 0,1 0 0 0 0,1 1 1 0 0,0 0-1 0 0,1 1 1 0 0,0 0-1 0 0,2 0 0 0 0,-7 19 1 0 0,12-31-137 0 0,1 0 0 0 0,-1 0 0 0 0,1 0 0 0 0,0 1 0 0 0,0-1 0 0 0,0 0 0 0 0,1 3 0 0 0,3 2-5 0 0,-2-6-16 0 0,0 0 0 0 0,1-1 0 0 0,-1 0-1 0 0,1 1 1 0 0,-1-1 0 0 0,1 0-1 0 0,-1 0 1 0 0,1 0 0 0 0,0-1 0 0 0,0 1-1 0 0,-1-1 1 0 0,1 1 0 0 0,0-1 0 0 0,0 0-1 0 0,0 0 1 0 0,-1 0 0 0 0,1-1 0 0 0,0 1-1 0 0,0-1 1 0 0,2 0 0 0 0,1 0-18 0 0,0-1 0 0 0,0 0 0 0 0,0 0 1 0 0,-1 0-1 0 0,1-1 0 0 0,-1 0 1 0 0,0 0-1 0 0,8-5 0 0 0,0-5-105 0 0,0-1 0 0 0,-1 0 0 0 0,0-1-1 0 0,11-19 1 0 0,-9 15 22 0 0,80-132-640 0 0,-71 112 771 0 0,-22 38 155 0 0,-5 11 39 0 0,-109 296 542 0 0,110-296-741 0 0,0 1 0 0 0,1-1-1 0 0,-1 20 1 0 0,14-35 34 0 0,-5 0-61 0 0,1-1 0 0 0,-1 1 0 0 0,0-1 0 0 0,0-1 0 0 0,-1 1 0 0 0,0-1 0 0 0,0 0 0 0 0,-1 0 0 0 0,0 0 0 0 0,5-12 0 0 0,11-17-194 0 0,12-14-486 0 0,62-73 0 0 0,-73 99 549 0 0,2 0 0 0 0,1 2 1 0 0,0 1-1 0 0,44-29 0 0 0,-64 47 111 0 0,0 1 0 0 0,0 0 0 0 0,0 0 0 0 0,0 1-1 0 0,6-3 1 0 0,-9 4 38 0 0,-1 1-1 0 0,0-1 0 0 0,1 0 1 0 0,-1 0-1 0 0,0 0 1 0 0,0 0-1 0 0,1 1 0 0 0,-1-1 1 0 0,0 0-1 0 0,1 0 1 0 0,-1 0-1 0 0,0 1 1 0 0,0-1-1 0 0,0 0 0 0 0,1 0 1 0 0,-1 1-1 0 0,0-1 1 0 0,0 0-1 0 0,0 1 0 0 0,1-1 1 0 0,-1 0-1 0 0,0 1 1 0 0,0-1-1 0 0,0 0 0 0 0,0 1 1 0 0,0-1-1 0 0,0 0 1 0 0,0 1-1 0 0,2 9 93 0 0,-2-6-57 0 0,0 0-1 0 0,0 0 1 0 0,0-1 0 0 0,0 1 0 0 0,-1 0 0 0 0,0 0-1 0 0,0-1 1 0 0,0 1 0 0 0,-3 7 0 0 0,-1-1 93 0 0,-12 19 1 0 0,-3 5 50 0 0,20-34-186 0 0,-13 27 126 0 0,-11 35 0 0 0,21-55-128 0 0,1 0 0 0 0,1 1 0 0 0,-1-1 0 0 0,1 0 0 0 0,0 0 0 0 0,1 0-1 0 0,0 1 1 0 0,0-1 0 0 0,0 0 0 0 0,3 14 0 0 0,-2-20 3 0 0,-1-1 1 0 0,0 1-1 0 0,1-1 1 0 0,-1 0-1 0 0,0 1 1 0 0,1-1-1 0 0,-1 0 0 0 0,1 1 1 0 0,-1-1-1 0 0,0 0 1 0 0,1 0-1 0 0,-1 1 0 0 0,1-1 1 0 0,-1 0-1 0 0,1 0 1 0 0,-1 0-1 0 0,1 1 0 0 0,-1-1 1 0 0,1 0-1 0 0,-1 0 1 0 0,1 0-1 0 0,-1 0 0 0 0,1 0 1 0 0,14 0 43 0 0,-11 0-35 0 0,10-2 8 0 0,1 0 0 0 0,-1-1 0 0 0,1-1 0 0 0,-1 0 0 0 0,0-1 0 0 0,15-7 0 0 0,1 0-22 0 0,-8 3 41 0 0,0-1-1 0 0,0-2 1 0 0,-1 0-1 0 0,-1-1 1 0 0,20-16 0 0 0,89-85-38 0 0,-56 46 152 0 0,-52 49-134 0 0,-1 0 0 0 0,-1-1 1 0 0,-1-1-1 0 0,-1-1 1 0 0,-1-1-1 0 0,25-45 0 0 0,-27 44-20 0 0,-13 20-39 0 0,-3 4 11 0 0,-4 2-27 0 0,-24 22-22 0 0,1 2 0 0 0,1 0 0 0 0,-29 37 0 0 0,-61 98 363 0 0,111-149-250 0 0,0-1 0 0 0,1 1-1 0 0,0 0 1 0 0,1 1 0 0 0,0-1-1 0 0,1 1 1 0 0,-3 14-1 0 0,6-23-39 0 0,0 1 0 0 0,0-1 0 0 0,1 1-1 0 0,0-1 1 0 0,0 1 0 0 0,0-1-1 0 0,0 1 1 0 0,1-1 0 0 0,0 0-1 0 0,0 1 1 0 0,0-1 0 0 0,0 0-1 0 0,1 1 1 0 0,-1-1 0 0 0,1 0 0 0 0,0 0-1 0 0,0 0 1 0 0,1-1 0 0 0,-1 1-1 0 0,1 0 1 0 0,0-1 0 0 0,0 0-1 0 0,0 1 1 0 0,6 3 0 0 0,-2-2-52 0 0,0 0 0 0 0,1-1 1 0 0,0 0-1 0 0,0-1 0 0 0,0 0 1 0 0,0 0-1 0 0,0 0 0 0 0,10 1 1 0 0,40 3-5180 0 0,-14-4-926 0 0</inkml:trace>
  <inkml:trace contextRef="#ctx0" brushRef="#br0" timeOffset="2050.56">2715 512 8840 0 0,'0'0'658'0'0,"0"1"-447"0"0,-3 2-91 0 0,2-2 273 0 0,13-15 1154 0 0,-7 8-955 0 0,1 1 1 0 0,1 0-1 0 0,10-7 1 0 0,3-2 252 0 0,34-33 589 0 0,-32 27-1381 0 0,40-28 0 0 0,-62 48-116 0 0,1 1 50 0 0,-1 0 0 0 0,1 0 0 0 0,-1 0 0 0 0,1 0 0 0 0,-1 0 0 0 0,0 0 0 0 0,0 1-1 0 0,1-1 1 0 0,-1 0 0 0 0,0 0 0 0 0,0 0 0 0 0,0 1 0 0 0,-1 1 0 0 0,-1 6 10 0 0,0-1 0 0 0,-1 1 0 0 0,0-1 0 0 0,0 0 0 0 0,-1 0 0 0 0,-5 8 0 0 0,-33 46 253 0 0,24-37-134 0 0,-25 35 107 0 0,-48 74 298 0 0,87-129-510 0 0,-2 4 139 0 0,5-8-59 0 0,5-3-16 0 0,11-14 127 0 0,19-24 0 0 0,-7 7-21 0 0,8-7-169 0 0,68-58 0 0 0,-64 65-87 0 0,-17 14-49 0 0,35-25 1 0 0,-42 34 49 0 0,-2 1-27 0 0,0 1 0 0 0,0 1 0 0 0,25-11 0 0 0,-37 17 103 0 0,0 1 0 0 0,0 0 0 0 0,0-1 0 0 0,1 1 0 0 0,-1 0 0 0 0,0 0 0 0 0,0 0 0 0 0,0 0 0 0 0,0 0-1 0 0,0 0 1 0 0,1 0 0 0 0,-1 0 0 0 0,0 0 0 0 0,0 0 0 0 0,0 1 0 0 0,2-1 0 0 0,-3 1 2 0 0,1-1 0 0 0,0 1 0 0 0,-1-1 0 0 0,1 1 0 0 0,-1-1 0 0 0,1 1 0 0 0,-1-1 0 0 0,1 1 0 0 0,-1 0 0 0 0,1-1 0 0 0,-1 1 0 0 0,0 0 0 0 0,1-1 0 0 0,-1 1 0 0 0,0 0-1 0 0,1-1 1 0 0,-1 1 0 0 0,0 1 0 0 0,1 1 9 0 0,-1 0 0 0 0,0 0 0 0 0,0 0 0 0 0,0-1 0 0 0,-1 1 0 0 0,1 0 0 0 0,0 0 0 0 0,-1 0 0 0 0,0 0 0 0 0,0-1 0 0 0,-1 4 0 0 0,-4 5 57 0 0,0 0 0 0 0,-10 12 0 0 0,-3 6 64 0 0,-24 37 100 0 0,22-35-191 0 0,-33 65 0 0 0,23-23 21 0 0,25-60-20 0 0,6-13-43 0 0,0 0 0 0 0,0 0 1 0 0,0 0-1 0 0,0 0 1 0 0,0 0-1 0 0,0 0 0 0 0,0 0 1 0 0,0 0-1 0 0,0 0 1 0 0,0 0-1 0 0,0 0 1 0 0,0 0-1 0 0,0 0 0 0 0,0 0 1 0 0,0-1-1 0 0,0 1 1 0 0,0 0-1 0 0,0 0 1 0 0,0 0-1 0 0,0 0 0 0 0,0 0 1 0 0,0 0-1 0 0,0 0 1 0 0,0 0-1 0 0,0 0 0 0 0,0 0 1 0 0,0 0-1 0 0,0 0 1 0 0,0 0-1 0 0,0 0 1 0 0,0 0-1 0 0,-1 0 0 0 0,1 0 1 0 0,0 0-1 0 0,0 0 1 0 0,0 0-1 0 0,0 0 1 0 0,0 0-1 0 0,0 0 0 0 0,0 0 1 0 0,0 0-1 0 0,0 0 1 0 0,0 0-1 0 0,0 0 0 0 0,0 0 1 0 0,0 0-1 0 0,0 0 1 0 0,0 0-1 0 0,0 0 1 0 0,-1 0-1 0 0,1 0 0 0 0,0 0 1 0 0,0 0-1 0 0,0 0 1 0 0,0 0-1 0 0,0 0 1 0 0,0 0-1 0 0,0 0 0 0 0,0 0 1 0 0,0 0-1 0 0,0 0 1 0 0,0 0-1 0 0,0 1 1 0 0,0-1-1 0 0,0 0 0 0 0,0 0 1 0 0,0 0-1 0 0,0 0 1 0 0,0 0-1 0 0,1-16 190 0 0,2 7-107 0 0,0 0 1 0 0,1 0-1 0 0,0 0 0 0 0,11-15 1 0 0,26-32 295 0 0,-6 18-321 0 0,45-40 0 0 0,-22 24-297 0 0,-28 25 191 0 0,1 1 0 0 0,60-40 0 0 0,-90 67 43 0 0,1 0-1 0 0,-1 0 1 0 0,1 1-1 0 0,0-1 0 0 0,-1 0 1 0 0,1 1-1 0 0,0-1 1 0 0,0 1-1 0 0,-1-1 1 0 0,1 1-1 0 0,0 0 1 0 0,0 0-1 0 0,0 0 1 0 0,2 0-1 0 0,-3 0 0 0 0,0 0-1 0 0,0 1 1 0 0,0-1-1 0 0,-1 0 1 0 0,1 1-1 0 0,0-1 0 0 0,0 1 1 0 0,-1-1-1 0 0,1 1 1 0 0,0-1-1 0 0,-1 1 1 0 0,1-1-1 0 0,0 1 1 0 0,-1 0-1 0 0,1-1 1 0 0,-1 1-1 0 0,1 0 1 0 0,-1 0-1 0 0,1-1 0 0 0,-1 1 1 0 0,0 0-1 0 0,1 0 1 0 0,-1 0-1 0 0,0 0 1 0 0,1-1-1 0 0,-1 1 1 0 0,0 0-1 0 0,0 0 1 0 0,0 0-1 0 0,0 0 1 0 0,0 0-1 0 0,0 1 0 0 0,-1 10-12 0 0,0 0 1 0 0,-1-1-1 0 0,0 1 0 0 0,-1-1 0 0 0,0 1 0 0 0,-8 19 0 0 0,-38 65-106 0 0,38-75 117 0 0,-7 13-35 0 0,-116 192-1908 0 0,124-212 119 0 0,-23 23-1 0 0,14-22-56 0 0</inkml:trace>
  <inkml:trace contextRef="#ctx0" brushRef="#br0" timeOffset="2225.58">3492 776 16671 0 0,'0'0'1736'0'0,"4"9"-1640"0"0,2-6-96 0 0,6 1 0 0 0</inkml:trace>
  <inkml:trace contextRef="#ctx0" brushRef="#br0" timeOffset="2973.05">4444 456 17647 0 0,'0'0'399'0'0,"-1"1"60"0"0,-11 9-342 0 0,0 0 1 0 0,0-1-1 0 0,-1 0 1 0 0,-1-1-1 0 0,1 0 0 0 0,-1-1 1 0 0,-1-1-1 0 0,1 0 1 0 0,-27 7-1 0 0,-12-1-294 0 0,-75 8 1 0 0,126-20 177 0 0,-10 2-18 0 0,1-1 0 0 0,0-1 0 0 0,-1 0 0 0 0,1 0 1 0 0,0-1-1 0 0,-1-1 0 0 0,1 0 0 0 0,0 0 0 0 0,0-1 0 0 0,0-1 0 0 0,1 0 0 0 0,-1 0 0 0 0,1-1 0 0 0,-13-8 0 0 0,20 11 34 0 0,-1-1 1 0 0,1 0 0 0 0,0 0-1 0 0,0 0 1 0 0,0 0 0 0 0,0 0 0 0 0,0-1-1 0 0,1 0 1 0 0,-1 1 0 0 0,1-1-1 0 0,0 0 1 0 0,1 0 0 0 0,-1 0-1 0 0,0 0 1 0 0,1 0 0 0 0,0-1-1 0 0,-1-5 1 0 0,1 3 6 0 0,1 1 0 0 0,0-1 0 0 0,0 0 0 0 0,0 0 0 0 0,1 0 0 0 0,0 0 0 0 0,0 0 0 0 0,1 1 0 0 0,0-1 0 0 0,3-8 0 0 0,2-3-43 0 0,0 0-1 0 0,2 1 1 0 0,0 0-1 0 0,1 1 1 0 0,0 0-1 0 0,1 0 1 0 0,1 1-1 0 0,22-21 0 0 0,-11 16-12 0 0,1 1 0 0 0,1 1 1 0 0,46-24-1 0 0,-24 18-30 0 0,67-23-1 0 0,-82 36 41 0 0,1 2-1 0 0,0 1 1 0 0,56-7-1 0 0,-71 14 10 0 0,0 0 0 0 0,-1 0 0 0 0,1 2 1 0 0,0 0-1 0 0,-1 1 0 0 0,0 1 0 0 0,1 1 0 0 0,30 10 0 0 0,-42-11 3 0 0,1 0 0 0 0,-1 0 1 0 0,0 1-1 0 0,0-1 0 0 0,0 1 0 0 0,-1 1 1 0 0,1-1-1 0 0,7 9 0 0 0,-10-9 10 0 0,0 0-1 0 0,0 0 0 0 0,0 0 0 0 0,-1 0 0 0 0,0 0 1 0 0,1 1-1 0 0,-2-1 0 0 0,1 1 0 0 0,0 0 0 0 0,-1-1 1 0 0,0 1-1 0 0,0 0 0 0 0,0 5 0 0 0,-1 2 19 0 0,0 0-1 0 0,-1 0 1 0 0,-1 1-1 0 0,0-1 1 0 0,0 0-1 0 0,-1-1 1 0 0,-1 1-1 0 0,0-1 1 0 0,0 1 0 0 0,-12 19-1 0 0,-4 3 97 0 0,-48 61 0 0 0,12-23 26 0 0,-62 77-38 0 0,78-102-103 0 0,-50 44 0 0 0,-113 83 216 0 0,50-46 124 0 0,139-114 8 0 0,31-27 188 0 0,1-1-559 0 0,90-59 96 0 0,22-16-421 0 0,-127 87 341 0 0,208-151-940 0 0,-178 132 834 0 0,1 2 0 0 0,1 1 0 0 0,1 2-1 0 0,61-19 1 0 0,-73 28 178 0 0,-1 1-1 0 0,1 1 0 0 0,45-3 0 0 0,-62 8 5 0 0,0 0 0 0 0,0 1 0 0 0,0 0 0 0 0,0 0 1 0 0,0 0-1 0 0,-1 1 0 0 0,14 5 0 0 0,-16-6-27 0 0,0 1 1 0 0,-1 1-1 0 0,1-1 0 0 0,-1 0 0 0 0,1 1 0 0 0,-1 0 1 0 0,0 0-1 0 0,0 0 0 0 0,0 0 0 0 0,0 0 0 0 0,-1 1 1 0 0,1-1-1 0 0,-1 1 0 0 0,2 4 0 0 0,5 14 251 0 0,12 40 0 0 0,-17-46-176 0 0,1 0 0 0 0,0 0 0 0 0,2-1 0 0 0,-1 0 0 0 0,14 22 0 0 0,-15-32-91 0 0,0 0-1 0 0,0 0 0 0 0,0 0 1 0 0,0 0-1 0 0,1-1 0 0 0,-1 0 0 0 0,1 0 1 0 0,1-1-1 0 0,-1 1 0 0 0,0-1 1 0 0,1-1-1 0 0,-1 1 0 0 0,1-1 0 0 0,0 0 1 0 0,10 1-1 0 0,10 1 159 0 0,1-1 0 0 0,41-1 0 0 0,-26-3 220 0 0,1-1 0 0 0,77-13 0 0 0,-100 10-455 0 0,362-81 245 0 0,-272 53-111 0 0,44-10-770 0 0,-30 21-3448 0 0,-93 17-3017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26T20:22:25.571"/>
    </inkml:context>
    <inkml:brush xml:id="br0">
      <inkml:brushProperty name="width" value="0.035" units="cm"/>
      <inkml:brushProperty name="height" value="0.035" units="cm"/>
    </inkml:brush>
  </inkml:definitions>
  <inkml:trace contextRef="#ctx0" brushRef="#br0">4 95 4144,'0'0'191,"-1"-1"-149,1 0 1,-1 0 0,1 0 0,0 0-1,-1 1 1,1-1 0,0 0 0,0 0-1,0 0 1,-1 0 0,1 0 0,0-1 0,1-1 843,0 0 0,0 1 0,1-1 1,-1 1-1,1-1 0,-1 1 1,1 0-1,2-3 0,19-14 1668,-10 11-2449,1 1-1,15-6 1,-26 12 112,3-1-254,0 0 0,0 1 0,0 0 0,0 0 0,0 0 0,0 1 1,0 0-1,0 0 0,0 0 0,0 1 0,0 0 0,0 0 1,0 1-1,0-1 0,0 1 0,-1 1 0,1-1 0,9 7 1,-10-7-87,2 4-598,2 5 549,-6-5 104,4 13 17,-6-17 88,1-1 0,-1 1-1,0 0 1,1-1 0,-1 1 0,1-1 0,-1 0-1,1 1 1,-1-1 0,1 0 0,0 0 0,0 0-1,0 0 1,0 0 0,0-1 0,0 1 0,3 0-1,2 1 185,0-1 0,0 0 1,13 1-1,-9-4-16,-8 2-252,0 0 1,0-1-1,0 1 0,1 0 0,-1 1 0,0-1 0,0 1 0,4 0 1,12 5 25,-13-5 402,-4-1-275,3 3-47,-3-2 1062,-2-1-1105,1 0 0,-1 0 0,1 0 0,-1 1 0,1-1 0,-1 0 0,0 0 0,1 1-1,-1-1 1,1 0 0,-1 0 0,0 1 0,1-1 0,-1 0 0,0 1 0,1-1 0,-1 0 0,0 1 0,0-1 0,1 1-1,-1-1 1,0 1 0,10 12 83,-8-10-98,1 0 0,-1 0 0,1 0 0,-1 0 0,0 0 0,0 1 0,-1-1 0,1 0 0,-1 1 0,0 0 0,0-1 0,2 8-1,-3-10 52,1 2 131,1 14-4,-2-15-177,1-1-37,-1 0 0,0 0 0,0 0 0,1 0-1,-1 0 1,0 0 0,1 0 0,-1 0 0,1 0 0,0 0 0,-1 0 0,2 0 0,-1 0-27,0 0 0,0-1 0,0 1 0,1 0 0,-1-1 0,0 0 1,0 1-1,1-1 0,-1 0 0,0 0 0,1 1 0,-1-1 0,0 0 0,3-1 0,40 0-742,-24 1-10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28T04:40:29.903"/>
    </inkml:context>
    <inkml:brush xml:id="br0">
      <inkml:brushProperty name="width" value="0.035" units="cm"/>
      <inkml:brushProperty name="height" value="0.035" units="cm"/>
    </inkml:brush>
  </inkml:definitions>
  <inkml:trace contextRef="#ctx0" brushRef="#br0">109 3943 3224,'0'0'12482,"-1"-17"-11237,-10-26-1262,10 35-19,-1-1 0,0 1 0,-4-12 0,-4-17 17,-65-859 1779,78 166-1508,5 537-242,21-424 44,-11 362-120,43-656-2002,-57 810-2083,1 4-1267</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26T09:05:32.501"/>
    </inkml:context>
    <inkml:brush xml:id="br0">
      <inkml:brushProperty name="width" value="0.035" units="cm"/>
      <inkml:brushProperty name="height" value="0.035" units="cm"/>
    </inkml:brush>
  </inkml:definitions>
  <inkml:trace contextRef="#ctx0" brushRef="#br0">15 26 22663 0 0,'-10'-15'1000'0'0,"8"10"216"0"0,-1-1-976 0 0,8 10-4192 0 0,-1 0 2832 0 0,2-1-4375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06T01:19:18.476"/>
    </inkml:context>
    <inkml:brush xml:id="br0">
      <inkml:brushProperty name="width" value="0.035" units="cm"/>
      <inkml:brushProperty name="height" value="0.035" units="cm"/>
      <inkml:brushProperty name="color" value="#004F8B"/>
    </inkml:brush>
  </inkml:definitions>
  <inkml:trace contextRef="#ctx0" brushRef="#br0">58 1 20359 0 0,'0'16'448'0'0,"0"-6"88"0"0,-4 0 16 0 0,-3 0 24 0 0,-1 1-456 0 0,-4 1-120 0 0,5 5 0 0 0,0-3 0 0 0,-1-1-1008 0 0,4-2-224 0 0,4-2-48 0 0,24-9-3999 0 0,-2-9-377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06T01:19:17.333"/>
    </inkml:context>
    <inkml:brush xml:id="br0">
      <inkml:brushProperty name="width" value="0.035" units="cm"/>
      <inkml:brushProperty name="height" value="0.035" units="cm"/>
      <inkml:brushProperty name="color" value="#004F8B"/>
    </inkml:brush>
  </inkml:definitions>
  <inkml:trace contextRef="#ctx0" brushRef="#br0">154 8 17135 0 0,'-29'-3'760'0'0,"18"-1"152"0"0,-4 4-728 0 0,-1 0-184 0 0,1 0 0 0 0,-3 0 0 0 0,2 0-784 0 0,1 0-192 0 0,4 0-39 0 0,4 0-9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06T01:19:16.391"/>
    </inkml:context>
    <inkml:brush xml:id="br0">
      <inkml:brushProperty name="width" value="0.035" units="cm"/>
      <inkml:brushProperty name="height" value="0.035" units="cm"/>
      <inkml:brushProperty name="color" value="#004F8B"/>
    </inkml:brush>
  </inkml:definitions>
  <inkml:trace contextRef="#ctx0" brushRef="#br0">69 23 16847 0 0,'-15'-13'744'0'0,"11"9"152"0"0,-3 2-712 0 0,-2-1-184 0 0,2 3 0 0 0,-1 3 0 0 0,5-1-800 0 0,-5 9-192 0 0,5-1-31 0 0,-1 3-17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26T09:04:29.908"/>
    </inkml:context>
    <inkml:brush xml:id="br0">
      <inkml:brushProperty name="width" value="0.05" units="cm"/>
      <inkml:brushProperty name="height" value="0.05" units="cm"/>
    </inkml:brush>
  </inkml:definitions>
  <inkml:trace contextRef="#ctx0" brushRef="#br0">84 63 14280 0 0,'-23'-21'1272'0'0,"12"11"-1016"0"0,-1 2-256 0 0,1 0 0 0 0,-1 3 1887 0 0,3-3 321 0 0,4 6 2368 0 0,14 12-5728 0 0,2 3-8239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06T01:19:13.804"/>
    </inkml:context>
    <inkml:brush xml:id="br0">
      <inkml:brushProperty name="width" value="0.035" units="cm"/>
      <inkml:brushProperty name="height" value="0.035" units="cm"/>
      <inkml:brushProperty name="color" value="#004F8B"/>
    </inkml:brush>
  </inkml:definitions>
  <inkml:trace contextRef="#ctx0" brushRef="#br0">12 8 18055 0 0,'0'0'392'0'0,"-3"-3"88"0"0,-6-1 624 0 0,14 11-1104 0 0,2 3 0 0 0,5 4-1320 0 0,-1-5-288 0 0,7 15-55 0 0,-2-10-17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26T09:19:14.655"/>
    </inkml:context>
    <inkml:brush xml:id="br0">
      <inkml:brushProperty name="width" value="0.05" units="cm"/>
      <inkml:brushProperty name="height" value="0.05" units="cm"/>
    </inkml:brush>
  </inkml:definitions>
  <inkml:trace contextRef="#ctx0" brushRef="#br0">0 0 13360 0 0,'0'0'1424'0'0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06T01:19:14.588"/>
    </inkml:context>
    <inkml:brush xml:id="br0">
      <inkml:brushProperty name="width" value="0.035" units="cm"/>
      <inkml:brushProperty name="height" value="0.035" units="cm"/>
      <inkml:brushProperty name="color" value="#004F8B"/>
    </inkml:brush>
  </inkml:definitions>
  <inkml:trace contextRef="#ctx0" brushRef="#br0">0 315 11600 0 0,'0'0'1320'0'0,"7"-14"-200"0"0,-6 13-1001 0 0,1-3 176 0 0,1-1-1 0 0,-1 1 0 0 0,-1 0 0 0 0,1-1 0 0 0,-1 1 0 0 0,1-1 1 0 0,0-5-1 0 0,5 1 511 0 0,-3-9-812 0 0,-3 14-54 0 0,0 0 0 0 0,0 0 1 0 0,1 0-1 0 0,-1 0 0 0 0,5-7 0 0 0,21-25-314 0 0,-18 26-193 0 0,-1-1-1 0 0,-1 0 1 0 0,1 0-1 0 0,7-18 1 0 0,-12 23 536 0 0,-1 0-1 0 0,1 0 1 0 0,-1 0 0 0 0,-1 0-1 0 0,1-1 1 0 0,-1 1 0 0 0,0 0 0 0 0,-1-9-1 0 0,0-14 688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4-26T09:05:14.068"/>
    </inkml:context>
    <inkml:brush xml:id="br0">
      <inkml:brushProperty name="width" value="0.035" units="cm"/>
      <inkml:brushProperty name="height" value="0.035" units="cm"/>
    </inkml:brush>
  </inkml:definitions>
  <inkml:trace contextRef="#ctx0" brushRef="#br0">1 0 20327 0 0,'0'0'2208'0'0,"5"6"-4824"0"0,4-1 1200 0 0,-3 1-144 0 0,8 1-23 0 0,-5 4-9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41C7F-1C93-46EC-A7C5-FC89D1AD8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5864</Words>
  <Characters>33282</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T</dc:creator>
  <cp:keywords/>
  <dc:description/>
  <cp:lastModifiedBy>Karl T</cp:lastModifiedBy>
  <cp:revision>12</cp:revision>
  <dcterms:created xsi:type="dcterms:W3CDTF">2025-04-28T09:17:00Z</dcterms:created>
  <dcterms:modified xsi:type="dcterms:W3CDTF">2025-04-28T10:20:00Z</dcterms:modified>
</cp:coreProperties>
</file>