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5E06CAC">
      <w:pPr>
        <w:spacing w:line="360" w:lineRule="auto"/>
        <w:jc w:val="both"/>
        <w:rPr>
          <w:rFonts w:hint="default" w:ascii="Arial" w:hAnsi="Arial" w:cs="Arial"/>
          <w:color w:val="000000" w:themeColor="text1"/>
          <w:sz w:val="22"/>
          <w:szCs w:val="22"/>
          <w14:textFill>
            <w14:solidFill>
              <w14:schemeClr w14:val="tx1"/>
            </w14:solidFill>
          </w14:textFill>
        </w:rPr>
      </w:pPr>
    </w:p>
    <w:p w14:paraId="33A969B3">
      <w:pPr>
        <w:spacing w:line="360" w:lineRule="auto"/>
        <w:jc w:val="both"/>
        <w:rPr>
          <w:rFonts w:hint="default" w:ascii="Arial" w:hAnsi="Arial" w:cs="Arial"/>
          <w:color w:val="000000" w:themeColor="text1"/>
          <w:sz w:val="22"/>
          <w:szCs w:val="22"/>
          <w14:textFill>
            <w14:solidFill>
              <w14:schemeClr w14:val="tx1"/>
            </w14:solidFill>
          </w14:textFill>
        </w:rPr>
      </w:pPr>
    </w:p>
    <w:p w14:paraId="3888D531">
      <w:pPr>
        <w:spacing w:line="360" w:lineRule="auto"/>
        <w:jc w:val="both"/>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lang w:val="en-PH" w:eastAsia="en-PH"/>
          <w14:textFill>
            <w14:solidFill>
              <w14:schemeClr w14:val="tx1"/>
            </w14:solidFill>
          </w14:textFill>
        </w:rPr>
        <w:drawing>
          <wp:anchor distT="0" distB="0" distL="114300" distR="114300" simplePos="0" relativeHeight="251660288" behindDoc="0" locked="0" layoutInCell="1" allowOverlap="1">
            <wp:simplePos x="0" y="0"/>
            <wp:positionH relativeFrom="column">
              <wp:posOffset>-38100</wp:posOffset>
            </wp:positionH>
            <wp:positionV relativeFrom="paragraph">
              <wp:posOffset>37465</wp:posOffset>
            </wp:positionV>
            <wp:extent cx="1809750" cy="723900"/>
            <wp:effectExtent l="0" t="0" r="6350" b="0"/>
            <wp:wrapSquare wrapText="bothSides"/>
            <wp:docPr id="16"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6" name="Picture 9" descr="Discover University of Wales Trinity Saint David"/>
                    <pic:cNvPicPr/>
                  </pic:nvPicPr>
                  <pic:blipFill>
                    <a:blip r:embed="rId5"/>
                    <a:srcRect/>
                    <a:stretch>
                      <a:fillRect/>
                    </a:stretch>
                  </pic:blipFill>
                  <pic:spPr>
                    <a:xfrm>
                      <a:off x="0" y="0"/>
                      <a:ext cx="1809750" cy="723900"/>
                    </a:xfrm>
                    <a:prstGeom prst="rect">
                      <a:avLst/>
                    </a:prstGeom>
                    <a:noFill/>
                    <a:ln>
                      <a:noFill/>
                      <a:prstDash val="solid"/>
                    </a:ln>
                  </pic:spPr>
                </pic:pic>
              </a:graphicData>
            </a:graphic>
          </wp:anchor>
        </w:drawing>
      </w:r>
    </w:p>
    <w:p w14:paraId="74677BEF">
      <w:pPr>
        <w:spacing w:line="360" w:lineRule="auto"/>
        <w:jc w:val="both"/>
        <w:rPr>
          <w:rFonts w:hint="default" w:ascii="Arial" w:hAnsi="Arial" w:cs="Arial"/>
          <w:color w:val="000000" w:themeColor="text1"/>
          <w:sz w:val="22"/>
          <w:szCs w:val="22"/>
          <w14:textFill>
            <w14:solidFill>
              <w14:schemeClr w14:val="tx1"/>
            </w14:solidFill>
          </w14:textFill>
        </w:rPr>
      </w:pPr>
    </w:p>
    <w:p w14:paraId="410A7670">
      <w:pPr>
        <w:spacing w:line="360" w:lineRule="auto"/>
        <w:jc w:val="both"/>
        <w:rPr>
          <w:rFonts w:hint="default" w:ascii="Arial" w:hAnsi="Arial" w:cs="Arial"/>
          <w:color w:val="000000" w:themeColor="text1"/>
          <w:sz w:val="22"/>
          <w:szCs w:val="22"/>
          <w14:textFill>
            <w14:solidFill>
              <w14:schemeClr w14:val="tx1"/>
            </w14:solidFill>
          </w14:textFill>
        </w:rPr>
      </w:pPr>
    </w:p>
    <w:p w14:paraId="2C9F2B3D">
      <w:pPr>
        <w:spacing w:line="360" w:lineRule="auto"/>
        <w:jc w:val="both"/>
        <w:rPr>
          <w:rFonts w:hint="default" w:ascii="Arial" w:hAnsi="Arial" w:cs="Arial"/>
          <w:color w:val="000000" w:themeColor="text1"/>
          <w:sz w:val="22"/>
          <w:szCs w:val="22"/>
          <w14:textFill>
            <w14:solidFill>
              <w14:schemeClr w14:val="tx1"/>
            </w14:solidFill>
          </w14:textFill>
        </w:rPr>
      </w:pPr>
    </w:p>
    <w:p w14:paraId="506E98B4">
      <w:pPr>
        <w:pStyle w:val="4"/>
        <w:keepNext w:val="0"/>
        <w:keepLines w:val="0"/>
        <w:widowControl/>
        <w:suppressLineNumbers w:val="0"/>
        <w:spacing w:line="360" w:lineRule="auto"/>
        <w:rPr>
          <w:rFonts w:hint="default" w:ascii="Arial" w:hAnsi="Arial" w:cs="Arial"/>
          <w:sz w:val="22"/>
          <w:szCs w:val="22"/>
        </w:rPr>
      </w:pPr>
      <w:r>
        <w:rPr>
          <w:rStyle w:val="6"/>
          <w:rFonts w:hint="default" w:ascii="Arial" w:hAnsi="Arial" w:cs="Arial"/>
          <w:sz w:val="22"/>
          <w:szCs w:val="22"/>
        </w:rPr>
        <w:t>Student Name:</w:t>
      </w:r>
      <w:r>
        <w:rPr>
          <w:rFonts w:hint="default" w:ascii="Arial" w:hAnsi="Arial" w:cs="Arial"/>
          <w:sz w:val="22"/>
          <w:szCs w:val="22"/>
        </w:rPr>
        <w:t xml:space="preserve"> Erlita Bunda Anisco</w:t>
      </w:r>
      <w:r>
        <w:rPr>
          <w:rFonts w:hint="default" w:ascii="Arial" w:hAnsi="Arial" w:cs="Arial"/>
          <w:sz w:val="22"/>
          <w:szCs w:val="22"/>
        </w:rPr>
        <w:br w:type="textWrapping"/>
      </w:r>
      <w:r>
        <w:rPr>
          <w:rStyle w:val="6"/>
          <w:rFonts w:hint="default" w:ascii="Arial" w:hAnsi="Arial" w:cs="Arial"/>
          <w:sz w:val="22"/>
          <w:szCs w:val="22"/>
        </w:rPr>
        <w:t>Student ID:</w:t>
      </w:r>
      <w:r>
        <w:rPr>
          <w:rFonts w:hint="default" w:ascii="Arial" w:hAnsi="Arial" w:cs="Arial"/>
          <w:sz w:val="22"/>
          <w:szCs w:val="22"/>
        </w:rPr>
        <w:t xml:space="preserve"> 2508848</w:t>
      </w:r>
    </w:p>
    <w:p w14:paraId="1D04AA48">
      <w:pPr>
        <w:pStyle w:val="4"/>
        <w:keepNext w:val="0"/>
        <w:keepLines w:val="0"/>
        <w:widowControl/>
        <w:suppressLineNumbers w:val="0"/>
        <w:spacing w:line="360" w:lineRule="auto"/>
        <w:rPr>
          <w:rFonts w:hint="default" w:ascii="Arial" w:hAnsi="Arial" w:cs="Arial"/>
          <w:sz w:val="22"/>
          <w:szCs w:val="22"/>
        </w:rPr>
      </w:pPr>
      <w:r>
        <w:rPr>
          <w:rStyle w:val="6"/>
          <w:rFonts w:hint="default" w:ascii="Arial" w:hAnsi="Arial" w:cs="Arial"/>
          <w:sz w:val="22"/>
          <w:szCs w:val="22"/>
        </w:rPr>
        <w:t>Module Name:</w:t>
      </w:r>
      <w:r>
        <w:rPr>
          <w:rFonts w:hint="default" w:ascii="Arial" w:hAnsi="Arial" w:cs="Arial"/>
          <w:sz w:val="22"/>
          <w:szCs w:val="22"/>
        </w:rPr>
        <w:t xml:space="preserve"> Introduction to Health and Social Care</w:t>
      </w:r>
      <w:r>
        <w:rPr>
          <w:rFonts w:hint="default" w:ascii="Arial" w:hAnsi="Arial" w:cs="Arial"/>
          <w:sz w:val="22"/>
          <w:szCs w:val="22"/>
        </w:rPr>
        <w:br w:type="textWrapping"/>
      </w:r>
      <w:r>
        <w:rPr>
          <w:rStyle w:val="6"/>
          <w:rFonts w:hint="default" w:ascii="Arial" w:hAnsi="Arial" w:cs="Arial"/>
          <w:sz w:val="22"/>
          <w:szCs w:val="22"/>
        </w:rPr>
        <w:t>Module Code:</w:t>
      </w:r>
      <w:r>
        <w:rPr>
          <w:rFonts w:hint="default" w:ascii="Arial" w:hAnsi="Arial" w:cs="Arial"/>
          <w:sz w:val="22"/>
          <w:szCs w:val="22"/>
        </w:rPr>
        <w:t xml:space="preserve"> LCHS 4003</w:t>
      </w:r>
    </w:p>
    <w:p w14:paraId="116086F6">
      <w:pPr>
        <w:pStyle w:val="4"/>
        <w:keepNext w:val="0"/>
        <w:keepLines w:val="0"/>
        <w:widowControl/>
        <w:suppressLineNumbers w:val="0"/>
        <w:spacing w:line="360" w:lineRule="auto"/>
        <w:rPr>
          <w:rFonts w:hint="default" w:ascii="Arial" w:hAnsi="Arial" w:cs="Arial"/>
          <w:sz w:val="22"/>
          <w:szCs w:val="22"/>
        </w:rPr>
      </w:pPr>
      <w:r>
        <w:rPr>
          <w:rStyle w:val="6"/>
          <w:rFonts w:hint="default" w:ascii="Arial" w:hAnsi="Arial" w:cs="Arial"/>
          <w:sz w:val="22"/>
          <w:szCs w:val="22"/>
        </w:rPr>
        <w:t>Lecturer Name:</w:t>
      </w:r>
      <w:r>
        <w:rPr>
          <w:rFonts w:hint="default" w:ascii="Arial" w:hAnsi="Arial" w:cs="Arial"/>
          <w:sz w:val="22"/>
          <w:szCs w:val="22"/>
        </w:rPr>
        <w:t xml:space="preserve"> Muhammad Aliyu</w:t>
      </w:r>
    </w:p>
    <w:p w14:paraId="6D89E8F3">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2F6D309B">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063AADFA">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706C009D">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479A128C">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74402CBF">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73D44FEF">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045EF281">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04EF5AD8">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4789988D">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19CC8CEA">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5D236899">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6EB6BDAA">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460EC515">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2D11FD2D">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5892F129">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19146C79">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48F67BB1">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2CED0C85">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78D929C3">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394FDAE5">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50FB5624">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542259DB">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435BEF6C">
      <w:pPr>
        <w:pStyle w:val="8"/>
        <w:tabs>
          <w:tab w:val="right" w:leader="dot" w:pos="8306"/>
        </w:tabs>
        <w:rPr>
          <w:rFonts w:hint="default" w:ascii="Arial" w:hAnsi="Arial" w:cs="Arial"/>
          <w:b/>
          <w:bCs/>
          <w:color w:val="000000" w:themeColor="text1"/>
          <w:sz w:val="24"/>
          <w:szCs w:val="24"/>
          <w:lang w:val="en-PH"/>
          <w14:textFill>
            <w14:solidFill>
              <w14:schemeClr w14:val="tx1"/>
            </w14:solidFill>
          </w14:textFill>
        </w:rPr>
      </w:pPr>
      <w:bookmarkStart w:id="0" w:name="_Toc30586_WPSOffice_Type1"/>
      <w:r>
        <w:rPr>
          <w:rFonts w:hint="default" w:ascii="Arial" w:hAnsi="Arial" w:cs="Arial"/>
          <w:b/>
          <w:bCs/>
          <w:color w:val="000000" w:themeColor="text1"/>
          <w:sz w:val="24"/>
          <w:szCs w:val="24"/>
          <w:lang w:val="en-PH"/>
          <w14:textFill>
            <w14:solidFill>
              <w14:schemeClr w14:val="tx1"/>
            </w14:solidFill>
          </w14:textFill>
        </w:rPr>
        <w:t>TABLE OF CONTENTS</w:t>
      </w:r>
    </w:p>
    <w:p w14:paraId="4CEB5454">
      <w:pPr>
        <w:pStyle w:val="8"/>
        <w:tabs>
          <w:tab w:val="right" w:leader="dot" w:pos="8306"/>
        </w:tabs>
        <w:rPr>
          <w:rFonts w:hint="default" w:ascii="Arial" w:hAnsi="Arial" w:cs="Arial"/>
          <w:color w:val="000000" w:themeColor="text1"/>
          <w:sz w:val="24"/>
          <w:szCs w:val="24"/>
          <w:lang w:val="en-PH"/>
          <w14:textFill>
            <w14:solidFill>
              <w14:schemeClr w14:val="tx1"/>
            </w14:solidFill>
          </w14:textFill>
        </w:rPr>
      </w:pPr>
    </w:p>
    <w:sdt>
      <w:sdtPr>
        <w:rPr>
          <w:rFonts w:hint="default" w:ascii="SimSun" w:hAnsi="SimSun" w:eastAsia="SimSun" w:cstheme="minorBidi"/>
          <w:color w:val="000000" w:themeColor="text1"/>
          <w:sz w:val="24"/>
          <w:szCs w:val="24"/>
          <w:lang w:val="en-US" w:eastAsia="zh-CN" w:bidi="ar-SA"/>
          <w14:textFill>
            <w14:solidFill>
              <w14:schemeClr w14:val="tx1"/>
            </w14:solidFill>
          </w14:textFill>
        </w:rPr>
        <w:id w:val="147476773"/>
        <w15:color w:val="DBDBDB"/>
      </w:sdtPr>
      <w:sdtEndPr>
        <w:rPr>
          <w:rFonts w:hint="default" w:ascii="SimSun" w:hAnsi="SimSun" w:eastAsia="SimSun" w:cstheme="minorBidi"/>
          <w:color w:val="000000" w:themeColor="text1"/>
          <w:sz w:val="24"/>
          <w:szCs w:val="24"/>
          <w:lang w:val="en-US" w:eastAsia="zh-CN" w:bidi="ar-SA"/>
          <w14:textFill>
            <w14:solidFill>
              <w14:schemeClr w14:val="tx1"/>
            </w14:solidFill>
          </w14:textFill>
        </w:rPr>
      </w:sdtEndPr>
      <w:sdtContent>
        <w:p w14:paraId="131E3C48">
          <w:pPr>
            <w:pStyle w:val="8"/>
            <w:tabs>
              <w:tab w:val="right" w:leader="dot" w:pos="8306"/>
            </w:tabs>
            <w:spacing w:line="360" w:lineRule="auto"/>
            <w:ind w:left="0" w:leftChars="0"/>
            <w:rPr>
              <w:rFonts w:hint="default" w:ascii="Arial" w:hAnsi="Arial" w:cs="Arial"/>
              <w:color w:val="000000" w:themeColor="text1"/>
              <w:sz w:val="24"/>
              <w:szCs w:val="24"/>
              <w14:textFill>
                <w14:solidFill>
                  <w14:schemeClr w14:val="tx1"/>
                </w14:solidFill>
              </w14:textFill>
            </w:rPr>
          </w:pPr>
          <w:sdt>
            <w:sdtPr>
              <w:rPr>
                <w:rFonts w:hint="default" w:ascii="Arial" w:hAnsi="Arial" w:cs="Arial" w:eastAsiaTheme="minorEastAsia"/>
                <w:color w:val="000000" w:themeColor="text1"/>
                <w:sz w:val="24"/>
                <w:szCs w:val="24"/>
                <w:lang w:val="en-PH" w:eastAsia="zh-CN" w:bidi="ar-SA"/>
                <w14:textFill>
                  <w14:solidFill>
                    <w14:schemeClr w14:val="tx1"/>
                  </w14:solidFill>
                </w14:textFill>
              </w:rPr>
              <w:id w:val="147472923"/>
              <w:placeholder>
                <w:docPart w:val="{664963df-4808-4a71-a8a1-ec597fa6d85f}"/>
              </w:placeholder>
              <w15:color w:val="509DF3"/>
            </w:sdtPr>
            <w:sdtEndPr>
              <w:rPr>
                <w:rFonts w:hint="default" w:ascii="Arial" w:hAnsi="Arial" w:cs="Arial" w:eastAsiaTheme="minorEastAsia"/>
                <w:color w:val="000000" w:themeColor="text1"/>
                <w:sz w:val="24"/>
                <w:szCs w:val="24"/>
                <w:lang w:val="en-PH" w:eastAsia="zh-CN" w:bidi="ar-SA"/>
                <w14:textFill>
                  <w14:solidFill>
                    <w14:schemeClr w14:val="tx1"/>
                  </w14:solidFill>
                </w14:textFill>
              </w:rPr>
            </w:sdtEndPr>
            <w:sdtContent>
              <w:r>
                <w:rPr>
                  <w:rFonts w:hint="default" w:ascii="Arial" w:hAnsi="Arial" w:cs="Arial"/>
                  <w:color w:val="000000" w:themeColor="text1"/>
                  <w:sz w:val="24"/>
                  <w:szCs w:val="24"/>
                  <w:lang w:val="en-PH"/>
                  <w14:textFill>
                    <w14:solidFill>
                      <w14:schemeClr w14:val="tx1"/>
                    </w14:solidFill>
                  </w14:textFill>
                </w:rPr>
                <w:t>1. Introduction</w:t>
              </w:r>
            </w:sdtContent>
          </w:sdt>
          <w:r>
            <w:rPr>
              <w:rFonts w:hint="default" w:ascii="Arial" w:hAnsi="Arial" w:cs="Arial"/>
              <w:color w:val="000000" w:themeColor="text1"/>
              <w:sz w:val="24"/>
              <w:szCs w:val="24"/>
              <w14:textFill>
                <w14:solidFill>
                  <w14:schemeClr w14:val="tx1"/>
                </w14:solidFill>
              </w14:textFill>
            </w:rPr>
            <w:tab/>
          </w:r>
          <w:r>
            <w:rPr>
              <w:rFonts w:hint="default" w:ascii="Arial" w:hAnsi="Arial" w:cs="Arial"/>
              <w:color w:val="000000" w:themeColor="text1"/>
              <w:sz w:val="24"/>
              <w:szCs w:val="24"/>
              <w14:textFill>
                <w14:solidFill>
                  <w14:schemeClr w14:val="tx1"/>
                </w14:solidFill>
              </w14:textFill>
            </w:rPr>
            <w:t>1</w:t>
          </w:r>
        </w:p>
        <w:p w14:paraId="2E1B122D">
          <w:pPr>
            <w:pStyle w:val="8"/>
            <w:tabs>
              <w:tab w:val="right" w:leader="dot" w:pos="8306"/>
            </w:tabs>
            <w:spacing w:line="360" w:lineRule="auto"/>
            <w:rPr>
              <w:rFonts w:hint="default" w:ascii="Arial" w:hAnsi="Arial" w:cs="Arial"/>
              <w:color w:val="000000" w:themeColor="text1"/>
              <w:sz w:val="24"/>
              <w:szCs w:val="24"/>
              <w14:textFill>
                <w14:solidFill>
                  <w14:schemeClr w14:val="tx1"/>
                </w14:solidFill>
              </w14:textFill>
            </w:rPr>
          </w:pPr>
          <w:sdt>
            <w:sdtPr>
              <w:rPr>
                <w:rFonts w:hint="default" w:ascii="Arial" w:hAnsi="Arial" w:cs="Arial" w:eastAsiaTheme="minorEastAsia"/>
                <w:color w:val="000000" w:themeColor="text1"/>
                <w:sz w:val="24"/>
                <w:szCs w:val="24"/>
                <w:lang w:val="en-PH" w:eastAsia="zh-CN" w:bidi="ar-SA"/>
                <w14:textFill>
                  <w14:solidFill>
                    <w14:schemeClr w14:val="tx1"/>
                  </w14:solidFill>
                </w14:textFill>
              </w:rPr>
              <w:id w:val="147471476"/>
              <w:placeholder>
                <w:docPart w:val="{8996539e-9272-4d2f-a0e8-7ad52e8f020c}"/>
              </w:placeholder>
              <w15:color w:val="509DF3"/>
            </w:sdtPr>
            <w:sdtEndPr>
              <w:rPr>
                <w:rFonts w:hint="default" w:ascii="Arial" w:hAnsi="Arial" w:cs="Arial" w:eastAsiaTheme="minorEastAsia"/>
                <w:color w:val="000000" w:themeColor="text1"/>
                <w:sz w:val="24"/>
                <w:szCs w:val="24"/>
                <w:lang w:val="en-PH" w:eastAsia="zh-CN" w:bidi="ar-SA"/>
                <w14:textFill>
                  <w14:solidFill>
                    <w14:schemeClr w14:val="tx1"/>
                  </w14:solidFill>
                </w14:textFill>
              </w:rPr>
            </w:sdtEndPr>
            <w:sdtContent>
              <w:r>
                <w:rPr>
                  <w:rFonts w:hint="default" w:ascii="Arial" w:hAnsi="Arial" w:cs="Arial" w:eastAsiaTheme="minorEastAsia"/>
                  <w:color w:val="000000" w:themeColor="text1"/>
                  <w:sz w:val="24"/>
                  <w:szCs w:val="24"/>
                  <w:lang w:val="en-PH" w:eastAsia="zh-CN" w:bidi="ar-SA"/>
                  <w14:textFill>
                    <w14:solidFill>
                      <w14:schemeClr w14:val="tx1"/>
                    </w14:solidFill>
                  </w14:textFill>
                </w:rPr>
                <w:t xml:space="preserve">2. Importance of </w:t>
              </w:r>
              <w:r>
                <w:rPr>
                  <w:rFonts w:hint="default" w:ascii="Arial" w:hAnsi="Arial" w:cs="Arial" w:eastAsiaTheme="minorEastAsia"/>
                  <w:color w:val="000000" w:themeColor="text1"/>
                  <w:sz w:val="24"/>
                  <w:szCs w:val="24"/>
                  <w:lang w:val="en-US" w:eastAsia="zh-CN" w:bidi="ar-SA"/>
                  <w14:textFill>
                    <w14:solidFill>
                      <w14:schemeClr w14:val="tx1"/>
                    </w14:solidFill>
                  </w14:textFill>
                </w:rPr>
                <w:t>E</w:t>
              </w:r>
              <w:r>
                <w:rPr>
                  <w:rFonts w:hint="default" w:ascii="Arial" w:hAnsi="Arial" w:cs="Arial" w:eastAsiaTheme="minorEastAsia"/>
                  <w:color w:val="000000" w:themeColor="text1"/>
                  <w:sz w:val="24"/>
                  <w:szCs w:val="24"/>
                  <w:lang w:val="en-PH" w:eastAsia="zh-CN" w:bidi="ar-SA"/>
                  <w14:textFill>
                    <w14:solidFill>
                      <w14:schemeClr w14:val="tx1"/>
                    </w14:solidFill>
                  </w14:textFill>
                </w:rPr>
                <w:t xml:space="preserve">ffective </w:t>
              </w:r>
              <w:r>
                <w:rPr>
                  <w:rFonts w:hint="default" w:ascii="Arial" w:hAnsi="Arial" w:cs="Arial" w:eastAsiaTheme="minorEastAsia"/>
                  <w:color w:val="000000" w:themeColor="text1"/>
                  <w:sz w:val="24"/>
                  <w:szCs w:val="24"/>
                  <w:lang w:val="en-US" w:eastAsia="zh-CN" w:bidi="ar-SA"/>
                  <w14:textFill>
                    <w14:solidFill>
                      <w14:schemeClr w14:val="tx1"/>
                    </w14:solidFill>
                  </w14:textFill>
                </w:rPr>
                <w:t>C</w:t>
              </w:r>
              <w:r>
                <w:rPr>
                  <w:rFonts w:hint="default" w:ascii="Arial" w:hAnsi="Arial" w:cs="Arial" w:eastAsiaTheme="minorEastAsia"/>
                  <w:color w:val="000000" w:themeColor="text1"/>
                  <w:sz w:val="24"/>
                  <w:szCs w:val="24"/>
                  <w:lang w:val="en-PH" w:eastAsia="zh-CN" w:bidi="ar-SA"/>
                  <w14:textFill>
                    <w14:solidFill>
                      <w14:schemeClr w14:val="tx1"/>
                    </w14:solidFill>
                  </w14:textFill>
                </w:rPr>
                <w:t>ommunication</w:t>
              </w:r>
            </w:sdtContent>
          </w:sdt>
          <w:r>
            <w:rPr>
              <w:rFonts w:hint="default" w:ascii="Arial" w:hAnsi="Arial" w:cs="Arial"/>
              <w:color w:val="000000" w:themeColor="text1"/>
              <w:sz w:val="24"/>
              <w:szCs w:val="24"/>
              <w14:textFill>
                <w14:solidFill>
                  <w14:schemeClr w14:val="tx1"/>
                </w14:solidFill>
              </w14:textFill>
            </w:rPr>
            <w:tab/>
          </w:r>
          <w:r>
            <w:rPr>
              <w:rFonts w:hint="default" w:ascii="Arial" w:hAnsi="Arial" w:cs="Arial"/>
              <w:color w:val="000000" w:themeColor="text1"/>
              <w:sz w:val="24"/>
              <w:szCs w:val="24"/>
              <w14:textFill>
                <w14:solidFill>
                  <w14:schemeClr w14:val="tx1"/>
                </w14:solidFill>
              </w14:textFill>
            </w:rPr>
            <w:t>2</w:t>
          </w:r>
        </w:p>
        <w:p w14:paraId="4CB3DD48">
          <w:pPr>
            <w:pStyle w:val="8"/>
            <w:tabs>
              <w:tab w:val="right" w:leader="dot" w:pos="8306"/>
            </w:tabs>
            <w:spacing w:line="360" w:lineRule="auto"/>
            <w:rPr>
              <w:rFonts w:hint="default" w:ascii="Arial" w:hAnsi="Arial" w:cs="Arial"/>
              <w:color w:val="000000" w:themeColor="text1"/>
              <w:sz w:val="24"/>
              <w:szCs w:val="24"/>
              <w14:textFill>
                <w14:solidFill>
                  <w14:schemeClr w14:val="tx1"/>
                </w14:solidFill>
              </w14:textFill>
            </w:rPr>
          </w:pPr>
          <w:sdt>
            <w:sdtPr>
              <w:rPr>
                <w:rFonts w:hint="default" w:ascii="Arial" w:hAnsi="Arial" w:cs="Arial" w:eastAsiaTheme="minorEastAsia"/>
                <w:color w:val="000000" w:themeColor="text1"/>
                <w:sz w:val="24"/>
                <w:szCs w:val="24"/>
                <w:lang w:val="en-PH" w:eastAsia="zh-CN" w:bidi="ar-SA"/>
                <w14:textFill>
                  <w14:solidFill>
                    <w14:schemeClr w14:val="tx1"/>
                  </w14:solidFill>
                </w14:textFill>
              </w:rPr>
              <w:id w:val="147474348"/>
              <w:placeholder>
                <w:docPart w:val="{4ab12005-69c7-4a7f-b4fe-6602955790b4}"/>
              </w:placeholder>
              <w15:color w:val="509DF3"/>
            </w:sdtPr>
            <w:sdtEndPr>
              <w:rPr>
                <w:rFonts w:hint="default" w:ascii="Arial" w:hAnsi="Arial" w:cs="Arial" w:eastAsiaTheme="minorEastAsia"/>
                <w:color w:val="000000" w:themeColor="text1"/>
                <w:sz w:val="24"/>
                <w:szCs w:val="24"/>
                <w:lang w:val="en-PH" w:eastAsia="zh-CN" w:bidi="ar-SA"/>
                <w14:textFill>
                  <w14:solidFill>
                    <w14:schemeClr w14:val="tx1"/>
                  </w14:solidFill>
                </w14:textFill>
              </w:rPr>
            </w:sdtEndPr>
            <w:sdtContent>
              <w:r>
                <w:rPr>
                  <w:rFonts w:hint="default" w:ascii="Arial" w:hAnsi="Arial" w:cs="Arial" w:eastAsiaTheme="minorEastAsia"/>
                  <w:color w:val="000000" w:themeColor="text1"/>
                  <w:sz w:val="24"/>
                  <w:szCs w:val="24"/>
                  <w:lang w:val="en-PH" w:eastAsia="zh-CN" w:bidi="ar-SA"/>
                  <w14:textFill>
                    <w14:solidFill>
                      <w14:schemeClr w14:val="tx1"/>
                    </w14:solidFill>
                  </w14:textFill>
                </w:rPr>
                <w:t xml:space="preserve">3. Importance of </w:t>
              </w:r>
              <w:r>
                <w:rPr>
                  <w:rFonts w:hint="default" w:ascii="Arial" w:hAnsi="Arial" w:cs="Arial" w:eastAsiaTheme="minorEastAsia"/>
                  <w:color w:val="000000" w:themeColor="text1"/>
                  <w:sz w:val="24"/>
                  <w:szCs w:val="24"/>
                  <w:lang w:val="en-US" w:eastAsia="zh-CN" w:bidi="ar-SA"/>
                  <w14:textFill>
                    <w14:solidFill>
                      <w14:schemeClr w14:val="tx1"/>
                    </w14:solidFill>
                  </w14:textFill>
                </w:rPr>
                <w:t>G</w:t>
              </w:r>
              <w:r>
                <w:rPr>
                  <w:rFonts w:hint="default" w:ascii="Arial" w:hAnsi="Arial" w:cs="Arial" w:eastAsiaTheme="minorEastAsia"/>
                  <w:color w:val="000000" w:themeColor="text1"/>
                  <w:sz w:val="24"/>
                  <w:szCs w:val="24"/>
                  <w:lang w:val="en-PH" w:eastAsia="zh-CN" w:bidi="ar-SA"/>
                  <w14:textFill>
                    <w14:solidFill>
                      <w14:schemeClr w14:val="tx1"/>
                    </w14:solidFill>
                  </w14:textFill>
                </w:rPr>
                <w:t xml:space="preserve">ood </w:t>
              </w:r>
              <w:r>
                <w:rPr>
                  <w:rFonts w:hint="default" w:ascii="Arial" w:hAnsi="Arial" w:cs="Arial" w:eastAsiaTheme="minorEastAsia"/>
                  <w:color w:val="000000" w:themeColor="text1"/>
                  <w:sz w:val="24"/>
                  <w:szCs w:val="24"/>
                  <w:lang w:val="en-US" w:eastAsia="zh-CN" w:bidi="ar-SA"/>
                  <w14:textFill>
                    <w14:solidFill>
                      <w14:schemeClr w14:val="tx1"/>
                    </w14:solidFill>
                  </w14:textFill>
                </w:rPr>
                <w:t>A</w:t>
              </w:r>
              <w:r>
                <w:rPr>
                  <w:rFonts w:hint="default" w:ascii="Arial" w:hAnsi="Arial" w:cs="Arial" w:eastAsiaTheme="minorEastAsia"/>
                  <w:color w:val="000000" w:themeColor="text1"/>
                  <w:sz w:val="24"/>
                  <w:szCs w:val="24"/>
                  <w:lang w:val="en-PH" w:eastAsia="zh-CN" w:bidi="ar-SA"/>
                  <w14:textFill>
                    <w14:solidFill>
                      <w14:schemeClr w14:val="tx1"/>
                    </w14:solidFill>
                  </w14:textFill>
                </w:rPr>
                <w:t xml:space="preserve">dministrative </w:t>
              </w:r>
              <w:r>
                <w:rPr>
                  <w:rFonts w:hint="default" w:ascii="Arial" w:hAnsi="Arial" w:cs="Arial" w:eastAsiaTheme="minorEastAsia"/>
                  <w:color w:val="000000" w:themeColor="text1"/>
                  <w:sz w:val="24"/>
                  <w:szCs w:val="24"/>
                  <w:lang w:val="en-US" w:eastAsia="zh-CN" w:bidi="ar-SA"/>
                  <w14:textFill>
                    <w14:solidFill>
                      <w14:schemeClr w14:val="tx1"/>
                    </w14:solidFill>
                  </w14:textFill>
                </w:rPr>
                <w:t>S</w:t>
              </w:r>
              <w:r>
                <w:rPr>
                  <w:rFonts w:hint="default" w:ascii="Arial" w:hAnsi="Arial" w:cs="Arial" w:eastAsiaTheme="minorEastAsia"/>
                  <w:color w:val="000000" w:themeColor="text1"/>
                  <w:sz w:val="24"/>
                  <w:szCs w:val="24"/>
                  <w:lang w:val="en-PH" w:eastAsia="zh-CN" w:bidi="ar-SA"/>
                  <w14:textFill>
                    <w14:solidFill>
                      <w14:schemeClr w14:val="tx1"/>
                    </w14:solidFill>
                  </w14:textFill>
                </w:rPr>
                <w:t>kills</w:t>
              </w:r>
              <w:r>
                <w:rPr>
                  <w:rFonts w:hint="default" w:ascii="Arial" w:hAnsi="Arial" w:cs="Arial" w:eastAsiaTheme="minorEastAsia"/>
                  <w:color w:val="000000" w:themeColor="text1"/>
                  <w:sz w:val="24"/>
                  <w:szCs w:val="24"/>
                  <w:lang w:val="en-US" w:eastAsia="zh-CN" w:bidi="ar-SA"/>
                  <w14:textFill>
                    <w14:solidFill>
                      <w14:schemeClr w14:val="tx1"/>
                    </w14:solidFill>
                  </w14:textFill>
                </w:rPr>
                <w:t xml:space="preserve"> and Record Keeping</w:t>
              </w:r>
              <w:bookmarkStart w:id="1" w:name="_GoBack"/>
              <w:bookmarkEnd w:id="1"/>
            </w:sdtContent>
          </w:sdt>
          <w:r>
            <w:rPr>
              <w:rFonts w:hint="default" w:ascii="Arial" w:hAnsi="Arial" w:cs="Arial"/>
              <w:color w:val="000000" w:themeColor="text1"/>
              <w:sz w:val="24"/>
              <w:szCs w:val="24"/>
              <w14:textFill>
                <w14:solidFill>
                  <w14:schemeClr w14:val="tx1"/>
                </w14:solidFill>
              </w14:textFill>
            </w:rPr>
            <w:tab/>
          </w:r>
          <w:r>
            <w:rPr>
              <w:rFonts w:hint="default" w:ascii="Arial" w:hAnsi="Arial" w:cs="Arial"/>
              <w:color w:val="000000" w:themeColor="text1"/>
              <w:sz w:val="24"/>
              <w:szCs w:val="24"/>
              <w14:textFill>
                <w14:solidFill>
                  <w14:schemeClr w14:val="tx1"/>
                </w14:solidFill>
              </w14:textFill>
            </w:rPr>
            <w:t>3</w:t>
          </w:r>
        </w:p>
        <w:p w14:paraId="25B7DA1A">
          <w:pPr>
            <w:pStyle w:val="8"/>
            <w:tabs>
              <w:tab w:val="right" w:leader="dot" w:pos="8306"/>
            </w:tabs>
            <w:spacing w:line="360" w:lineRule="auto"/>
            <w:rPr>
              <w:rFonts w:hint="default" w:ascii="Arial" w:hAnsi="Arial" w:cs="Arial"/>
              <w:color w:val="000000" w:themeColor="text1"/>
              <w:sz w:val="24"/>
              <w:szCs w:val="24"/>
              <w14:textFill>
                <w14:solidFill>
                  <w14:schemeClr w14:val="tx1"/>
                </w14:solidFill>
              </w14:textFill>
            </w:rPr>
          </w:pPr>
          <w:sdt>
            <w:sdtPr>
              <w:rPr>
                <w:rFonts w:hint="default" w:ascii="Arial" w:hAnsi="Arial" w:cs="Arial" w:eastAsiaTheme="minorEastAsia"/>
                <w:color w:val="000000" w:themeColor="text1"/>
                <w:sz w:val="24"/>
                <w:szCs w:val="24"/>
                <w:lang w:val="en-PH" w:eastAsia="zh-CN" w:bidi="ar-SA"/>
                <w14:textFill>
                  <w14:solidFill>
                    <w14:schemeClr w14:val="tx1"/>
                  </w14:solidFill>
                </w14:textFill>
              </w:rPr>
              <w:id w:val="147454798"/>
              <w:placeholder>
                <w:docPart w:val="{3dc42b06-b686-4133-8486-3a84becec2a6}"/>
              </w:placeholder>
              <w15:color w:val="509DF3"/>
            </w:sdtPr>
            <w:sdtEndPr>
              <w:rPr>
                <w:rFonts w:hint="default" w:ascii="Arial" w:hAnsi="Arial" w:cs="Arial" w:eastAsiaTheme="minorEastAsia"/>
                <w:color w:val="000000" w:themeColor="text1"/>
                <w:sz w:val="24"/>
                <w:szCs w:val="24"/>
                <w:lang w:val="en-PH" w:eastAsia="zh-CN" w:bidi="ar-SA"/>
                <w14:textFill>
                  <w14:solidFill>
                    <w14:schemeClr w14:val="tx1"/>
                  </w14:solidFill>
                </w14:textFill>
              </w:rPr>
            </w:sdtEndPr>
            <w:sdtContent>
              <w:r>
                <w:rPr>
                  <w:rFonts w:hint="default" w:ascii="Arial" w:hAnsi="Arial" w:cs="Arial" w:eastAsiaTheme="minorEastAsia"/>
                  <w:color w:val="000000" w:themeColor="text1"/>
                  <w:sz w:val="24"/>
                  <w:szCs w:val="24"/>
                  <w:lang w:val="en-PH" w:eastAsia="zh-CN" w:bidi="ar-SA"/>
                  <w14:textFill>
                    <w14:solidFill>
                      <w14:schemeClr w14:val="tx1"/>
                    </w14:solidFill>
                  </w14:textFill>
                </w:rPr>
                <w:t xml:space="preserve">4. Importance of </w:t>
              </w:r>
              <w:r>
                <w:rPr>
                  <w:rFonts w:hint="default" w:ascii="Arial" w:hAnsi="Arial" w:cs="Arial" w:eastAsiaTheme="minorEastAsia"/>
                  <w:color w:val="000000" w:themeColor="text1"/>
                  <w:sz w:val="24"/>
                  <w:szCs w:val="24"/>
                  <w:lang w:val="en-US" w:eastAsia="zh-CN" w:bidi="ar-SA"/>
                  <w14:textFill>
                    <w14:solidFill>
                      <w14:schemeClr w14:val="tx1"/>
                    </w14:solidFill>
                  </w14:textFill>
                </w:rPr>
                <w:t>Collaborative Working</w:t>
              </w:r>
            </w:sdtContent>
          </w:sdt>
          <w:r>
            <w:rPr>
              <w:rFonts w:hint="default" w:ascii="Arial" w:hAnsi="Arial" w:cs="Arial"/>
              <w:color w:val="000000" w:themeColor="text1"/>
              <w:sz w:val="24"/>
              <w:szCs w:val="24"/>
              <w14:textFill>
                <w14:solidFill>
                  <w14:schemeClr w14:val="tx1"/>
                </w14:solidFill>
              </w14:textFill>
            </w:rPr>
            <w:tab/>
          </w:r>
          <w:r>
            <w:rPr>
              <w:rFonts w:hint="default" w:ascii="Arial" w:hAnsi="Arial" w:cs="Arial"/>
              <w:color w:val="000000" w:themeColor="text1"/>
              <w:sz w:val="24"/>
              <w:szCs w:val="24"/>
              <w14:textFill>
                <w14:solidFill>
                  <w14:schemeClr w14:val="tx1"/>
                </w14:solidFill>
              </w14:textFill>
            </w:rPr>
            <w:t>4</w:t>
          </w:r>
        </w:p>
        <w:p w14:paraId="37EE0958">
          <w:pPr>
            <w:pStyle w:val="8"/>
            <w:tabs>
              <w:tab w:val="right" w:leader="dot" w:pos="8306"/>
            </w:tabs>
            <w:spacing w:line="360" w:lineRule="auto"/>
            <w:rPr>
              <w:rFonts w:hint="default" w:ascii="Arial" w:hAnsi="Arial" w:cs="Arial"/>
              <w:color w:val="000000" w:themeColor="text1"/>
              <w:sz w:val="24"/>
              <w:szCs w:val="24"/>
              <w14:textFill>
                <w14:solidFill>
                  <w14:schemeClr w14:val="tx1"/>
                </w14:solidFill>
              </w14:textFill>
            </w:rPr>
          </w:pPr>
          <w:sdt>
            <w:sdtPr>
              <w:rPr>
                <w:rFonts w:hint="default" w:ascii="Arial" w:hAnsi="Arial" w:cs="Arial" w:eastAsiaTheme="minorEastAsia"/>
                <w:color w:val="000000" w:themeColor="text1"/>
                <w:sz w:val="24"/>
                <w:szCs w:val="24"/>
                <w:lang w:val="en-PH" w:eastAsia="zh-CN" w:bidi="ar-SA"/>
                <w14:textFill>
                  <w14:solidFill>
                    <w14:schemeClr w14:val="tx1"/>
                  </w14:solidFill>
                </w14:textFill>
              </w:rPr>
              <w:id w:val="147477592"/>
              <w:placeholder>
                <w:docPart w:val="{85ad3328-8b22-4a8c-bc2c-1b9c90c50722}"/>
              </w:placeholder>
              <w15:color w:val="509DF3"/>
            </w:sdtPr>
            <w:sdtEndPr>
              <w:rPr>
                <w:rFonts w:hint="default" w:ascii="Arial" w:hAnsi="Arial" w:cs="Arial" w:eastAsiaTheme="minorEastAsia"/>
                <w:color w:val="000000" w:themeColor="text1"/>
                <w:sz w:val="24"/>
                <w:szCs w:val="24"/>
                <w:lang w:val="en-PH" w:eastAsia="zh-CN" w:bidi="ar-SA"/>
                <w14:textFill>
                  <w14:solidFill>
                    <w14:schemeClr w14:val="tx1"/>
                  </w14:solidFill>
                </w14:textFill>
              </w:rPr>
            </w:sdtEndPr>
            <w:sdtContent>
              <w:r>
                <w:rPr>
                  <w:rFonts w:hint="default" w:ascii="Arial" w:hAnsi="Arial" w:cs="Arial" w:eastAsiaTheme="minorEastAsia"/>
                  <w:color w:val="000000" w:themeColor="text1"/>
                  <w:sz w:val="24"/>
                  <w:szCs w:val="24"/>
                  <w:lang w:val="en-PH" w:eastAsia="zh-CN" w:bidi="ar-SA"/>
                  <w14:textFill>
                    <w14:solidFill>
                      <w14:schemeClr w14:val="tx1"/>
                    </w14:solidFill>
                  </w14:textFill>
                </w:rPr>
                <w:t>5. Conclusion</w:t>
              </w:r>
            </w:sdtContent>
          </w:sdt>
          <w:r>
            <w:rPr>
              <w:rFonts w:hint="default" w:ascii="Arial" w:hAnsi="Arial" w:cs="Arial"/>
              <w:color w:val="000000" w:themeColor="text1"/>
              <w:sz w:val="24"/>
              <w:szCs w:val="24"/>
              <w14:textFill>
                <w14:solidFill>
                  <w14:schemeClr w14:val="tx1"/>
                </w14:solidFill>
              </w14:textFill>
            </w:rPr>
            <w:tab/>
          </w:r>
          <w:r>
            <w:rPr>
              <w:rFonts w:hint="default" w:ascii="Arial" w:hAnsi="Arial" w:cs="Arial"/>
              <w:color w:val="000000" w:themeColor="text1"/>
              <w:sz w:val="24"/>
              <w:szCs w:val="24"/>
              <w14:textFill>
                <w14:solidFill>
                  <w14:schemeClr w14:val="tx1"/>
                </w14:solidFill>
              </w14:textFill>
            </w:rPr>
            <w:t>5</w:t>
          </w:r>
        </w:p>
        <w:p w14:paraId="36C6DDEA">
          <w:pPr>
            <w:pStyle w:val="8"/>
            <w:tabs>
              <w:tab w:val="right" w:leader="dot" w:pos="8306"/>
            </w:tabs>
            <w:spacing w:line="360" w:lineRule="auto"/>
            <w:rPr>
              <w:rFonts w:hint="default" w:ascii="Arial" w:hAnsi="Arial" w:cs="Arial"/>
              <w:color w:val="000000" w:themeColor="text1"/>
              <w:sz w:val="24"/>
              <w:szCs w:val="24"/>
              <w:lang w:val="en-PH"/>
              <w14:textFill>
                <w14:solidFill>
                  <w14:schemeClr w14:val="tx1"/>
                </w14:solidFill>
              </w14:textFill>
            </w:rPr>
            <w:sectPr>
              <w:footerReference r:id="rId3" w:type="default"/>
              <w:pgSz w:w="11906" w:h="16838"/>
              <w:pgMar w:top="1440" w:right="1800" w:bottom="1440" w:left="1800" w:header="720" w:footer="720" w:gutter="0"/>
              <w:cols w:space="720" w:num="1"/>
              <w:docGrid w:linePitch="360" w:charSpace="0"/>
            </w:sectPr>
          </w:pPr>
          <w:sdt>
            <w:sdtPr>
              <w:rPr>
                <w:rFonts w:hint="default" w:ascii="Arial" w:hAnsi="Arial" w:cs="Arial" w:eastAsiaTheme="minorEastAsia"/>
                <w:color w:val="000000" w:themeColor="text1"/>
                <w:sz w:val="24"/>
                <w:szCs w:val="24"/>
                <w:lang w:val="en-PH" w:eastAsia="zh-CN" w:bidi="ar-SA"/>
                <w14:textFill>
                  <w14:solidFill>
                    <w14:schemeClr w14:val="tx1"/>
                  </w14:solidFill>
                </w14:textFill>
              </w:rPr>
              <w:id w:val="147476985"/>
              <w:placeholder>
                <w:docPart w:val="{26323766-7632-4129-8aa6-208225654b50}"/>
              </w:placeholder>
              <w15:color w:val="509DF3"/>
            </w:sdtPr>
            <w:sdtEndPr>
              <w:rPr>
                <w:rFonts w:hint="default" w:ascii="Arial" w:hAnsi="Arial" w:cs="Arial" w:eastAsiaTheme="minorEastAsia"/>
                <w:color w:val="000000" w:themeColor="text1"/>
                <w:sz w:val="24"/>
                <w:szCs w:val="24"/>
                <w:lang w:val="en-PH" w:eastAsia="zh-CN" w:bidi="ar-SA"/>
                <w14:textFill>
                  <w14:solidFill>
                    <w14:schemeClr w14:val="tx1"/>
                  </w14:solidFill>
                </w14:textFill>
              </w:rPr>
            </w:sdtEndPr>
            <w:sdtContent>
              <w:r>
                <w:rPr>
                  <w:rFonts w:hint="default" w:ascii="Arial" w:hAnsi="Arial" w:cs="Arial" w:eastAsiaTheme="minorEastAsia"/>
                  <w:color w:val="000000" w:themeColor="text1"/>
                  <w:sz w:val="24"/>
                  <w:szCs w:val="24"/>
                  <w:lang w:val="en-PH" w:eastAsia="zh-CN" w:bidi="ar-SA"/>
                  <w14:textFill>
                    <w14:solidFill>
                      <w14:schemeClr w14:val="tx1"/>
                    </w14:solidFill>
                  </w14:textFill>
                </w:rPr>
                <w:t>6. Reference</w:t>
              </w:r>
            </w:sdtContent>
          </w:sdt>
          <w:r>
            <w:rPr>
              <w:color w:val="000000" w:themeColor="text1"/>
              <w:sz w:val="24"/>
              <w:szCs w:val="24"/>
              <w14:textFill>
                <w14:solidFill>
                  <w14:schemeClr w14:val="tx1"/>
                </w14:solidFill>
              </w14:textFill>
            </w:rPr>
            <w:tab/>
          </w:r>
          <w:r>
            <w:rPr>
              <w:sz w:val="24"/>
              <w:szCs w:val="24"/>
            </w:rPr>
            <w:t>6</w:t>
          </w:r>
          <w:bookmarkEnd w:id="0"/>
        </w:p>
      </w:sdtContent>
    </w:sdt>
    <w:p w14:paraId="65AE1EE9">
      <w:pPr>
        <w:spacing w:line="360" w:lineRule="auto"/>
        <w:jc w:val="both"/>
        <w:rPr>
          <w:rFonts w:hint="default" w:ascii="Arial" w:hAnsi="Arial" w:cs="Arial"/>
          <w:color w:val="000000" w:themeColor="text1"/>
          <w:sz w:val="22"/>
          <w:szCs w:val="22"/>
          <w:lang w:val="en-PH"/>
          <w14:textFill>
            <w14:solidFill>
              <w14:schemeClr w14:val="tx1"/>
            </w14:solidFill>
          </w14:textFill>
        </w:rPr>
      </w:pPr>
    </w:p>
    <w:p w14:paraId="5F2926BE">
      <w:pPr>
        <w:numPr>
          <w:ilvl w:val="0"/>
          <w:numId w:val="1"/>
        </w:numPr>
        <w:spacing w:line="360" w:lineRule="auto"/>
        <w:jc w:val="both"/>
        <w:rPr>
          <w:rFonts w:hint="default" w:ascii="Arial" w:hAnsi="Arial" w:eastAsia="sans-serif" w:cs="Arial"/>
          <w:b/>
          <w:bCs/>
          <w:i w:val="0"/>
          <w:iCs w:val="0"/>
          <w:caps w:val="0"/>
          <w:color w:val="172B4D"/>
          <w:spacing w:val="0"/>
          <w:sz w:val="22"/>
          <w:szCs w:val="22"/>
          <w:shd w:val="clear" w:fill="FFFFFF"/>
          <w:lang w:val="en-PH"/>
        </w:rPr>
      </w:pPr>
      <w:r>
        <w:rPr>
          <w:rFonts w:hint="default" w:ascii="Arial" w:hAnsi="Arial" w:eastAsia="sans-serif" w:cs="Arial"/>
          <w:b/>
          <w:bCs/>
          <w:i w:val="0"/>
          <w:iCs w:val="0"/>
          <w:caps w:val="0"/>
          <w:color w:val="172B4D"/>
          <w:spacing w:val="0"/>
          <w:sz w:val="22"/>
          <w:szCs w:val="22"/>
          <w:shd w:val="clear" w:fill="FFFFFF"/>
          <w:lang w:val="en-PH"/>
        </w:rPr>
        <w:t>INTRODUCTION</w:t>
      </w:r>
    </w:p>
    <w:p w14:paraId="216AAA92">
      <w:pPr>
        <w:spacing w:line="360" w:lineRule="auto"/>
        <w:jc w:val="both"/>
        <w:rPr>
          <w:rFonts w:hint="default" w:ascii="Arial" w:hAnsi="Arial" w:cs="Arial"/>
          <w:sz w:val="22"/>
          <w:szCs w:val="22"/>
        </w:rPr>
      </w:pPr>
      <w:r>
        <w:rPr>
          <w:rFonts w:hint="default" w:ascii="Arial" w:hAnsi="Arial" w:cs="Arial"/>
          <w:sz w:val="22"/>
          <w:szCs w:val="22"/>
        </w:rPr>
        <w:t xml:space="preserve"> Mr Ahmed, a 68-year-old stroke patient receiving home care. Due to his limited English proficiency and complex health needs, providing safe, </w:t>
      </w:r>
      <w:r>
        <w:rPr>
          <w:rFonts w:hint="default" w:ascii="Arial" w:hAnsi="Arial" w:cs="Arial"/>
          <w:sz w:val="22"/>
          <w:szCs w:val="22"/>
          <w:lang w:val="en-US"/>
        </w:rPr>
        <w:t>person-centered</w:t>
      </w:r>
      <w:r>
        <w:rPr>
          <w:rFonts w:hint="default" w:ascii="Arial" w:hAnsi="Arial" w:cs="Arial"/>
          <w:sz w:val="22"/>
          <w:szCs w:val="22"/>
        </w:rPr>
        <w:t xml:space="preserve"> care requires effective co-ordination among healthcare professionals, along with a thoughtful and responsive approach to communication barriers.</w:t>
      </w:r>
    </w:p>
    <w:p w14:paraId="4518EB25">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The report focuses on three key areas: the importance of effective communication in Mr Ahmed’s care, including reference to the Equality Act 2010 and a communication model; the role of administrative skills, such as accurate record-keeping, in line with the Data Protection Act 2018; and the value of multidisciplinary collaboration among healthcare professionals.</w:t>
      </w:r>
    </w:p>
    <w:p w14:paraId="55FEBEEE">
      <w:pPr>
        <w:pStyle w:val="4"/>
        <w:keepNext w:val="0"/>
        <w:keepLines w:val="0"/>
        <w:widowControl/>
        <w:suppressLineNumbers w:val="0"/>
        <w:spacing w:line="360" w:lineRule="auto"/>
        <w:rPr>
          <w:rFonts w:hint="default" w:ascii="Arial" w:hAnsi="Arial" w:eastAsia="sans-serif" w:cs="Arial"/>
          <w:i w:val="0"/>
          <w:iCs w:val="0"/>
          <w:caps w:val="0"/>
          <w:color w:val="172B4D"/>
          <w:spacing w:val="0"/>
          <w:sz w:val="22"/>
          <w:szCs w:val="22"/>
          <w:shd w:val="clear" w:fill="FFFFFF"/>
        </w:rPr>
      </w:pPr>
      <w:r>
        <w:rPr>
          <w:rFonts w:hint="default" w:ascii="Arial" w:hAnsi="Arial" w:cs="Arial"/>
          <w:sz w:val="22"/>
          <w:szCs w:val="22"/>
        </w:rPr>
        <w:t>By exploring these aspects, the report highlights how high-quality care can be delivered while ensuring safety, dignity and equality for service users such as Mr Ahmed. This approach promotes better health outcomes and respects the individual needs of patients facing complex challenges.</w:t>
      </w:r>
    </w:p>
    <w:p w14:paraId="3E777591">
      <w:pPr>
        <w:spacing w:line="360" w:lineRule="auto"/>
        <w:jc w:val="both"/>
        <w:rPr>
          <w:rFonts w:hint="default" w:ascii="Arial" w:hAnsi="Arial" w:cs="Arial"/>
          <w:b/>
          <w:bCs/>
          <w:sz w:val="22"/>
          <w:szCs w:val="22"/>
        </w:rPr>
      </w:pPr>
      <w:r>
        <w:rPr>
          <w:rFonts w:hint="default" w:ascii="Arial" w:hAnsi="Arial" w:cs="Arial"/>
          <w:b/>
          <w:bCs/>
          <w:sz w:val="22"/>
          <w:szCs w:val="22"/>
          <w:lang w:val="en-PH"/>
        </w:rPr>
        <w:t>2</w:t>
      </w:r>
      <w:r>
        <w:rPr>
          <w:rFonts w:hint="default" w:ascii="Arial" w:hAnsi="Arial" w:cs="Arial"/>
          <w:b/>
          <w:bCs/>
          <w:sz w:val="22"/>
          <w:szCs w:val="22"/>
        </w:rPr>
        <w:t xml:space="preserve">. Importance of Effective Communication </w:t>
      </w:r>
    </w:p>
    <w:p w14:paraId="2ECCD0E6">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Effective communication is vital to providing safe, person-centred care for Mr Ahmed, who faces communication challenges following a stroke and has limited English proficiency. Misunderstandings, such as missed medication, highlight the risks associated with ineffective communication and emphasise the need for tailored strategies.</w:t>
      </w:r>
    </w:p>
    <w:p w14:paraId="4A5465C5">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Care workers should use clear, simple language, speak at a measured pace, and confirm understanding through repetition and clarification. Visual aids, gestures and translation services can further support communication. Involving Mr Ahmed’s wife, who is fluent in English, is helpful; however, professionals must ensure that Mr Ahmed remains central to decision-making in order to uphold his dignity and independence (Shannon and Weaver, 1949).</w:t>
      </w:r>
    </w:p>
    <w:p w14:paraId="1BA9B0BF">
      <w:pPr>
        <w:pStyle w:val="4"/>
        <w:keepNext w:val="0"/>
        <w:keepLines w:val="0"/>
        <w:widowControl/>
        <w:suppressLineNumbers w:val="0"/>
        <w:shd w:val="clear" w:fill="FFFFFF"/>
        <w:spacing w:before="0" w:beforeAutospacing="0" w:after="160" w:afterAutospacing="0" w:line="360" w:lineRule="auto"/>
        <w:ind w:left="0" w:right="0" w:firstLine="0"/>
        <w:jc w:val="both"/>
        <w:rPr>
          <w:rFonts w:hint="default" w:ascii="Arial" w:hAnsi="Arial" w:eastAsia="sans-serif" w:cs="Arial"/>
          <w:i w:val="0"/>
          <w:iCs w:val="0"/>
          <w:caps w:val="0"/>
          <w:color w:val="172B4D"/>
          <w:spacing w:val="0"/>
          <w:sz w:val="22"/>
          <w:szCs w:val="22"/>
          <w:lang w:val="en-PH"/>
        </w:rPr>
      </w:pPr>
      <w:r>
        <w:rPr>
          <w:rFonts w:hint="default" w:ascii="Arial" w:hAnsi="Arial" w:eastAsia="sans-serif" w:cs="Arial"/>
          <w:i w:val="0"/>
          <w:iCs w:val="0"/>
          <w:caps w:val="0"/>
          <w:color w:val="172B4D"/>
          <w:spacing w:val="0"/>
          <w:sz w:val="22"/>
          <w:szCs w:val="22"/>
          <w:shd w:val="clear" w:fill="FFFFFF"/>
        </w:rPr>
        <w:t>The Equality Act 2010 requires reasonable adjustments, like interpreters or culturally appropriate care, to prevent discrimination due to language or disability barriers. The Shannon-Weaver Model illustrates communication as a process susceptible to “noise” such as language differences and cognitive impairments, which professionals must minimize by adapting methods and checking feedback. Non-verbal cues and active listening are also essential to understanding and responding to Mr. Ahmed’s needs, fostering trust and improving his quality of life.</w:t>
      </w:r>
      <w:r>
        <w:rPr>
          <w:rFonts w:hint="default" w:ascii="Arial" w:hAnsi="Arial" w:eastAsia="sans-serif" w:cs="Arial"/>
          <w:i w:val="0"/>
          <w:iCs w:val="0"/>
          <w:caps w:val="0"/>
          <w:color w:val="172B4D"/>
          <w:spacing w:val="0"/>
          <w:sz w:val="22"/>
          <w:szCs w:val="22"/>
          <w:shd w:val="clear" w:fill="FFFFFF"/>
          <w:lang w:val="en-PH"/>
        </w:rPr>
        <w:t xml:space="preserve"> (Equity Act,2010)</w:t>
      </w:r>
    </w:p>
    <w:p w14:paraId="3D40C6B9">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Non-verbal communication, including body language, eye contact and tone of voice, plays a crucial role in understanding stroke patients such as Mr Ahmed, who may experience speech difficulties. These cues offer valuable insights into their needs and emotions. Active listening is equally important, enabling healthcare professionals to respond appropriately and build trust (HCPC, 2016).</w:t>
      </w:r>
    </w:p>
    <w:p w14:paraId="25944B48">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When involving family members, ethical considerations such as maintaining confidentiality and obtaining informed consent are essential. Although Mr Ahmed’s wife supports communication, healthcare professionals must respect his autonomy and ensure that any sharing of information is handled appropriately and with his permission.</w:t>
      </w:r>
    </w:p>
    <w:p w14:paraId="3709C734">
      <w:pPr>
        <w:pStyle w:val="4"/>
        <w:keepNext w:val="0"/>
        <w:keepLines w:val="0"/>
        <w:widowControl/>
        <w:suppressLineNumbers w:val="0"/>
        <w:shd w:val="clear" w:fill="FFFFFF"/>
        <w:spacing w:before="0" w:beforeAutospacing="0" w:after="160" w:afterAutospacing="0" w:line="360" w:lineRule="auto"/>
        <w:ind w:left="0" w:right="0" w:firstLine="0"/>
        <w:jc w:val="both"/>
        <w:rPr>
          <w:rFonts w:hint="default" w:ascii="Arial" w:hAnsi="Arial" w:eastAsia="sans-serif" w:cs="Arial"/>
          <w:i w:val="0"/>
          <w:iCs w:val="0"/>
          <w:caps w:val="0"/>
          <w:color w:val="172B4D"/>
          <w:spacing w:val="0"/>
          <w:sz w:val="22"/>
          <w:szCs w:val="22"/>
          <w:shd w:val="clear" w:fill="FFFFFF"/>
        </w:rPr>
      </w:pPr>
      <w:r>
        <w:rPr>
          <w:rFonts w:hint="default" w:ascii="Arial" w:hAnsi="Arial" w:eastAsia="sans-serif" w:cs="Arial"/>
          <w:i w:val="0"/>
          <w:iCs w:val="0"/>
          <w:caps w:val="0"/>
          <w:color w:val="172B4D"/>
          <w:spacing w:val="0"/>
          <w:sz w:val="22"/>
          <w:szCs w:val="22"/>
          <w:shd w:val="clear" w:fill="FFFFFF"/>
        </w:rPr>
        <w:t>In summary, effective communication not only improves safety and reduces errors but also fosters positive relationships between Mr. Ahmed and his care team. It ensures that his needs are accurately understood and respected, contributing significantly to enhancing his overall quality of life.</w:t>
      </w:r>
    </w:p>
    <w:p w14:paraId="32779CED">
      <w:pPr>
        <w:pStyle w:val="4"/>
        <w:keepNext w:val="0"/>
        <w:keepLines w:val="0"/>
        <w:widowControl/>
        <w:suppressLineNumbers w:val="0"/>
        <w:spacing w:line="360" w:lineRule="auto"/>
        <w:rPr>
          <w:rFonts w:hint="default" w:ascii="Arial" w:hAnsi="Arial" w:cs="Arial"/>
          <w:sz w:val="22"/>
          <w:szCs w:val="22"/>
        </w:rPr>
      </w:pPr>
      <w:r>
        <w:rPr>
          <w:rStyle w:val="6"/>
          <w:rFonts w:hint="default" w:ascii="Arial" w:hAnsi="Arial" w:cs="Arial"/>
          <w:sz w:val="22"/>
          <w:szCs w:val="22"/>
        </w:rPr>
        <w:t>3. Importance of Administrative Skills and Record Keeping</w:t>
      </w:r>
      <w:r>
        <w:rPr>
          <w:rFonts w:hint="default" w:ascii="Arial" w:hAnsi="Arial" w:cs="Arial"/>
          <w:sz w:val="22"/>
          <w:szCs w:val="22"/>
        </w:rPr>
        <w:br w:type="textWrapping"/>
      </w:r>
      <w:r>
        <w:rPr>
          <w:rFonts w:hint="default" w:ascii="Arial" w:hAnsi="Arial" w:cs="Arial"/>
          <w:sz w:val="22"/>
          <w:szCs w:val="22"/>
        </w:rPr>
        <w:t>Strong administrative skills are essential for ensuring safe and effective care for Mr Ahmed. Accurate record-keeping supports continuity of care, facilitates informed decision-making, and provides legal protection for both the patient and healthcare professionals.</w:t>
      </w:r>
    </w:p>
    <w:p w14:paraId="0371AA55">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In Mr Ahmed’s case, the missed home visit, which led to a delay in medication, highlights the critical importance of accurate documentation and scheduling. Care records should clearly document visit times, medication administration, and any changes in the patient’s condition.</w:t>
      </w:r>
    </w:p>
    <w:p w14:paraId="7345F5E1">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Incomplete or inaccurate documentation can pose serious health risks, particularly for vulnerable individuals such as Mr Ahmed (NMC, 2018).</w:t>
      </w:r>
    </w:p>
    <w:p w14:paraId="4830069C">
      <w:pPr>
        <w:pStyle w:val="4"/>
        <w:keepNext w:val="0"/>
        <w:keepLines w:val="0"/>
        <w:widowControl/>
        <w:suppressLineNumbers w:val="0"/>
        <w:spacing w:line="360" w:lineRule="auto"/>
        <w:rPr>
          <w:rFonts w:hint="default" w:ascii="Arial" w:hAnsi="Arial" w:eastAsia="sans-serif" w:cs="Arial"/>
          <w:i w:val="0"/>
          <w:iCs w:val="0"/>
          <w:caps w:val="0"/>
          <w:color w:val="172B4D"/>
          <w:spacing w:val="0"/>
          <w:sz w:val="22"/>
          <w:szCs w:val="22"/>
          <w:shd w:val="clear" w:fill="FFFFFF"/>
          <w:lang w:val="en-PH"/>
        </w:rPr>
      </w:pPr>
      <w:r>
        <w:rPr>
          <w:rFonts w:hint="default" w:ascii="Arial" w:hAnsi="Arial" w:cs="Arial"/>
          <w:sz w:val="22"/>
          <w:szCs w:val="22"/>
        </w:rPr>
        <w:t xml:space="preserve">The Data Protection Act 2018 regulates the collection, storage and sharing of personal information. Healthcare providers are required to handle Mr Ahmed’s data lawfully, ensuring it is kept secure and shared only with </w:t>
      </w:r>
      <w:r>
        <w:rPr>
          <w:rFonts w:hint="default" w:ascii="Arial" w:hAnsi="Arial" w:cs="Arial"/>
          <w:sz w:val="22"/>
          <w:szCs w:val="22"/>
          <w:lang w:val="en-US"/>
        </w:rPr>
        <w:t>authorized</w:t>
      </w:r>
      <w:r>
        <w:rPr>
          <w:rFonts w:hint="default" w:ascii="Arial" w:hAnsi="Arial" w:cs="Arial"/>
          <w:sz w:val="22"/>
          <w:szCs w:val="22"/>
        </w:rPr>
        <w:t xml:space="preserve"> personnel. This includes safeguarding confidentiality and protecting sensitive information, such as his medical history and treatment plans (Data Protection Act, 2018).</w:t>
      </w:r>
    </w:p>
    <w:p w14:paraId="7A39E7A4">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Key principles of the Data Protection Act include:</w:t>
      </w:r>
    </w:p>
    <w:p w14:paraId="271439E1">
      <w:pPr>
        <w:keepNext w:val="0"/>
        <w:keepLines w:val="0"/>
        <w:widowControl/>
        <w:numPr>
          <w:ilvl w:val="0"/>
          <w:numId w:val="0"/>
        </w:numPr>
        <w:suppressLineNumbers w:val="0"/>
        <w:spacing w:before="0" w:beforeAutospacing="1" w:after="0" w:afterAutospacing="1" w:line="360" w:lineRule="auto"/>
        <w:ind w:left="360" w:leftChars="0"/>
        <w:rPr>
          <w:rFonts w:hint="default" w:ascii="Arial" w:hAnsi="Arial" w:cs="Arial"/>
          <w:sz w:val="22"/>
          <w:szCs w:val="22"/>
        </w:rPr>
      </w:pPr>
      <w:r>
        <w:rPr>
          <w:rStyle w:val="6"/>
          <w:rFonts w:hint="default" w:ascii="Arial" w:hAnsi="Arial" w:cs="Arial"/>
          <w:sz w:val="22"/>
          <w:szCs w:val="22"/>
        </w:rPr>
        <w:t>Lawfulness, fairness, and transparency:</w:t>
      </w:r>
      <w:r>
        <w:rPr>
          <w:rFonts w:hint="default" w:ascii="Arial" w:hAnsi="Arial" w:cs="Arial"/>
          <w:sz w:val="22"/>
          <w:szCs w:val="22"/>
        </w:rPr>
        <w:t xml:space="preserve"> Mr Ahmed must be informed about how his data is used. </w:t>
      </w:r>
    </w:p>
    <w:p w14:paraId="3A98E6D0">
      <w:pPr>
        <w:keepNext w:val="0"/>
        <w:keepLines w:val="0"/>
        <w:widowControl/>
        <w:numPr>
          <w:ilvl w:val="0"/>
          <w:numId w:val="0"/>
        </w:numPr>
        <w:suppressLineNumbers w:val="0"/>
        <w:spacing w:before="0" w:beforeAutospacing="1" w:after="0" w:afterAutospacing="1" w:line="360" w:lineRule="auto"/>
        <w:ind w:left="360" w:leftChars="0"/>
        <w:rPr>
          <w:rFonts w:hint="default" w:ascii="Arial" w:hAnsi="Arial" w:cs="Arial"/>
          <w:sz w:val="22"/>
          <w:szCs w:val="22"/>
        </w:rPr>
      </w:pPr>
      <w:r>
        <w:rPr>
          <w:rStyle w:val="6"/>
          <w:rFonts w:hint="default" w:ascii="Arial" w:hAnsi="Arial" w:cs="Arial"/>
          <w:sz w:val="22"/>
          <w:szCs w:val="22"/>
        </w:rPr>
        <w:t>Purpose limitation:</w:t>
      </w:r>
      <w:r>
        <w:rPr>
          <w:rFonts w:hint="default" w:ascii="Arial" w:hAnsi="Arial" w:cs="Arial"/>
          <w:sz w:val="22"/>
          <w:szCs w:val="22"/>
        </w:rPr>
        <w:t xml:space="preserve"> Data should only be used for specific healthcare purposes. </w:t>
      </w:r>
    </w:p>
    <w:p w14:paraId="5A0803DB">
      <w:pPr>
        <w:keepNext w:val="0"/>
        <w:keepLines w:val="0"/>
        <w:widowControl/>
        <w:numPr>
          <w:ilvl w:val="0"/>
          <w:numId w:val="0"/>
        </w:numPr>
        <w:suppressLineNumbers w:val="0"/>
        <w:spacing w:before="0" w:beforeAutospacing="1" w:after="0" w:afterAutospacing="1" w:line="360" w:lineRule="auto"/>
        <w:ind w:left="360" w:leftChars="0"/>
        <w:rPr>
          <w:rFonts w:hint="default" w:ascii="Arial" w:hAnsi="Arial" w:cs="Arial"/>
          <w:sz w:val="22"/>
          <w:szCs w:val="22"/>
        </w:rPr>
      </w:pPr>
      <w:r>
        <w:rPr>
          <w:rStyle w:val="6"/>
          <w:rFonts w:hint="default" w:ascii="Arial" w:hAnsi="Arial" w:cs="Arial"/>
          <w:sz w:val="22"/>
          <w:szCs w:val="22"/>
        </w:rPr>
        <w:t xml:space="preserve">Data </w:t>
      </w:r>
      <w:r>
        <w:rPr>
          <w:rStyle w:val="6"/>
          <w:rFonts w:hint="default" w:ascii="Arial" w:hAnsi="Arial" w:cs="Arial"/>
          <w:sz w:val="22"/>
          <w:szCs w:val="22"/>
          <w:lang w:val="en-US"/>
        </w:rPr>
        <w:t>minimization</w:t>
      </w:r>
      <w:r>
        <w:rPr>
          <w:rStyle w:val="6"/>
          <w:rFonts w:hint="default" w:ascii="Arial" w:hAnsi="Arial" w:cs="Arial"/>
          <w:sz w:val="22"/>
          <w:szCs w:val="22"/>
        </w:rPr>
        <w:t>:</w:t>
      </w:r>
      <w:r>
        <w:rPr>
          <w:rFonts w:hint="default" w:ascii="Arial" w:hAnsi="Arial" w:cs="Arial"/>
          <w:sz w:val="22"/>
          <w:szCs w:val="22"/>
        </w:rPr>
        <w:t xml:space="preserve"> Only necessary information should be collected. </w:t>
      </w:r>
    </w:p>
    <w:p w14:paraId="0A6141D7">
      <w:pPr>
        <w:keepNext w:val="0"/>
        <w:keepLines w:val="0"/>
        <w:widowControl/>
        <w:numPr>
          <w:ilvl w:val="0"/>
          <w:numId w:val="0"/>
        </w:numPr>
        <w:suppressLineNumbers w:val="0"/>
        <w:spacing w:before="0" w:beforeAutospacing="1" w:after="0" w:afterAutospacing="1" w:line="360" w:lineRule="auto"/>
        <w:ind w:left="360" w:leftChars="0"/>
        <w:rPr>
          <w:rFonts w:hint="default" w:ascii="Arial" w:hAnsi="Arial" w:cs="Arial"/>
          <w:sz w:val="22"/>
          <w:szCs w:val="22"/>
        </w:rPr>
      </w:pPr>
      <w:r>
        <w:rPr>
          <w:rStyle w:val="6"/>
          <w:rFonts w:hint="default" w:ascii="Arial" w:hAnsi="Arial" w:cs="Arial"/>
          <w:sz w:val="22"/>
          <w:szCs w:val="22"/>
        </w:rPr>
        <w:t>Accuracy:</w:t>
      </w:r>
      <w:r>
        <w:rPr>
          <w:rFonts w:hint="default" w:ascii="Arial" w:hAnsi="Arial" w:cs="Arial"/>
          <w:sz w:val="22"/>
          <w:szCs w:val="22"/>
        </w:rPr>
        <w:t xml:space="preserve"> Records must be kept up to date. </w:t>
      </w:r>
    </w:p>
    <w:p w14:paraId="4FEB3173">
      <w:pPr>
        <w:keepNext w:val="0"/>
        <w:keepLines w:val="0"/>
        <w:widowControl/>
        <w:numPr>
          <w:ilvl w:val="0"/>
          <w:numId w:val="0"/>
        </w:numPr>
        <w:suppressLineNumbers w:val="0"/>
        <w:spacing w:before="0" w:beforeAutospacing="1" w:after="0" w:afterAutospacing="1" w:line="360" w:lineRule="auto"/>
        <w:ind w:left="360" w:leftChars="0"/>
        <w:rPr>
          <w:rFonts w:hint="default" w:ascii="Arial" w:hAnsi="Arial" w:cs="Arial"/>
          <w:sz w:val="22"/>
          <w:szCs w:val="22"/>
        </w:rPr>
      </w:pPr>
      <w:r>
        <w:rPr>
          <w:rStyle w:val="6"/>
          <w:rFonts w:hint="default" w:ascii="Arial" w:hAnsi="Arial" w:cs="Arial"/>
          <w:sz w:val="22"/>
          <w:szCs w:val="22"/>
        </w:rPr>
        <w:t>Storage limitation:</w:t>
      </w:r>
      <w:r>
        <w:rPr>
          <w:rFonts w:hint="default" w:ascii="Arial" w:hAnsi="Arial" w:cs="Arial"/>
          <w:sz w:val="22"/>
          <w:szCs w:val="22"/>
        </w:rPr>
        <w:t xml:space="preserve"> Data should not be kept for longer than necessary. </w:t>
      </w:r>
    </w:p>
    <w:p w14:paraId="39B65EDB">
      <w:pPr>
        <w:keepNext w:val="0"/>
        <w:keepLines w:val="0"/>
        <w:widowControl/>
        <w:numPr>
          <w:ilvl w:val="0"/>
          <w:numId w:val="0"/>
        </w:numPr>
        <w:suppressLineNumbers w:val="0"/>
        <w:spacing w:before="0" w:beforeAutospacing="1" w:after="0" w:afterAutospacing="1" w:line="360" w:lineRule="auto"/>
        <w:ind w:left="360" w:leftChars="0"/>
        <w:rPr>
          <w:rFonts w:hint="default" w:ascii="Arial" w:hAnsi="Arial" w:cs="Arial"/>
          <w:sz w:val="22"/>
          <w:szCs w:val="22"/>
        </w:rPr>
      </w:pPr>
      <w:r>
        <w:rPr>
          <w:rStyle w:val="6"/>
          <w:rFonts w:hint="default" w:ascii="Arial" w:hAnsi="Arial" w:cs="Arial"/>
          <w:sz w:val="22"/>
          <w:szCs w:val="22"/>
        </w:rPr>
        <w:t>Security:</w:t>
      </w:r>
      <w:r>
        <w:rPr>
          <w:rFonts w:hint="default" w:ascii="Arial" w:hAnsi="Arial" w:cs="Arial"/>
          <w:sz w:val="22"/>
          <w:szCs w:val="22"/>
        </w:rPr>
        <w:t xml:space="preserve"> Information must be protected against </w:t>
      </w:r>
      <w:r>
        <w:rPr>
          <w:rFonts w:hint="default" w:ascii="Arial" w:hAnsi="Arial" w:cs="Arial"/>
          <w:sz w:val="22"/>
          <w:szCs w:val="22"/>
          <w:lang w:val="en-US"/>
        </w:rPr>
        <w:t>unauthorized</w:t>
      </w:r>
      <w:r>
        <w:rPr>
          <w:rFonts w:hint="default" w:ascii="Arial" w:hAnsi="Arial" w:cs="Arial"/>
          <w:sz w:val="22"/>
          <w:szCs w:val="22"/>
        </w:rPr>
        <w:t xml:space="preserve"> access. </w:t>
      </w:r>
    </w:p>
    <w:p w14:paraId="3D7A775E">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Additionally, healthcare settings adhere to policies such as confidentiality guidelines, safeguarding procedures, and professional codes of conduct (such as those set by the Nursing and Midwifery Council). These frameworks ensure that administrative practices meet ethical and legal standards.</w:t>
      </w:r>
    </w:p>
    <w:p w14:paraId="47011A20">
      <w:pPr>
        <w:pStyle w:val="4"/>
        <w:keepNext w:val="0"/>
        <w:keepLines w:val="0"/>
        <w:widowControl/>
        <w:suppressLineNumbers w:val="0"/>
        <w:shd w:val="clear" w:fill="FFFFFF"/>
        <w:spacing w:before="0" w:beforeAutospacing="0" w:after="160" w:afterAutospacing="0" w:line="360" w:lineRule="auto"/>
        <w:ind w:left="0" w:right="0" w:firstLine="0"/>
        <w:jc w:val="both"/>
        <w:rPr>
          <w:rFonts w:hint="default" w:ascii="Arial" w:hAnsi="Arial" w:eastAsia="sans-serif" w:cs="Arial"/>
          <w:i w:val="0"/>
          <w:iCs w:val="0"/>
          <w:caps w:val="0"/>
          <w:color w:val="172B4D"/>
          <w:spacing w:val="0"/>
          <w:sz w:val="22"/>
          <w:szCs w:val="22"/>
          <w:lang w:val="en-PH"/>
        </w:rPr>
      </w:pPr>
      <w:r>
        <w:rPr>
          <w:rFonts w:hint="default" w:ascii="Arial" w:hAnsi="Arial" w:eastAsia="sans-serif" w:cs="Arial"/>
          <w:i w:val="0"/>
          <w:iCs w:val="0"/>
          <w:caps w:val="0"/>
          <w:color w:val="172B4D"/>
          <w:spacing w:val="0"/>
          <w:sz w:val="22"/>
          <w:szCs w:val="22"/>
          <w:shd w:val="clear" w:fill="FFFFFF"/>
        </w:rPr>
        <w:t>Electronic health records (EHRs) are widely used to enhance accuracy and accessibility. They enable all professionals involved in Mr. Ahmed’s care</w:t>
      </w:r>
      <w:r>
        <w:rPr>
          <w:rFonts w:hint="default" w:ascii="Arial" w:hAnsi="Arial" w:eastAsia="sans-serif" w:cs="Arial"/>
          <w:i w:val="0"/>
          <w:iCs w:val="0"/>
          <w:caps w:val="0"/>
          <w:color w:val="172B4D"/>
          <w:spacing w:val="0"/>
          <w:sz w:val="22"/>
          <w:szCs w:val="22"/>
          <w:shd w:val="clear" w:fill="FFFFFF"/>
          <w:lang w:val="en-PH"/>
        </w:rPr>
        <w:t xml:space="preserve"> </w:t>
      </w:r>
      <w:r>
        <w:rPr>
          <w:rFonts w:hint="default" w:ascii="Arial" w:hAnsi="Arial" w:eastAsia="sans-serif" w:cs="Arial"/>
          <w:i w:val="0"/>
          <w:iCs w:val="0"/>
          <w:caps w:val="0"/>
          <w:color w:val="172B4D"/>
          <w:spacing w:val="0"/>
          <w:sz w:val="22"/>
          <w:szCs w:val="22"/>
          <w:shd w:val="clear" w:fill="FFFFFF"/>
        </w:rPr>
        <w:t>including his GP, district nurse, and speech therapist</w:t>
      </w:r>
      <w:r>
        <w:rPr>
          <w:rFonts w:hint="default" w:ascii="Arial" w:hAnsi="Arial" w:eastAsia="sans-serif" w:cs="Arial"/>
          <w:i w:val="0"/>
          <w:iCs w:val="0"/>
          <w:caps w:val="0"/>
          <w:color w:val="172B4D"/>
          <w:spacing w:val="0"/>
          <w:sz w:val="22"/>
          <w:szCs w:val="22"/>
          <w:shd w:val="clear" w:fill="FFFFFF"/>
          <w:lang w:val="en-PH"/>
        </w:rPr>
        <w:t xml:space="preserve"> </w:t>
      </w:r>
      <w:r>
        <w:rPr>
          <w:rFonts w:hint="default" w:ascii="Arial" w:hAnsi="Arial" w:eastAsia="sans-serif" w:cs="Arial"/>
          <w:i w:val="0"/>
          <w:iCs w:val="0"/>
          <w:caps w:val="0"/>
          <w:color w:val="172B4D"/>
          <w:spacing w:val="0"/>
          <w:sz w:val="22"/>
          <w:szCs w:val="22"/>
          <w:shd w:val="clear" w:fill="FFFFFF"/>
        </w:rPr>
        <w:t>to access current information. This facilitates coordinated care and helps minimize the risk of mistakes.</w:t>
      </w:r>
      <w:r>
        <w:rPr>
          <w:rFonts w:hint="default" w:ascii="Arial" w:hAnsi="Arial" w:eastAsia="sans-serif" w:cs="Arial"/>
          <w:i w:val="0"/>
          <w:iCs w:val="0"/>
          <w:caps w:val="0"/>
          <w:color w:val="172B4D"/>
          <w:spacing w:val="0"/>
          <w:sz w:val="22"/>
          <w:szCs w:val="22"/>
          <w:shd w:val="clear" w:fill="FFFFFF"/>
          <w:lang w:val="en-PH"/>
        </w:rPr>
        <w:t>(HCPC,2018)</w:t>
      </w:r>
    </w:p>
    <w:p w14:paraId="0A0CD474">
      <w:pPr>
        <w:pStyle w:val="4"/>
        <w:keepNext w:val="0"/>
        <w:keepLines w:val="0"/>
        <w:widowControl/>
        <w:suppressLineNumbers w:val="0"/>
        <w:shd w:val="clear" w:fill="FFFFFF"/>
        <w:spacing w:before="0" w:beforeAutospacing="0" w:after="160" w:afterAutospacing="0" w:line="360" w:lineRule="auto"/>
        <w:ind w:left="0" w:right="0" w:firstLine="0"/>
        <w:jc w:val="both"/>
        <w:rPr>
          <w:rFonts w:hint="default" w:ascii="Arial" w:hAnsi="Arial" w:eastAsia="sans-serif" w:cs="Arial"/>
          <w:i w:val="0"/>
          <w:iCs w:val="0"/>
          <w:caps w:val="0"/>
          <w:color w:val="172B4D"/>
          <w:spacing w:val="0"/>
          <w:sz w:val="22"/>
          <w:szCs w:val="22"/>
          <w:lang w:val="en-PH"/>
        </w:rPr>
      </w:pPr>
      <w:r>
        <w:rPr>
          <w:rFonts w:hint="default" w:ascii="Arial" w:hAnsi="Arial" w:eastAsia="sans-serif" w:cs="Arial"/>
          <w:i w:val="0"/>
          <w:iCs w:val="0"/>
          <w:caps w:val="0"/>
          <w:color w:val="172B4D"/>
          <w:spacing w:val="0"/>
          <w:sz w:val="22"/>
          <w:szCs w:val="22"/>
          <w:shd w:val="clear" w:fill="FFFFFF"/>
        </w:rPr>
        <w:t>Incident reporting is a vital part of administrative processes. The missed visit in Mr. Ahmed’s case was documented and investigated, which is crucial for improving service quality and preventing similar incidents in the future. Learning from such events fosters accountability and strengthens patient safety.</w:t>
      </w:r>
      <w:r>
        <w:rPr>
          <w:rFonts w:hint="default" w:ascii="Arial" w:hAnsi="Arial" w:eastAsia="sans-serif" w:cs="Arial"/>
          <w:i w:val="0"/>
          <w:iCs w:val="0"/>
          <w:caps w:val="0"/>
          <w:color w:val="172B4D"/>
          <w:spacing w:val="0"/>
          <w:sz w:val="22"/>
          <w:szCs w:val="22"/>
          <w:shd w:val="clear" w:fill="FFFFFF"/>
          <w:lang w:val="en-PH"/>
        </w:rPr>
        <w:t>(Department of Health and Social Care,2018)</w:t>
      </w:r>
    </w:p>
    <w:p w14:paraId="76F26776">
      <w:pPr>
        <w:pStyle w:val="4"/>
        <w:keepNext w:val="0"/>
        <w:keepLines w:val="0"/>
        <w:widowControl/>
        <w:suppressLineNumbers w:val="0"/>
        <w:shd w:val="clear" w:fill="FFFFFF"/>
        <w:spacing w:before="0" w:beforeAutospacing="0" w:after="160" w:afterAutospacing="0" w:line="360" w:lineRule="auto"/>
        <w:ind w:left="0" w:right="0" w:firstLine="0"/>
        <w:jc w:val="both"/>
        <w:rPr>
          <w:rFonts w:hint="default" w:ascii="Arial" w:hAnsi="Arial" w:eastAsia="sans-serif" w:cs="Arial"/>
          <w:i w:val="0"/>
          <w:iCs w:val="0"/>
          <w:caps w:val="0"/>
          <w:color w:val="172B4D"/>
          <w:spacing w:val="0"/>
          <w:sz w:val="22"/>
          <w:szCs w:val="22"/>
          <w:shd w:val="clear" w:fill="FFFFFF"/>
        </w:rPr>
      </w:pPr>
      <w:r>
        <w:rPr>
          <w:rFonts w:hint="default" w:ascii="Arial" w:hAnsi="Arial" w:eastAsia="sans-serif" w:cs="Arial"/>
          <w:i w:val="0"/>
          <w:iCs w:val="0"/>
          <w:caps w:val="0"/>
          <w:color w:val="172B4D"/>
          <w:spacing w:val="0"/>
          <w:sz w:val="22"/>
          <w:szCs w:val="22"/>
          <w:shd w:val="clear" w:fill="FFFFFF"/>
        </w:rPr>
        <w:t>In summary, proficient administrative skills are key to delivering consistent and safe care for Mr. Ahmed. Accurate record keeping, adherence to legal requirements, and effective information sharing are essential to upholding high standards of professional practice.</w:t>
      </w:r>
    </w:p>
    <w:p w14:paraId="5449504A">
      <w:pPr>
        <w:pStyle w:val="4"/>
        <w:keepNext w:val="0"/>
        <w:keepLines w:val="0"/>
        <w:widowControl/>
        <w:suppressLineNumbers w:val="0"/>
        <w:shd w:val="clear" w:fill="FFFFFF"/>
        <w:spacing w:before="0" w:beforeAutospacing="0" w:after="160" w:afterAutospacing="0" w:line="360" w:lineRule="auto"/>
        <w:ind w:left="0" w:right="0" w:firstLine="0"/>
        <w:jc w:val="both"/>
        <w:rPr>
          <w:rFonts w:hint="default" w:ascii="Arial" w:hAnsi="Arial" w:eastAsia="sans-serif" w:cs="Arial"/>
          <w:i w:val="0"/>
          <w:iCs w:val="0"/>
          <w:caps w:val="0"/>
          <w:color w:val="172B4D"/>
          <w:spacing w:val="0"/>
          <w:sz w:val="22"/>
          <w:szCs w:val="22"/>
          <w:shd w:val="clear" w:fill="FFFFFF"/>
        </w:rPr>
      </w:pPr>
    </w:p>
    <w:p w14:paraId="422B5E0D">
      <w:pPr>
        <w:pStyle w:val="4"/>
        <w:keepNext w:val="0"/>
        <w:keepLines w:val="0"/>
        <w:widowControl/>
        <w:numPr>
          <w:ilvl w:val="0"/>
          <w:numId w:val="2"/>
        </w:numPr>
        <w:suppressLineNumbers w:val="0"/>
        <w:shd w:val="clear" w:fill="FFFFFF"/>
        <w:spacing w:before="0" w:beforeAutospacing="0" w:after="160" w:afterAutospacing="0" w:line="360" w:lineRule="auto"/>
        <w:ind w:leftChars="0" w:right="0" w:rightChars="0"/>
        <w:jc w:val="both"/>
        <w:rPr>
          <w:rFonts w:hint="default" w:ascii="Arial" w:hAnsi="Arial" w:cs="Arial"/>
          <w:b/>
          <w:bCs/>
          <w:sz w:val="22"/>
          <w:szCs w:val="22"/>
        </w:rPr>
      </w:pPr>
      <w:r>
        <w:rPr>
          <w:rFonts w:hint="default" w:ascii="Arial" w:hAnsi="Arial" w:cs="Arial"/>
          <w:b/>
          <w:bCs/>
          <w:sz w:val="22"/>
          <w:szCs w:val="22"/>
        </w:rPr>
        <w:t>Importance of Collaborative Working</w:t>
      </w:r>
    </w:p>
    <w:p w14:paraId="0F2D4917">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Collaborative working is essential for delivering holistic care to Mr Ahmed, given the involvement of multiple professionals addressing his complex needs. This multidisciplinary team includes his GP, district nurse, domiciliary care workers and speech and language therapist. Each professional contributes specialist expertise, ensuring a comprehensive and well-co-ordinated approach to his care.</w:t>
      </w:r>
    </w:p>
    <w:p w14:paraId="7769B765">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Effective collaboration requires clear communication, shared objectives and mutual respect among team members. Regular meetings and care planning sessions enable professionals to exchange updates and co-ordinate their interventions. For instance, the district nurse manages blood pressure and wound care, while the speech and language therapist addresses communication and swallowing difficulties.</w:t>
      </w:r>
    </w:p>
    <w:p w14:paraId="2BA5214F">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Co-ordinating these roles ensures that Mr Ahmed’s care is both consistent and effective.</w:t>
      </w:r>
    </w:p>
    <w:p w14:paraId="678D54DF">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 xml:space="preserve">One effective strategy for strengthening collaboration is the use of multidisciplinary team (MDT) meetings. These meetings bring together professionals from a range of disciplines to review Mr Ahmed’s progress, address emerging challenges and co-ordinate appropriate interventions. Through the sharing of expertise and perspectives, team members can develop comprehensive, holistic and </w:t>
      </w:r>
      <w:r>
        <w:rPr>
          <w:rFonts w:hint="default" w:ascii="Arial" w:hAnsi="Arial" w:cs="Arial"/>
          <w:sz w:val="22"/>
          <w:szCs w:val="22"/>
          <w:lang w:val="en-US"/>
        </w:rPr>
        <w:t>person-centered</w:t>
      </w:r>
      <w:r>
        <w:rPr>
          <w:rFonts w:hint="default" w:ascii="Arial" w:hAnsi="Arial" w:cs="Arial"/>
          <w:sz w:val="22"/>
          <w:szCs w:val="22"/>
        </w:rPr>
        <w:t xml:space="preserve"> care plans that are carefully tailored to meet his individual needs.</w:t>
      </w:r>
    </w:p>
    <w:p w14:paraId="22E08A80">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In addition, shared documentation systems further support collaboration by allowing professionals to access and update real-time information, ensuring continuity of care and reducing the risk of miscommunication (Tuckman, 1965).</w:t>
      </w:r>
    </w:p>
    <w:p w14:paraId="5E5DB969">
      <w:pPr>
        <w:pStyle w:val="4"/>
        <w:keepNext w:val="0"/>
        <w:keepLines w:val="0"/>
        <w:widowControl/>
        <w:numPr>
          <w:ilvl w:val="0"/>
          <w:numId w:val="0"/>
        </w:numPr>
        <w:suppressLineNumbers w:val="0"/>
        <w:shd w:val="clear" w:fill="FFFFFF"/>
        <w:spacing w:before="0" w:beforeAutospacing="0" w:after="160" w:afterAutospacing="0" w:line="360" w:lineRule="auto"/>
        <w:ind w:leftChars="0" w:right="0" w:rightChars="0"/>
        <w:jc w:val="both"/>
        <w:rPr>
          <w:rFonts w:hint="default" w:ascii="Arial" w:hAnsi="Arial" w:eastAsia="SimSun" w:cs="Arial"/>
          <w:sz w:val="22"/>
          <w:szCs w:val="22"/>
        </w:rPr>
      </w:pPr>
      <w:r>
        <w:rPr>
          <w:rFonts w:hint="default" w:ascii="Arial" w:hAnsi="Arial" w:eastAsia="SimSun" w:cs="Arial"/>
          <w:sz w:val="22"/>
          <w:szCs w:val="22"/>
        </w:rPr>
        <w:t>However, challenges in multi-agency working may arise, including communication breakdowns, role confusion, and time constraints. In Mr Ahmed’s case, the missed home visit highlights a potential lack of coordination and ineffective communication within the care agency. When professionals are unclear about their responsibilities, it can lead to gaps in care and negatively impact service users. Additionally, language barriers and cultural differences may further complicate communication, making it more difficult to build trust and ensure that Mr Ahmed fully understands his care plan. These challenges can ultimately reduce the quality and continuity of care if not addressed effectively.</w:t>
      </w:r>
    </w:p>
    <w:p w14:paraId="130F6A73">
      <w:pPr>
        <w:pStyle w:val="4"/>
        <w:keepNext w:val="0"/>
        <w:keepLines w:val="0"/>
        <w:widowControl/>
        <w:numPr>
          <w:ilvl w:val="0"/>
          <w:numId w:val="0"/>
        </w:numPr>
        <w:suppressLineNumbers w:val="0"/>
        <w:shd w:val="clear" w:fill="FFFFFF"/>
        <w:spacing w:before="0" w:beforeAutospacing="0" w:after="160" w:afterAutospacing="0" w:line="360" w:lineRule="auto"/>
        <w:ind w:leftChars="0" w:right="0" w:rightChars="0"/>
        <w:jc w:val="both"/>
        <w:rPr>
          <w:rFonts w:hint="default" w:ascii="Arial" w:hAnsi="Arial" w:eastAsia="SimSun" w:cs="Arial"/>
          <w:sz w:val="22"/>
          <w:szCs w:val="22"/>
        </w:rPr>
      </w:pPr>
    </w:p>
    <w:p w14:paraId="7A0D4DF3">
      <w:pPr>
        <w:spacing w:line="360" w:lineRule="auto"/>
        <w:jc w:val="both"/>
        <w:rPr>
          <w:rFonts w:hint="default" w:ascii="Arial" w:hAnsi="Arial" w:cs="Arial"/>
          <w:sz w:val="22"/>
          <w:szCs w:val="22"/>
        </w:rPr>
      </w:pPr>
      <w:r>
        <w:rPr>
          <w:rFonts w:hint="default" w:ascii="Arial" w:hAnsi="Arial" w:cs="Arial"/>
          <w:sz w:val="22"/>
          <w:szCs w:val="22"/>
        </w:rPr>
        <w:t>To overcome these challenges, strategies include:</w:t>
      </w:r>
    </w:p>
    <w:p w14:paraId="6C905495">
      <w:pPr>
        <w:spacing w:line="360" w:lineRule="auto"/>
        <w:jc w:val="both"/>
        <w:rPr>
          <w:rFonts w:hint="default" w:ascii="Arial" w:hAnsi="Arial" w:cs="Arial"/>
          <w:sz w:val="22"/>
          <w:szCs w:val="22"/>
        </w:rPr>
      </w:pPr>
      <w:r>
        <w:rPr>
          <w:rFonts w:hint="default" w:ascii="Arial" w:hAnsi="Arial" w:cs="Arial"/>
          <w:sz w:val="22"/>
          <w:szCs w:val="22"/>
        </w:rPr>
        <w:tab/>
      </w:r>
      <w:r>
        <w:rPr>
          <w:rFonts w:hint="default" w:ascii="Arial" w:hAnsi="Arial" w:cs="Arial"/>
          <w:sz w:val="22"/>
          <w:szCs w:val="22"/>
        </w:rPr>
        <w:t>Clear role definitions for each professional</w:t>
      </w:r>
    </w:p>
    <w:p w14:paraId="6471D001">
      <w:pPr>
        <w:spacing w:line="360" w:lineRule="auto"/>
        <w:jc w:val="both"/>
        <w:rPr>
          <w:rFonts w:hint="default" w:ascii="Arial" w:hAnsi="Arial" w:cs="Arial"/>
          <w:sz w:val="22"/>
          <w:szCs w:val="22"/>
        </w:rPr>
      </w:pPr>
      <w:r>
        <w:rPr>
          <w:rFonts w:hint="default" w:ascii="Arial" w:hAnsi="Arial" w:cs="Arial"/>
          <w:sz w:val="22"/>
          <w:szCs w:val="22"/>
        </w:rPr>
        <w:tab/>
      </w:r>
      <w:r>
        <w:rPr>
          <w:rFonts w:hint="default" w:ascii="Arial" w:hAnsi="Arial" w:cs="Arial"/>
          <w:sz w:val="22"/>
          <w:szCs w:val="22"/>
        </w:rPr>
        <w:t>Use of communication tools (shared records)</w:t>
      </w:r>
    </w:p>
    <w:p w14:paraId="1E5507A5">
      <w:pPr>
        <w:spacing w:line="360" w:lineRule="auto"/>
        <w:jc w:val="both"/>
        <w:rPr>
          <w:rFonts w:hint="default" w:ascii="Arial" w:hAnsi="Arial" w:cs="Arial"/>
          <w:sz w:val="22"/>
          <w:szCs w:val="22"/>
        </w:rPr>
      </w:pPr>
      <w:r>
        <w:rPr>
          <w:rFonts w:hint="default" w:ascii="Arial" w:hAnsi="Arial" w:cs="Arial"/>
          <w:sz w:val="22"/>
          <w:szCs w:val="22"/>
        </w:rPr>
        <w:tab/>
      </w:r>
      <w:r>
        <w:rPr>
          <w:rFonts w:hint="default" w:ascii="Arial" w:hAnsi="Arial" w:cs="Arial"/>
          <w:sz w:val="22"/>
          <w:szCs w:val="22"/>
        </w:rPr>
        <w:t>Cultural competence training</w:t>
      </w:r>
    </w:p>
    <w:p w14:paraId="2C530B47">
      <w:pPr>
        <w:spacing w:line="360" w:lineRule="auto"/>
        <w:jc w:val="both"/>
        <w:rPr>
          <w:rFonts w:hint="default" w:ascii="Arial" w:hAnsi="Arial" w:cs="Arial"/>
          <w:sz w:val="22"/>
          <w:szCs w:val="22"/>
        </w:rPr>
      </w:pPr>
      <w:r>
        <w:rPr>
          <w:rFonts w:hint="default" w:ascii="Arial" w:hAnsi="Arial" w:cs="Arial"/>
          <w:sz w:val="22"/>
          <w:szCs w:val="22"/>
        </w:rPr>
        <w:tab/>
      </w:r>
      <w:r>
        <w:rPr>
          <w:rFonts w:hint="default" w:ascii="Arial" w:hAnsi="Arial" w:cs="Arial"/>
          <w:sz w:val="22"/>
          <w:szCs w:val="22"/>
        </w:rPr>
        <w:t>Regular monitoring and supervision</w:t>
      </w:r>
    </w:p>
    <w:p w14:paraId="18479F33">
      <w:pPr>
        <w:spacing w:line="360" w:lineRule="auto"/>
        <w:jc w:val="both"/>
        <w:rPr>
          <w:rFonts w:hint="default" w:ascii="Arial" w:hAnsi="Arial" w:cs="Arial"/>
          <w:sz w:val="22"/>
          <w:szCs w:val="22"/>
        </w:rPr>
      </w:pPr>
      <w:r>
        <w:rPr>
          <w:rFonts w:hint="default" w:ascii="Arial" w:hAnsi="Arial" w:cs="Arial"/>
          <w:sz w:val="22"/>
          <w:szCs w:val="22"/>
        </w:rPr>
        <w:tab/>
      </w:r>
      <w:r>
        <w:rPr>
          <w:rFonts w:hint="default" w:ascii="Arial" w:hAnsi="Arial" w:cs="Arial"/>
          <w:sz w:val="22"/>
          <w:szCs w:val="22"/>
        </w:rPr>
        <w:t>Effective leadership within the care team</w:t>
      </w:r>
    </w:p>
    <w:p w14:paraId="488C4802">
      <w:pPr>
        <w:spacing w:line="360" w:lineRule="auto"/>
        <w:jc w:val="both"/>
        <w:rPr>
          <w:rFonts w:hint="default" w:ascii="Arial" w:hAnsi="Arial" w:cs="Arial"/>
          <w:sz w:val="22"/>
          <w:szCs w:val="22"/>
          <w:lang w:val="en-PH"/>
        </w:rPr>
      </w:pPr>
      <w:r>
        <w:rPr>
          <w:rFonts w:hint="default" w:ascii="Arial" w:hAnsi="Arial" w:cs="Arial"/>
          <w:sz w:val="22"/>
          <w:szCs w:val="22"/>
        </w:rPr>
        <w:t xml:space="preserve">Building trust among team members and maintaining a </w:t>
      </w:r>
      <w:r>
        <w:rPr>
          <w:rFonts w:hint="default" w:ascii="Arial" w:hAnsi="Arial" w:cs="Arial"/>
          <w:sz w:val="22"/>
          <w:szCs w:val="22"/>
          <w:lang w:val="en-US"/>
        </w:rPr>
        <w:t>person-centered</w:t>
      </w:r>
      <w:r>
        <w:rPr>
          <w:rFonts w:hint="default" w:ascii="Arial" w:hAnsi="Arial" w:cs="Arial"/>
          <w:sz w:val="22"/>
          <w:szCs w:val="22"/>
        </w:rPr>
        <w:t xml:space="preserve"> approach ensures that Mr Ahmed’s needs remain the priority. Involving him and his wife in care decisions also enhances collaboration.</w:t>
      </w:r>
      <w:r>
        <w:rPr>
          <w:rFonts w:hint="default" w:ascii="Arial" w:hAnsi="Arial" w:cs="Arial"/>
          <w:sz w:val="22"/>
          <w:szCs w:val="22"/>
          <w:lang w:val="en-PH"/>
        </w:rPr>
        <w:t>(MNC,2018)</w:t>
      </w:r>
    </w:p>
    <w:p w14:paraId="4CE42FBA">
      <w:pPr>
        <w:spacing w:line="360" w:lineRule="auto"/>
        <w:jc w:val="both"/>
        <w:rPr>
          <w:rFonts w:hint="default" w:ascii="Arial" w:hAnsi="Arial" w:cs="Arial"/>
          <w:sz w:val="22"/>
          <w:szCs w:val="22"/>
        </w:rPr>
      </w:pPr>
    </w:p>
    <w:p w14:paraId="513CDA40">
      <w:pPr>
        <w:spacing w:line="360" w:lineRule="auto"/>
        <w:jc w:val="both"/>
        <w:rPr>
          <w:rFonts w:hint="default" w:ascii="Arial" w:hAnsi="Arial" w:cs="Arial"/>
          <w:sz w:val="22"/>
          <w:szCs w:val="22"/>
          <w:lang w:val="en-PH"/>
        </w:rPr>
      </w:pPr>
      <w:r>
        <w:rPr>
          <w:rFonts w:hint="default" w:ascii="Arial" w:hAnsi="Arial" w:cs="Arial"/>
          <w:sz w:val="22"/>
          <w:szCs w:val="22"/>
        </w:rPr>
        <w:t xml:space="preserve">Overall, effective teamwork improves care quality, reduces risks, and ensures that all aspects of Mr Ahmed’s health and </w:t>
      </w:r>
      <w:r>
        <w:rPr>
          <w:rFonts w:hint="default" w:ascii="Arial" w:hAnsi="Arial" w:cs="Arial"/>
          <w:sz w:val="22"/>
          <w:szCs w:val="22"/>
          <w:lang w:val="en-PH"/>
        </w:rPr>
        <w:t>well-being</w:t>
      </w:r>
      <w:r>
        <w:rPr>
          <w:rFonts w:hint="default" w:ascii="Arial" w:hAnsi="Arial" w:cs="Arial"/>
          <w:sz w:val="22"/>
          <w:szCs w:val="22"/>
        </w:rPr>
        <w:t xml:space="preserve"> are addressed.</w:t>
      </w:r>
      <w:r>
        <w:rPr>
          <w:rFonts w:hint="default" w:ascii="Arial" w:hAnsi="Arial" w:cs="Arial"/>
          <w:sz w:val="22"/>
          <w:szCs w:val="22"/>
          <w:lang w:val="en-PH"/>
        </w:rPr>
        <w:t>(HCPC 2018)</w:t>
      </w:r>
    </w:p>
    <w:p w14:paraId="7868E922">
      <w:pPr>
        <w:spacing w:line="360" w:lineRule="auto"/>
        <w:jc w:val="both"/>
        <w:rPr>
          <w:rFonts w:hint="default" w:ascii="Arial" w:hAnsi="Arial" w:cs="Arial"/>
          <w:sz w:val="22"/>
          <w:szCs w:val="22"/>
        </w:rPr>
      </w:pPr>
    </w:p>
    <w:p w14:paraId="725E40B1">
      <w:pPr>
        <w:numPr>
          <w:ilvl w:val="0"/>
          <w:numId w:val="3"/>
        </w:numPr>
        <w:spacing w:line="360" w:lineRule="auto"/>
        <w:jc w:val="both"/>
        <w:rPr>
          <w:rFonts w:hint="default" w:ascii="Arial" w:hAnsi="Arial" w:cs="Arial"/>
          <w:b/>
          <w:bCs/>
          <w:sz w:val="22"/>
          <w:szCs w:val="22"/>
          <w:lang w:val="en-PH"/>
        </w:rPr>
      </w:pPr>
      <w:r>
        <w:rPr>
          <w:rFonts w:hint="default" w:ascii="Arial" w:hAnsi="Arial" w:cs="Arial"/>
          <w:b/>
          <w:bCs/>
          <w:sz w:val="22"/>
          <w:szCs w:val="22"/>
          <w:lang w:val="en-PH"/>
        </w:rPr>
        <w:t>Conclusion</w:t>
      </w:r>
    </w:p>
    <w:p w14:paraId="08D9D395">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In conclusion, Mr Ahmed’s care highlights the critical importance of effective communication, efficient administration and strong collaborative working within health and social care. Communication must be appropriately adapted to meet his language and health needs, ensuring clear understanding and promoting equality in line with the Equality Act 2010.</w:t>
      </w:r>
    </w:p>
    <w:p w14:paraId="3DE2BF81">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Accurate record-keeping, alongside adherence to the Data Protection Act 2018, is essential for safeguarding patient safety, maintaining confidentiality and ensuring continuity of care. The missed medication incident clearly demonstrates how shortcomings in administrative processes can compromise outcomes and place individuals at risk.</w:t>
      </w:r>
    </w:p>
    <w:p w14:paraId="16E11032">
      <w:pPr>
        <w:pStyle w:val="4"/>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 xml:space="preserve">Furthermore, effective collaboration among professionals supports a holistic, co-ordinated approach to care delivery. By addressing communication barriers and strengthening teamwork, the quality and reliability of services can be enhanced. Ultimately, integrating these key principles enables the delivery of high-quality, </w:t>
      </w:r>
      <w:r>
        <w:rPr>
          <w:rFonts w:hint="default" w:ascii="Arial" w:hAnsi="Arial" w:cs="Arial"/>
          <w:sz w:val="22"/>
          <w:szCs w:val="22"/>
          <w:lang w:val="en-US"/>
        </w:rPr>
        <w:t>person-centered</w:t>
      </w:r>
      <w:r>
        <w:rPr>
          <w:rFonts w:hint="default" w:ascii="Arial" w:hAnsi="Arial" w:cs="Arial"/>
          <w:sz w:val="22"/>
          <w:szCs w:val="22"/>
        </w:rPr>
        <w:t xml:space="preserve"> care, leading to improved health outcomes and a better quality of life for Mr Ahmed.</w:t>
      </w:r>
    </w:p>
    <w:p w14:paraId="6A0B78C4">
      <w:pPr>
        <w:spacing w:line="360" w:lineRule="auto"/>
        <w:rPr>
          <w:rFonts w:hint="default" w:ascii="Arial" w:hAnsi="Arial" w:eastAsia="SimSun" w:cs="Arial"/>
          <w:sz w:val="22"/>
          <w:szCs w:val="22"/>
        </w:rPr>
      </w:pPr>
    </w:p>
    <w:p w14:paraId="4EF3C606">
      <w:pPr>
        <w:spacing w:line="360" w:lineRule="auto"/>
        <w:rPr>
          <w:rFonts w:hint="default" w:ascii="Arial" w:hAnsi="Arial" w:eastAsia="SimSun" w:cs="Arial"/>
          <w:sz w:val="22"/>
          <w:szCs w:val="22"/>
        </w:rPr>
      </w:pPr>
    </w:p>
    <w:p w14:paraId="26467F8E">
      <w:pPr>
        <w:spacing w:line="360" w:lineRule="auto"/>
        <w:rPr>
          <w:rFonts w:hint="default" w:ascii="Arial" w:hAnsi="Arial" w:eastAsia="SimSun" w:cs="Arial"/>
          <w:sz w:val="22"/>
          <w:szCs w:val="22"/>
        </w:rPr>
      </w:pPr>
    </w:p>
    <w:p w14:paraId="03E24DC8">
      <w:pPr>
        <w:spacing w:line="360" w:lineRule="auto"/>
        <w:rPr>
          <w:rFonts w:hint="default" w:ascii="Arial" w:hAnsi="Arial" w:eastAsia="SimSun" w:cs="Arial"/>
          <w:sz w:val="22"/>
          <w:szCs w:val="22"/>
        </w:rPr>
      </w:pPr>
    </w:p>
    <w:p w14:paraId="22CE47D9">
      <w:pPr>
        <w:spacing w:line="360" w:lineRule="auto"/>
        <w:rPr>
          <w:rFonts w:hint="default" w:ascii="Arial" w:hAnsi="Arial" w:cs="Arial"/>
          <w:b/>
          <w:bCs/>
          <w:sz w:val="22"/>
          <w:szCs w:val="22"/>
        </w:rPr>
      </w:pPr>
      <w:r>
        <w:rPr>
          <w:rFonts w:hint="default" w:ascii="Arial" w:hAnsi="Arial" w:cs="Arial"/>
          <w:b/>
          <w:bCs/>
          <w:sz w:val="22"/>
          <w:szCs w:val="22"/>
        </w:rPr>
        <w:t xml:space="preserve">References </w:t>
      </w:r>
    </w:p>
    <w:p w14:paraId="0CEC5B47">
      <w:pPr>
        <w:rPr>
          <w:rFonts w:hint="eastAsia"/>
        </w:rPr>
      </w:pPr>
    </w:p>
    <w:p w14:paraId="42F93D13">
      <w:pPr>
        <w:spacing w:line="360" w:lineRule="auto"/>
        <w:rPr>
          <w:rFonts w:hint="default" w:ascii="Arial" w:hAnsi="Arial" w:cs="Arial"/>
          <w:sz w:val="22"/>
          <w:szCs w:val="22"/>
        </w:rPr>
      </w:pPr>
      <w:r>
        <w:rPr>
          <w:rFonts w:hint="default" w:ascii="Arial" w:hAnsi="Arial" w:cs="Arial"/>
          <w:sz w:val="22"/>
          <w:szCs w:val="22"/>
        </w:rPr>
        <w:t>Department of Health and Social Care (2018) Data Protection Act 2018. London: HMSO.</w:t>
      </w:r>
    </w:p>
    <w:p w14:paraId="3DB3E9BC">
      <w:pPr>
        <w:spacing w:line="360" w:lineRule="auto"/>
        <w:rPr>
          <w:rFonts w:hint="default" w:ascii="Arial" w:hAnsi="Arial" w:cs="Arial"/>
          <w:sz w:val="22"/>
          <w:szCs w:val="22"/>
        </w:rPr>
      </w:pPr>
    </w:p>
    <w:p w14:paraId="35379249">
      <w:pPr>
        <w:spacing w:line="360" w:lineRule="auto"/>
        <w:rPr>
          <w:rFonts w:hint="default" w:ascii="Arial" w:hAnsi="Arial" w:cs="Arial"/>
          <w:sz w:val="22"/>
          <w:szCs w:val="22"/>
        </w:rPr>
      </w:pPr>
      <w:r>
        <w:rPr>
          <w:rFonts w:hint="default" w:ascii="Arial" w:hAnsi="Arial" w:cs="Arial"/>
          <w:sz w:val="22"/>
          <w:szCs w:val="22"/>
        </w:rPr>
        <w:t>Equality Act (2010) Equality Act 2010. London: The Stationery Office.</w:t>
      </w:r>
    </w:p>
    <w:p w14:paraId="1C011F5B">
      <w:pPr>
        <w:spacing w:line="360" w:lineRule="auto"/>
        <w:rPr>
          <w:rFonts w:hint="default" w:ascii="Arial" w:hAnsi="Arial" w:cs="Arial"/>
          <w:sz w:val="22"/>
          <w:szCs w:val="22"/>
        </w:rPr>
      </w:pPr>
    </w:p>
    <w:p w14:paraId="7F1EAE39">
      <w:pPr>
        <w:spacing w:line="360" w:lineRule="auto"/>
        <w:rPr>
          <w:rFonts w:hint="default" w:ascii="Arial" w:hAnsi="Arial" w:cs="Arial"/>
          <w:sz w:val="22"/>
          <w:szCs w:val="22"/>
        </w:rPr>
      </w:pPr>
      <w:r>
        <w:rPr>
          <w:rFonts w:hint="default" w:ascii="Arial" w:hAnsi="Arial" w:cs="Arial"/>
          <w:sz w:val="22"/>
          <w:szCs w:val="22"/>
        </w:rPr>
        <w:t xml:space="preserve">Nursing and Midwifery Council (2018) The Code: Professional standards of practice and </w:t>
      </w:r>
      <w:r>
        <w:rPr>
          <w:rFonts w:hint="default" w:ascii="Arial" w:hAnsi="Arial" w:cs="Arial"/>
          <w:sz w:val="22"/>
          <w:szCs w:val="22"/>
          <w:lang w:val="en-US"/>
        </w:rPr>
        <w:t>behavior</w:t>
      </w:r>
      <w:r>
        <w:rPr>
          <w:rFonts w:hint="default" w:ascii="Arial" w:hAnsi="Arial" w:cs="Arial"/>
          <w:sz w:val="22"/>
          <w:szCs w:val="22"/>
        </w:rPr>
        <w:t xml:space="preserve"> for nurses, midwives and nursing associates. London: NMC.</w:t>
      </w:r>
    </w:p>
    <w:p w14:paraId="309B22B0">
      <w:pPr>
        <w:spacing w:line="360" w:lineRule="auto"/>
        <w:rPr>
          <w:rFonts w:hint="default" w:ascii="Arial" w:hAnsi="Arial" w:cs="Arial"/>
          <w:sz w:val="22"/>
          <w:szCs w:val="22"/>
        </w:rPr>
      </w:pPr>
    </w:p>
    <w:p w14:paraId="3381939D">
      <w:pPr>
        <w:spacing w:line="360" w:lineRule="auto"/>
        <w:rPr>
          <w:rFonts w:hint="default" w:ascii="Arial" w:hAnsi="Arial" w:cs="Arial"/>
          <w:sz w:val="22"/>
          <w:szCs w:val="22"/>
        </w:rPr>
      </w:pPr>
      <w:r>
        <w:rPr>
          <w:rFonts w:hint="default" w:ascii="Arial" w:hAnsi="Arial" w:cs="Arial"/>
          <w:sz w:val="22"/>
          <w:szCs w:val="22"/>
        </w:rPr>
        <w:t>Tuckman, B. (1965) ‘Developmental sequence in small groups’, Psychological Bulletin, 63(6), pp. 384–399.</w:t>
      </w:r>
    </w:p>
    <w:p w14:paraId="7A7D297B">
      <w:pPr>
        <w:spacing w:line="360" w:lineRule="auto"/>
        <w:rPr>
          <w:rFonts w:hint="default" w:ascii="Arial" w:hAnsi="Arial" w:cs="Arial"/>
          <w:sz w:val="22"/>
          <w:szCs w:val="22"/>
        </w:rPr>
      </w:pPr>
    </w:p>
    <w:p w14:paraId="17D0B851">
      <w:pPr>
        <w:spacing w:line="360" w:lineRule="auto"/>
        <w:rPr>
          <w:rFonts w:hint="default" w:ascii="Arial" w:hAnsi="Arial" w:cs="Arial"/>
          <w:sz w:val="22"/>
          <w:szCs w:val="22"/>
        </w:rPr>
      </w:pPr>
      <w:r>
        <w:rPr>
          <w:rFonts w:hint="default" w:ascii="Arial" w:hAnsi="Arial" w:cs="Arial"/>
          <w:sz w:val="22"/>
          <w:szCs w:val="22"/>
        </w:rPr>
        <w:t>Shannon, C.E. and Weaver, W. (1949) The Mathematical Theory of Communication. Urbana: University of Illinois Press.</w:t>
      </w:r>
    </w:p>
    <w:p w14:paraId="006E2AF6">
      <w:pPr>
        <w:spacing w:line="360" w:lineRule="auto"/>
        <w:rPr>
          <w:rFonts w:hint="default" w:ascii="Arial" w:hAnsi="Arial" w:cs="Arial"/>
          <w:sz w:val="22"/>
          <w:szCs w:val="22"/>
        </w:rPr>
      </w:pPr>
    </w:p>
    <w:p w14:paraId="1AD55E11">
      <w:pPr>
        <w:spacing w:line="360" w:lineRule="auto"/>
        <w:rPr>
          <w:rFonts w:hint="default" w:ascii="Arial" w:hAnsi="Arial" w:cs="Arial"/>
          <w:sz w:val="22"/>
          <w:szCs w:val="22"/>
        </w:rPr>
      </w:pPr>
      <w:r>
        <w:rPr>
          <w:rFonts w:hint="default" w:ascii="Arial" w:hAnsi="Arial" w:cs="Arial"/>
          <w:sz w:val="22"/>
          <w:szCs w:val="22"/>
        </w:rPr>
        <w:t>Health and Care Professions Council (2016) Standards of conduct, performance and ethics. London: HCPC.</w:t>
      </w:r>
    </w:p>
    <w:p w14:paraId="6BA90580">
      <w:pPr/>
    </w:p>
    <w:p w14:paraId="7C5111F7">
      <w:pPr>
        <w:pStyle w:val="4"/>
        <w:keepNext w:val="0"/>
        <w:keepLines w:val="0"/>
        <w:widowControl/>
        <w:numPr>
          <w:ilvl w:val="0"/>
          <w:numId w:val="0"/>
        </w:numPr>
        <w:suppressLineNumbers w:val="0"/>
        <w:shd w:val="clear" w:fill="FFFFFF"/>
        <w:spacing w:before="0" w:beforeAutospacing="0" w:after="160" w:afterAutospacing="0" w:line="360" w:lineRule="auto"/>
        <w:ind w:leftChars="0" w:right="0" w:rightChars="0"/>
        <w:jc w:val="both"/>
        <w:rPr>
          <w:rFonts w:hint="default" w:ascii="Arial" w:hAnsi="Arial" w:eastAsia="sans-serif" w:cs="Arial"/>
          <w:i w:val="0"/>
          <w:iCs w:val="0"/>
          <w:caps w:val="0"/>
          <w:color w:val="172B4D"/>
          <w:spacing w:val="0"/>
          <w:sz w:val="22"/>
          <w:szCs w:val="22"/>
          <w:shd w:val="clear" w:fill="FFFFFF"/>
        </w:rPr>
      </w:pPr>
    </w:p>
    <w:p w14:paraId="798BC52C">
      <w:pPr>
        <w:pStyle w:val="4"/>
        <w:keepNext w:val="0"/>
        <w:keepLines w:val="0"/>
        <w:widowControl/>
        <w:suppressLineNumbers w:val="0"/>
        <w:shd w:val="clear" w:fill="FFFFFF"/>
        <w:spacing w:before="0" w:beforeAutospacing="0" w:after="160" w:afterAutospacing="0" w:line="360" w:lineRule="auto"/>
        <w:ind w:left="0" w:right="0" w:firstLine="0"/>
        <w:jc w:val="both"/>
        <w:rPr>
          <w:rFonts w:hint="default" w:ascii="Arial" w:hAnsi="Arial" w:eastAsia="sans-serif" w:cs="Arial"/>
          <w:i w:val="0"/>
          <w:iCs w:val="0"/>
          <w:caps w:val="0"/>
          <w:color w:val="172B4D"/>
          <w:spacing w:val="0"/>
          <w:sz w:val="22"/>
          <w:szCs w:val="22"/>
          <w:shd w:val="clear" w:fill="FFFFFF"/>
        </w:rPr>
      </w:pPr>
    </w:p>
    <w:p w14:paraId="33554D84">
      <w:pPr>
        <w:spacing w:line="360" w:lineRule="auto"/>
        <w:jc w:val="both"/>
        <w:rPr>
          <w:rFonts w:hint="default" w:ascii="Arial" w:hAnsi="Arial" w:eastAsia="sans-serif" w:cs="Arial"/>
          <w:i w:val="0"/>
          <w:iCs w:val="0"/>
          <w:caps w:val="0"/>
          <w:color w:val="172B4D"/>
          <w:spacing w:val="0"/>
          <w:sz w:val="22"/>
          <w:szCs w:val="22"/>
          <w:shd w:val="clear" w:fill="FFFFFF"/>
          <w:lang w:val="en-PH"/>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imSun">
    <w:panose1 w:val="02010600030101010101"/>
    <w:charset w:val="86"/>
    <w:family w:val="auto"/>
    <w:pitch w:val="default"/>
    <w:sig w:usb0="00000000" w:usb1="00000000" w:usb2="00000006" w:usb3="00000000" w:csb0="00040001" w:csb1="00000000"/>
  </w:font>
  <w:font w:name="sans-serif">
    <w:altName w:val="Superstar M54"/>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Superstar M54">
    <w:panose1 w:val="02000500000000000000"/>
    <w:charset w:val="00"/>
    <w:family w:val="auto"/>
    <w:pitch w:val="default"/>
    <w:sig w:usb0="00000000" w:usb1="00000000" w:usb2="00000000" w:usb3="00000000" w:csb0="20000111" w:csb1="41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BBD7666">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D94FFDC">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oZnRUCAgAAEgQAAA4AAABkcnMvZTJvRG9jLnhtbK1Ty4rbMBTdF/oP&#10;QvvGTkqHYOIM6QwphdAZyJSuFVmOBXohKbHTr++RHGeGtqvSjXR13/fco9X9oBU5Cx+kNTWdz0pK&#10;hOG2keZY0+8v2w9LSkJkpmHKGlHTiwj0fv3+3ap3lVjYzqpGeIIkJlS9q2kXo6uKIvBOaBZm1gkD&#10;Y2u9ZhFPfywaz3pk16pYlOVd0VvfOG+5CAHax9FI1zl/2woen9o2iEhUTdFbzKfP5yGdxXrFqqNn&#10;rpP82gb7hy40kwZFb6keWWTk5OUfqbTk3gbbxhm3urBtK7nIM2CaefnbNPuOOZFnATjB3WAK/y8t&#10;/3Z+9kQ22B0lhmms6EUMkXy2A5kndHoXKjjtHdziAHXyvOoDlGnoofU63RiHwA6cLzdsUzKegpaL&#10;5bKEicM2PZCneA13PsQvwmqShJp6LC9jys67EEfXySVVM3YrlYKeVcqQvqZ3Hz+VOeBmQXJlUCMN&#10;MTabpDgchusEB9tcMJi3IzGC41uJ4jsW4jPzYAIaBrvjE45WWRSxV4mSzvqff9MnfywIVkp6MKum&#10;BtSnRH01WFwi4ST4SThMgjnpBwuqYhnoJYsI8FFNYuut/gHKb1INmJjhqFTTOIkPcWQ3vgwXm012&#10;Ojkvj90YANo5Fndm73gqk9ALbnOKADNjnAAaUbniBuLlLV0/SWL223f2ev3K61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BrBAAAW0NvbnRlbnRf&#10;VHlwZXNdLnhtbFBLAQIUAAoAAAAAAIdO4kAAAAAAAAAAAAAAAAAGAAAAAAAAAAAAEAAAAE0DAABf&#10;cmVscy9QSwECFAAUAAAACACHTuJAihRmPNEAAACUAQAACwAAAAAAAAABACAAAABxAwAAX3JlbHMv&#10;LnJlbHNQSwECFAAKAAAAAACHTuJAAAAAAAAAAAAAAAAABAAAAAAAAAAAABAAAAAAAAAAZHJzL1BL&#10;AQIUABQAAAAIAIdO4kCzSVju0AAAAAUBAAAPAAAAAAAAAAEAIAAAACIAAABkcnMvZG93bnJldi54&#10;bWxQSwECFAAUAAAACACHTuJA2hmdFQICAAASBAAADgAAAAAAAAABACAAAAAfAQAAZHJzL2Uyb0Rv&#10;Yy54bWxQSwUGAAAAAAYABgBZAQAAkwUAAAAA&#10;">
              <v:fill on="f" focussize="0,0"/>
              <v:stroke on="f" weight="0.5pt"/>
              <v:imagedata o:title=""/>
              <o:lock v:ext="edit" aspectratio="f"/>
              <v:textbox inset="0mm,0mm,0mm,0mm" style="mso-fit-shape-to-text:t;">
                <w:txbxContent>
                  <w:p w14:paraId="4D94FFDC">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3797D7E"/>
    <w:multiLevelType w:val="singleLevel"/>
    <w:tmpl w:val="A3797D7E"/>
    <w:lvl w:ilvl="0" w:tentative="0">
      <w:start w:val="4"/>
      <w:numFmt w:val="decimal"/>
      <w:suff w:val="space"/>
      <w:lvlText w:val="%1."/>
      <w:lvlJc w:val="left"/>
    </w:lvl>
  </w:abstractNum>
  <w:abstractNum w:abstractNumId="1">
    <w:nsid w:val="C1A5C17E"/>
    <w:multiLevelType w:val="singleLevel"/>
    <w:tmpl w:val="C1A5C17E"/>
    <w:lvl w:ilvl="0" w:tentative="0">
      <w:start w:val="5"/>
      <w:numFmt w:val="decimal"/>
      <w:suff w:val="space"/>
      <w:lvlText w:val="%1."/>
      <w:lvlJc w:val="left"/>
    </w:lvl>
  </w:abstractNum>
  <w:abstractNum w:abstractNumId="2">
    <w:nsid w:val="2CFB3B9B"/>
    <w:multiLevelType w:val="singleLevel"/>
    <w:tmpl w:val="2CFB3B9B"/>
    <w:lvl w:ilvl="0" w:tentative="0">
      <w:start w:val="1"/>
      <w:numFmt w:val="decimal"/>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5">
    <w:name w:val="Default Paragraph Font"/>
    <w:semiHidden/>
    <w:qFormat/>
    <w:uiPriority w:val="0"/>
  </w:style>
  <w:style w:type="table" w:default="1" w:styleId="7">
    <w:name w:val="Normal Table"/>
    <w:semiHidden/>
    <w:uiPriority w:val="0"/>
    <w:tblPr>
      <w:tblLayout w:type="fixed"/>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szCs w:val="18"/>
    </w:rPr>
  </w:style>
  <w:style w:type="paragraph" w:styleId="3">
    <w:name w:val="header"/>
    <w:basedOn w:val="1"/>
    <w:qFormat/>
    <w:uiPriority w:val="0"/>
    <w:pPr>
      <w:tabs>
        <w:tab w:val="center" w:pos="4153"/>
        <w:tab w:val="right" w:pos="8306"/>
      </w:tabs>
      <w:snapToGrid w:val="0"/>
    </w:pPr>
    <w:rPr>
      <w:sz w:val="18"/>
      <w:szCs w:val="18"/>
    </w:rPr>
  </w:style>
  <w:style w:type="paragraph" w:styleId="4">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6">
    <w:name w:val="Strong"/>
    <w:basedOn w:val="5"/>
    <w:qFormat/>
    <w:uiPriority w:val="0"/>
    <w:rPr>
      <w:b/>
      <w:bCs/>
    </w:rPr>
  </w:style>
  <w:style w:type="paragraph" w:customStyle="1" w:styleId="8">
    <w:name w:val="WPSOffice手动目录 1"/>
    <w:qFormat/>
    <w:uiPriority w:val="0"/>
    <w:pPr>
      <w:ind w:leftChars="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664963df-4808-4a71-a8a1-ec597fa6d85f}"/>
        <w:style w:val=""/>
        <w:category>
          <w:name w:val="General"/>
          <w:gallery w:val="placeholder"/>
        </w:category>
        <w:types>
          <w:type w:val="bbPlcHdr"/>
        </w:types>
        <w:behaviors>
          <w:behavior w:val="content"/>
        </w:behaviors>
        <w:description w:val=""/>
        <w:guid w:val="{664963df-4808-4a71-a8a1-ec597fa6d85f}"/>
      </w:docPartPr>
      <w:docPartBody>
        <w:p w14:paraId="09BF4587">
          <w:pPr/>
          <w:r>
            <w:rPr>
              <w:color w:val="808080"/>
            </w:rPr>
            <w:t>Click here to enter text.</w:t>
          </w:r>
        </w:p>
      </w:docPartBody>
    </w:docPart>
    <w:docPart>
      <w:docPartPr>
        <w:name w:val="{8996539e-9272-4d2f-a0e8-7ad52e8f020c}"/>
        <w:style w:val=""/>
        <w:category>
          <w:name w:val="General"/>
          <w:gallery w:val="placeholder"/>
        </w:category>
        <w:types>
          <w:type w:val="bbPlcHdr"/>
        </w:types>
        <w:behaviors>
          <w:behavior w:val="content"/>
        </w:behaviors>
        <w:description w:val=""/>
        <w:guid w:val="{8996539e-9272-4d2f-a0e8-7ad52e8f020c}"/>
      </w:docPartPr>
      <w:docPartBody>
        <w:p w14:paraId="65895C90">
          <w:pPr/>
          <w:r>
            <w:rPr>
              <w:color w:val="808080"/>
            </w:rPr>
            <w:t>Click here to enter text.</w:t>
          </w:r>
        </w:p>
      </w:docPartBody>
    </w:docPart>
    <w:docPart>
      <w:docPartPr>
        <w:name w:val="{4ab12005-69c7-4a7f-b4fe-6602955790b4}"/>
        <w:style w:val=""/>
        <w:category>
          <w:name w:val="General"/>
          <w:gallery w:val="placeholder"/>
        </w:category>
        <w:types>
          <w:type w:val="bbPlcHdr"/>
        </w:types>
        <w:behaviors>
          <w:behavior w:val="content"/>
        </w:behaviors>
        <w:description w:val=""/>
        <w:guid w:val="{4ab12005-69c7-4a7f-b4fe-6602955790b4}"/>
      </w:docPartPr>
      <w:docPartBody>
        <w:p w14:paraId="2AC0C600">
          <w:pPr/>
          <w:r>
            <w:rPr>
              <w:color w:val="808080"/>
            </w:rPr>
            <w:t>Click here to enter text.</w:t>
          </w:r>
        </w:p>
      </w:docPartBody>
    </w:docPart>
    <w:docPart>
      <w:docPartPr>
        <w:name w:val="{3dc42b06-b686-4133-8486-3a84becec2a6}"/>
        <w:style w:val=""/>
        <w:category>
          <w:name w:val="General"/>
          <w:gallery w:val="placeholder"/>
        </w:category>
        <w:types>
          <w:type w:val="bbPlcHdr"/>
        </w:types>
        <w:behaviors>
          <w:behavior w:val="content"/>
        </w:behaviors>
        <w:description w:val=""/>
        <w:guid w:val="{3dc42b06-b686-4133-8486-3a84becec2a6}"/>
      </w:docPartPr>
      <w:docPartBody>
        <w:p w14:paraId="68DEF132">
          <w:pPr/>
          <w:r>
            <w:rPr>
              <w:color w:val="808080"/>
            </w:rPr>
            <w:t>Click here to enter text.</w:t>
          </w:r>
        </w:p>
      </w:docPartBody>
    </w:docPart>
    <w:docPart>
      <w:docPartPr>
        <w:name w:val="{85ad3328-8b22-4a8c-bc2c-1b9c90c50722}"/>
        <w:style w:val=""/>
        <w:category>
          <w:name w:val="General"/>
          <w:gallery w:val="placeholder"/>
        </w:category>
        <w:types>
          <w:type w:val="bbPlcHdr"/>
        </w:types>
        <w:behaviors>
          <w:behavior w:val="content"/>
        </w:behaviors>
        <w:description w:val=""/>
        <w:guid w:val="{85ad3328-8b22-4a8c-bc2c-1b9c90c50722}"/>
      </w:docPartPr>
      <w:docPartBody>
        <w:p w14:paraId="6EA8A141">
          <w:pPr/>
          <w:r>
            <w:rPr>
              <w:color w:val="808080"/>
            </w:rPr>
            <w:t>Click here to enter text.</w:t>
          </w:r>
        </w:p>
      </w:docPartBody>
    </w:docPart>
    <w:docPart>
      <w:docPartPr>
        <w:name w:val="{26323766-7632-4129-8aa6-208225654b50}"/>
        <w:style w:val=""/>
        <w:category>
          <w:name w:val="General"/>
          <w:gallery w:val="placeholder"/>
        </w:category>
        <w:types>
          <w:type w:val="bbPlcHdr"/>
        </w:types>
        <w:behaviors>
          <w:behavior w:val="content"/>
        </w:behaviors>
        <w:description w:val=""/>
        <w:guid w:val="{26323766-7632-4129-8aa6-208225654b50}"/>
      </w:docPartPr>
      <w:docPartBody>
        <w:p w14:paraId="0498E755">
          <w:pPr/>
          <w:r>
            <w:rPr>
              <w:color w:val="808080"/>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imSun">
    <w:panose1 w:val="02010600030101010101"/>
    <w:charset w:val="86"/>
    <w:family w:val="auto"/>
    <w:pitch w:val="default"/>
    <w:sig w:usb0="00000000" w:usb1="00000000" w:usb2="00000006" w:usb3="00000000" w:csb0="00040001" w:csb1="00000000"/>
  </w:font>
  <w:font w:name="sans-serif">
    <w:altName w:val="Superstar M54"/>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Superstar M54">
    <w:panose1 w:val="02000500000000000000"/>
    <w:charset w:val="00"/>
    <w:family w:val="auto"/>
    <w:pitch w:val="default"/>
    <w:sig w:usb0="00000000" w:usb1="00000000" w:usb2="00000000" w:usb3="00000000" w:csb0="20000111" w:csb1="41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splitPgBreakAndParaMark/>
    <w:compatSetting w:name="compatibilityMode" w:uri="http://schemas.microsoft.com/office/word" w:val="14"/>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2026-04-13T18:12:00Z</dcterms:created>
  <dc:creator>Hannah Anisco</dc:creator>
  <cp:lastModifiedBy>iPad</cp:lastModifiedBy>
  <dcterms:modified xsi:type="dcterms:W3CDTF">2026-04-24T00:56:51Z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3081-26.3.1</vt:lpwstr>
  </property>
  <property fmtid="{D5CDD505-2E9C-101B-9397-08002B2CF9AE}" pid="3" name="ICV">
    <vt:lpwstr>BC13134E97A92F78BC4EEA69B869BBA0_33</vt:lpwstr>
  </property>
</Properties>
</file>