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70758" w:rsidRPr="00977E44" w:rsidRDefault="00D70758" w:rsidP="00D70758">
      <w:pPr>
        <w:jc w:val="center"/>
        <w:rPr>
          <w:b/>
          <w:bCs/>
          <w:lang w:val="en-US" w:eastAsia="en-GB"/>
        </w:rPr>
      </w:pPr>
      <w:r w:rsidRPr="00977E44">
        <w:rPr>
          <w:b/>
          <w:bCs/>
          <w:lang w:eastAsia="en-GB"/>
        </w:rPr>
        <w:drawing>
          <wp:inline distT="0" distB="0" distL="0" distR="0" wp14:anchorId="42F47DCA" wp14:editId="388A99AE">
            <wp:extent cx="2464285" cy="981710"/>
            <wp:effectExtent l="0" t="0" r="0" b="0"/>
            <wp:docPr id="16152367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476669" cy="986644"/>
                    </a:xfrm>
                    <a:prstGeom prst="rect">
                      <a:avLst/>
                    </a:prstGeom>
                    <a:noFill/>
                  </pic:spPr>
                </pic:pic>
              </a:graphicData>
            </a:graphic>
          </wp:inline>
        </w:drawing>
      </w:r>
    </w:p>
    <w:p w:rsidR="00D70758" w:rsidRPr="00977E44" w:rsidRDefault="00D70758" w:rsidP="00D70758">
      <w:pPr>
        <w:jc w:val="center"/>
        <w:rPr>
          <w:b/>
          <w:bCs/>
          <w:lang w:val="en-US" w:eastAsia="en-GB"/>
        </w:rPr>
      </w:pPr>
      <w:r w:rsidRPr="00977E44">
        <w:rPr>
          <w:b/>
          <w:bCs/>
          <w:lang w:val="en-US" w:eastAsia="en-GB"/>
        </w:rPr>
        <w:t>Programme:</w:t>
      </w:r>
      <w:r w:rsidRPr="00977E44">
        <w:rPr>
          <w:b/>
          <w:bCs/>
          <w:lang w:val="en-US" w:eastAsia="en-GB"/>
        </w:rPr>
        <w:tab/>
        <w:t>Master of Business Administration</w:t>
      </w:r>
    </w:p>
    <w:p w:rsidR="00D70758" w:rsidRPr="00977E44" w:rsidRDefault="00D70758" w:rsidP="00D70758">
      <w:pPr>
        <w:jc w:val="center"/>
        <w:rPr>
          <w:b/>
          <w:bCs/>
          <w:lang w:val="en-US" w:eastAsia="en-GB"/>
        </w:rPr>
      </w:pPr>
      <w:r w:rsidRPr="00977E44">
        <w:rPr>
          <w:b/>
          <w:bCs/>
          <w:lang w:val="en-US" w:eastAsia="en-GB"/>
        </w:rPr>
        <w:t xml:space="preserve">Module: </w:t>
      </w:r>
      <w:r w:rsidRPr="00D70758">
        <w:rPr>
          <w:b/>
          <w:bCs/>
          <w:lang w:eastAsia="en-GB"/>
        </w:rPr>
        <w:t>Marketing Management</w:t>
      </w:r>
    </w:p>
    <w:p w:rsidR="00D70758" w:rsidRPr="00977E44" w:rsidRDefault="00D70758" w:rsidP="00D70758">
      <w:pPr>
        <w:jc w:val="center"/>
        <w:rPr>
          <w:b/>
          <w:bCs/>
          <w:lang w:val="en-US" w:eastAsia="en-GB"/>
        </w:rPr>
      </w:pPr>
      <w:r>
        <w:rPr>
          <w:b/>
          <w:bCs/>
          <w:lang w:eastAsia="en-GB"/>
        </w:rPr>
        <w:t>Module code: LCMB7024</w:t>
      </w:r>
    </w:p>
    <w:p w:rsidR="00D70758" w:rsidRDefault="00D70758" w:rsidP="00D70758">
      <w:pPr>
        <w:jc w:val="center"/>
        <w:rPr>
          <w:b/>
          <w:bCs/>
          <w:lang w:eastAsia="en-GB"/>
        </w:rPr>
      </w:pPr>
      <w:r w:rsidRPr="00977E44">
        <w:rPr>
          <w:b/>
          <w:bCs/>
          <w:lang w:val="en-US" w:eastAsia="en-GB"/>
        </w:rPr>
        <w:t xml:space="preserve">Lecturer: </w:t>
      </w:r>
      <w:r w:rsidRPr="00D70758">
        <w:rPr>
          <w:b/>
          <w:bCs/>
          <w:lang w:eastAsia="en-GB"/>
        </w:rPr>
        <w:t>Taonga Kaonga Sobere-Snithers (Birmingham)</w:t>
      </w:r>
    </w:p>
    <w:p w:rsidR="00D70758" w:rsidRPr="00977E44" w:rsidRDefault="00D70758" w:rsidP="00D70758">
      <w:pPr>
        <w:jc w:val="center"/>
        <w:rPr>
          <w:b/>
          <w:bCs/>
          <w:lang w:val="en-US" w:eastAsia="en-GB"/>
        </w:rPr>
      </w:pPr>
      <w:r>
        <w:rPr>
          <w:b/>
          <w:bCs/>
          <w:lang w:val="en-US" w:eastAsia="en-GB"/>
        </w:rPr>
        <w:t xml:space="preserve">Assignment Title: </w:t>
      </w:r>
      <w:r w:rsidRPr="00D70758">
        <w:rPr>
          <w:b/>
          <w:bCs/>
          <w:lang w:eastAsia="en-GB"/>
        </w:rPr>
        <w:t>Marketing Environment Analysis</w:t>
      </w:r>
    </w:p>
    <w:p w:rsidR="00D70758" w:rsidRPr="00977E44" w:rsidRDefault="00D70758" w:rsidP="00D70758">
      <w:pPr>
        <w:jc w:val="center"/>
        <w:rPr>
          <w:b/>
          <w:bCs/>
          <w:lang w:val="en-US" w:eastAsia="en-GB"/>
        </w:rPr>
      </w:pPr>
      <w:r w:rsidRPr="00977E44">
        <w:rPr>
          <w:b/>
          <w:bCs/>
          <w:lang w:val="en-US" w:eastAsia="en-GB"/>
        </w:rPr>
        <w:t xml:space="preserve">Student Name: </w:t>
      </w:r>
      <w:r w:rsidRPr="00D70758">
        <w:rPr>
          <w:b/>
          <w:bCs/>
          <w:lang w:eastAsia="en-GB"/>
        </w:rPr>
        <w:t>Md Nasir Johan Anik</w:t>
      </w:r>
    </w:p>
    <w:p w:rsidR="00D70758" w:rsidRDefault="00D70758" w:rsidP="00D70758">
      <w:pPr>
        <w:jc w:val="center"/>
        <w:rPr>
          <w:b/>
          <w:bCs/>
          <w:lang w:val="en-US" w:eastAsia="en-GB"/>
        </w:rPr>
      </w:pPr>
      <w:r w:rsidRPr="00977E44">
        <w:rPr>
          <w:b/>
          <w:bCs/>
          <w:lang w:val="en-US" w:eastAsia="en-GB"/>
        </w:rPr>
        <w:t xml:space="preserve">Student ID: </w:t>
      </w:r>
      <w:r w:rsidRPr="005B11DD">
        <w:rPr>
          <w:b/>
          <w:bCs/>
          <w:lang w:val="en-US" w:eastAsia="en-GB"/>
        </w:rPr>
        <w:t>2527013</w:t>
      </w:r>
    </w:p>
    <w:p w:rsidR="00D70758" w:rsidRPr="00D70758" w:rsidRDefault="00D70758" w:rsidP="00D70758">
      <w:pPr>
        <w:spacing w:before="200" w:after="100"/>
        <w:jc w:val="center"/>
      </w:pPr>
      <w:r>
        <w:rPr>
          <w:b/>
          <w:bCs/>
          <w:lang w:val="en-US" w:eastAsia="en-GB"/>
        </w:rPr>
        <w:t>Word Count:</w:t>
      </w:r>
      <w:r w:rsidR="008133EF">
        <w:rPr>
          <w:b/>
          <w:bCs/>
          <w:lang w:val="en-US" w:eastAsia="en-GB"/>
        </w:rPr>
        <w:t xml:space="preserve"> 2613</w:t>
      </w:r>
    </w:p>
    <w:p w:rsidR="00D70758" w:rsidRDefault="00D70758" w:rsidP="00D70758">
      <w:pPr>
        <w:spacing w:before="200" w:after="100"/>
        <w:jc w:val="center"/>
      </w:pPr>
    </w:p>
    <w:p w:rsidR="002A2C6D" w:rsidRDefault="002A2C6D" w:rsidP="002A2C6D">
      <w:pPr>
        <w:spacing w:before="200" w:after="100"/>
        <w:jc w:val="center"/>
      </w:pPr>
    </w:p>
    <w:p w:rsidR="002A2C6D" w:rsidRDefault="002A2C6D" w:rsidP="002A2C6D"/>
    <w:p w:rsidR="002A2C6D" w:rsidRDefault="002A2C6D" w:rsidP="002A2C6D"/>
    <w:p w:rsidR="002A2C6D" w:rsidRDefault="002A2C6D" w:rsidP="002A2C6D"/>
    <w:p w:rsidR="002A2C6D" w:rsidRDefault="002A2C6D" w:rsidP="002A2C6D"/>
    <w:p w:rsidR="002A2C6D" w:rsidRDefault="002A2C6D" w:rsidP="002A2C6D"/>
    <w:p w:rsidR="002A2C6D" w:rsidRPr="002A2C6D" w:rsidRDefault="002A2C6D" w:rsidP="002A2C6D"/>
    <w:p w:rsidR="002A2C6D" w:rsidRDefault="002A2C6D">
      <w:pPr>
        <w:spacing w:before="0" w:line="259" w:lineRule="auto"/>
        <w:jc w:val="left"/>
        <w:rPr>
          <w:rFonts w:eastAsia="Arial" w:cs="Arial"/>
          <w:b/>
          <w:bCs/>
          <w:color w:val="1F4E79"/>
          <w:sz w:val="28"/>
          <w:szCs w:val="28"/>
        </w:rPr>
      </w:pPr>
      <w:r>
        <w:br w:type="page"/>
      </w:r>
    </w:p>
    <w:sdt>
      <w:sdtPr>
        <w:rPr>
          <w:rFonts w:ascii="Arial" w:eastAsiaTheme="minorHAnsi" w:hAnsi="Arial" w:cstheme="minorBidi"/>
          <w:color w:val="auto"/>
          <w:sz w:val="22"/>
          <w:szCs w:val="22"/>
        </w:rPr>
        <w:id w:val="1708145794"/>
        <w:docPartObj>
          <w:docPartGallery w:val="Table of Contents"/>
          <w:docPartUnique/>
        </w:docPartObj>
      </w:sdtPr>
      <w:sdtEndPr>
        <w:rPr>
          <w:b/>
          <w:bCs/>
          <w:sz w:val="24"/>
        </w:rPr>
      </w:sdtEndPr>
      <w:sdtContent>
        <w:p w:rsidR="002A2C6D" w:rsidRDefault="002A2C6D">
          <w:pPr>
            <w:pStyle w:val="TOCHeading"/>
          </w:pPr>
          <w:r>
            <w:t>Table of Contents</w:t>
          </w:r>
        </w:p>
        <w:p w:rsidR="00E73D99" w:rsidRDefault="002A2C6D">
          <w:pPr>
            <w:pStyle w:val="TOC1"/>
            <w:tabs>
              <w:tab w:val="right" w:leader="dot" w:pos="9350"/>
            </w:tabs>
            <w:rPr>
              <w:rFonts w:asciiTheme="minorHAnsi" w:eastAsiaTheme="minorEastAsia" w:hAnsiTheme="minorHAnsi"/>
              <w:sz w:val="22"/>
              <w:lang w:eastAsia="en-GB"/>
            </w:rPr>
          </w:pPr>
          <w:r>
            <w:rPr>
              <w:b/>
              <w:bCs/>
            </w:rPr>
            <w:fldChar w:fldCharType="begin"/>
          </w:r>
          <w:r>
            <w:rPr>
              <w:b/>
              <w:bCs/>
            </w:rPr>
            <w:instrText xml:space="preserve"> TOC \o "1-3" \h \z \u </w:instrText>
          </w:r>
          <w:r>
            <w:rPr>
              <w:b/>
              <w:bCs/>
            </w:rPr>
            <w:fldChar w:fldCharType="separate"/>
          </w:r>
          <w:hyperlink w:anchor="_Toc233367684" w:history="1">
            <w:r w:rsidR="00E73D99" w:rsidRPr="00E842F5">
              <w:rPr>
                <w:rStyle w:val="Hyperlink"/>
              </w:rPr>
              <w:t>Task 1: Marketing Environment Analysis</w:t>
            </w:r>
            <w:r w:rsidR="00E73D99">
              <w:rPr>
                <w:webHidden/>
              </w:rPr>
              <w:tab/>
            </w:r>
            <w:r w:rsidR="00E73D99">
              <w:rPr>
                <w:webHidden/>
              </w:rPr>
              <w:fldChar w:fldCharType="begin"/>
            </w:r>
            <w:r w:rsidR="00E73D99">
              <w:rPr>
                <w:webHidden/>
              </w:rPr>
              <w:instrText xml:space="preserve"> PAGEREF _Toc233367684 \h </w:instrText>
            </w:r>
            <w:r w:rsidR="00E73D99">
              <w:rPr>
                <w:webHidden/>
              </w:rPr>
            </w:r>
            <w:r w:rsidR="00E73D99">
              <w:rPr>
                <w:webHidden/>
              </w:rPr>
              <w:fldChar w:fldCharType="separate"/>
            </w:r>
            <w:r w:rsidR="00E73D99">
              <w:rPr>
                <w:webHidden/>
              </w:rPr>
              <w:t>3</w:t>
            </w:r>
            <w:r w:rsidR="00E73D99">
              <w:rPr>
                <w:webHidden/>
              </w:rPr>
              <w:fldChar w:fldCharType="end"/>
            </w:r>
          </w:hyperlink>
        </w:p>
        <w:p w:rsidR="00E73D99" w:rsidRDefault="00E73D99">
          <w:pPr>
            <w:pStyle w:val="TOC1"/>
            <w:tabs>
              <w:tab w:val="right" w:leader="dot" w:pos="9350"/>
            </w:tabs>
            <w:rPr>
              <w:rFonts w:asciiTheme="minorHAnsi" w:eastAsiaTheme="minorEastAsia" w:hAnsiTheme="minorHAnsi"/>
              <w:sz w:val="22"/>
              <w:lang w:eastAsia="en-GB"/>
            </w:rPr>
          </w:pPr>
          <w:hyperlink w:anchor="_Toc233367685" w:history="1">
            <w:r w:rsidRPr="00E842F5">
              <w:rPr>
                <w:rStyle w:val="Hyperlink"/>
              </w:rPr>
              <w:t>Introduction</w:t>
            </w:r>
            <w:r>
              <w:rPr>
                <w:webHidden/>
              </w:rPr>
              <w:tab/>
            </w:r>
            <w:r>
              <w:rPr>
                <w:webHidden/>
              </w:rPr>
              <w:fldChar w:fldCharType="begin"/>
            </w:r>
            <w:r>
              <w:rPr>
                <w:webHidden/>
              </w:rPr>
              <w:instrText xml:space="preserve"> PAGEREF _Toc233367685 \h </w:instrText>
            </w:r>
            <w:r>
              <w:rPr>
                <w:webHidden/>
              </w:rPr>
            </w:r>
            <w:r>
              <w:rPr>
                <w:webHidden/>
              </w:rPr>
              <w:fldChar w:fldCharType="separate"/>
            </w:r>
            <w:r>
              <w:rPr>
                <w:webHidden/>
              </w:rPr>
              <w:t>3</w:t>
            </w:r>
            <w:r>
              <w:rPr>
                <w:webHidden/>
              </w:rPr>
              <w:fldChar w:fldCharType="end"/>
            </w:r>
          </w:hyperlink>
        </w:p>
        <w:p w:rsidR="00E73D99" w:rsidRDefault="00E73D99">
          <w:pPr>
            <w:pStyle w:val="TOC2"/>
            <w:tabs>
              <w:tab w:val="right" w:leader="dot" w:pos="9350"/>
            </w:tabs>
            <w:rPr>
              <w:rFonts w:asciiTheme="minorHAnsi" w:eastAsiaTheme="minorEastAsia" w:hAnsiTheme="minorHAnsi"/>
              <w:sz w:val="22"/>
              <w:lang w:eastAsia="en-GB"/>
            </w:rPr>
          </w:pPr>
          <w:hyperlink w:anchor="_Toc233367686" w:history="1">
            <w:r w:rsidRPr="00E842F5">
              <w:rPr>
                <w:rStyle w:val="Hyperlink"/>
              </w:rPr>
              <w:t>Actor 1: The Natural Environment</w:t>
            </w:r>
            <w:r>
              <w:rPr>
                <w:webHidden/>
              </w:rPr>
              <w:tab/>
            </w:r>
            <w:r>
              <w:rPr>
                <w:webHidden/>
              </w:rPr>
              <w:fldChar w:fldCharType="begin"/>
            </w:r>
            <w:r>
              <w:rPr>
                <w:webHidden/>
              </w:rPr>
              <w:instrText xml:space="preserve"> PAGEREF _Toc233367686 \h </w:instrText>
            </w:r>
            <w:r>
              <w:rPr>
                <w:webHidden/>
              </w:rPr>
            </w:r>
            <w:r>
              <w:rPr>
                <w:webHidden/>
              </w:rPr>
              <w:fldChar w:fldCharType="separate"/>
            </w:r>
            <w:r>
              <w:rPr>
                <w:webHidden/>
              </w:rPr>
              <w:t>3</w:t>
            </w:r>
            <w:r>
              <w:rPr>
                <w:webHidden/>
              </w:rPr>
              <w:fldChar w:fldCharType="end"/>
            </w:r>
          </w:hyperlink>
        </w:p>
        <w:p w:rsidR="00E73D99" w:rsidRDefault="00E73D99">
          <w:pPr>
            <w:pStyle w:val="TOC2"/>
            <w:tabs>
              <w:tab w:val="right" w:leader="dot" w:pos="9350"/>
            </w:tabs>
            <w:rPr>
              <w:rFonts w:asciiTheme="minorHAnsi" w:eastAsiaTheme="minorEastAsia" w:hAnsiTheme="minorHAnsi"/>
              <w:sz w:val="22"/>
              <w:lang w:eastAsia="en-GB"/>
            </w:rPr>
          </w:pPr>
          <w:hyperlink w:anchor="_Toc233367687" w:history="1">
            <w:r w:rsidRPr="00E842F5">
              <w:rPr>
                <w:rStyle w:val="Hyperlink"/>
              </w:rPr>
              <w:t>Actor 2: Political and Regulatory Landscape</w:t>
            </w:r>
            <w:r>
              <w:rPr>
                <w:webHidden/>
              </w:rPr>
              <w:tab/>
            </w:r>
            <w:r>
              <w:rPr>
                <w:webHidden/>
              </w:rPr>
              <w:fldChar w:fldCharType="begin"/>
            </w:r>
            <w:r>
              <w:rPr>
                <w:webHidden/>
              </w:rPr>
              <w:instrText xml:space="preserve"> PAGEREF _Toc233367687 \h </w:instrText>
            </w:r>
            <w:r>
              <w:rPr>
                <w:webHidden/>
              </w:rPr>
            </w:r>
            <w:r>
              <w:rPr>
                <w:webHidden/>
              </w:rPr>
              <w:fldChar w:fldCharType="separate"/>
            </w:r>
            <w:r>
              <w:rPr>
                <w:webHidden/>
              </w:rPr>
              <w:t>5</w:t>
            </w:r>
            <w:r>
              <w:rPr>
                <w:webHidden/>
              </w:rPr>
              <w:fldChar w:fldCharType="end"/>
            </w:r>
          </w:hyperlink>
        </w:p>
        <w:p w:rsidR="00E73D99" w:rsidRDefault="00E73D99">
          <w:pPr>
            <w:pStyle w:val="TOC1"/>
            <w:tabs>
              <w:tab w:val="right" w:leader="dot" w:pos="9350"/>
            </w:tabs>
            <w:rPr>
              <w:rFonts w:asciiTheme="minorHAnsi" w:eastAsiaTheme="minorEastAsia" w:hAnsiTheme="minorHAnsi"/>
              <w:sz w:val="22"/>
              <w:lang w:eastAsia="en-GB"/>
            </w:rPr>
          </w:pPr>
          <w:hyperlink w:anchor="_Toc233367688" w:history="1">
            <w:r w:rsidRPr="00E842F5">
              <w:rPr>
                <w:rStyle w:val="Hyperlink"/>
              </w:rPr>
              <w:t>Task 2: Strategic Development and Competitive Positioning</w:t>
            </w:r>
            <w:r>
              <w:rPr>
                <w:webHidden/>
              </w:rPr>
              <w:tab/>
            </w:r>
            <w:r>
              <w:rPr>
                <w:webHidden/>
              </w:rPr>
              <w:fldChar w:fldCharType="begin"/>
            </w:r>
            <w:r>
              <w:rPr>
                <w:webHidden/>
              </w:rPr>
              <w:instrText xml:space="preserve"> PAGEREF _Toc233367688 \h </w:instrText>
            </w:r>
            <w:r>
              <w:rPr>
                <w:webHidden/>
              </w:rPr>
            </w:r>
            <w:r>
              <w:rPr>
                <w:webHidden/>
              </w:rPr>
              <w:fldChar w:fldCharType="separate"/>
            </w:r>
            <w:r>
              <w:rPr>
                <w:webHidden/>
              </w:rPr>
              <w:t>8</w:t>
            </w:r>
            <w:r>
              <w:rPr>
                <w:webHidden/>
              </w:rPr>
              <w:fldChar w:fldCharType="end"/>
            </w:r>
          </w:hyperlink>
        </w:p>
        <w:p w:rsidR="00E73D99" w:rsidRDefault="00E73D99">
          <w:pPr>
            <w:pStyle w:val="TOC1"/>
            <w:tabs>
              <w:tab w:val="right" w:leader="dot" w:pos="9350"/>
            </w:tabs>
            <w:rPr>
              <w:rFonts w:asciiTheme="minorHAnsi" w:eastAsiaTheme="minorEastAsia" w:hAnsiTheme="minorHAnsi"/>
              <w:sz w:val="22"/>
              <w:lang w:eastAsia="en-GB"/>
            </w:rPr>
          </w:pPr>
          <w:hyperlink w:anchor="_Toc233367689" w:history="1">
            <w:r w:rsidRPr="00E842F5">
              <w:rPr>
                <w:rStyle w:val="Hyperlink"/>
              </w:rPr>
              <w:t>Applying Ansoff Matrix</w:t>
            </w:r>
            <w:r>
              <w:rPr>
                <w:webHidden/>
              </w:rPr>
              <w:tab/>
            </w:r>
            <w:r>
              <w:rPr>
                <w:webHidden/>
              </w:rPr>
              <w:fldChar w:fldCharType="begin"/>
            </w:r>
            <w:r>
              <w:rPr>
                <w:webHidden/>
              </w:rPr>
              <w:instrText xml:space="preserve"> PAGEREF _Toc233367689 \h </w:instrText>
            </w:r>
            <w:r>
              <w:rPr>
                <w:webHidden/>
              </w:rPr>
            </w:r>
            <w:r>
              <w:rPr>
                <w:webHidden/>
              </w:rPr>
              <w:fldChar w:fldCharType="separate"/>
            </w:r>
            <w:r>
              <w:rPr>
                <w:webHidden/>
              </w:rPr>
              <w:t>8</w:t>
            </w:r>
            <w:r>
              <w:rPr>
                <w:webHidden/>
              </w:rPr>
              <w:fldChar w:fldCharType="end"/>
            </w:r>
          </w:hyperlink>
        </w:p>
        <w:p w:rsidR="00E73D99" w:rsidRDefault="00E73D99">
          <w:pPr>
            <w:pStyle w:val="TOC2"/>
            <w:tabs>
              <w:tab w:val="right" w:leader="dot" w:pos="9350"/>
            </w:tabs>
            <w:rPr>
              <w:rFonts w:asciiTheme="minorHAnsi" w:eastAsiaTheme="minorEastAsia" w:hAnsiTheme="minorHAnsi"/>
              <w:sz w:val="22"/>
              <w:lang w:eastAsia="en-GB"/>
            </w:rPr>
          </w:pPr>
          <w:hyperlink w:anchor="_Toc233367690" w:history="1">
            <w:r w:rsidRPr="00E842F5">
              <w:rPr>
                <w:rStyle w:val="Hyperlink"/>
              </w:rPr>
              <w:t>Recommended Strategy 1: Product Development – Green Steel</w:t>
            </w:r>
            <w:r>
              <w:rPr>
                <w:webHidden/>
              </w:rPr>
              <w:tab/>
            </w:r>
            <w:r>
              <w:rPr>
                <w:webHidden/>
              </w:rPr>
              <w:fldChar w:fldCharType="begin"/>
            </w:r>
            <w:r>
              <w:rPr>
                <w:webHidden/>
              </w:rPr>
              <w:instrText xml:space="preserve"> PAGEREF _Toc233367690 \h </w:instrText>
            </w:r>
            <w:r>
              <w:rPr>
                <w:webHidden/>
              </w:rPr>
            </w:r>
            <w:r>
              <w:rPr>
                <w:webHidden/>
              </w:rPr>
              <w:fldChar w:fldCharType="separate"/>
            </w:r>
            <w:r>
              <w:rPr>
                <w:webHidden/>
              </w:rPr>
              <w:t>8</w:t>
            </w:r>
            <w:r>
              <w:rPr>
                <w:webHidden/>
              </w:rPr>
              <w:fldChar w:fldCharType="end"/>
            </w:r>
          </w:hyperlink>
        </w:p>
        <w:p w:rsidR="00E73D99" w:rsidRDefault="00E73D99">
          <w:pPr>
            <w:pStyle w:val="TOC2"/>
            <w:tabs>
              <w:tab w:val="right" w:leader="dot" w:pos="9350"/>
            </w:tabs>
            <w:rPr>
              <w:rFonts w:asciiTheme="minorHAnsi" w:eastAsiaTheme="minorEastAsia" w:hAnsiTheme="minorHAnsi"/>
              <w:sz w:val="22"/>
              <w:lang w:eastAsia="en-GB"/>
            </w:rPr>
          </w:pPr>
          <w:hyperlink w:anchor="_Toc233367691" w:history="1">
            <w:r w:rsidRPr="00E842F5">
              <w:rPr>
                <w:rStyle w:val="Hyperlink"/>
              </w:rPr>
              <w:t>Recommended Strategy 2: Market Development - Green Infrastructure</w:t>
            </w:r>
            <w:r>
              <w:rPr>
                <w:webHidden/>
              </w:rPr>
              <w:tab/>
            </w:r>
            <w:r>
              <w:rPr>
                <w:webHidden/>
              </w:rPr>
              <w:fldChar w:fldCharType="begin"/>
            </w:r>
            <w:r>
              <w:rPr>
                <w:webHidden/>
              </w:rPr>
              <w:instrText xml:space="preserve"> PAGEREF _Toc233367691 \h </w:instrText>
            </w:r>
            <w:r>
              <w:rPr>
                <w:webHidden/>
              </w:rPr>
            </w:r>
            <w:r>
              <w:rPr>
                <w:webHidden/>
              </w:rPr>
              <w:fldChar w:fldCharType="separate"/>
            </w:r>
            <w:r>
              <w:rPr>
                <w:webHidden/>
              </w:rPr>
              <w:t>9</w:t>
            </w:r>
            <w:r>
              <w:rPr>
                <w:webHidden/>
              </w:rPr>
              <w:fldChar w:fldCharType="end"/>
            </w:r>
          </w:hyperlink>
        </w:p>
        <w:p w:rsidR="00E73D99" w:rsidRDefault="00E73D99">
          <w:pPr>
            <w:pStyle w:val="TOC2"/>
            <w:tabs>
              <w:tab w:val="right" w:leader="dot" w:pos="9350"/>
            </w:tabs>
            <w:rPr>
              <w:rFonts w:asciiTheme="minorHAnsi" w:eastAsiaTheme="minorEastAsia" w:hAnsiTheme="minorHAnsi"/>
              <w:sz w:val="22"/>
              <w:lang w:eastAsia="en-GB"/>
            </w:rPr>
          </w:pPr>
          <w:hyperlink w:anchor="_Toc233367692" w:history="1">
            <w:r w:rsidRPr="00E842F5">
              <w:rPr>
                <w:rStyle w:val="Hyperlink"/>
              </w:rPr>
              <w:t>Competitive Advantage: Porter's Generic Strategies.</w:t>
            </w:r>
            <w:r>
              <w:rPr>
                <w:webHidden/>
              </w:rPr>
              <w:tab/>
            </w:r>
            <w:r>
              <w:rPr>
                <w:webHidden/>
              </w:rPr>
              <w:fldChar w:fldCharType="begin"/>
            </w:r>
            <w:r>
              <w:rPr>
                <w:webHidden/>
              </w:rPr>
              <w:instrText xml:space="preserve"> PAGEREF _Toc233367692 \h </w:instrText>
            </w:r>
            <w:r>
              <w:rPr>
                <w:webHidden/>
              </w:rPr>
            </w:r>
            <w:r>
              <w:rPr>
                <w:webHidden/>
              </w:rPr>
              <w:fldChar w:fldCharType="separate"/>
            </w:r>
            <w:r>
              <w:rPr>
                <w:webHidden/>
              </w:rPr>
              <w:t>10</w:t>
            </w:r>
            <w:r>
              <w:rPr>
                <w:webHidden/>
              </w:rPr>
              <w:fldChar w:fldCharType="end"/>
            </w:r>
          </w:hyperlink>
        </w:p>
        <w:p w:rsidR="00E73D99" w:rsidRDefault="00E73D99">
          <w:pPr>
            <w:pStyle w:val="TOC1"/>
            <w:tabs>
              <w:tab w:val="right" w:leader="dot" w:pos="9350"/>
            </w:tabs>
            <w:rPr>
              <w:rFonts w:asciiTheme="minorHAnsi" w:eastAsiaTheme="minorEastAsia" w:hAnsiTheme="minorHAnsi"/>
              <w:sz w:val="22"/>
              <w:lang w:eastAsia="en-GB"/>
            </w:rPr>
          </w:pPr>
          <w:hyperlink w:anchor="_Toc233367693" w:history="1">
            <w:r w:rsidRPr="00E842F5">
              <w:rPr>
                <w:rStyle w:val="Hyperlink"/>
              </w:rPr>
              <w:t>Task 3: Critical Reflection on AI Usage</w:t>
            </w:r>
            <w:r>
              <w:rPr>
                <w:webHidden/>
              </w:rPr>
              <w:tab/>
            </w:r>
            <w:r>
              <w:rPr>
                <w:webHidden/>
              </w:rPr>
              <w:fldChar w:fldCharType="begin"/>
            </w:r>
            <w:r>
              <w:rPr>
                <w:webHidden/>
              </w:rPr>
              <w:instrText xml:space="preserve"> PAGEREF _Toc233367693 \h </w:instrText>
            </w:r>
            <w:r>
              <w:rPr>
                <w:webHidden/>
              </w:rPr>
            </w:r>
            <w:r>
              <w:rPr>
                <w:webHidden/>
              </w:rPr>
              <w:fldChar w:fldCharType="separate"/>
            </w:r>
            <w:r>
              <w:rPr>
                <w:webHidden/>
              </w:rPr>
              <w:t>12</w:t>
            </w:r>
            <w:r>
              <w:rPr>
                <w:webHidden/>
              </w:rPr>
              <w:fldChar w:fldCharType="end"/>
            </w:r>
          </w:hyperlink>
        </w:p>
        <w:p w:rsidR="00E73D99" w:rsidRDefault="00E73D99">
          <w:pPr>
            <w:pStyle w:val="TOC2"/>
            <w:tabs>
              <w:tab w:val="right" w:leader="dot" w:pos="9350"/>
            </w:tabs>
            <w:rPr>
              <w:rFonts w:asciiTheme="minorHAnsi" w:eastAsiaTheme="minorEastAsia" w:hAnsiTheme="minorHAnsi"/>
              <w:sz w:val="22"/>
              <w:lang w:eastAsia="en-GB"/>
            </w:rPr>
          </w:pPr>
          <w:hyperlink w:anchor="_Toc233367694" w:history="1">
            <w:r w:rsidRPr="00E842F5">
              <w:rPr>
                <w:rStyle w:val="Hyperlink"/>
              </w:rPr>
              <w:t>Used AI Tools and Their Roles</w:t>
            </w:r>
            <w:r>
              <w:rPr>
                <w:webHidden/>
              </w:rPr>
              <w:tab/>
            </w:r>
            <w:r>
              <w:rPr>
                <w:webHidden/>
              </w:rPr>
              <w:fldChar w:fldCharType="begin"/>
            </w:r>
            <w:r>
              <w:rPr>
                <w:webHidden/>
              </w:rPr>
              <w:instrText xml:space="preserve"> PAGEREF _Toc233367694 \h </w:instrText>
            </w:r>
            <w:r>
              <w:rPr>
                <w:webHidden/>
              </w:rPr>
            </w:r>
            <w:r>
              <w:rPr>
                <w:webHidden/>
              </w:rPr>
              <w:fldChar w:fldCharType="separate"/>
            </w:r>
            <w:r>
              <w:rPr>
                <w:webHidden/>
              </w:rPr>
              <w:t>12</w:t>
            </w:r>
            <w:r>
              <w:rPr>
                <w:webHidden/>
              </w:rPr>
              <w:fldChar w:fldCharType="end"/>
            </w:r>
          </w:hyperlink>
        </w:p>
        <w:p w:rsidR="00E73D99" w:rsidRDefault="00E73D99">
          <w:pPr>
            <w:pStyle w:val="TOC2"/>
            <w:tabs>
              <w:tab w:val="right" w:leader="dot" w:pos="9350"/>
            </w:tabs>
            <w:rPr>
              <w:rFonts w:asciiTheme="minorHAnsi" w:eastAsiaTheme="minorEastAsia" w:hAnsiTheme="minorHAnsi"/>
              <w:sz w:val="22"/>
              <w:lang w:eastAsia="en-GB"/>
            </w:rPr>
          </w:pPr>
          <w:hyperlink w:anchor="_Toc233367695" w:history="1">
            <w:r w:rsidRPr="00E842F5">
              <w:rPr>
                <w:rStyle w:val="Hyperlink"/>
              </w:rPr>
              <w:t>AI Outcome Verification and Error Handling</w:t>
            </w:r>
            <w:r>
              <w:rPr>
                <w:webHidden/>
              </w:rPr>
              <w:tab/>
            </w:r>
            <w:r>
              <w:rPr>
                <w:webHidden/>
              </w:rPr>
              <w:fldChar w:fldCharType="begin"/>
            </w:r>
            <w:r>
              <w:rPr>
                <w:webHidden/>
              </w:rPr>
              <w:instrText xml:space="preserve"> PAGEREF _Toc233367695 \h </w:instrText>
            </w:r>
            <w:r>
              <w:rPr>
                <w:webHidden/>
              </w:rPr>
            </w:r>
            <w:r>
              <w:rPr>
                <w:webHidden/>
              </w:rPr>
              <w:fldChar w:fldCharType="separate"/>
            </w:r>
            <w:r>
              <w:rPr>
                <w:webHidden/>
              </w:rPr>
              <w:t>12</w:t>
            </w:r>
            <w:r>
              <w:rPr>
                <w:webHidden/>
              </w:rPr>
              <w:fldChar w:fldCharType="end"/>
            </w:r>
          </w:hyperlink>
        </w:p>
        <w:p w:rsidR="00E73D99" w:rsidRDefault="00E73D99">
          <w:pPr>
            <w:pStyle w:val="TOC2"/>
            <w:tabs>
              <w:tab w:val="right" w:leader="dot" w:pos="9350"/>
            </w:tabs>
            <w:rPr>
              <w:rFonts w:asciiTheme="minorHAnsi" w:eastAsiaTheme="minorEastAsia" w:hAnsiTheme="minorHAnsi"/>
              <w:sz w:val="22"/>
              <w:lang w:eastAsia="en-GB"/>
            </w:rPr>
          </w:pPr>
          <w:hyperlink w:anchor="_Toc233367696" w:history="1">
            <w:r w:rsidRPr="00E842F5">
              <w:rPr>
                <w:rStyle w:val="Hyperlink"/>
              </w:rPr>
              <w:t>Distinguishing AI Contribution from My Own Analysis</w:t>
            </w:r>
            <w:r>
              <w:rPr>
                <w:webHidden/>
              </w:rPr>
              <w:tab/>
            </w:r>
            <w:r>
              <w:rPr>
                <w:webHidden/>
              </w:rPr>
              <w:fldChar w:fldCharType="begin"/>
            </w:r>
            <w:r>
              <w:rPr>
                <w:webHidden/>
              </w:rPr>
              <w:instrText xml:space="preserve"> PAGEREF _Toc233367696 \h </w:instrText>
            </w:r>
            <w:r>
              <w:rPr>
                <w:webHidden/>
              </w:rPr>
            </w:r>
            <w:r>
              <w:rPr>
                <w:webHidden/>
              </w:rPr>
              <w:fldChar w:fldCharType="separate"/>
            </w:r>
            <w:r>
              <w:rPr>
                <w:webHidden/>
              </w:rPr>
              <w:t>13</w:t>
            </w:r>
            <w:r>
              <w:rPr>
                <w:webHidden/>
              </w:rPr>
              <w:fldChar w:fldCharType="end"/>
            </w:r>
          </w:hyperlink>
        </w:p>
        <w:p w:rsidR="00E73D99" w:rsidRDefault="00E73D99">
          <w:pPr>
            <w:pStyle w:val="TOC2"/>
            <w:tabs>
              <w:tab w:val="right" w:leader="dot" w:pos="9350"/>
            </w:tabs>
            <w:rPr>
              <w:rFonts w:asciiTheme="minorHAnsi" w:eastAsiaTheme="minorEastAsia" w:hAnsiTheme="minorHAnsi"/>
              <w:sz w:val="22"/>
              <w:lang w:eastAsia="en-GB"/>
            </w:rPr>
          </w:pPr>
          <w:hyperlink w:anchor="_Toc233367697" w:history="1">
            <w:r w:rsidRPr="00E842F5">
              <w:rPr>
                <w:rStyle w:val="Hyperlink"/>
              </w:rPr>
              <w:t>Ethical and Professional Reflection</w:t>
            </w:r>
            <w:r>
              <w:rPr>
                <w:webHidden/>
              </w:rPr>
              <w:tab/>
            </w:r>
            <w:r>
              <w:rPr>
                <w:webHidden/>
              </w:rPr>
              <w:fldChar w:fldCharType="begin"/>
            </w:r>
            <w:r>
              <w:rPr>
                <w:webHidden/>
              </w:rPr>
              <w:instrText xml:space="preserve"> PAGEREF _Toc233367697 \h </w:instrText>
            </w:r>
            <w:r>
              <w:rPr>
                <w:webHidden/>
              </w:rPr>
            </w:r>
            <w:r>
              <w:rPr>
                <w:webHidden/>
              </w:rPr>
              <w:fldChar w:fldCharType="separate"/>
            </w:r>
            <w:r>
              <w:rPr>
                <w:webHidden/>
              </w:rPr>
              <w:t>13</w:t>
            </w:r>
            <w:r>
              <w:rPr>
                <w:webHidden/>
              </w:rPr>
              <w:fldChar w:fldCharType="end"/>
            </w:r>
          </w:hyperlink>
        </w:p>
        <w:p w:rsidR="00E73D99" w:rsidRDefault="00E73D99">
          <w:pPr>
            <w:pStyle w:val="TOC1"/>
            <w:tabs>
              <w:tab w:val="right" w:leader="dot" w:pos="9350"/>
            </w:tabs>
            <w:rPr>
              <w:rFonts w:asciiTheme="minorHAnsi" w:eastAsiaTheme="minorEastAsia" w:hAnsiTheme="minorHAnsi"/>
              <w:sz w:val="22"/>
              <w:lang w:eastAsia="en-GB"/>
            </w:rPr>
          </w:pPr>
          <w:hyperlink w:anchor="_Toc233367698" w:history="1">
            <w:r w:rsidRPr="00E842F5">
              <w:rPr>
                <w:rStyle w:val="Hyperlink"/>
              </w:rPr>
              <w:t>References</w:t>
            </w:r>
            <w:r>
              <w:rPr>
                <w:webHidden/>
              </w:rPr>
              <w:tab/>
            </w:r>
            <w:r>
              <w:rPr>
                <w:webHidden/>
              </w:rPr>
              <w:fldChar w:fldCharType="begin"/>
            </w:r>
            <w:r>
              <w:rPr>
                <w:webHidden/>
              </w:rPr>
              <w:instrText xml:space="preserve"> PAGEREF _Toc233367698 \h </w:instrText>
            </w:r>
            <w:r>
              <w:rPr>
                <w:webHidden/>
              </w:rPr>
            </w:r>
            <w:r>
              <w:rPr>
                <w:webHidden/>
              </w:rPr>
              <w:fldChar w:fldCharType="separate"/>
            </w:r>
            <w:r>
              <w:rPr>
                <w:webHidden/>
              </w:rPr>
              <w:t>15</w:t>
            </w:r>
            <w:r>
              <w:rPr>
                <w:webHidden/>
              </w:rPr>
              <w:fldChar w:fldCharType="end"/>
            </w:r>
          </w:hyperlink>
        </w:p>
        <w:p w:rsidR="002A2C6D" w:rsidRDefault="002A2C6D">
          <w:r>
            <w:rPr>
              <w:b/>
              <w:bCs/>
            </w:rPr>
            <w:fldChar w:fldCharType="end"/>
          </w:r>
        </w:p>
      </w:sdtContent>
    </w:sdt>
    <w:p w:rsidR="002A2C6D" w:rsidRDefault="002A2C6D" w:rsidP="00F662D6">
      <w:pPr>
        <w:pStyle w:val="Heading1"/>
      </w:pPr>
    </w:p>
    <w:p w:rsidR="002A2C6D" w:rsidRDefault="002A2C6D">
      <w:pPr>
        <w:spacing w:before="0" w:line="259" w:lineRule="auto"/>
        <w:jc w:val="left"/>
        <w:rPr>
          <w:rFonts w:eastAsia="Arial" w:cs="Arial"/>
          <w:b/>
          <w:bCs/>
          <w:color w:val="1F4E79"/>
          <w:sz w:val="28"/>
          <w:szCs w:val="28"/>
        </w:rPr>
      </w:pPr>
      <w:r>
        <w:br w:type="page"/>
      </w:r>
    </w:p>
    <w:p w:rsidR="00F662D6" w:rsidRDefault="00F662D6" w:rsidP="00F662D6">
      <w:pPr>
        <w:pStyle w:val="Heading1"/>
      </w:pPr>
      <w:bookmarkStart w:id="0" w:name="_Toc233367684"/>
      <w:r>
        <w:lastRenderedPageBreak/>
        <w:t xml:space="preserve">Task 1: Marketing </w:t>
      </w:r>
      <w:r w:rsidRPr="00F662D6">
        <w:t>Environment</w:t>
      </w:r>
      <w:r>
        <w:t xml:space="preserve"> Analysis</w:t>
      </w:r>
      <w:bookmarkEnd w:id="0"/>
    </w:p>
    <w:p w:rsidR="00F662D6" w:rsidRPr="00F662D6" w:rsidRDefault="00F662D6" w:rsidP="00F662D6">
      <w:pPr>
        <w:pStyle w:val="Heading1"/>
      </w:pPr>
      <w:bookmarkStart w:id="1" w:name="_Toc233367685"/>
      <w:r>
        <w:t>Introduction</w:t>
      </w:r>
      <w:bookmarkEnd w:id="1"/>
    </w:p>
    <w:p w:rsidR="00F662D6" w:rsidRDefault="00F662D6" w:rsidP="00F662D6">
      <w:r>
        <w:t>Tata Steel is one of the world's largest steel manufacturers with an annual crude steel production capacity of more than 35 million tonnes and business presence in India, Netherlands, the United Kingdom and Southeast Asia (Tata Steel, 2024a). It is a part of the Tata Group and has approximately 78,000 employees worldwide and plays a significant role in the industrial output of the countries where it operates. The st</w:t>
      </w:r>
      <w:r w:rsidR="002A2C6D">
        <w:t xml:space="preserve">eel industry represents about 7 to </w:t>
      </w:r>
      <w:r>
        <w:t>9% of global CO2 emissions, and is a focal point in global decarbonisation discussions (World Steel Association, 2023).</w:t>
      </w:r>
    </w:p>
    <w:p w:rsidR="00F662D6" w:rsidRDefault="00F662D6" w:rsidP="00F662D6">
      <w:r>
        <w:t>Banks are applying pressure on companies to reduce their carbon footprints and, as part of this, Tata Steel has pledged to become a Net Zero carbon company by 2045 with key interim targets setting a 30% reduction in specific CO2 emissions by 2030 (Tata Steel, 2024b). In this sense the strategic shift of Tata Steel is a good example of how external actors in the marketing environment influence a company's shift to lower carbon products and processes</w:t>
      </w:r>
      <w:r w:rsidR="00AB588E">
        <w:t xml:space="preserve"> (Kotler et al., 2024, pp. 115-117)</w:t>
      </w:r>
      <w:r>
        <w:t>. The microenvironment and macroenvironment make up the marketing environment, and that the natural and political environments are especially influential on industries that impact the environment heavily (Kotler et al., 2024</w:t>
      </w:r>
      <w:r w:rsidR="00CE444A">
        <w:t>, p. 74</w:t>
      </w:r>
      <w:r>
        <w:t>). This analysis concentrat</w:t>
      </w:r>
      <w:r w:rsidR="002A2C6D">
        <w:t xml:space="preserve">es on two key external factors which are </w:t>
      </w:r>
      <w:r>
        <w:t>Natural envir</w:t>
      </w:r>
      <w:r w:rsidR="002A2C6D">
        <w:t xml:space="preserve">onment and </w:t>
      </w:r>
      <w:r>
        <w:t>regulatory environment.</w:t>
      </w:r>
    </w:p>
    <w:p w:rsidR="00F662D6" w:rsidRDefault="00F662D6" w:rsidP="00F662D6">
      <w:pPr>
        <w:pStyle w:val="Heading2"/>
      </w:pPr>
      <w:bookmarkStart w:id="2" w:name="_Toc233367686"/>
      <w:r w:rsidRPr="00F662D6">
        <w:t>Actor</w:t>
      </w:r>
      <w:r>
        <w:t xml:space="preserve"> 1: The Natural Environment</w:t>
      </w:r>
      <w:bookmarkEnd w:id="2"/>
    </w:p>
    <w:p w:rsidR="00F662D6" w:rsidRDefault="00F662D6" w:rsidP="00F662D6">
      <w:r>
        <w:t>The Natural Environment is the focus of Actor 1. The natural environment is the most significant actor influencing Tata Steel's strategic direction, arguably. Steelmaking is a high resource consuming industry, and has been traditionally dependent on coking coal and iron ore on the blast furnace – basic oxygen furnace (BF-BOF) path. The amount of CO2 emitted per tonne of steel is approximately 1.9 tonnes (World Steel Association, 2023). The global warming, scarcity of resources and extreme weather events are impacting raw material supply chains, energy prices and manufacturing viability.</w:t>
      </w:r>
    </w:p>
    <w:p w:rsidR="002A2C6D" w:rsidRDefault="002A2C6D" w:rsidP="00F662D6"/>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500"/>
        <w:gridCol w:w="2800"/>
        <w:gridCol w:w="3060"/>
      </w:tblGrid>
      <w:tr w:rsidR="00F662D6" w:rsidRPr="00F662D6" w:rsidTr="00E73D99">
        <w:trPr>
          <w:tblHeader/>
        </w:trPr>
        <w:tc>
          <w:tcPr>
            <w:tcW w:w="3500" w:type="dxa"/>
            <w:tcBorders>
              <w:top w:val="single" w:sz="1" w:space="0" w:color="CCCCCC"/>
              <w:left w:val="single" w:sz="1" w:space="0" w:color="CCCCCC"/>
              <w:bottom w:val="single" w:sz="1" w:space="0" w:color="CCCCCC"/>
              <w:right w:val="single" w:sz="1" w:space="0" w:color="CCCCCC"/>
            </w:tcBorders>
            <w:shd w:val="clear" w:color="auto" w:fill="1F4E79"/>
            <w:tcMar>
              <w:top w:w="100" w:type="dxa"/>
              <w:left w:w="120" w:type="dxa"/>
              <w:bottom w:w="100" w:type="dxa"/>
              <w:right w:w="120" w:type="dxa"/>
            </w:tcMar>
            <w:vAlign w:val="center"/>
          </w:tcPr>
          <w:p w:rsidR="00F662D6" w:rsidRPr="00F662D6" w:rsidRDefault="00F662D6" w:rsidP="006021C3">
            <w:pPr>
              <w:spacing w:before="0" w:after="0" w:line="276" w:lineRule="auto"/>
              <w:jc w:val="center"/>
            </w:pPr>
            <w:r w:rsidRPr="00F662D6">
              <w:rPr>
                <w:rFonts w:eastAsia="Arial" w:cs="Arial"/>
                <w:b/>
                <w:bCs/>
                <w:color w:val="FFFFFF"/>
              </w:rPr>
              <w:lastRenderedPageBreak/>
              <w:t>Natural Environment Factor</w:t>
            </w:r>
          </w:p>
        </w:tc>
        <w:tc>
          <w:tcPr>
            <w:tcW w:w="2800" w:type="dxa"/>
            <w:tcBorders>
              <w:top w:val="single" w:sz="1" w:space="0" w:color="CCCCCC"/>
              <w:left w:val="single" w:sz="1" w:space="0" w:color="CCCCCC"/>
              <w:bottom w:val="single" w:sz="1" w:space="0" w:color="CCCCCC"/>
              <w:right w:val="single" w:sz="1" w:space="0" w:color="CCCCCC"/>
            </w:tcBorders>
            <w:shd w:val="clear" w:color="auto" w:fill="1F4E79"/>
            <w:tcMar>
              <w:top w:w="100" w:type="dxa"/>
              <w:left w:w="120" w:type="dxa"/>
              <w:bottom w:w="100" w:type="dxa"/>
              <w:right w:w="120" w:type="dxa"/>
            </w:tcMar>
            <w:vAlign w:val="center"/>
          </w:tcPr>
          <w:p w:rsidR="00F662D6" w:rsidRPr="00F662D6" w:rsidRDefault="00F662D6" w:rsidP="006021C3">
            <w:pPr>
              <w:spacing w:before="0" w:after="0" w:line="276" w:lineRule="auto"/>
              <w:jc w:val="center"/>
            </w:pPr>
            <w:r w:rsidRPr="00F662D6">
              <w:rPr>
                <w:rFonts w:eastAsia="Arial" w:cs="Arial"/>
                <w:b/>
                <w:bCs/>
                <w:color w:val="FFFFFF"/>
              </w:rPr>
              <w:t>Description</w:t>
            </w:r>
          </w:p>
        </w:tc>
        <w:tc>
          <w:tcPr>
            <w:tcW w:w="3060" w:type="dxa"/>
            <w:tcBorders>
              <w:top w:val="single" w:sz="1" w:space="0" w:color="CCCCCC"/>
              <w:left w:val="single" w:sz="1" w:space="0" w:color="CCCCCC"/>
              <w:bottom w:val="single" w:sz="1" w:space="0" w:color="CCCCCC"/>
              <w:right w:val="single" w:sz="1" w:space="0" w:color="CCCCCC"/>
            </w:tcBorders>
            <w:shd w:val="clear" w:color="auto" w:fill="1F4E79"/>
            <w:tcMar>
              <w:top w:w="100" w:type="dxa"/>
              <w:left w:w="120" w:type="dxa"/>
              <w:bottom w:w="100" w:type="dxa"/>
              <w:right w:w="120" w:type="dxa"/>
            </w:tcMar>
            <w:vAlign w:val="center"/>
          </w:tcPr>
          <w:p w:rsidR="00F662D6" w:rsidRPr="00F662D6" w:rsidRDefault="00F662D6" w:rsidP="006021C3">
            <w:pPr>
              <w:spacing w:before="0" w:after="0" w:line="276" w:lineRule="auto"/>
              <w:jc w:val="center"/>
            </w:pPr>
            <w:r w:rsidRPr="00F662D6">
              <w:rPr>
                <w:rFonts w:eastAsia="Arial" w:cs="Arial"/>
                <w:b/>
                <w:bCs/>
                <w:color w:val="FFFFFF"/>
              </w:rPr>
              <w:t>Impact on Tata Steel</w:t>
            </w:r>
          </w:p>
        </w:tc>
      </w:tr>
      <w:tr w:rsidR="00F662D6" w:rsidRPr="00F662D6" w:rsidTr="00E73D99">
        <w:tc>
          <w:tcPr>
            <w:tcW w:w="35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rsidR="00F662D6" w:rsidRPr="00F662D6" w:rsidRDefault="00F662D6" w:rsidP="006021C3">
            <w:pPr>
              <w:spacing w:before="0" w:after="0" w:line="276" w:lineRule="auto"/>
            </w:pPr>
            <w:r w:rsidRPr="00F662D6">
              <w:rPr>
                <w:rFonts w:eastAsia="Arial" w:cs="Arial"/>
              </w:rPr>
              <w:t>Climate Change &amp; Extreme Weather</w:t>
            </w:r>
          </w:p>
        </w:tc>
        <w:tc>
          <w:tcPr>
            <w:tcW w:w="28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rsidR="00F662D6" w:rsidRPr="00F662D6" w:rsidRDefault="00F662D6" w:rsidP="006021C3">
            <w:pPr>
              <w:spacing w:before="0" w:after="0" w:line="276" w:lineRule="auto"/>
              <w:jc w:val="center"/>
            </w:pPr>
            <w:r w:rsidRPr="00F662D6">
              <w:rPr>
                <w:rFonts w:eastAsia="Arial" w:cs="Arial"/>
              </w:rPr>
              <w:t>Increased flood, drought and temperature extremes globally</w:t>
            </w:r>
          </w:p>
        </w:tc>
        <w:tc>
          <w:tcPr>
            <w:tcW w:w="306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rsidR="00F662D6" w:rsidRPr="00F662D6" w:rsidRDefault="00F662D6" w:rsidP="006021C3">
            <w:pPr>
              <w:spacing w:before="0" w:after="0" w:line="276" w:lineRule="auto"/>
              <w:jc w:val="center"/>
            </w:pPr>
            <w:r w:rsidRPr="00F662D6">
              <w:rPr>
                <w:rFonts w:eastAsia="Arial" w:cs="Arial"/>
              </w:rPr>
              <w:t>Disrupts coal and ore supply chains; raises operational costs</w:t>
            </w:r>
          </w:p>
        </w:tc>
      </w:tr>
      <w:tr w:rsidR="00F662D6" w:rsidRPr="00F662D6" w:rsidTr="00E73D99">
        <w:tc>
          <w:tcPr>
            <w:tcW w:w="35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rsidR="00F662D6" w:rsidRPr="00F662D6" w:rsidRDefault="00F662D6" w:rsidP="006021C3">
            <w:pPr>
              <w:spacing w:before="0" w:after="0" w:line="276" w:lineRule="auto"/>
            </w:pPr>
            <w:r w:rsidRPr="00F662D6">
              <w:rPr>
                <w:rFonts w:eastAsia="Arial" w:cs="Arial"/>
              </w:rPr>
              <w:t>Carbon Emission Intensity</w:t>
            </w:r>
          </w:p>
        </w:tc>
        <w:tc>
          <w:tcPr>
            <w:tcW w:w="28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rsidR="00F662D6" w:rsidRPr="00F662D6" w:rsidRDefault="00F662D6" w:rsidP="006021C3">
            <w:pPr>
              <w:spacing w:before="0" w:after="0" w:line="276" w:lineRule="auto"/>
              <w:jc w:val="center"/>
            </w:pPr>
            <w:r w:rsidRPr="00F662D6">
              <w:rPr>
                <w:rFonts w:eastAsia="Arial" w:cs="Arial"/>
              </w:rPr>
              <w:t>Steel accounts for ~7–9% of global CO₂ emissions</w:t>
            </w:r>
          </w:p>
        </w:tc>
        <w:tc>
          <w:tcPr>
            <w:tcW w:w="306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rsidR="00F662D6" w:rsidRPr="00F662D6" w:rsidRDefault="00F662D6" w:rsidP="006021C3">
            <w:pPr>
              <w:spacing w:before="0" w:after="0" w:line="276" w:lineRule="auto"/>
              <w:jc w:val="center"/>
            </w:pPr>
            <w:r w:rsidRPr="00F662D6">
              <w:rPr>
                <w:rFonts w:eastAsia="Arial" w:cs="Arial"/>
              </w:rPr>
              <w:t>Triggers regulatory caps and carbon taxes on production</w:t>
            </w:r>
          </w:p>
        </w:tc>
      </w:tr>
      <w:tr w:rsidR="00F662D6" w:rsidRPr="00F662D6" w:rsidTr="00E73D99">
        <w:tc>
          <w:tcPr>
            <w:tcW w:w="35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rsidR="00F662D6" w:rsidRPr="00F662D6" w:rsidRDefault="00F662D6" w:rsidP="006021C3">
            <w:pPr>
              <w:spacing w:before="0" w:after="0" w:line="276" w:lineRule="auto"/>
            </w:pPr>
            <w:r w:rsidRPr="00F662D6">
              <w:rPr>
                <w:rFonts w:eastAsia="Arial" w:cs="Arial"/>
              </w:rPr>
              <w:t>Raw Material Scarcity</w:t>
            </w:r>
          </w:p>
        </w:tc>
        <w:tc>
          <w:tcPr>
            <w:tcW w:w="28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rsidR="00F662D6" w:rsidRPr="00F662D6" w:rsidRDefault="00F662D6" w:rsidP="006021C3">
            <w:pPr>
              <w:spacing w:before="0" w:after="0" w:line="276" w:lineRule="auto"/>
              <w:jc w:val="center"/>
            </w:pPr>
            <w:r w:rsidRPr="00F662D6">
              <w:rPr>
                <w:rFonts w:eastAsia="Arial" w:cs="Arial"/>
              </w:rPr>
              <w:t>Declining quality of available iron ore and coking coal</w:t>
            </w:r>
          </w:p>
        </w:tc>
        <w:tc>
          <w:tcPr>
            <w:tcW w:w="306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rsidR="00F662D6" w:rsidRPr="00F662D6" w:rsidRDefault="00F662D6" w:rsidP="006021C3">
            <w:pPr>
              <w:spacing w:before="0" w:after="0" w:line="276" w:lineRule="auto"/>
              <w:jc w:val="center"/>
            </w:pPr>
            <w:r w:rsidRPr="00F662D6">
              <w:rPr>
                <w:rFonts w:eastAsia="Arial" w:cs="Arial"/>
              </w:rPr>
              <w:t>Increases input costs; encourages shift to scrap-based EAF production</w:t>
            </w:r>
          </w:p>
        </w:tc>
      </w:tr>
      <w:tr w:rsidR="00F662D6" w:rsidRPr="00F662D6" w:rsidTr="00E73D99">
        <w:tc>
          <w:tcPr>
            <w:tcW w:w="35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rsidR="00F662D6" w:rsidRPr="00F662D6" w:rsidRDefault="00F662D6" w:rsidP="006021C3">
            <w:pPr>
              <w:spacing w:before="0" w:after="0" w:line="276" w:lineRule="auto"/>
            </w:pPr>
            <w:r w:rsidRPr="00F662D6">
              <w:rPr>
                <w:rFonts w:eastAsia="Arial" w:cs="Arial"/>
              </w:rPr>
              <w:t>Energy Transition</w:t>
            </w:r>
          </w:p>
        </w:tc>
        <w:tc>
          <w:tcPr>
            <w:tcW w:w="28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rsidR="00F662D6" w:rsidRPr="00F662D6" w:rsidRDefault="00F662D6" w:rsidP="006021C3">
            <w:pPr>
              <w:spacing w:before="0" w:after="0" w:line="276" w:lineRule="auto"/>
              <w:jc w:val="center"/>
            </w:pPr>
            <w:r w:rsidRPr="00F662D6">
              <w:rPr>
                <w:rFonts w:eastAsia="Arial" w:cs="Arial"/>
              </w:rPr>
              <w:t>Global shift toward renewable electricity sources</w:t>
            </w:r>
          </w:p>
        </w:tc>
        <w:tc>
          <w:tcPr>
            <w:tcW w:w="306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rsidR="00F662D6" w:rsidRPr="00F662D6" w:rsidRDefault="00F662D6" w:rsidP="006021C3">
            <w:pPr>
              <w:spacing w:before="0" w:after="0" w:line="276" w:lineRule="auto"/>
              <w:jc w:val="center"/>
            </w:pPr>
            <w:r w:rsidRPr="00F662D6">
              <w:rPr>
                <w:rFonts w:eastAsia="Arial" w:cs="Arial"/>
              </w:rPr>
              <w:t>Enables green hydrogen and electric arc furnace (EAF) adoption</w:t>
            </w:r>
          </w:p>
        </w:tc>
      </w:tr>
      <w:tr w:rsidR="00F662D6" w:rsidRPr="00F662D6" w:rsidTr="00E73D99">
        <w:tc>
          <w:tcPr>
            <w:tcW w:w="35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rsidR="00F662D6" w:rsidRPr="00F662D6" w:rsidRDefault="002A2C6D" w:rsidP="006021C3">
            <w:pPr>
              <w:spacing w:before="0" w:after="0" w:line="276" w:lineRule="auto"/>
            </w:pPr>
            <w:r>
              <w:rPr>
                <w:rFonts w:eastAsia="Arial" w:cs="Arial"/>
              </w:rPr>
              <w:t>Water Stress</w:t>
            </w:r>
          </w:p>
        </w:tc>
        <w:tc>
          <w:tcPr>
            <w:tcW w:w="28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rsidR="00F662D6" w:rsidRPr="00F662D6" w:rsidRDefault="00F662D6" w:rsidP="006021C3">
            <w:pPr>
              <w:spacing w:before="0" w:after="0" w:line="276" w:lineRule="auto"/>
              <w:jc w:val="center"/>
            </w:pPr>
            <w:r w:rsidRPr="00F662D6">
              <w:rPr>
                <w:rFonts w:eastAsia="Arial" w:cs="Arial"/>
              </w:rPr>
              <w:t>Steel mills are highly water-intensive; droughts reduce availability</w:t>
            </w:r>
          </w:p>
        </w:tc>
        <w:tc>
          <w:tcPr>
            <w:tcW w:w="306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rsidR="00F662D6" w:rsidRPr="00F662D6" w:rsidRDefault="00F662D6" w:rsidP="006021C3">
            <w:pPr>
              <w:keepNext/>
              <w:spacing w:before="0" w:after="0" w:line="276" w:lineRule="auto"/>
              <w:jc w:val="center"/>
            </w:pPr>
            <w:r w:rsidRPr="00F662D6">
              <w:rPr>
                <w:rFonts w:eastAsia="Arial" w:cs="Arial"/>
              </w:rPr>
              <w:t>Operational constraints in India and South Asia</w:t>
            </w:r>
          </w:p>
        </w:tc>
      </w:tr>
    </w:tbl>
    <w:p w:rsidR="006021C3" w:rsidRPr="000D73A6" w:rsidRDefault="006021C3" w:rsidP="006021C3">
      <w:pPr>
        <w:pStyle w:val="Caption"/>
        <w:jc w:val="center"/>
        <w:rPr>
          <w:sz w:val="22"/>
        </w:rPr>
      </w:pPr>
      <w:r w:rsidRPr="000D73A6">
        <w:rPr>
          <w:sz w:val="22"/>
        </w:rPr>
        <w:t xml:space="preserve">Table </w:t>
      </w:r>
      <w:r w:rsidR="009C76A6" w:rsidRPr="000D73A6">
        <w:rPr>
          <w:sz w:val="22"/>
        </w:rPr>
        <w:fldChar w:fldCharType="begin"/>
      </w:r>
      <w:r w:rsidR="009C76A6" w:rsidRPr="000D73A6">
        <w:rPr>
          <w:sz w:val="22"/>
        </w:rPr>
        <w:instrText xml:space="preserve"> SEQ Table \* ARABIC </w:instrText>
      </w:r>
      <w:r w:rsidR="009C76A6" w:rsidRPr="000D73A6">
        <w:rPr>
          <w:sz w:val="22"/>
        </w:rPr>
        <w:fldChar w:fldCharType="separate"/>
      </w:r>
      <w:r w:rsidRPr="000D73A6">
        <w:rPr>
          <w:sz w:val="22"/>
        </w:rPr>
        <w:t>1</w:t>
      </w:r>
      <w:r w:rsidR="009C76A6" w:rsidRPr="000D73A6">
        <w:rPr>
          <w:sz w:val="22"/>
        </w:rPr>
        <w:fldChar w:fldCharType="end"/>
      </w:r>
      <w:r w:rsidRPr="000D73A6">
        <w:rPr>
          <w:sz w:val="22"/>
        </w:rPr>
        <w:t>:  Natural Environment's Implications on Tata Steel (World Steel Association, 2023); (Tata Steel, 2024b).</w:t>
      </w:r>
    </w:p>
    <w:p w:rsidR="00F662D6" w:rsidRDefault="00F662D6" w:rsidP="00F662D6">
      <w:r>
        <w:t>Tata Steel's response to these pressures arising from the natural environment is most evident in its European operations. The company announced a landmark £1.25 billion investment in a new Electric Arc Furnace (EAF) to be built at its steelworks in Port Talbot, Wales, with £500m in government funding (UK Government, 2023). An EAF can recycle up to 75% less CO2 as compared to traditional blast furnaces with the help of electricity instead of coal. This transition is directly caused by the natural environment actor, since the BF-BOF model will not be economically viable in the long-term with rising carbon prices and decreasing resources.</w:t>
      </w:r>
    </w:p>
    <w:p w:rsidR="00F662D6" w:rsidRDefault="00F662D6" w:rsidP="00F662D6">
      <w:r>
        <w:t xml:space="preserve">Tata Steel has other significant natural environment challenges in India as well. The company's plant in Jamshedpur heavily depends on the Subarnarekha River, which is also the cause of water scarcity for production (Tata Steel, 2024a). The company has taken steps to reduce the usage of freshwater, including the introduction of closed-loop water recycling systems and investing in the rainwater harvesting system, which has </w:t>
      </w:r>
      <w:r>
        <w:lastRenderedPageBreak/>
        <w:t>reduced freshwater consumption by approximately 5% each year (Tata Steel, 2024b). These answers reflect not only the danger of the forces of nature but also the inspiration and opportunities for innovative operations and sustainable competitiveness.</w:t>
      </w:r>
    </w:p>
    <w:p w:rsidR="00F662D6" w:rsidRDefault="00212210" w:rsidP="00F662D6">
      <w:r>
        <w:t>Peattie (2020</w:t>
      </w:r>
      <w:r w:rsidR="00F662D6">
        <w:t>) from a theoretical point of view, suggests that organizations must change the way they deal with the natural world from compliance to sustainable competitive advantage, particularly in resource-heavy sectors. Tata Steel's investments in hydrogen-based steelmaking research are in line with this (SSAB, 2023). The green hydrogen steelmaking can bring up to 90% reduction in CO2 emissions from the conventional steelmaking process, making Tata Steel a possible first mover in the markets wh</w:t>
      </w:r>
      <w:r w:rsidR="00CF1E61">
        <w:t>ere low carbon steel is valued.</w:t>
      </w:r>
    </w:p>
    <w:p w:rsidR="00CF1E61" w:rsidRDefault="00CF1E61" w:rsidP="00CF1E61">
      <w:pPr>
        <w:pStyle w:val="Heading2"/>
      </w:pPr>
      <w:bookmarkStart w:id="3" w:name="_Toc233367687"/>
      <w:r>
        <w:t>Actor 2</w:t>
      </w:r>
      <w:r w:rsidR="00F662D6">
        <w:t xml:space="preserve">: </w:t>
      </w:r>
      <w:r>
        <w:t>Political and Regulatory Landscape</w:t>
      </w:r>
      <w:bookmarkEnd w:id="3"/>
    </w:p>
    <w:p w:rsidR="00F662D6" w:rsidRDefault="00F662D6" w:rsidP="00F662D6">
      <w:r>
        <w:t>The second key external driver influencing Tata Steel's decarbonisation journey is the political and regulatory landscape. The increasingly stringent climate legislation imposed by governments in Tata Steel's co</w:t>
      </w:r>
      <w:r w:rsidR="00CF1E61">
        <w:t xml:space="preserve">re markets, India, the UK, and the EU </w:t>
      </w:r>
      <w:r>
        <w:t>has a direct impact on the company's cost structure, investment decisions, and priorities in developing product</w:t>
      </w:r>
      <w:r w:rsidR="00CF1E61">
        <w:t>s (Kotler et al., 2024, p. 89).</w:t>
      </w:r>
    </w:p>
    <w:p w:rsidR="00F662D6" w:rsidRDefault="00F662D6" w:rsidP="00F662D6">
      <w:r>
        <w:t xml:space="preserve">The government's legally binding pledge to achieve 'net zero' emissions from domestic sources by 2050, by the Climate Change Act 2008 (as amended), provides a clear regulatory pathway for steel producers that they cannot ignore (HM Government, 2021). Furthermore, the UK Emissions Trading Scheme (UK ETS) was introduced to be launched after Brexit in 2021, which will introduce a price on industrial carbon emissions that will directly impact Tata Steel's UK operations. The UK ETS price ranged from £30 to £50 per tonne of CO2 in 2024, and it is increasing at a rate that was very high </w:t>
      </w:r>
      <w:r w:rsidR="00CF1E61">
        <w:t>(DESNZ, 2024).</w:t>
      </w:r>
    </w:p>
    <w:p w:rsidR="00F662D6" w:rsidRDefault="00F662D6" w:rsidP="00F662D6">
      <w:r>
        <w:t>The EU Carbon Border Adjustment Mechanism (EU CBAM) (European Commission</w:t>
      </w:r>
      <w:r w:rsidR="00CF1E61">
        <w:t>,</w:t>
      </w:r>
      <w:r>
        <w:t xml:space="preserve"> 2023) puts carbon prices on imports of steel and other carbon-intensive products into the EU, during its transitional phase, which began in October 2023. The impact of this regulation is significant for Tata Steel's supply chains in Europe as well as its export strategy. It encourages Tata Steel to speed up its transition to lower carbon production </w:t>
      </w:r>
      <w:r>
        <w:lastRenderedPageBreak/>
        <w:t>processes if it wants to compete with EU countries when the carbon intensive steel imports from outside the EU will be subject to i</w:t>
      </w:r>
      <w:r w:rsidR="0008716B">
        <w:t>ncreasing border tax from 2026.</w:t>
      </w:r>
    </w:p>
    <w:p w:rsidR="00E73D99" w:rsidRDefault="00F662D6" w:rsidP="00F662D6">
      <w:r>
        <w:t>Indian politics is rapidly changing. The National Steel Policy (2017) of the Government of India has fixed a target of 300 million tonnes of steel production capacity by 2030 (Ministry of Steel, Government of India, 2017). The country's revised Nationally Determined Contribution (NDC) under the Paris Agreement (2015) to cut emissions intensity of its gross domestic product by 45% by 2030 from 2005 levels is now seeing some sectoral regulation (Government of India, 2022). This strategic complexity is further heightened by the policy environment in India being equally complex, with a thrust towards both expanding industry and reducing emissions.</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700"/>
        <w:gridCol w:w="1800"/>
        <w:gridCol w:w="1200"/>
        <w:gridCol w:w="3660"/>
      </w:tblGrid>
      <w:tr w:rsidR="0008716B" w:rsidRPr="0008716B" w:rsidTr="006021C3">
        <w:trPr>
          <w:tblHeader/>
        </w:trPr>
        <w:tc>
          <w:tcPr>
            <w:tcW w:w="2700" w:type="dxa"/>
            <w:tcBorders>
              <w:top w:val="single" w:sz="1" w:space="0" w:color="CCCCCC"/>
              <w:left w:val="single" w:sz="1" w:space="0" w:color="CCCCCC"/>
              <w:bottom w:val="single" w:sz="1" w:space="0" w:color="CCCCCC"/>
              <w:right w:val="single" w:sz="1" w:space="0" w:color="CCCCCC"/>
            </w:tcBorders>
            <w:shd w:val="clear" w:color="auto" w:fill="1F4E79"/>
            <w:tcMar>
              <w:top w:w="100" w:type="dxa"/>
              <w:left w:w="120" w:type="dxa"/>
              <w:bottom w:w="100" w:type="dxa"/>
              <w:right w:w="120" w:type="dxa"/>
            </w:tcMar>
            <w:vAlign w:val="center"/>
          </w:tcPr>
          <w:p w:rsidR="0008716B" w:rsidRPr="0008716B" w:rsidRDefault="0008716B" w:rsidP="006021C3">
            <w:pPr>
              <w:spacing w:before="0" w:after="0" w:line="276" w:lineRule="auto"/>
              <w:jc w:val="center"/>
            </w:pPr>
            <w:r w:rsidRPr="0008716B">
              <w:rPr>
                <w:rFonts w:eastAsia="Arial" w:cs="Arial"/>
                <w:b/>
                <w:bCs/>
                <w:color w:val="FFFFFF"/>
              </w:rPr>
              <w:t>Regulation / Policy</w:t>
            </w:r>
          </w:p>
        </w:tc>
        <w:tc>
          <w:tcPr>
            <w:tcW w:w="1800" w:type="dxa"/>
            <w:tcBorders>
              <w:top w:val="single" w:sz="1" w:space="0" w:color="CCCCCC"/>
              <w:left w:val="single" w:sz="1" w:space="0" w:color="CCCCCC"/>
              <w:bottom w:val="single" w:sz="1" w:space="0" w:color="CCCCCC"/>
              <w:right w:val="single" w:sz="1" w:space="0" w:color="CCCCCC"/>
            </w:tcBorders>
            <w:shd w:val="clear" w:color="auto" w:fill="1F4E79"/>
            <w:tcMar>
              <w:top w:w="100" w:type="dxa"/>
              <w:left w:w="120" w:type="dxa"/>
              <w:bottom w:w="100" w:type="dxa"/>
              <w:right w:w="120" w:type="dxa"/>
            </w:tcMar>
            <w:vAlign w:val="center"/>
          </w:tcPr>
          <w:p w:rsidR="0008716B" w:rsidRPr="0008716B" w:rsidRDefault="0008716B" w:rsidP="006021C3">
            <w:pPr>
              <w:spacing w:before="0" w:after="0" w:line="276" w:lineRule="auto"/>
              <w:jc w:val="center"/>
            </w:pPr>
            <w:r w:rsidRPr="0008716B">
              <w:rPr>
                <w:rFonts w:eastAsia="Arial" w:cs="Arial"/>
                <w:b/>
                <w:bCs/>
                <w:color w:val="FFFFFF"/>
              </w:rPr>
              <w:t>Region</w:t>
            </w:r>
          </w:p>
        </w:tc>
        <w:tc>
          <w:tcPr>
            <w:tcW w:w="1200" w:type="dxa"/>
            <w:tcBorders>
              <w:top w:val="single" w:sz="1" w:space="0" w:color="CCCCCC"/>
              <w:left w:val="single" w:sz="1" w:space="0" w:color="CCCCCC"/>
              <w:bottom w:val="single" w:sz="1" w:space="0" w:color="CCCCCC"/>
              <w:right w:val="single" w:sz="1" w:space="0" w:color="CCCCCC"/>
            </w:tcBorders>
            <w:shd w:val="clear" w:color="auto" w:fill="1F4E79"/>
            <w:tcMar>
              <w:top w:w="100" w:type="dxa"/>
              <w:left w:w="120" w:type="dxa"/>
              <w:bottom w:w="100" w:type="dxa"/>
              <w:right w:w="120" w:type="dxa"/>
            </w:tcMar>
            <w:vAlign w:val="center"/>
          </w:tcPr>
          <w:p w:rsidR="0008716B" w:rsidRPr="0008716B" w:rsidRDefault="0008716B" w:rsidP="006021C3">
            <w:pPr>
              <w:spacing w:before="0" w:after="0" w:line="276" w:lineRule="auto"/>
              <w:jc w:val="center"/>
            </w:pPr>
            <w:r w:rsidRPr="0008716B">
              <w:rPr>
                <w:rFonts w:eastAsia="Arial" w:cs="Arial"/>
                <w:b/>
                <w:bCs/>
                <w:color w:val="FFFFFF"/>
              </w:rPr>
              <w:t>Year</w:t>
            </w:r>
          </w:p>
        </w:tc>
        <w:tc>
          <w:tcPr>
            <w:tcW w:w="3660" w:type="dxa"/>
            <w:tcBorders>
              <w:top w:val="single" w:sz="1" w:space="0" w:color="CCCCCC"/>
              <w:left w:val="single" w:sz="1" w:space="0" w:color="CCCCCC"/>
              <w:bottom w:val="single" w:sz="1" w:space="0" w:color="CCCCCC"/>
              <w:right w:val="single" w:sz="1" w:space="0" w:color="CCCCCC"/>
            </w:tcBorders>
            <w:shd w:val="clear" w:color="auto" w:fill="1F4E79"/>
            <w:tcMar>
              <w:top w:w="100" w:type="dxa"/>
              <w:left w:w="120" w:type="dxa"/>
              <w:bottom w:w="100" w:type="dxa"/>
              <w:right w:w="120" w:type="dxa"/>
            </w:tcMar>
            <w:vAlign w:val="center"/>
          </w:tcPr>
          <w:p w:rsidR="0008716B" w:rsidRPr="0008716B" w:rsidRDefault="0008716B" w:rsidP="006021C3">
            <w:pPr>
              <w:spacing w:before="0" w:after="0" w:line="276" w:lineRule="auto"/>
              <w:jc w:val="center"/>
            </w:pPr>
            <w:r w:rsidRPr="0008716B">
              <w:rPr>
                <w:rFonts w:eastAsia="Arial" w:cs="Arial"/>
                <w:b/>
                <w:bCs/>
                <w:color w:val="FFFFFF"/>
              </w:rPr>
              <w:t>Impact on Tata Steel</w:t>
            </w:r>
          </w:p>
        </w:tc>
      </w:tr>
      <w:tr w:rsidR="0008716B" w:rsidRPr="0008716B" w:rsidTr="006021C3">
        <w:tc>
          <w:tcPr>
            <w:tcW w:w="27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rsidR="0008716B" w:rsidRPr="0008716B" w:rsidRDefault="0008716B" w:rsidP="006021C3">
            <w:pPr>
              <w:spacing w:before="0" w:after="0" w:line="276" w:lineRule="auto"/>
            </w:pPr>
            <w:r w:rsidRPr="0008716B">
              <w:rPr>
                <w:rFonts w:eastAsia="Arial" w:cs="Arial"/>
              </w:rPr>
              <w:t>UK ETS Carbon Pricing</w:t>
            </w:r>
          </w:p>
        </w:tc>
        <w:tc>
          <w:tcPr>
            <w:tcW w:w="18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rsidR="0008716B" w:rsidRPr="0008716B" w:rsidRDefault="0008716B" w:rsidP="006021C3">
            <w:pPr>
              <w:spacing w:before="0" w:after="0" w:line="276" w:lineRule="auto"/>
              <w:jc w:val="center"/>
            </w:pPr>
            <w:r w:rsidRPr="0008716B">
              <w:rPr>
                <w:rFonts w:eastAsia="Arial" w:cs="Arial"/>
              </w:rPr>
              <w:t>United Kingdom</w:t>
            </w:r>
          </w:p>
        </w:tc>
        <w:tc>
          <w:tcPr>
            <w:tcW w:w="12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rsidR="0008716B" w:rsidRPr="0008716B" w:rsidRDefault="0008716B" w:rsidP="006021C3">
            <w:pPr>
              <w:spacing w:before="0" w:after="0" w:line="276" w:lineRule="auto"/>
              <w:jc w:val="center"/>
            </w:pPr>
            <w:r w:rsidRPr="0008716B">
              <w:rPr>
                <w:rFonts w:eastAsia="Arial" w:cs="Arial"/>
              </w:rPr>
              <w:t>2021–present</w:t>
            </w:r>
          </w:p>
        </w:tc>
        <w:tc>
          <w:tcPr>
            <w:tcW w:w="366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rsidR="0008716B" w:rsidRPr="0008716B" w:rsidRDefault="0008716B" w:rsidP="006021C3">
            <w:pPr>
              <w:spacing w:before="0" w:after="0" w:line="276" w:lineRule="auto"/>
              <w:jc w:val="center"/>
            </w:pPr>
            <w:r w:rsidRPr="0008716B">
              <w:rPr>
                <w:rFonts w:eastAsia="Arial" w:cs="Arial"/>
              </w:rPr>
              <w:t>Increases cost of carbon-intensive production</w:t>
            </w:r>
          </w:p>
        </w:tc>
      </w:tr>
      <w:tr w:rsidR="0008716B" w:rsidRPr="0008716B" w:rsidTr="006021C3">
        <w:tc>
          <w:tcPr>
            <w:tcW w:w="27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rsidR="0008716B" w:rsidRPr="0008716B" w:rsidRDefault="0008716B" w:rsidP="006021C3">
            <w:pPr>
              <w:spacing w:before="0" w:after="0" w:line="276" w:lineRule="auto"/>
            </w:pPr>
            <w:r w:rsidRPr="0008716B">
              <w:rPr>
                <w:rFonts w:eastAsia="Arial" w:cs="Arial"/>
              </w:rPr>
              <w:t>EU CBAM (transitional phase)</w:t>
            </w:r>
          </w:p>
        </w:tc>
        <w:tc>
          <w:tcPr>
            <w:tcW w:w="18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rsidR="0008716B" w:rsidRPr="0008716B" w:rsidRDefault="0008716B" w:rsidP="006021C3">
            <w:pPr>
              <w:spacing w:before="0" w:after="0" w:line="276" w:lineRule="auto"/>
              <w:jc w:val="center"/>
            </w:pPr>
            <w:r w:rsidRPr="0008716B">
              <w:rPr>
                <w:rFonts w:eastAsia="Arial" w:cs="Arial"/>
              </w:rPr>
              <w:t>European Union</w:t>
            </w:r>
          </w:p>
        </w:tc>
        <w:tc>
          <w:tcPr>
            <w:tcW w:w="12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rsidR="0008716B" w:rsidRPr="0008716B" w:rsidRDefault="0008716B" w:rsidP="006021C3">
            <w:pPr>
              <w:spacing w:before="0" w:after="0" w:line="276" w:lineRule="auto"/>
              <w:jc w:val="center"/>
            </w:pPr>
            <w:r w:rsidRPr="0008716B">
              <w:rPr>
                <w:rFonts w:eastAsia="Arial" w:cs="Arial"/>
              </w:rPr>
              <w:t>2023–2025</w:t>
            </w:r>
          </w:p>
        </w:tc>
        <w:tc>
          <w:tcPr>
            <w:tcW w:w="366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rsidR="0008716B" w:rsidRPr="0008716B" w:rsidRDefault="0008716B" w:rsidP="006021C3">
            <w:pPr>
              <w:spacing w:before="0" w:after="0" w:line="276" w:lineRule="auto"/>
              <w:jc w:val="center"/>
            </w:pPr>
            <w:r w:rsidRPr="0008716B">
              <w:rPr>
                <w:rFonts w:eastAsia="Arial" w:cs="Arial"/>
              </w:rPr>
              <w:t>Levies on carbon-intensive steel imports into EU</w:t>
            </w:r>
          </w:p>
        </w:tc>
      </w:tr>
      <w:tr w:rsidR="0008716B" w:rsidRPr="0008716B" w:rsidTr="006021C3">
        <w:tc>
          <w:tcPr>
            <w:tcW w:w="27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rsidR="0008716B" w:rsidRPr="0008716B" w:rsidRDefault="0008716B" w:rsidP="006021C3">
            <w:pPr>
              <w:spacing w:before="0" w:after="0" w:line="276" w:lineRule="auto"/>
            </w:pPr>
            <w:r w:rsidRPr="0008716B">
              <w:rPr>
                <w:rFonts w:eastAsia="Arial" w:cs="Arial"/>
              </w:rPr>
              <w:t>Net Zero Strategy</w:t>
            </w:r>
          </w:p>
        </w:tc>
        <w:tc>
          <w:tcPr>
            <w:tcW w:w="18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rsidR="0008716B" w:rsidRPr="0008716B" w:rsidRDefault="0008716B" w:rsidP="006021C3">
            <w:pPr>
              <w:spacing w:before="0" w:after="0" w:line="276" w:lineRule="auto"/>
              <w:jc w:val="center"/>
            </w:pPr>
            <w:r w:rsidRPr="0008716B">
              <w:rPr>
                <w:rFonts w:eastAsia="Arial" w:cs="Arial"/>
              </w:rPr>
              <w:t>United Kingdom</w:t>
            </w:r>
          </w:p>
        </w:tc>
        <w:tc>
          <w:tcPr>
            <w:tcW w:w="12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rsidR="0008716B" w:rsidRPr="0008716B" w:rsidRDefault="0008716B" w:rsidP="006021C3">
            <w:pPr>
              <w:spacing w:before="0" w:after="0" w:line="276" w:lineRule="auto"/>
              <w:jc w:val="center"/>
            </w:pPr>
            <w:r w:rsidRPr="0008716B">
              <w:rPr>
                <w:rFonts w:eastAsia="Arial" w:cs="Arial"/>
              </w:rPr>
              <w:t>2021</w:t>
            </w:r>
          </w:p>
        </w:tc>
        <w:tc>
          <w:tcPr>
            <w:tcW w:w="366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rsidR="0008716B" w:rsidRPr="0008716B" w:rsidRDefault="0008716B" w:rsidP="006021C3">
            <w:pPr>
              <w:spacing w:before="0" w:after="0" w:line="276" w:lineRule="auto"/>
              <w:jc w:val="center"/>
            </w:pPr>
            <w:r w:rsidRPr="0008716B">
              <w:rPr>
                <w:rFonts w:eastAsia="Arial" w:cs="Arial"/>
              </w:rPr>
              <w:t>Drives long-term investment in green steelmaking</w:t>
            </w:r>
          </w:p>
        </w:tc>
      </w:tr>
      <w:tr w:rsidR="0008716B" w:rsidRPr="0008716B" w:rsidTr="006021C3">
        <w:tc>
          <w:tcPr>
            <w:tcW w:w="27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rsidR="0008716B" w:rsidRPr="0008716B" w:rsidRDefault="0008716B" w:rsidP="006021C3">
            <w:pPr>
              <w:spacing w:before="0" w:after="0" w:line="276" w:lineRule="auto"/>
            </w:pPr>
            <w:r w:rsidRPr="0008716B">
              <w:rPr>
                <w:rFonts w:eastAsia="Arial" w:cs="Arial"/>
              </w:rPr>
              <w:t>India NDC (Paris Agreement)</w:t>
            </w:r>
          </w:p>
        </w:tc>
        <w:tc>
          <w:tcPr>
            <w:tcW w:w="18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rsidR="0008716B" w:rsidRPr="0008716B" w:rsidRDefault="0008716B" w:rsidP="006021C3">
            <w:pPr>
              <w:spacing w:before="0" w:after="0" w:line="276" w:lineRule="auto"/>
              <w:jc w:val="center"/>
            </w:pPr>
            <w:r w:rsidRPr="0008716B">
              <w:rPr>
                <w:rFonts w:eastAsia="Arial" w:cs="Arial"/>
              </w:rPr>
              <w:t>India</w:t>
            </w:r>
          </w:p>
        </w:tc>
        <w:tc>
          <w:tcPr>
            <w:tcW w:w="12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rsidR="0008716B" w:rsidRPr="0008716B" w:rsidRDefault="0008716B" w:rsidP="006021C3">
            <w:pPr>
              <w:spacing w:before="0" w:after="0" w:line="276" w:lineRule="auto"/>
              <w:jc w:val="center"/>
            </w:pPr>
            <w:r w:rsidRPr="0008716B">
              <w:rPr>
                <w:rFonts w:eastAsia="Arial" w:cs="Arial"/>
              </w:rPr>
              <w:t>2022</w:t>
            </w:r>
          </w:p>
        </w:tc>
        <w:tc>
          <w:tcPr>
            <w:tcW w:w="366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rsidR="0008716B" w:rsidRPr="0008716B" w:rsidRDefault="0008716B" w:rsidP="006021C3">
            <w:pPr>
              <w:spacing w:before="0" w:after="0" w:line="276" w:lineRule="auto"/>
              <w:jc w:val="center"/>
            </w:pPr>
            <w:r w:rsidRPr="0008716B">
              <w:rPr>
                <w:rFonts w:eastAsia="Arial" w:cs="Arial"/>
              </w:rPr>
              <w:t>Pushes sectoral emissions intensity reduction</w:t>
            </w:r>
          </w:p>
        </w:tc>
      </w:tr>
      <w:tr w:rsidR="0008716B" w:rsidRPr="0008716B" w:rsidTr="006021C3">
        <w:tc>
          <w:tcPr>
            <w:tcW w:w="27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rsidR="0008716B" w:rsidRPr="0008716B" w:rsidRDefault="002A2C6D" w:rsidP="002A2C6D">
            <w:pPr>
              <w:spacing w:before="0" w:line="276" w:lineRule="auto"/>
            </w:pPr>
            <w:r>
              <w:rPr>
                <w:rFonts w:eastAsia="Arial" w:cs="Arial"/>
              </w:rPr>
              <w:t>EU Green Deal – Steel Sector</w:t>
            </w:r>
          </w:p>
        </w:tc>
        <w:tc>
          <w:tcPr>
            <w:tcW w:w="18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rsidR="0008716B" w:rsidRPr="0008716B" w:rsidRDefault="002A2C6D" w:rsidP="006021C3">
            <w:pPr>
              <w:spacing w:before="0" w:after="0" w:line="276" w:lineRule="auto"/>
              <w:jc w:val="center"/>
            </w:pPr>
            <w:r>
              <w:rPr>
                <w:rFonts w:eastAsia="Arial" w:cs="Arial"/>
              </w:rPr>
              <w:t xml:space="preserve">European </w:t>
            </w:r>
            <w:r w:rsidR="0008716B" w:rsidRPr="0008716B">
              <w:rPr>
                <w:rFonts w:eastAsia="Arial" w:cs="Arial"/>
              </w:rPr>
              <w:t>Union</w:t>
            </w:r>
          </w:p>
        </w:tc>
        <w:tc>
          <w:tcPr>
            <w:tcW w:w="12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rsidR="0008716B" w:rsidRPr="0008716B" w:rsidRDefault="0008716B" w:rsidP="006021C3">
            <w:pPr>
              <w:spacing w:before="0" w:after="0" w:line="276" w:lineRule="auto"/>
              <w:jc w:val="center"/>
            </w:pPr>
            <w:r w:rsidRPr="0008716B">
              <w:rPr>
                <w:rFonts w:eastAsia="Arial" w:cs="Arial"/>
              </w:rPr>
              <w:t>2024–2030</w:t>
            </w:r>
          </w:p>
        </w:tc>
        <w:tc>
          <w:tcPr>
            <w:tcW w:w="366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rsidR="0008716B" w:rsidRPr="0008716B" w:rsidRDefault="0008716B" w:rsidP="006021C3">
            <w:pPr>
              <w:keepNext/>
              <w:spacing w:before="0" w:after="0" w:line="276" w:lineRule="auto"/>
              <w:jc w:val="center"/>
            </w:pPr>
            <w:r w:rsidRPr="0008716B">
              <w:rPr>
                <w:rFonts w:eastAsia="Arial" w:cs="Arial"/>
              </w:rPr>
              <w:t>Mandates 30%+ reduction in steel sector emissions</w:t>
            </w:r>
          </w:p>
        </w:tc>
      </w:tr>
    </w:tbl>
    <w:p w:rsidR="006021C3" w:rsidRPr="000D73A6" w:rsidRDefault="006021C3" w:rsidP="002A2C6D">
      <w:pPr>
        <w:pStyle w:val="Caption"/>
        <w:spacing w:after="0"/>
        <w:jc w:val="center"/>
        <w:rPr>
          <w:sz w:val="22"/>
        </w:rPr>
      </w:pPr>
      <w:r w:rsidRPr="000D73A6">
        <w:rPr>
          <w:sz w:val="22"/>
        </w:rPr>
        <w:t xml:space="preserve">Table </w:t>
      </w:r>
      <w:r w:rsidR="009C76A6" w:rsidRPr="000D73A6">
        <w:rPr>
          <w:sz w:val="22"/>
        </w:rPr>
        <w:fldChar w:fldCharType="begin"/>
      </w:r>
      <w:r w:rsidR="009C76A6" w:rsidRPr="000D73A6">
        <w:rPr>
          <w:sz w:val="22"/>
        </w:rPr>
        <w:instrText xml:space="preserve"> SEQ Table \* ARABIC </w:instrText>
      </w:r>
      <w:r w:rsidR="009C76A6" w:rsidRPr="000D73A6">
        <w:rPr>
          <w:sz w:val="22"/>
        </w:rPr>
        <w:fldChar w:fldCharType="separate"/>
      </w:r>
      <w:r w:rsidRPr="000D73A6">
        <w:rPr>
          <w:sz w:val="22"/>
        </w:rPr>
        <w:t>2</w:t>
      </w:r>
      <w:r w:rsidR="009C76A6" w:rsidRPr="000D73A6">
        <w:rPr>
          <w:sz w:val="22"/>
        </w:rPr>
        <w:fldChar w:fldCharType="end"/>
      </w:r>
      <w:r w:rsidRPr="000D73A6">
        <w:rPr>
          <w:sz w:val="22"/>
        </w:rPr>
        <w:t>: Regulatory Impact on Tata Steel European Commission (2023); HM Government (2021); DESNZ (2024); Government of India (2022).</w:t>
      </w:r>
    </w:p>
    <w:p w:rsidR="0008716B" w:rsidRDefault="002A2C6D" w:rsidP="0008716B">
      <w:r>
        <w:t>Reg</w:t>
      </w:r>
      <w:r w:rsidR="0008716B">
        <w:t>ulatory environments go beyond just limiting corporate actions; they influence market expectations and consumer preferences, the barriers and opportunities for companies that are willing to be at the forefront of change (Dibb and Simkin, 2021, p. 67). The proactive dialogue with the policy makers, especially on their lobbying for more favourable treatment within the UK ETS and supporting CBAM as a levelling mechanism, demonstrates a strategic approach that is more about influencing the game rather than simply playing it.</w:t>
      </w:r>
    </w:p>
    <w:p w:rsidR="0008716B" w:rsidRDefault="0008716B" w:rsidP="0008716B">
      <w:r>
        <w:lastRenderedPageBreak/>
        <w:t>The natural environment and the political environment together exert a strong</w:t>
      </w:r>
      <w:r w:rsidR="00ED5F66">
        <w:t xml:space="preserve"> double pressure on Tata Steel,</w:t>
      </w:r>
      <w:r>
        <w:t xml:space="preserve"> the physical pressures of climate change require operational transformation and the regulatory environment offers incentive structures and punitive measures to drive it. It is a watershed moment and an opportunity for the company in its long-term marketing and business strategy.</w:t>
      </w:r>
    </w:p>
    <w:p w:rsidR="0008716B" w:rsidRDefault="0008716B">
      <w:pPr>
        <w:spacing w:before="0" w:line="259" w:lineRule="auto"/>
        <w:jc w:val="left"/>
        <w:rPr>
          <w:rFonts w:eastAsia="Arial" w:cs="Arial"/>
          <w:b/>
          <w:bCs/>
          <w:color w:val="1F4E79"/>
          <w:sz w:val="28"/>
          <w:szCs w:val="28"/>
        </w:rPr>
      </w:pPr>
      <w:r>
        <w:rPr>
          <w:rFonts w:eastAsia="Arial" w:cs="Arial"/>
          <w:bCs/>
          <w:color w:val="1F4E79"/>
          <w:sz w:val="28"/>
          <w:szCs w:val="28"/>
        </w:rPr>
        <w:br w:type="page"/>
      </w:r>
    </w:p>
    <w:p w:rsidR="0008716B" w:rsidRDefault="0008716B" w:rsidP="0008716B">
      <w:pPr>
        <w:pStyle w:val="Heading1"/>
      </w:pPr>
      <w:bookmarkStart w:id="4" w:name="_Toc233367688"/>
      <w:r>
        <w:lastRenderedPageBreak/>
        <w:t xml:space="preserve">Task 2: Strategic </w:t>
      </w:r>
      <w:r>
        <w:rPr>
          <w:bCs w:val="0"/>
        </w:rPr>
        <w:t>Development</w:t>
      </w:r>
      <w:r>
        <w:t xml:space="preserve"> and Competitive Positioning</w:t>
      </w:r>
      <w:bookmarkEnd w:id="4"/>
    </w:p>
    <w:p w:rsidR="00DA41B1" w:rsidRDefault="00DA41B1" w:rsidP="00DA41B1">
      <w:pPr>
        <w:pStyle w:val="Heading1"/>
      </w:pPr>
      <w:bookmarkStart w:id="5" w:name="_Toc233367689"/>
      <w:r>
        <w:t xml:space="preserve">Applying </w:t>
      </w:r>
      <w:r w:rsidR="0008716B">
        <w:t>Ansoff Matrix</w:t>
      </w:r>
      <w:bookmarkEnd w:id="5"/>
      <w:r w:rsidR="0008716B">
        <w:t xml:space="preserve"> </w:t>
      </w:r>
    </w:p>
    <w:p w:rsidR="00DA41B1" w:rsidRDefault="0008716B" w:rsidP="006021C3">
      <w:r>
        <w:t>This section follows the above mentioned environmental analysis to suggest a strategic growth option for Tata Steel using the Ansoff Matrix.</w:t>
      </w:r>
      <w:r w:rsidR="00ED5F66">
        <w:t xml:space="preserve"> </w:t>
      </w:r>
      <w:r>
        <w:t>Based on the above mentioned environmental analysis, this part recommends a strategic growth option for Tata Steel using Ansoff Matrix. The matrix was developed by Igor Ansoff in 1957 and has four growth strategies: market penetration, market development, product development and diversification. Product development plus market development is the most suitable strategy for a company in Tata Steel's situation faced by the transformation of its core product and existing markets.</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348"/>
        <w:gridCol w:w="4006"/>
        <w:gridCol w:w="4006"/>
      </w:tblGrid>
      <w:tr w:rsidR="00DA41B1" w:rsidRPr="00DA41B1" w:rsidTr="00DA41B1">
        <w:tc>
          <w:tcPr>
            <w:tcW w:w="1248" w:type="dxa"/>
            <w:tcBorders>
              <w:top w:val="single" w:sz="1" w:space="0" w:color="CCCCCC"/>
              <w:left w:val="single" w:sz="1" w:space="0" w:color="CCCCCC"/>
              <w:bottom w:val="single" w:sz="1" w:space="0" w:color="CCCCCC"/>
              <w:right w:val="single" w:sz="1" w:space="0" w:color="CCCCCC"/>
            </w:tcBorders>
            <w:shd w:val="clear" w:color="auto" w:fill="FFFFFF"/>
            <w:tcMar>
              <w:top w:w="80" w:type="dxa"/>
              <w:left w:w="80" w:type="dxa"/>
              <w:bottom w:w="80" w:type="dxa"/>
              <w:right w:w="80" w:type="dxa"/>
            </w:tcMar>
          </w:tcPr>
          <w:p w:rsidR="00DA41B1" w:rsidRPr="00212210" w:rsidRDefault="00212210" w:rsidP="006021C3">
            <w:pPr>
              <w:spacing w:before="0" w:after="0" w:line="276" w:lineRule="auto"/>
              <w:rPr>
                <w:b/>
              </w:rPr>
            </w:pPr>
            <w:r w:rsidRPr="00212210">
              <w:rPr>
                <w:b/>
              </w:rPr>
              <w:t>Elements</w:t>
            </w:r>
          </w:p>
        </w:tc>
        <w:tc>
          <w:tcPr>
            <w:tcW w:w="4056" w:type="dxa"/>
            <w:tcBorders>
              <w:top w:val="single" w:sz="1" w:space="0" w:color="CCCCCC"/>
              <w:left w:val="single" w:sz="1" w:space="0" w:color="CCCCCC"/>
              <w:bottom w:val="single" w:sz="1" w:space="0" w:color="CCCCCC"/>
              <w:right w:val="single" w:sz="1" w:space="0" w:color="CCCCCC"/>
            </w:tcBorders>
            <w:shd w:val="clear" w:color="auto" w:fill="1F4E79"/>
            <w:tcMar>
              <w:top w:w="80" w:type="dxa"/>
              <w:left w:w="80" w:type="dxa"/>
              <w:bottom w:w="80" w:type="dxa"/>
              <w:right w:w="80" w:type="dxa"/>
            </w:tcMar>
          </w:tcPr>
          <w:p w:rsidR="00DA41B1" w:rsidRPr="00DA41B1" w:rsidRDefault="00DA41B1" w:rsidP="006021C3">
            <w:pPr>
              <w:spacing w:before="0" w:after="0" w:line="276" w:lineRule="auto"/>
              <w:jc w:val="center"/>
            </w:pPr>
            <w:r w:rsidRPr="00DA41B1">
              <w:rPr>
                <w:rFonts w:eastAsia="Arial" w:cs="Arial"/>
                <w:b/>
                <w:bCs/>
                <w:color w:val="FFFFFF"/>
              </w:rPr>
              <w:t>EXISTING PRODUCTS</w:t>
            </w:r>
          </w:p>
        </w:tc>
        <w:tc>
          <w:tcPr>
            <w:tcW w:w="4056" w:type="dxa"/>
            <w:tcBorders>
              <w:top w:val="single" w:sz="1" w:space="0" w:color="CCCCCC"/>
              <w:left w:val="single" w:sz="1" w:space="0" w:color="CCCCCC"/>
              <w:bottom w:val="single" w:sz="1" w:space="0" w:color="CCCCCC"/>
              <w:right w:val="single" w:sz="1" w:space="0" w:color="CCCCCC"/>
            </w:tcBorders>
            <w:shd w:val="clear" w:color="auto" w:fill="1F4E79"/>
            <w:tcMar>
              <w:top w:w="80" w:type="dxa"/>
              <w:left w:w="80" w:type="dxa"/>
              <w:bottom w:w="80" w:type="dxa"/>
              <w:right w:w="80" w:type="dxa"/>
            </w:tcMar>
          </w:tcPr>
          <w:p w:rsidR="00DA41B1" w:rsidRPr="00DA41B1" w:rsidRDefault="00DA41B1" w:rsidP="006021C3">
            <w:pPr>
              <w:spacing w:before="0" w:after="0" w:line="276" w:lineRule="auto"/>
              <w:jc w:val="center"/>
            </w:pPr>
            <w:r w:rsidRPr="00DA41B1">
              <w:rPr>
                <w:rFonts w:eastAsia="Arial" w:cs="Arial"/>
                <w:b/>
                <w:bCs/>
                <w:color w:val="FFFFFF"/>
              </w:rPr>
              <w:t>NEW PRODUCTS</w:t>
            </w:r>
          </w:p>
        </w:tc>
      </w:tr>
      <w:tr w:rsidR="00DA41B1" w:rsidRPr="00DA41B1" w:rsidTr="00DA41B1">
        <w:tc>
          <w:tcPr>
            <w:tcW w:w="1248" w:type="dxa"/>
            <w:tcBorders>
              <w:top w:val="single" w:sz="1" w:space="0" w:color="CCCCCC"/>
              <w:left w:val="single" w:sz="1" w:space="0" w:color="CCCCCC"/>
              <w:bottom w:val="single" w:sz="1" w:space="0" w:color="CCCCCC"/>
              <w:right w:val="single" w:sz="1" w:space="0" w:color="CCCCCC"/>
            </w:tcBorders>
            <w:shd w:val="clear" w:color="auto" w:fill="1F4E79"/>
            <w:tcMar>
              <w:top w:w="80" w:type="dxa"/>
              <w:left w:w="80" w:type="dxa"/>
              <w:bottom w:w="80" w:type="dxa"/>
              <w:right w:w="80" w:type="dxa"/>
            </w:tcMar>
            <w:vAlign w:val="center"/>
          </w:tcPr>
          <w:p w:rsidR="00DA41B1" w:rsidRPr="00DA41B1" w:rsidRDefault="00DA41B1" w:rsidP="006021C3">
            <w:pPr>
              <w:spacing w:before="0" w:after="0" w:line="276" w:lineRule="auto"/>
              <w:jc w:val="center"/>
            </w:pPr>
            <w:r w:rsidRPr="00DA41B1">
              <w:rPr>
                <w:rFonts w:eastAsia="Arial" w:cs="Arial"/>
                <w:b/>
                <w:bCs/>
                <w:color w:val="FFFFFF"/>
              </w:rPr>
              <w:t>EXISTING MARKETS</w:t>
            </w:r>
          </w:p>
        </w:tc>
        <w:tc>
          <w:tcPr>
            <w:tcW w:w="4056" w:type="dxa"/>
            <w:tcBorders>
              <w:top w:val="single" w:sz="1" w:space="0" w:color="CCCCCC"/>
              <w:left w:val="single" w:sz="1" w:space="0" w:color="CCCCCC"/>
              <w:bottom w:val="single" w:sz="1" w:space="0" w:color="CCCCCC"/>
              <w:right w:val="single" w:sz="1" w:space="0" w:color="CCCCCC"/>
            </w:tcBorders>
            <w:shd w:val="clear" w:color="auto" w:fill="D6E4F0"/>
            <w:tcMar>
              <w:top w:w="120" w:type="dxa"/>
              <w:left w:w="120" w:type="dxa"/>
              <w:bottom w:w="120" w:type="dxa"/>
              <w:right w:w="120" w:type="dxa"/>
            </w:tcMar>
          </w:tcPr>
          <w:p w:rsidR="00DA41B1" w:rsidRPr="00DA41B1" w:rsidRDefault="00DA41B1" w:rsidP="006021C3">
            <w:pPr>
              <w:spacing w:before="0" w:after="0" w:line="276" w:lineRule="auto"/>
            </w:pPr>
            <w:r w:rsidRPr="00DA41B1">
              <w:rPr>
                <w:rFonts w:eastAsia="Arial" w:cs="Arial"/>
                <w:b/>
                <w:bCs/>
                <w:color w:val="1F4E79"/>
              </w:rPr>
              <w:t>Market Penetration</w:t>
            </w:r>
          </w:p>
          <w:p w:rsidR="00DA41B1" w:rsidRPr="00DA41B1" w:rsidRDefault="00DA41B1" w:rsidP="006021C3">
            <w:pPr>
              <w:spacing w:before="0" w:after="0" w:line="276" w:lineRule="auto"/>
            </w:pPr>
            <w:r w:rsidRPr="00DA41B1">
              <w:rPr>
                <w:rFonts w:eastAsia="Arial" w:cs="Arial"/>
              </w:rPr>
              <w:t>Retaining existing steel customers through competitive pricing and service quality. Lower priority given structural transformation needed.</w:t>
            </w:r>
          </w:p>
        </w:tc>
        <w:tc>
          <w:tcPr>
            <w:tcW w:w="4056" w:type="dxa"/>
            <w:tcBorders>
              <w:top w:val="single" w:sz="1" w:space="0" w:color="CCCCCC"/>
              <w:left w:val="single" w:sz="1" w:space="0" w:color="CCCCCC"/>
              <w:bottom w:val="single" w:sz="1" w:space="0" w:color="CCCCCC"/>
              <w:right w:val="single" w:sz="1" w:space="0" w:color="CCCCCC"/>
            </w:tcBorders>
            <w:shd w:val="clear" w:color="auto" w:fill="C6EFCE"/>
            <w:tcMar>
              <w:top w:w="120" w:type="dxa"/>
              <w:left w:w="120" w:type="dxa"/>
              <w:bottom w:w="120" w:type="dxa"/>
              <w:right w:w="120" w:type="dxa"/>
            </w:tcMar>
          </w:tcPr>
          <w:p w:rsidR="00DA41B1" w:rsidRPr="00DA41B1" w:rsidRDefault="00DA41B1" w:rsidP="006021C3">
            <w:pPr>
              <w:spacing w:before="0" w:after="0" w:line="276" w:lineRule="auto"/>
            </w:pPr>
            <w:r w:rsidRPr="00DA41B1">
              <w:rPr>
                <w:rFonts w:eastAsia="Arial" w:cs="Arial"/>
                <w:b/>
                <w:bCs/>
                <w:color w:val="375623"/>
              </w:rPr>
              <w:t>★ Product Development (RECOMMENDED)</w:t>
            </w:r>
          </w:p>
          <w:p w:rsidR="00DA41B1" w:rsidRPr="00DA41B1" w:rsidRDefault="00DA41B1" w:rsidP="006021C3">
            <w:pPr>
              <w:spacing w:before="0" w:after="0" w:line="276" w:lineRule="auto"/>
            </w:pPr>
            <w:r w:rsidRPr="00DA41B1">
              <w:rPr>
                <w:rFonts w:eastAsia="Arial" w:cs="Arial"/>
              </w:rPr>
              <w:t>Launching green steel, hydrogen-reduced steel, and low-carbon flat products for existing automotive and construction clients.</w:t>
            </w:r>
          </w:p>
        </w:tc>
      </w:tr>
      <w:tr w:rsidR="00DA41B1" w:rsidRPr="00DA41B1" w:rsidTr="00DA41B1">
        <w:tc>
          <w:tcPr>
            <w:tcW w:w="1248" w:type="dxa"/>
            <w:tcBorders>
              <w:top w:val="single" w:sz="1" w:space="0" w:color="CCCCCC"/>
              <w:left w:val="single" w:sz="1" w:space="0" w:color="CCCCCC"/>
              <w:bottom w:val="single" w:sz="1" w:space="0" w:color="CCCCCC"/>
              <w:right w:val="single" w:sz="1" w:space="0" w:color="CCCCCC"/>
            </w:tcBorders>
            <w:shd w:val="clear" w:color="auto" w:fill="1F4E79"/>
            <w:tcMar>
              <w:top w:w="80" w:type="dxa"/>
              <w:left w:w="80" w:type="dxa"/>
              <w:bottom w:w="80" w:type="dxa"/>
              <w:right w:w="80" w:type="dxa"/>
            </w:tcMar>
            <w:vAlign w:val="center"/>
          </w:tcPr>
          <w:p w:rsidR="00DA41B1" w:rsidRPr="00DA41B1" w:rsidRDefault="00DA41B1" w:rsidP="006021C3">
            <w:pPr>
              <w:spacing w:before="0" w:after="0" w:line="276" w:lineRule="auto"/>
              <w:jc w:val="center"/>
            </w:pPr>
            <w:r w:rsidRPr="00DA41B1">
              <w:rPr>
                <w:rFonts w:eastAsia="Arial" w:cs="Arial"/>
                <w:b/>
                <w:bCs/>
                <w:color w:val="FFFFFF"/>
              </w:rPr>
              <w:t>NEW MARKETS</w:t>
            </w:r>
          </w:p>
        </w:tc>
        <w:tc>
          <w:tcPr>
            <w:tcW w:w="4056" w:type="dxa"/>
            <w:tcBorders>
              <w:top w:val="single" w:sz="1" w:space="0" w:color="CCCCCC"/>
              <w:left w:val="single" w:sz="1" w:space="0" w:color="CCCCCC"/>
              <w:bottom w:val="single" w:sz="1" w:space="0" w:color="CCCCCC"/>
              <w:right w:val="single" w:sz="1" w:space="0" w:color="CCCCCC"/>
            </w:tcBorders>
            <w:shd w:val="clear" w:color="auto" w:fill="FFEB9C"/>
            <w:tcMar>
              <w:top w:w="120" w:type="dxa"/>
              <w:left w:w="120" w:type="dxa"/>
              <w:bottom w:w="120" w:type="dxa"/>
              <w:right w:w="120" w:type="dxa"/>
            </w:tcMar>
          </w:tcPr>
          <w:p w:rsidR="00DA41B1" w:rsidRPr="00DA41B1" w:rsidRDefault="00DA41B1" w:rsidP="006021C3">
            <w:pPr>
              <w:spacing w:before="0" w:after="0" w:line="276" w:lineRule="auto"/>
            </w:pPr>
            <w:r w:rsidRPr="00DA41B1">
              <w:rPr>
                <w:rFonts w:eastAsia="Arial" w:cs="Arial"/>
                <w:b/>
                <w:bCs/>
                <w:color w:val="9C6500"/>
              </w:rPr>
              <w:t>★ Market Development (RECOMMENDED)</w:t>
            </w:r>
          </w:p>
          <w:p w:rsidR="00DA41B1" w:rsidRPr="00DA41B1" w:rsidRDefault="00DA41B1" w:rsidP="006021C3">
            <w:pPr>
              <w:spacing w:before="0" w:after="0" w:line="276" w:lineRule="auto"/>
            </w:pPr>
            <w:r w:rsidRPr="00DA41B1">
              <w:rPr>
                <w:rFonts w:eastAsia="Arial" w:cs="Arial"/>
              </w:rPr>
              <w:t>Entering emerging green infrastructure markets (offshore wind, EV supply chains) with conventional steel products.</w:t>
            </w:r>
          </w:p>
        </w:tc>
        <w:tc>
          <w:tcPr>
            <w:tcW w:w="4056" w:type="dxa"/>
            <w:tcBorders>
              <w:top w:val="single" w:sz="1" w:space="0" w:color="CCCCCC"/>
              <w:left w:val="single" w:sz="1" w:space="0" w:color="CCCCCC"/>
              <w:bottom w:val="single" w:sz="1" w:space="0" w:color="CCCCCC"/>
              <w:right w:val="single" w:sz="1" w:space="0" w:color="CCCCCC"/>
            </w:tcBorders>
            <w:shd w:val="clear" w:color="auto" w:fill="FCE4D6"/>
            <w:tcMar>
              <w:top w:w="120" w:type="dxa"/>
              <w:left w:w="120" w:type="dxa"/>
              <w:bottom w:w="120" w:type="dxa"/>
              <w:right w:w="120" w:type="dxa"/>
            </w:tcMar>
          </w:tcPr>
          <w:p w:rsidR="00DA41B1" w:rsidRPr="00DA41B1" w:rsidRDefault="00DA41B1" w:rsidP="006021C3">
            <w:pPr>
              <w:spacing w:before="0" w:after="0" w:line="276" w:lineRule="auto"/>
            </w:pPr>
            <w:r w:rsidRPr="00DA41B1">
              <w:rPr>
                <w:rFonts w:eastAsia="Arial" w:cs="Arial"/>
                <w:b/>
                <w:bCs/>
                <w:color w:val="833C00"/>
              </w:rPr>
              <w:t>Diversification</w:t>
            </w:r>
          </w:p>
          <w:p w:rsidR="00DA41B1" w:rsidRPr="00DA41B1" w:rsidRDefault="006021C3" w:rsidP="006021C3">
            <w:pPr>
              <w:keepNext/>
              <w:spacing w:before="0" w:after="0" w:line="276" w:lineRule="auto"/>
            </w:pPr>
            <w:r>
              <w:rPr>
                <w:rFonts w:eastAsia="Arial" w:cs="Arial"/>
              </w:rPr>
              <w:t>Highest risk to enter</w:t>
            </w:r>
            <w:r w:rsidR="00DA41B1" w:rsidRPr="00DA41B1">
              <w:rPr>
                <w:rFonts w:eastAsia="Arial" w:cs="Arial"/>
              </w:rPr>
              <w:t xml:space="preserve"> into entirely new sectors. Not recommended as primary strategy at this stage.</w:t>
            </w:r>
          </w:p>
        </w:tc>
      </w:tr>
    </w:tbl>
    <w:p w:rsidR="00DA41B1" w:rsidRPr="000D73A6" w:rsidRDefault="006021C3" w:rsidP="006021C3">
      <w:pPr>
        <w:pStyle w:val="Caption"/>
        <w:jc w:val="center"/>
        <w:rPr>
          <w:sz w:val="22"/>
        </w:rPr>
      </w:pPr>
      <w:bookmarkStart w:id="6" w:name="_GoBack"/>
      <w:r w:rsidRPr="000D73A6">
        <w:rPr>
          <w:sz w:val="22"/>
        </w:rPr>
        <w:t xml:space="preserve">Table </w:t>
      </w:r>
      <w:r w:rsidR="009C76A6" w:rsidRPr="000D73A6">
        <w:rPr>
          <w:sz w:val="22"/>
        </w:rPr>
        <w:fldChar w:fldCharType="begin"/>
      </w:r>
      <w:r w:rsidR="009C76A6" w:rsidRPr="000D73A6">
        <w:rPr>
          <w:sz w:val="22"/>
        </w:rPr>
        <w:instrText xml:space="preserve"> SEQ Table \* ARABIC </w:instrText>
      </w:r>
      <w:r w:rsidR="009C76A6" w:rsidRPr="000D73A6">
        <w:rPr>
          <w:sz w:val="22"/>
        </w:rPr>
        <w:fldChar w:fldCharType="separate"/>
      </w:r>
      <w:r w:rsidRPr="000D73A6">
        <w:rPr>
          <w:sz w:val="22"/>
        </w:rPr>
        <w:t>3</w:t>
      </w:r>
      <w:r w:rsidR="009C76A6" w:rsidRPr="000D73A6">
        <w:rPr>
          <w:sz w:val="22"/>
        </w:rPr>
        <w:fldChar w:fldCharType="end"/>
      </w:r>
      <w:r w:rsidRPr="000D73A6">
        <w:rPr>
          <w:sz w:val="22"/>
        </w:rPr>
        <w:t>: Ansoff Matrix to Tata Steel (Source: Author).</w:t>
      </w:r>
    </w:p>
    <w:p w:rsidR="0008716B" w:rsidRDefault="0008716B" w:rsidP="00DA41B1">
      <w:pPr>
        <w:pStyle w:val="Heading2"/>
      </w:pPr>
      <w:bookmarkStart w:id="7" w:name="_Toc233367690"/>
      <w:bookmarkEnd w:id="6"/>
      <w:r>
        <w:t>Recommended Strategy 1: Product Development – Green Steel</w:t>
      </w:r>
      <w:bookmarkEnd w:id="7"/>
    </w:p>
    <w:p w:rsidR="0008716B" w:rsidRDefault="0008716B" w:rsidP="0008716B">
      <w:r>
        <w:t>The most important strategic insight for Tata Steel is the need to go for a structured product development plan, based</w:t>
      </w:r>
      <w:r w:rsidR="00DA41B1">
        <w:t xml:space="preserve"> on green steel, a</w:t>
      </w:r>
      <w:r>
        <w:t>steel with much lower carbon emissions, using EAF technology with renewable electricity or direct reduced iron (DRI) technology using hydrogen. This strategy is aimed at current customers, mainly in the automotive, construction and packaging industry, with their own Sc</w:t>
      </w:r>
      <w:r w:rsidR="00DA41B1">
        <w:t xml:space="preserve">ope 3 emission </w:t>
      </w:r>
      <w:r w:rsidR="00DA41B1">
        <w:lastRenderedPageBreak/>
        <w:t xml:space="preserve">reduction scope. </w:t>
      </w:r>
      <w:r>
        <w:t>Scope 3 are the indirect emissio</w:t>
      </w:r>
      <w:r w:rsidR="00ED5F66">
        <w:t xml:space="preserve">ns in a company's value chains (GHG Protocol, </w:t>
      </w:r>
      <w:r w:rsidR="00DA41B1">
        <w:t>2023</w:t>
      </w:r>
      <w:r w:rsidR="00ED5F66">
        <w:t>)</w:t>
      </w:r>
      <w:r w:rsidR="00DA41B1">
        <w:t xml:space="preserve">. </w:t>
      </w:r>
    </w:p>
    <w:p w:rsidR="0008716B" w:rsidRDefault="0008716B" w:rsidP="0008716B">
      <w:r>
        <w:t>Opportunities for green steel are very promising. The McKinsey analysis 2023 states that the demand for low-c</w:t>
      </w:r>
      <w:r w:rsidR="00DA41B1">
        <w:t xml:space="preserve">arbon steel in Europe may be 30 to </w:t>
      </w:r>
      <w:r>
        <w:t>40 MT per year in 2030, largely due to the scope 3 targets set by automotive companies and green procurement policies. If low carbon steel is a necessary component of automotive products, leading vehicle manufacturers like Jaguar Land Rover and BMW have already committed to procuring it for their net zero efforts (BMW Group, 2022). Tata Steel is thus working on green steel, a market that is slowly evolving and where customers can be influential and willing to pay a high price for green products if they are al</w:t>
      </w:r>
      <w:r w:rsidR="00DA41B1">
        <w:t>ready convinced of their worth.</w:t>
      </w:r>
    </w:p>
    <w:p w:rsidR="0008716B" w:rsidRDefault="0008716B" w:rsidP="0008716B">
      <w:r>
        <w:t xml:space="preserve">The EAF at Port Talbot will have a rating of around 3 million tonnes per year of lower carbon steel, and is expected to be operational by 2027 (Tata Steel, 2024b). The company is also working with renewable energy providers to guarantee the operations of EAF are fuelled by low carbon electricity, which further reduces the carbon footprint of the product. This falls in line with Kotler et al. (2024, p. 415) definition of sustainable product design – 'incorporating environmental issues into the product design process from the beginning, </w:t>
      </w:r>
      <w:r w:rsidR="006021C3">
        <w:t>instead of as an afterthought'.</w:t>
      </w:r>
    </w:p>
    <w:p w:rsidR="0008716B" w:rsidRDefault="0008716B" w:rsidP="0008716B">
      <w:r>
        <w:t>Importantly, product development should be accompanied by transparency in carbon accounting with third party verification. Businesses and organizations are creating market infrastructures that incentivise those who can prove to be low-carbon producers, such as Environmental Product Declarations (EPDs) and standards like ResponsibleSteel (ResponsibleSteel, 2023). In 2022, Tata Steel became the first company to qualify for ResponsibleSteel certification at their Port Talbot plant, ahead of their competitors in effectively conveying the environmental credentials of their products to the ve</w:t>
      </w:r>
      <w:r w:rsidR="00DA41B1">
        <w:t>ry demanding industrial buyers.</w:t>
      </w:r>
    </w:p>
    <w:p w:rsidR="0008716B" w:rsidRDefault="00DA41B1" w:rsidP="00DA41B1">
      <w:pPr>
        <w:pStyle w:val="Heading2"/>
      </w:pPr>
      <w:bookmarkStart w:id="8" w:name="_Toc233367691"/>
      <w:r>
        <w:t>Recommended Strategy 2: Market Development</w:t>
      </w:r>
      <w:r w:rsidR="0008716B">
        <w:t xml:space="preserve"> </w:t>
      </w:r>
      <w:r>
        <w:t>- Green I</w:t>
      </w:r>
      <w:r w:rsidR="0008716B">
        <w:t>nfrastructure</w:t>
      </w:r>
      <w:bookmarkEnd w:id="8"/>
    </w:p>
    <w:p w:rsidR="0008716B" w:rsidRDefault="0008716B" w:rsidP="0008716B">
      <w:r>
        <w:t xml:space="preserve">In addition to product development, Tata Steel needs to adopt a market development strategy to expand the company's market base into new end-use segments experiencing strong demand for steel due to the global green transition. The two sectors that are of </w:t>
      </w:r>
      <w:r>
        <w:lastRenderedPageBreak/>
        <w:t>particular interest are offshore wind power and the infrastructure supporting the product</w:t>
      </w:r>
      <w:r w:rsidR="00DA41B1">
        <w:t>ion of electric vehicles (EVs).</w:t>
      </w:r>
    </w:p>
    <w:p w:rsidR="0008716B" w:rsidRDefault="0008716B" w:rsidP="0008716B">
      <w:r>
        <w:t xml:space="preserve">The UK Government has pledged to install 50 GW offshore wind by 2030, and each 150,000 tonnes of steel is required for </w:t>
      </w:r>
      <w:r w:rsidR="00ED5F66">
        <w:t>monopoles</w:t>
      </w:r>
      <w:r>
        <w:t>, transition pieces and foundations (WindEurope, 2023). This represents a huge, untapped market of around 7.5 million tonnes of offshore wind steel demand in the UK, which Tata Steel's existing facilities at Scunthorpe and Port Talbot are ideally located to meet. The company has already started sourcing steel plates to offshore wind manufacturers, and it is expected to expand its product lines and create long-term supply contr</w:t>
      </w:r>
      <w:r w:rsidR="00DA41B1">
        <w:t>acts with wind farm developers.</w:t>
      </w:r>
    </w:p>
    <w:p w:rsidR="0008716B" w:rsidRDefault="0008716B" w:rsidP="0008716B">
      <w:r>
        <w:t>There are possibilities in the EV sector. With the shift from internal combustion engine to battery electric vehicles, the amount of steel used per vehicle is changing. The need for high strength, low weight steels to enhance energy efficiency of motor vehicles is growing (World Auto Steel, 2023). The research and development work into advanced high strength steels (AHSS) grades which Tata Steel already provides to European automotive OEM's gives the company the opportunity to expand its activity in this fast-growing field. There are also internal synergies in the Tata Group's ownership of Jaguar Land Rover, across the supply of advanced low carbon steel to JLR's electrified vehicle platforms, for example, Tata Steel may become a very important supplier to J</w:t>
      </w:r>
      <w:r w:rsidR="00DA41B1">
        <w:t>LR.</w:t>
      </w:r>
    </w:p>
    <w:p w:rsidR="0008716B" w:rsidRDefault="0008716B" w:rsidP="00DA41B1">
      <w:pPr>
        <w:pStyle w:val="Heading2"/>
      </w:pPr>
      <w:bookmarkStart w:id="9" w:name="_Toc233367692"/>
      <w:r>
        <w:t>Competitive Advantage: Porter's Generic Strategies.</w:t>
      </w:r>
      <w:bookmarkEnd w:id="9"/>
    </w:p>
    <w:p w:rsidR="0008716B" w:rsidRDefault="0008716B" w:rsidP="0008716B">
      <w:r>
        <w:t xml:space="preserve">In the transition, Tata Steel needs to adopt a differentiation strategy as per the framework </w:t>
      </w:r>
      <w:r w:rsidR="00DA41B1">
        <w:t xml:space="preserve">of Porter's Generic Strategies (Porter, </w:t>
      </w:r>
      <w:r>
        <w:t>1985). Though the Indian and Chinese steel companies might have the edge over Tata Steel in the labour cost factor, the major difference should be based on the proof that can be provided as regards their low carbon credentials, reliability of supply, and technical quality. This fits in with the concept of 'innovation offsets' which Porter and van der Linde (</w:t>
      </w:r>
      <w:r w:rsidR="00DA41B1">
        <w:t>Porte</w:t>
      </w:r>
      <w:r w:rsidR="00CE444A">
        <w:t>r and van der Linde</w:t>
      </w:r>
      <w:r w:rsidR="00DA41B1">
        <w:t xml:space="preserve">, </w:t>
      </w:r>
      <w:r>
        <w:t>1995) defined as 'innovation benefits that arise from the costs of complying with environmental laws: for example, productivity gains and first-mover advantages in premium markets.</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700"/>
        <w:gridCol w:w="2900"/>
        <w:gridCol w:w="3760"/>
      </w:tblGrid>
      <w:tr w:rsidR="006021C3" w:rsidRPr="006021C3" w:rsidTr="00E73D99">
        <w:trPr>
          <w:tblHeader/>
        </w:trPr>
        <w:tc>
          <w:tcPr>
            <w:tcW w:w="2700" w:type="dxa"/>
            <w:tcBorders>
              <w:top w:val="single" w:sz="1" w:space="0" w:color="CCCCCC"/>
              <w:left w:val="single" w:sz="1" w:space="0" w:color="CCCCCC"/>
              <w:bottom w:val="single" w:sz="1" w:space="0" w:color="CCCCCC"/>
              <w:right w:val="single" w:sz="1" w:space="0" w:color="CCCCCC"/>
            </w:tcBorders>
            <w:shd w:val="clear" w:color="auto" w:fill="1F4E79"/>
            <w:tcMar>
              <w:top w:w="100" w:type="dxa"/>
              <w:left w:w="120" w:type="dxa"/>
              <w:bottom w:w="100" w:type="dxa"/>
              <w:right w:w="120" w:type="dxa"/>
            </w:tcMar>
            <w:vAlign w:val="center"/>
          </w:tcPr>
          <w:p w:rsidR="006021C3" w:rsidRPr="006021C3" w:rsidRDefault="006021C3" w:rsidP="006021C3">
            <w:pPr>
              <w:spacing w:before="0" w:after="0" w:line="276" w:lineRule="auto"/>
              <w:jc w:val="center"/>
            </w:pPr>
            <w:r w:rsidRPr="006021C3">
              <w:rPr>
                <w:rFonts w:eastAsia="Arial" w:cs="Arial"/>
                <w:b/>
                <w:bCs/>
                <w:color w:val="FFFFFF"/>
              </w:rPr>
              <w:lastRenderedPageBreak/>
              <w:t>Strategic Dimension</w:t>
            </w:r>
          </w:p>
        </w:tc>
        <w:tc>
          <w:tcPr>
            <w:tcW w:w="2900" w:type="dxa"/>
            <w:tcBorders>
              <w:top w:val="single" w:sz="1" w:space="0" w:color="CCCCCC"/>
              <w:left w:val="single" w:sz="1" w:space="0" w:color="CCCCCC"/>
              <w:bottom w:val="single" w:sz="1" w:space="0" w:color="CCCCCC"/>
              <w:right w:val="single" w:sz="1" w:space="0" w:color="CCCCCC"/>
            </w:tcBorders>
            <w:shd w:val="clear" w:color="auto" w:fill="1F4E79"/>
            <w:tcMar>
              <w:top w:w="100" w:type="dxa"/>
              <w:left w:w="120" w:type="dxa"/>
              <w:bottom w:w="100" w:type="dxa"/>
              <w:right w:w="120" w:type="dxa"/>
            </w:tcMar>
            <w:vAlign w:val="center"/>
          </w:tcPr>
          <w:p w:rsidR="006021C3" w:rsidRPr="006021C3" w:rsidRDefault="006021C3" w:rsidP="006021C3">
            <w:pPr>
              <w:spacing w:before="0" w:after="0" w:line="276" w:lineRule="auto"/>
              <w:jc w:val="center"/>
            </w:pPr>
            <w:r w:rsidRPr="006021C3">
              <w:rPr>
                <w:rFonts w:eastAsia="Arial" w:cs="Arial"/>
                <w:b/>
                <w:bCs/>
                <w:color w:val="FFFFFF"/>
              </w:rPr>
              <w:t>Current Position</w:t>
            </w:r>
          </w:p>
        </w:tc>
        <w:tc>
          <w:tcPr>
            <w:tcW w:w="3760" w:type="dxa"/>
            <w:tcBorders>
              <w:top w:val="single" w:sz="1" w:space="0" w:color="CCCCCC"/>
              <w:left w:val="single" w:sz="1" w:space="0" w:color="CCCCCC"/>
              <w:bottom w:val="single" w:sz="1" w:space="0" w:color="CCCCCC"/>
              <w:right w:val="single" w:sz="1" w:space="0" w:color="CCCCCC"/>
            </w:tcBorders>
            <w:shd w:val="clear" w:color="auto" w:fill="1F4E79"/>
            <w:tcMar>
              <w:top w:w="100" w:type="dxa"/>
              <w:left w:w="120" w:type="dxa"/>
              <w:bottom w:w="100" w:type="dxa"/>
              <w:right w:w="120" w:type="dxa"/>
            </w:tcMar>
            <w:vAlign w:val="center"/>
          </w:tcPr>
          <w:p w:rsidR="006021C3" w:rsidRPr="006021C3" w:rsidRDefault="006021C3" w:rsidP="006021C3">
            <w:pPr>
              <w:spacing w:before="0" w:after="0" w:line="276" w:lineRule="auto"/>
              <w:jc w:val="center"/>
            </w:pPr>
            <w:r w:rsidRPr="006021C3">
              <w:rPr>
                <w:rFonts w:eastAsia="Arial" w:cs="Arial"/>
                <w:b/>
                <w:bCs/>
                <w:color w:val="FFFFFF"/>
              </w:rPr>
              <w:t>Recommended Future Position</w:t>
            </w:r>
          </w:p>
        </w:tc>
      </w:tr>
      <w:tr w:rsidR="006021C3" w:rsidRPr="006021C3" w:rsidTr="00E73D99">
        <w:tc>
          <w:tcPr>
            <w:tcW w:w="27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rsidR="006021C3" w:rsidRPr="006021C3" w:rsidRDefault="006021C3" w:rsidP="006021C3">
            <w:pPr>
              <w:spacing w:before="0" w:after="0" w:line="276" w:lineRule="auto"/>
            </w:pPr>
            <w:r w:rsidRPr="006021C3">
              <w:rPr>
                <w:rFonts w:eastAsia="Arial" w:cs="Arial"/>
              </w:rPr>
              <w:t>Core Product</w:t>
            </w:r>
          </w:p>
        </w:tc>
        <w:tc>
          <w:tcPr>
            <w:tcW w:w="29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rsidR="006021C3" w:rsidRPr="006021C3" w:rsidRDefault="006021C3" w:rsidP="006021C3">
            <w:pPr>
              <w:spacing w:before="0" w:after="0" w:line="276" w:lineRule="auto"/>
              <w:jc w:val="center"/>
            </w:pPr>
            <w:r w:rsidRPr="006021C3">
              <w:rPr>
                <w:rFonts w:eastAsia="Arial" w:cs="Arial"/>
              </w:rPr>
              <w:t>Conventional BF-BOF steel</w:t>
            </w:r>
          </w:p>
        </w:tc>
        <w:tc>
          <w:tcPr>
            <w:tcW w:w="376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rsidR="006021C3" w:rsidRPr="006021C3" w:rsidRDefault="006021C3" w:rsidP="006021C3">
            <w:pPr>
              <w:spacing w:before="0" w:after="0" w:line="276" w:lineRule="auto"/>
              <w:jc w:val="center"/>
            </w:pPr>
            <w:r w:rsidRPr="006021C3">
              <w:rPr>
                <w:rFonts w:eastAsia="Arial" w:cs="Arial"/>
              </w:rPr>
              <w:t>Green steel (EAF + hydrogen-DRI)</w:t>
            </w:r>
          </w:p>
        </w:tc>
      </w:tr>
      <w:tr w:rsidR="006021C3" w:rsidRPr="006021C3" w:rsidTr="00E73D99">
        <w:tc>
          <w:tcPr>
            <w:tcW w:w="27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rsidR="006021C3" w:rsidRPr="006021C3" w:rsidRDefault="006021C3" w:rsidP="006021C3">
            <w:pPr>
              <w:spacing w:before="0" w:after="0" w:line="276" w:lineRule="auto"/>
            </w:pPr>
            <w:r w:rsidRPr="006021C3">
              <w:rPr>
                <w:rFonts w:eastAsia="Arial" w:cs="Arial"/>
              </w:rPr>
              <w:t>Competitive Basis</w:t>
            </w:r>
          </w:p>
        </w:tc>
        <w:tc>
          <w:tcPr>
            <w:tcW w:w="29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rsidR="006021C3" w:rsidRPr="006021C3" w:rsidRDefault="006021C3" w:rsidP="006021C3">
            <w:pPr>
              <w:spacing w:before="0" w:after="0" w:line="276" w:lineRule="auto"/>
              <w:jc w:val="center"/>
            </w:pPr>
            <w:r w:rsidRPr="006021C3">
              <w:rPr>
                <w:rFonts w:eastAsia="Arial" w:cs="Arial"/>
              </w:rPr>
              <w:t>Cost and volume</w:t>
            </w:r>
          </w:p>
        </w:tc>
        <w:tc>
          <w:tcPr>
            <w:tcW w:w="376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rsidR="006021C3" w:rsidRPr="006021C3" w:rsidRDefault="006021C3" w:rsidP="006021C3">
            <w:pPr>
              <w:spacing w:before="0" w:after="0" w:line="276" w:lineRule="auto"/>
              <w:jc w:val="center"/>
            </w:pPr>
            <w:r w:rsidRPr="006021C3">
              <w:rPr>
                <w:rFonts w:eastAsia="Arial" w:cs="Arial"/>
              </w:rPr>
              <w:t>Differentiation: low-carbon credentials</w:t>
            </w:r>
          </w:p>
        </w:tc>
      </w:tr>
      <w:tr w:rsidR="006021C3" w:rsidRPr="006021C3" w:rsidTr="00E73D99">
        <w:tc>
          <w:tcPr>
            <w:tcW w:w="27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rsidR="006021C3" w:rsidRPr="006021C3" w:rsidRDefault="006021C3" w:rsidP="006021C3">
            <w:pPr>
              <w:spacing w:before="0" w:after="0" w:line="276" w:lineRule="auto"/>
            </w:pPr>
            <w:r w:rsidRPr="006021C3">
              <w:rPr>
                <w:rFonts w:eastAsia="Arial" w:cs="Arial"/>
              </w:rPr>
              <w:t>Key Markets</w:t>
            </w:r>
          </w:p>
        </w:tc>
        <w:tc>
          <w:tcPr>
            <w:tcW w:w="29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rsidR="006021C3" w:rsidRPr="006021C3" w:rsidRDefault="006021C3" w:rsidP="006021C3">
            <w:pPr>
              <w:spacing w:before="0" w:after="0" w:line="276" w:lineRule="auto"/>
              <w:jc w:val="center"/>
            </w:pPr>
            <w:r w:rsidRPr="006021C3">
              <w:rPr>
                <w:rFonts w:eastAsia="Arial" w:cs="Arial"/>
              </w:rPr>
              <w:t>Automotive, construction (UK/EU)</w:t>
            </w:r>
          </w:p>
        </w:tc>
        <w:tc>
          <w:tcPr>
            <w:tcW w:w="376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rsidR="006021C3" w:rsidRPr="006021C3" w:rsidRDefault="006021C3" w:rsidP="006021C3">
            <w:pPr>
              <w:spacing w:before="0" w:after="0" w:line="276" w:lineRule="auto"/>
              <w:jc w:val="center"/>
            </w:pPr>
            <w:r w:rsidRPr="006021C3">
              <w:rPr>
                <w:rFonts w:eastAsia="Arial" w:cs="Arial"/>
              </w:rPr>
              <w:t>Automotive, wind energy, EV infrastructure</w:t>
            </w:r>
          </w:p>
        </w:tc>
      </w:tr>
      <w:tr w:rsidR="006021C3" w:rsidRPr="006021C3" w:rsidTr="00E73D99">
        <w:tc>
          <w:tcPr>
            <w:tcW w:w="27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rsidR="006021C3" w:rsidRPr="006021C3" w:rsidRDefault="006021C3" w:rsidP="006021C3">
            <w:pPr>
              <w:spacing w:before="0" w:after="0" w:line="276" w:lineRule="auto"/>
            </w:pPr>
            <w:r w:rsidRPr="006021C3">
              <w:rPr>
                <w:rFonts w:eastAsia="Arial" w:cs="Arial"/>
              </w:rPr>
              <w:t>Certifications</w:t>
            </w:r>
          </w:p>
        </w:tc>
        <w:tc>
          <w:tcPr>
            <w:tcW w:w="29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rsidR="006021C3" w:rsidRPr="006021C3" w:rsidRDefault="006021C3" w:rsidP="006021C3">
            <w:pPr>
              <w:spacing w:before="0" w:after="0" w:line="276" w:lineRule="auto"/>
              <w:jc w:val="center"/>
            </w:pPr>
            <w:r w:rsidRPr="006021C3">
              <w:rPr>
                <w:rFonts w:eastAsia="Arial" w:cs="Arial"/>
              </w:rPr>
              <w:t>ResponsibleSteel (Port Talbot)</w:t>
            </w:r>
          </w:p>
        </w:tc>
        <w:tc>
          <w:tcPr>
            <w:tcW w:w="376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rsidR="006021C3" w:rsidRPr="006021C3" w:rsidRDefault="006021C3" w:rsidP="006021C3">
            <w:pPr>
              <w:spacing w:before="0" w:after="0" w:line="276" w:lineRule="auto"/>
              <w:jc w:val="center"/>
            </w:pPr>
            <w:r w:rsidRPr="006021C3">
              <w:rPr>
                <w:rFonts w:eastAsia="Arial" w:cs="Arial"/>
              </w:rPr>
              <w:t>Expand EPD and green certifications globally</w:t>
            </w:r>
          </w:p>
        </w:tc>
      </w:tr>
      <w:tr w:rsidR="006021C3" w:rsidRPr="006021C3" w:rsidTr="00E73D99">
        <w:tc>
          <w:tcPr>
            <w:tcW w:w="27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rsidR="006021C3" w:rsidRPr="006021C3" w:rsidRDefault="006021C3" w:rsidP="006021C3">
            <w:pPr>
              <w:spacing w:before="0" w:after="0" w:line="276" w:lineRule="auto"/>
            </w:pPr>
            <w:r w:rsidRPr="006021C3">
              <w:rPr>
                <w:rFonts w:eastAsia="Arial" w:cs="Arial"/>
              </w:rPr>
              <w:t>Carbon Price Exposure</w:t>
            </w:r>
          </w:p>
        </w:tc>
        <w:tc>
          <w:tcPr>
            <w:tcW w:w="29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rsidR="006021C3" w:rsidRPr="006021C3" w:rsidRDefault="006021C3" w:rsidP="006021C3">
            <w:pPr>
              <w:spacing w:before="0" w:after="0" w:line="276" w:lineRule="auto"/>
              <w:jc w:val="center"/>
            </w:pPr>
            <w:r w:rsidRPr="006021C3">
              <w:rPr>
                <w:rFonts w:eastAsia="Arial" w:cs="Arial"/>
              </w:rPr>
              <w:t>High (BF-BOF emissions)</w:t>
            </w:r>
          </w:p>
        </w:tc>
        <w:tc>
          <w:tcPr>
            <w:tcW w:w="376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rsidR="006021C3" w:rsidRPr="006021C3" w:rsidRDefault="006021C3" w:rsidP="006021C3">
            <w:pPr>
              <w:spacing w:before="0" w:after="0" w:line="276" w:lineRule="auto"/>
              <w:jc w:val="center"/>
            </w:pPr>
            <w:r w:rsidRPr="006021C3">
              <w:rPr>
                <w:rFonts w:eastAsia="Arial" w:cs="Arial"/>
              </w:rPr>
              <w:t>Significantly reduced (EAF operations)</w:t>
            </w:r>
          </w:p>
        </w:tc>
      </w:tr>
      <w:tr w:rsidR="006021C3" w:rsidRPr="006021C3" w:rsidTr="00E73D99">
        <w:tc>
          <w:tcPr>
            <w:tcW w:w="27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rsidR="006021C3" w:rsidRPr="006021C3" w:rsidRDefault="006021C3" w:rsidP="006021C3">
            <w:pPr>
              <w:spacing w:before="0" w:after="0" w:line="276" w:lineRule="auto"/>
            </w:pPr>
            <w:r w:rsidRPr="006021C3">
              <w:rPr>
                <w:rFonts w:eastAsia="Arial" w:cs="Arial"/>
              </w:rPr>
              <w:t>Premium Pricing Power</w:t>
            </w:r>
          </w:p>
        </w:tc>
        <w:tc>
          <w:tcPr>
            <w:tcW w:w="29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rsidR="006021C3" w:rsidRPr="006021C3" w:rsidRDefault="006021C3" w:rsidP="006021C3">
            <w:pPr>
              <w:spacing w:before="0" w:after="0" w:line="276" w:lineRule="auto"/>
              <w:jc w:val="center"/>
            </w:pPr>
            <w:r w:rsidRPr="006021C3">
              <w:rPr>
                <w:rFonts w:eastAsia="Arial" w:cs="Arial"/>
              </w:rPr>
              <w:t>Limited</w:t>
            </w:r>
          </w:p>
        </w:tc>
        <w:tc>
          <w:tcPr>
            <w:tcW w:w="376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rsidR="006021C3" w:rsidRPr="006021C3" w:rsidRDefault="006021C3" w:rsidP="006021C3">
            <w:pPr>
              <w:keepNext/>
              <w:spacing w:before="0" w:after="0" w:line="276" w:lineRule="auto"/>
              <w:jc w:val="center"/>
            </w:pPr>
            <w:r w:rsidRPr="006021C3">
              <w:rPr>
                <w:rFonts w:eastAsia="Arial" w:cs="Arial"/>
              </w:rPr>
              <w:t>High – green steel commands 20–30% premium</w:t>
            </w:r>
          </w:p>
        </w:tc>
      </w:tr>
    </w:tbl>
    <w:p w:rsidR="006021C3" w:rsidRPr="00E73D99" w:rsidRDefault="006021C3" w:rsidP="006021C3">
      <w:pPr>
        <w:pStyle w:val="Caption"/>
        <w:jc w:val="center"/>
        <w:rPr>
          <w:sz w:val="22"/>
        </w:rPr>
      </w:pPr>
      <w:r w:rsidRPr="00E73D99">
        <w:rPr>
          <w:sz w:val="22"/>
        </w:rPr>
        <w:t xml:space="preserve">Table </w:t>
      </w:r>
      <w:r w:rsidR="009C76A6" w:rsidRPr="00E73D99">
        <w:rPr>
          <w:sz w:val="22"/>
        </w:rPr>
        <w:fldChar w:fldCharType="begin"/>
      </w:r>
      <w:r w:rsidR="009C76A6" w:rsidRPr="00E73D99">
        <w:rPr>
          <w:sz w:val="22"/>
        </w:rPr>
        <w:instrText xml:space="preserve"> SEQ Table \* ARABIC </w:instrText>
      </w:r>
      <w:r w:rsidR="009C76A6" w:rsidRPr="00E73D99">
        <w:rPr>
          <w:sz w:val="22"/>
        </w:rPr>
        <w:fldChar w:fldCharType="separate"/>
      </w:r>
      <w:r w:rsidRPr="00E73D99">
        <w:rPr>
          <w:sz w:val="22"/>
        </w:rPr>
        <w:t>4</w:t>
      </w:r>
      <w:r w:rsidR="009C76A6" w:rsidRPr="00E73D99">
        <w:rPr>
          <w:sz w:val="22"/>
        </w:rPr>
        <w:fldChar w:fldCharType="end"/>
      </w:r>
      <w:r w:rsidRPr="00E73D99">
        <w:rPr>
          <w:sz w:val="22"/>
        </w:rPr>
        <w:t>: Targeted Competitive positioning (Source: Author).</w:t>
      </w:r>
    </w:p>
    <w:p w:rsidR="002A2C6D" w:rsidRPr="00EA7383" w:rsidRDefault="00926F2A" w:rsidP="00EA7383">
      <w:r>
        <w:t>Product development and market development strategies, both based on differentiation, provide a coherent path for Tata Steel to grow and are commercially viable and fit to the external environmental and regulatory pressures identified in Task 1. But that transition does come with its dangers, such as the need for new technology investments to be capital-intensive, the need to rely on green hydrogen supply chains with high variability and the time it will take for customers to be willing to pay a premium for low-carbon steel. It is therefore imperative for Tata Steel to deal with these risks in a phased manner, by engaging with the right stakeholders, and by continuously analyzing market developments (Dibb and Simkin, 2021).</w:t>
      </w:r>
      <w:r w:rsidR="002A2C6D">
        <w:br w:type="page"/>
      </w:r>
    </w:p>
    <w:p w:rsidR="00926F2A" w:rsidRDefault="00926F2A" w:rsidP="00926F2A">
      <w:pPr>
        <w:pStyle w:val="Heading1"/>
      </w:pPr>
      <w:bookmarkStart w:id="10" w:name="_Toc233367693"/>
      <w:r>
        <w:lastRenderedPageBreak/>
        <w:t>Task 3: Critical Reflection on AI Usage</w:t>
      </w:r>
      <w:bookmarkEnd w:id="10"/>
    </w:p>
    <w:p w:rsidR="00926F2A" w:rsidRDefault="00926F2A" w:rsidP="00926F2A">
      <w:pPr>
        <w:pStyle w:val="Heading2"/>
      </w:pPr>
      <w:bookmarkStart w:id="11" w:name="_Toc233367694"/>
      <w:r>
        <w:t xml:space="preserve">Used </w:t>
      </w:r>
      <w:r w:rsidRPr="00926F2A">
        <w:t>A</w:t>
      </w:r>
      <w:r>
        <w:t>I Tools and Their Roles</w:t>
      </w:r>
      <w:bookmarkEnd w:id="11"/>
    </w:p>
    <w:p w:rsidR="00926F2A" w:rsidRDefault="00966F3E" w:rsidP="00926F2A">
      <w:r>
        <w:t xml:space="preserve">I have used generative AI tools </w:t>
      </w:r>
      <w:r w:rsidR="00926F2A">
        <w:t>in researching and proofreading this report. In practice,  I took advantage of the tool to find relevant keyword and directions of search for building my reading list, such as searching academic literature on green steel markets and carbon border keywords. This enabled me to conduct my independent search more efficiently in Google Scholar and Library databases. I also used it to check grammatical clarity of a few sentences that were already drafted, within the scope of proofreading that is allowed in the assessment specification. I used it to cross check some international news’ authenticity using different media.</w:t>
      </w:r>
    </w:p>
    <w:p w:rsidR="00926F2A" w:rsidRDefault="00926F2A" w:rsidP="00926F2A">
      <w:r>
        <w:t>Importantly, the analysis, argument, and structure of this report was not created by AI. All the two environmental actors, the Ansoff Matrix and the recommendations for competitive positioning are my own reading and critical analysis. The AI tools used were only used to support and supplement the writing or assessment; research support and proofreading were allowed by the assessment guidance, but writing and structuring were not.</w:t>
      </w:r>
    </w:p>
    <w:p w:rsidR="00926F2A" w:rsidRDefault="00926F2A" w:rsidP="00926F2A">
      <w:pPr>
        <w:pStyle w:val="Heading2"/>
      </w:pPr>
      <w:bookmarkStart w:id="12" w:name="_Toc233367695"/>
      <w:r>
        <w:t>AI Outcome Verification and Error Handling</w:t>
      </w:r>
      <w:bookmarkEnd w:id="12"/>
    </w:p>
    <w:p w:rsidR="00926F2A" w:rsidRDefault="00926F2A" w:rsidP="00926F2A">
      <w:r>
        <w:t>One drawback of AI in research assistance was that not every potential source was pertinent to my arguments. Some suggestions were developed at a general level of sustainability or industrial policy, but failed to offer any useful insights into the issue of decarbonisation of the steel sector, green marketing or the regulatory landscape for Tata Steel. If you would have followed them blindly, the review would have had a wider scope but not as focused.</w:t>
      </w:r>
    </w:p>
    <w:p w:rsidR="00926F2A" w:rsidRDefault="00926F2A" w:rsidP="00926F2A">
      <w:r>
        <w:t>To overcome this, I checked each of the suggested sources using the Google Scholar website to see if the abstract was relevant and to verify the source. Those sources that did not provide sufficient detail or scope for the analysis were omitted, and those that had little to offer were omitted because they were industry specific. This process also highlighted the need for the critical evaluation of sources and the realization that relevance does not exist without subject knowledge, and therefore, cannot be assessed with sufficient certainty by AI.</w:t>
      </w:r>
      <w:r w:rsidR="002A2C6D">
        <w:t xml:space="preserve"> (Bender et al., 2021</w:t>
      </w:r>
      <w:r>
        <w:t>).</w:t>
      </w:r>
    </w:p>
    <w:p w:rsidR="00926F2A" w:rsidRDefault="00926F2A" w:rsidP="00926F2A">
      <w:pPr>
        <w:pStyle w:val="Heading2"/>
      </w:pPr>
      <w:bookmarkStart w:id="13" w:name="_Toc233367696"/>
      <w:r>
        <w:lastRenderedPageBreak/>
        <w:t>Distinguishing AI Contribution from My Own Analysis</w:t>
      </w:r>
      <w:bookmarkEnd w:id="13"/>
    </w:p>
    <w:p w:rsidR="00926F2A" w:rsidRDefault="00926F2A" w:rsidP="00926F2A">
      <w:r>
        <w:t>It's crucial that I acknowledge the role of AI and the fact that it's not exactly my own brain working, but rather a tool I'm using. The AI tool assisted me in navigating the research landscape more efficiently, but did not provide any analytical content for this report. The identification of the natural environment and the political/regulatory environment as the two most important actors for Tata Steel's transition (not the technological or sociocultural environment) is a conclusion I reached with my own reading and consideration of the context in which Tata Steel operates.</w:t>
      </w:r>
    </w:p>
    <w:p w:rsidR="00926F2A" w:rsidRDefault="00926F2A" w:rsidP="00926F2A">
      <w:r>
        <w:t>Likewise, I have considered Tata Steel's capabilities and market position, and the risk-return trade-offs, while deciding on product development and market development strategy, which is recommended by Ansoff Matrix, instead of diversification and market penetration. These are the sorts of evaluations that call for critical thinking and context knowledge that AI systems, as they exist today, are not able to reliably make in a subtle academic setting.</w:t>
      </w:r>
    </w:p>
    <w:p w:rsidR="00926F2A" w:rsidRDefault="00926F2A" w:rsidP="00926F2A">
      <w:pPr>
        <w:pStyle w:val="Heading2"/>
      </w:pPr>
      <w:bookmarkStart w:id="14" w:name="_Toc233367697"/>
      <w:r>
        <w:t>Ethical and Professional Reflection</w:t>
      </w:r>
      <w:bookmarkEnd w:id="14"/>
    </w:p>
    <w:p w:rsidR="00926F2A" w:rsidRDefault="00926F2A" w:rsidP="00926F2A">
      <w:r>
        <w:t>While academic integrity is a matter of rules, there are also real ethical concerns when using AI in academic settings. I think what is most important is that they may turn into intellectual dependents, using the AI to do the analytical work that is the purpose of post-graduate education. I would have written an analysis that misrepresented my skills, if I used AI to structure my arguments, and I wouldn't have had the opportunity to learn from a complicated piece of information on my own.</w:t>
      </w:r>
    </w:p>
    <w:p w:rsidR="00212210" w:rsidRDefault="00926F2A" w:rsidP="00212210">
      <w:r>
        <w:t>There is also a wider professional ethics that is linked. Uncritical application of AI-generated outputs by marketing experts could lead to the dissemination of incorrect market analysis or marketing strategies, which can have adverse implications for the business.</w:t>
      </w:r>
      <w:r w:rsidR="00212210">
        <w:t xml:space="preserve"> </w:t>
      </w:r>
      <w:r>
        <w:t xml:space="preserve">Marketing professionals who blindly use AI-generated outputs may share inaccurate market analysis or marketing strategies that can impact the business negatively. I think the one habit I have developed from this assignment is the habit of making critical verification, which I believe is directly transferable to my professional life, when I am working in the field of marketing management. </w:t>
      </w:r>
      <w:r w:rsidR="00212210">
        <w:t>T</w:t>
      </w:r>
      <w:r>
        <w:t xml:space="preserve">he use of AI should be </w:t>
      </w:r>
      <w:r>
        <w:lastRenderedPageBreak/>
        <w:t>responsible, not the absence of judgement in the form of humans</w:t>
      </w:r>
      <w:r w:rsidR="00212210">
        <w:t xml:space="preserve"> (Floridi et al. 2020</w:t>
      </w:r>
      <w:r w:rsidR="00CE444A">
        <w:t>, p. 694</w:t>
      </w:r>
      <w:r w:rsidR="00212210">
        <w:t>)</w:t>
      </w:r>
      <w:r>
        <w:t>. This report is a measure of trying to find that balance.</w:t>
      </w:r>
    </w:p>
    <w:p w:rsidR="002A2C6D" w:rsidRDefault="002A2C6D">
      <w:pPr>
        <w:spacing w:before="0" w:line="259" w:lineRule="auto"/>
        <w:jc w:val="left"/>
        <w:rPr>
          <w:rFonts w:eastAsia="Arial" w:cs="Arial"/>
          <w:b/>
          <w:bCs/>
          <w:color w:val="1F4E79"/>
          <w:sz w:val="28"/>
          <w:szCs w:val="28"/>
        </w:rPr>
      </w:pPr>
      <w:r>
        <w:br w:type="page"/>
      </w:r>
    </w:p>
    <w:p w:rsidR="00212210" w:rsidRDefault="00212210" w:rsidP="00212210">
      <w:pPr>
        <w:pStyle w:val="Heading1"/>
      </w:pPr>
      <w:bookmarkStart w:id="15" w:name="_Toc233367698"/>
      <w:r w:rsidRPr="00212210">
        <w:lastRenderedPageBreak/>
        <w:t>Reference</w:t>
      </w:r>
      <w:r w:rsidR="00D70758">
        <w:t>s</w:t>
      </w:r>
      <w:bookmarkEnd w:id="15"/>
    </w:p>
    <w:p w:rsidR="00AB588E" w:rsidRPr="00212210" w:rsidRDefault="00AB588E" w:rsidP="00D70758">
      <w:pPr>
        <w:spacing w:before="0"/>
      </w:pPr>
      <w:r w:rsidRPr="00D70758">
        <w:rPr>
          <w:rFonts w:eastAsia="Arial" w:cs="Arial"/>
        </w:rPr>
        <w:t xml:space="preserve">Ansoff, H.I. (1957) 'Strategies for diversification', </w:t>
      </w:r>
      <w:r w:rsidRPr="00D70758">
        <w:rPr>
          <w:rFonts w:eastAsia="Arial" w:cs="Arial"/>
          <w:i/>
          <w:iCs/>
        </w:rPr>
        <w:t>Harvard Business Review</w:t>
      </w:r>
      <w:r w:rsidRPr="00D70758">
        <w:rPr>
          <w:rFonts w:eastAsia="Arial" w:cs="Arial"/>
        </w:rPr>
        <w:t>, 35(5), pp. 113–124.</w:t>
      </w:r>
    </w:p>
    <w:p w:rsidR="00AB588E" w:rsidRPr="00212210" w:rsidRDefault="00AB588E" w:rsidP="00D70758">
      <w:pPr>
        <w:spacing w:before="0"/>
      </w:pPr>
      <w:r w:rsidRPr="00D70758">
        <w:rPr>
          <w:rFonts w:eastAsia="Arial" w:cs="Arial"/>
        </w:rPr>
        <w:t xml:space="preserve">Bender, E.M., Gebru, T., McMillan-Major, A. and Shmitchell, S. (2021) 'On the dangers of stochastic parrots: can language models be too big?', </w:t>
      </w:r>
      <w:r w:rsidRPr="00D70758">
        <w:rPr>
          <w:rFonts w:eastAsia="Arial" w:cs="Arial"/>
          <w:i/>
          <w:iCs/>
        </w:rPr>
        <w:t>Proceedings of the 2021 ACM Conference on Fairness, Accountability, and Transparency</w:t>
      </w:r>
      <w:r w:rsidRPr="00D70758">
        <w:rPr>
          <w:rFonts w:eastAsia="Arial" w:cs="Arial"/>
        </w:rPr>
        <w:t>, pp. 610–623.</w:t>
      </w:r>
    </w:p>
    <w:p w:rsidR="00AB588E" w:rsidRPr="00212210" w:rsidRDefault="00AB588E" w:rsidP="00D70758">
      <w:pPr>
        <w:spacing w:before="0"/>
      </w:pPr>
      <w:r w:rsidRPr="00D70758">
        <w:rPr>
          <w:rFonts w:eastAsia="Arial" w:cs="Arial"/>
        </w:rPr>
        <w:t xml:space="preserve">BMW Group (2022) </w:t>
      </w:r>
      <w:r w:rsidRPr="00D70758">
        <w:rPr>
          <w:rFonts w:eastAsia="Arial" w:cs="Arial"/>
          <w:i/>
          <w:iCs/>
        </w:rPr>
        <w:t>Sustainability report 2022</w:t>
      </w:r>
      <w:r w:rsidRPr="00D70758">
        <w:rPr>
          <w:rFonts w:eastAsia="Arial" w:cs="Arial"/>
        </w:rPr>
        <w:t>. Munich: BMW Group. Available at: https://www.bmwgroup.com/en/report/2022 (Accessed: 2 June 2026).</w:t>
      </w:r>
    </w:p>
    <w:p w:rsidR="00AB588E" w:rsidRPr="00212210" w:rsidRDefault="00AB588E" w:rsidP="00D70758">
      <w:pPr>
        <w:spacing w:before="0"/>
      </w:pPr>
      <w:r w:rsidRPr="00D70758">
        <w:rPr>
          <w:rFonts w:eastAsia="Arial" w:cs="Arial"/>
        </w:rPr>
        <w:t xml:space="preserve">Department for Energy Security and Net Zero (DESNZ) (2024) </w:t>
      </w:r>
      <w:r w:rsidRPr="00D70758">
        <w:rPr>
          <w:rFonts w:eastAsia="Arial" w:cs="Arial"/>
          <w:i/>
          <w:iCs/>
        </w:rPr>
        <w:t>UK Emissions Trading Scheme: auction results and carbon prices</w:t>
      </w:r>
      <w:r w:rsidRPr="00D70758">
        <w:rPr>
          <w:rFonts w:eastAsia="Arial" w:cs="Arial"/>
        </w:rPr>
        <w:t>. London: DESNZ. Available at: https://www.gov.uk/guidance/uk-ets (Accessed: 3 June 2026).</w:t>
      </w:r>
    </w:p>
    <w:p w:rsidR="00AB588E" w:rsidRPr="00212210" w:rsidRDefault="00AB588E" w:rsidP="00D70758">
      <w:pPr>
        <w:spacing w:before="0"/>
      </w:pPr>
      <w:r w:rsidRPr="00D70758">
        <w:rPr>
          <w:rFonts w:eastAsia="Arial" w:cs="Arial"/>
        </w:rPr>
        <w:t xml:space="preserve">Dibb, S. and Simkin, L. (2021) </w:t>
      </w:r>
      <w:r w:rsidRPr="00D70758">
        <w:rPr>
          <w:rFonts w:eastAsia="Arial" w:cs="Arial"/>
          <w:i/>
          <w:iCs/>
        </w:rPr>
        <w:t>Marketing essentials</w:t>
      </w:r>
      <w:r w:rsidRPr="00D70758">
        <w:rPr>
          <w:rFonts w:eastAsia="Arial" w:cs="Arial"/>
        </w:rPr>
        <w:t>. 2nd edn. Andover: Cengage Learning.</w:t>
      </w:r>
    </w:p>
    <w:p w:rsidR="00AB588E" w:rsidRPr="00212210" w:rsidRDefault="00AB588E" w:rsidP="00D70758">
      <w:pPr>
        <w:spacing w:before="0"/>
      </w:pPr>
      <w:r w:rsidRPr="00D70758">
        <w:rPr>
          <w:rFonts w:eastAsia="Arial" w:cs="Arial"/>
        </w:rPr>
        <w:t xml:space="preserve">European Commission (2023) </w:t>
      </w:r>
      <w:r w:rsidRPr="00D70758">
        <w:rPr>
          <w:rFonts w:eastAsia="Arial" w:cs="Arial"/>
          <w:i/>
          <w:iCs/>
        </w:rPr>
        <w:t>Carbon Border Adjustment Mechanism (CBAM)</w:t>
      </w:r>
      <w:r w:rsidRPr="00D70758">
        <w:rPr>
          <w:rFonts w:eastAsia="Arial" w:cs="Arial"/>
        </w:rPr>
        <w:t>. Brussels: European Commission. Available at: https://taxation-customs.ec.europa.eu/carbon-border-adjustment-mechanism_en (Accessed: 4 June 2026).</w:t>
      </w:r>
    </w:p>
    <w:p w:rsidR="00AB588E" w:rsidRPr="00212210" w:rsidRDefault="00AB588E" w:rsidP="00D70758">
      <w:pPr>
        <w:spacing w:before="0"/>
      </w:pPr>
      <w:r w:rsidRPr="00D70758">
        <w:rPr>
          <w:rFonts w:eastAsia="Arial" w:cs="Arial"/>
        </w:rPr>
        <w:t xml:space="preserve">Floridi, L., Cowls, J., King, T.C. and Taddeo, M. (2020) 'How to design AI for social good: seven essential factors', </w:t>
      </w:r>
      <w:r w:rsidRPr="00D70758">
        <w:rPr>
          <w:rFonts w:eastAsia="Arial" w:cs="Arial"/>
          <w:i/>
          <w:iCs/>
        </w:rPr>
        <w:t>Science and Engineering Ethics</w:t>
      </w:r>
      <w:r w:rsidRPr="00D70758">
        <w:rPr>
          <w:rFonts w:eastAsia="Arial" w:cs="Arial"/>
        </w:rPr>
        <w:t>, 26(3), pp. 689–713.</w:t>
      </w:r>
    </w:p>
    <w:p w:rsidR="00AB588E" w:rsidRPr="00212210" w:rsidRDefault="00AB588E" w:rsidP="00D70758">
      <w:pPr>
        <w:spacing w:before="0"/>
      </w:pPr>
      <w:r w:rsidRPr="00D70758">
        <w:rPr>
          <w:rFonts w:eastAsia="Arial" w:cs="Arial"/>
        </w:rPr>
        <w:t xml:space="preserve">GHG Protocol (2023) </w:t>
      </w:r>
      <w:r w:rsidRPr="00D70758">
        <w:rPr>
          <w:rFonts w:eastAsia="Arial" w:cs="Arial"/>
          <w:i/>
          <w:iCs/>
        </w:rPr>
        <w:t>Corporate value chain (Scope 3) accounting and reporting standard</w:t>
      </w:r>
      <w:r w:rsidRPr="00D70758">
        <w:rPr>
          <w:rFonts w:eastAsia="Arial" w:cs="Arial"/>
        </w:rPr>
        <w:t>. Washington, DC: World Resources Institute.</w:t>
      </w:r>
    </w:p>
    <w:p w:rsidR="00AB588E" w:rsidRPr="00212210" w:rsidRDefault="00AB588E" w:rsidP="00D70758">
      <w:pPr>
        <w:spacing w:before="0"/>
      </w:pPr>
      <w:r w:rsidRPr="00D70758">
        <w:rPr>
          <w:rFonts w:eastAsia="Arial" w:cs="Arial"/>
        </w:rPr>
        <w:t xml:space="preserve">Government of India (2022) </w:t>
      </w:r>
      <w:r w:rsidRPr="00D70758">
        <w:rPr>
          <w:rFonts w:eastAsia="Arial" w:cs="Arial"/>
          <w:i/>
          <w:iCs/>
        </w:rPr>
        <w:t>India's updated Nationally Determined Contribution</w:t>
      </w:r>
      <w:r w:rsidRPr="00D70758">
        <w:rPr>
          <w:rFonts w:eastAsia="Arial" w:cs="Arial"/>
        </w:rPr>
        <w:t>. New Delhi: Ministry of Environment, Forest and Climate Change.</w:t>
      </w:r>
    </w:p>
    <w:p w:rsidR="00AB588E" w:rsidRPr="00212210" w:rsidRDefault="00AB588E" w:rsidP="00D70758">
      <w:pPr>
        <w:spacing w:before="0"/>
      </w:pPr>
      <w:r w:rsidRPr="00D70758">
        <w:rPr>
          <w:rFonts w:eastAsia="Arial" w:cs="Arial"/>
        </w:rPr>
        <w:t xml:space="preserve">HM Government (2021) </w:t>
      </w:r>
      <w:r w:rsidRPr="00D70758">
        <w:rPr>
          <w:rFonts w:eastAsia="Arial" w:cs="Arial"/>
          <w:i/>
          <w:iCs/>
        </w:rPr>
        <w:t>Net zero strategy: build back greener</w:t>
      </w:r>
      <w:r w:rsidRPr="00D70758">
        <w:rPr>
          <w:rFonts w:eastAsia="Arial" w:cs="Arial"/>
        </w:rPr>
        <w:t>. London: HMSO.</w:t>
      </w:r>
    </w:p>
    <w:p w:rsidR="00AB588E" w:rsidRDefault="00AB588E" w:rsidP="00D70758">
      <w:pPr>
        <w:spacing w:before="0"/>
      </w:pPr>
      <w:r w:rsidRPr="00D70758">
        <w:rPr>
          <w:rFonts w:eastAsia="Arial" w:cs="Arial"/>
        </w:rPr>
        <w:t xml:space="preserve">Kotler, P., Armstrong, G., Harris, L.C. and He, H. (2024) </w:t>
      </w:r>
      <w:r w:rsidRPr="00D70758">
        <w:rPr>
          <w:rFonts w:eastAsia="Arial" w:cs="Arial"/>
          <w:i/>
          <w:iCs/>
        </w:rPr>
        <w:t>Principles of marketing</w:t>
      </w:r>
      <w:r w:rsidRPr="00D70758">
        <w:rPr>
          <w:rFonts w:eastAsia="Arial" w:cs="Arial"/>
        </w:rPr>
        <w:t>. 19th edn. Harlow: Pearson.</w:t>
      </w:r>
    </w:p>
    <w:p w:rsidR="00AB588E" w:rsidRPr="00212210" w:rsidRDefault="00AB588E" w:rsidP="00D70758">
      <w:pPr>
        <w:spacing w:before="0"/>
      </w:pPr>
      <w:r w:rsidRPr="00D70758">
        <w:rPr>
          <w:rFonts w:eastAsia="Arial" w:cs="Arial"/>
        </w:rPr>
        <w:lastRenderedPageBreak/>
        <w:t xml:space="preserve">McKinsey &amp; Company (2023) </w:t>
      </w:r>
      <w:r w:rsidRPr="00D70758">
        <w:rPr>
          <w:rFonts w:eastAsia="Arial" w:cs="Arial"/>
          <w:i/>
          <w:iCs/>
        </w:rPr>
        <w:t>Green steel: the race to net-zero in one of the hardest-to-abate sectors</w:t>
      </w:r>
      <w:r w:rsidRPr="00D70758">
        <w:rPr>
          <w:rFonts w:eastAsia="Arial" w:cs="Arial"/>
        </w:rPr>
        <w:t>. Available at: https://www.mckinsey.com/industries/metals-and-mining/our-insights (Accessed: 5 June 2026).</w:t>
      </w:r>
    </w:p>
    <w:p w:rsidR="00AB588E" w:rsidRPr="00212210" w:rsidRDefault="00AB588E" w:rsidP="00D70758">
      <w:pPr>
        <w:spacing w:before="0"/>
      </w:pPr>
      <w:r w:rsidRPr="00D70758">
        <w:rPr>
          <w:rFonts w:eastAsia="Arial" w:cs="Arial"/>
        </w:rPr>
        <w:t xml:space="preserve">Ministry of Steel, India (2017) </w:t>
      </w:r>
      <w:r w:rsidRPr="00D70758">
        <w:rPr>
          <w:rFonts w:eastAsia="Arial" w:cs="Arial"/>
          <w:i/>
          <w:iCs/>
        </w:rPr>
        <w:t>National Steel Policy 2017</w:t>
      </w:r>
      <w:r w:rsidRPr="00D70758">
        <w:rPr>
          <w:rFonts w:eastAsia="Arial" w:cs="Arial"/>
        </w:rPr>
        <w:t>. New Delhi: Government of India.</w:t>
      </w:r>
    </w:p>
    <w:p w:rsidR="00AB588E" w:rsidRPr="00212210" w:rsidRDefault="00AB588E" w:rsidP="00D70758">
      <w:pPr>
        <w:spacing w:before="0"/>
      </w:pPr>
      <w:r w:rsidRPr="00D70758">
        <w:rPr>
          <w:rFonts w:eastAsia="Arial" w:cs="Arial"/>
        </w:rPr>
        <w:t xml:space="preserve">Peattie, K. (2020) 'Sustainability marketing', in Baker, M.J. and Hart, S. (eds.) </w:t>
      </w:r>
      <w:r w:rsidRPr="00D70758">
        <w:rPr>
          <w:rFonts w:eastAsia="Arial" w:cs="Arial"/>
          <w:i/>
          <w:iCs/>
        </w:rPr>
        <w:t>The marketing book</w:t>
      </w:r>
      <w:r w:rsidRPr="00D70758">
        <w:rPr>
          <w:rFonts w:eastAsia="Arial" w:cs="Arial"/>
        </w:rPr>
        <w:t>. 8th edn. Abingdon: Routledge, pp. 189–212.</w:t>
      </w:r>
    </w:p>
    <w:p w:rsidR="00AB588E" w:rsidRPr="00212210" w:rsidRDefault="00AB588E" w:rsidP="00D70758">
      <w:pPr>
        <w:spacing w:before="0"/>
      </w:pPr>
      <w:r w:rsidRPr="00D70758">
        <w:rPr>
          <w:rFonts w:eastAsia="Arial" w:cs="Arial"/>
        </w:rPr>
        <w:t xml:space="preserve">Porter, M.E. (1985) </w:t>
      </w:r>
      <w:r w:rsidRPr="00D70758">
        <w:rPr>
          <w:rFonts w:eastAsia="Arial" w:cs="Arial"/>
          <w:i/>
          <w:iCs/>
        </w:rPr>
        <w:t>Competitive advantage: creating and sustaining superior performnce</w:t>
      </w:r>
      <w:r w:rsidRPr="00D70758">
        <w:rPr>
          <w:rFonts w:eastAsia="Arial" w:cs="Arial"/>
        </w:rPr>
        <w:t>. New York: Free Press.</w:t>
      </w:r>
    </w:p>
    <w:p w:rsidR="00AB588E" w:rsidRPr="00212210" w:rsidRDefault="00AB588E" w:rsidP="00D70758">
      <w:pPr>
        <w:spacing w:before="0"/>
      </w:pPr>
      <w:r w:rsidRPr="00D70758">
        <w:rPr>
          <w:rFonts w:eastAsia="Arial" w:cs="Arial"/>
        </w:rPr>
        <w:t xml:space="preserve">Porter, M.E. and van der Linde, C. (1995) 'Toward a new conception of the environment-competitiveness relationship', </w:t>
      </w:r>
      <w:r w:rsidRPr="00D70758">
        <w:rPr>
          <w:rFonts w:eastAsia="Arial" w:cs="Arial"/>
          <w:i/>
          <w:iCs/>
        </w:rPr>
        <w:t>Journal of Economic Perspectives</w:t>
      </w:r>
      <w:r w:rsidRPr="00D70758">
        <w:rPr>
          <w:rFonts w:eastAsia="Arial" w:cs="Arial"/>
        </w:rPr>
        <w:t>, 9(4), pp. 97–118.</w:t>
      </w:r>
    </w:p>
    <w:p w:rsidR="00AB588E" w:rsidRPr="00212210" w:rsidRDefault="00AB588E" w:rsidP="00D70758">
      <w:pPr>
        <w:spacing w:before="0"/>
      </w:pPr>
      <w:r w:rsidRPr="00D70758">
        <w:rPr>
          <w:rFonts w:eastAsia="Arial" w:cs="Arial"/>
        </w:rPr>
        <w:t xml:space="preserve">ResponsibleSteel (2023) </w:t>
      </w:r>
      <w:r w:rsidRPr="00D70758">
        <w:rPr>
          <w:rFonts w:eastAsia="Arial" w:cs="Arial"/>
          <w:i/>
          <w:iCs/>
        </w:rPr>
        <w:t>ResponsibleSteel international standard, version 2.0</w:t>
      </w:r>
      <w:r w:rsidRPr="00D70758">
        <w:rPr>
          <w:rFonts w:eastAsia="Arial" w:cs="Arial"/>
        </w:rPr>
        <w:t>. Available at: https://www.responsiblesteel.org (Accessed: 4 June 2026).</w:t>
      </w:r>
    </w:p>
    <w:p w:rsidR="00AB588E" w:rsidRPr="00212210" w:rsidRDefault="00AB588E" w:rsidP="00D70758">
      <w:pPr>
        <w:spacing w:before="0"/>
      </w:pPr>
      <w:r w:rsidRPr="00D70758">
        <w:rPr>
          <w:rFonts w:eastAsia="Arial" w:cs="Arial"/>
        </w:rPr>
        <w:t xml:space="preserve">SSAB (2023) </w:t>
      </w:r>
      <w:r w:rsidRPr="00D70758">
        <w:rPr>
          <w:rFonts w:eastAsia="Arial" w:cs="Arial"/>
          <w:i/>
          <w:iCs/>
        </w:rPr>
        <w:t>HYBRIT: fossil-free steel</w:t>
      </w:r>
      <w:r w:rsidRPr="00D70758">
        <w:rPr>
          <w:rFonts w:eastAsia="Arial" w:cs="Arial"/>
        </w:rPr>
        <w:t>. Available at: https://www.ssab.com/en/fossil-free-steel/hybrit (Accessed: 3 June 2026).</w:t>
      </w:r>
    </w:p>
    <w:p w:rsidR="00AB588E" w:rsidRPr="00212210" w:rsidRDefault="00AB588E" w:rsidP="00D70758">
      <w:pPr>
        <w:spacing w:before="0"/>
      </w:pPr>
      <w:r w:rsidRPr="00D70758">
        <w:rPr>
          <w:rFonts w:eastAsia="Arial" w:cs="Arial"/>
        </w:rPr>
        <w:t xml:space="preserve">Tata Steel (2024a) </w:t>
      </w:r>
      <w:r w:rsidRPr="00D70758">
        <w:rPr>
          <w:rFonts w:eastAsia="Arial" w:cs="Arial"/>
          <w:i/>
          <w:iCs/>
        </w:rPr>
        <w:t>Annual report and accounts 2023–24</w:t>
      </w:r>
      <w:r w:rsidRPr="00D70758">
        <w:rPr>
          <w:rFonts w:eastAsia="Arial" w:cs="Arial"/>
        </w:rPr>
        <w:t>. Mumbai: Tata Steel Limited.</w:t>
      </w:r>
    </w:p>
    <w:p w:rsidR="00AB588E" w:rsidRPr="00212210" w:rsidRDefault="00AB588E" w:rsidP="00D70758">
      <w:pPr>
        <w:spacing w:before="0"/>
      </w:pPr>
      <w:r w:rsidRPr="00D70758">
        <w:rPr>
          <w:rFonts w:eastAsia="Arial" w:cs="Arial"/>
        </w:rPr>
        <w:t xml:space="preserve">Tata Steel (2024b) </w:t>
      </w:r>
      <w:r w:rsidRPr="00D70758">
        <w:rPr>
          <w:rFonts w:eastAsia="Arial" w:cs="Arial"/>
          <w:i/>
          <w:iCs/>
        </w:rPr>
        <w:t>Climate change and energy: our pathway to net zero</w:t>
      </w:r>
      <w:r w:rsidRPr="00D70758">
        <w:rPr>
          <w:rFonts w:eastAsia="Arial" w:cs="Arial"/>
        </w:rPr>
        <w:t>. Available at: https://www.tatasteeleurope.com/sustainability/environment/climate-change (Accessed: 2 June 2026).</w:t>
      </w:r>
    </w:p>
    <w:p w:rsidR="00AB588E" w:rsidRPr="00212210" w:rsidRDefault="00AB588E" w:rsidP="00D70758">
      <w:pPr>
        <w:spacing w:before="0"/>
      </w:pPr>
      <w:r w:rsidRPr="00D70758">
        <w:rPr>
          <w:rFonts w:eastAsia="Arial" w:cs="Arial"/>
        </w:rPr>
        <w:t xml:space="preserve">UK Government (2022) </w:t>
      </w:r>
      <w:r w:rsidRPr="00D70758">
        <w:rPr>
          <w:rFonts w:eastAsia="Arial" w:cs="Arial"/>
          <w:i/>
          <w:iCs/>
        </w:rPr>
        <w:t>British energy security strategy</w:t>
      </w:r>
      <w:r w:rsidRPr="00D70758">
        <w:rPr>
          <w:rFonts w:eastAsia="Arial" w:cs="Arial"/>
        </w:rPr>
        <w:t>. London: HMSO.</w:t>
      </w:r>
    </w:p>
    <w:p w:rsidR="00AB588E" w:rsidRPr="00212210" w:rsidRDefault="00AB588E" w:rsidP="00D70758">
      <w:pPr>
        <w:spacing w:before="0"/>
      </w:pPr>
      <w:r w:rsidRPr="00D70758">
        <w:rPr>
          <w:rFonts w:eastAsia="Arial" w:cs="Arial"/>
        </w:rPr>
        <w:t xml:space="preserve">UK Government (2023) </w:t>
      </w:r>
      <w:r w:rsidRPr="00D70758">
        <w:rPr>
          <w:rFonts w:eastAsia="Arial" w:cs="Arial"/>
          <w:i/>
          <w:iCs/>
        </w:rPr>
        <w:t>Government support for Tata Steel's transition to electric arc furnace at Port Talbot</w:t>
      </w:r>
      <w:r w:rsidRPr="00D70758">
        <w:rPr>
          <w:rFonts w:eastAsia="Arial" w:cs="Arial"/>
        </w:rPr>
        <w:t>. Available at: https://www.gov.uk/government/news/government-confirms-support-for-tata-steel (Accessed: 1 June 2026)</w:t>
      </w:r>
    </w:p>
    <w:p w:rsidR="00AB588E" w:rsidRPr="00212210" w:rsidRDefault="00AB588E" w:rsidP="00D70758">
      <w:pPr>
        <w:spacing w:before="0"/>
      </w:pPr>
      <w:r w:rsidRPr="00D70758">
        <w:rPr>
          <w:rFonts w:eastAsia="Arial" w:cs="Arial"/>
        </w:rPr>
        <w:t xml:space="preserve">WindEurope (2023) </w:t>
      </w:r>
      <w:r w:rsidRPr="00D70758">
        <w:rPr>
          <w:rFonts w:eastAsia="Arial" w:cs="Arial"/>
          <w:i/>
          <w:iCs/>
        </w:rPr>
        <w:t>Steel in offshore wind: material requirements and supply chain analysis</w:t>
      </w:r>
      <w:r w:rsidRPr="00D70758">
        <w:rPr>
          <w:rFonts w:eastAsia="Arial" w:cs="Arial"/>
        </w:rPr>
        <w:t>. Brussels: WindEurope.</w:t>
      </w:r>
    </w:p>
    <w:p w:rsidR="00AB588E" w:rsidRPr="00212210" w:rsidRDefault="00AB588E" w:rsidP="00D70758">
      <w:pPr>
        <w:spacing w:before="0"/>
      </w:pPr>
      <w:r w:rsidRPr="00D70758">
        <w:rPr>
          <w:rFonts w:eastAsia="Arial" w:cs="Arial"/>
        </w:rPr>
        <w:t xml:space="preserve">World Auto Steel (2023) </w:t>
      </w:r>
      <w:r w:rsidRPr="00D70758">
        <w:rPr>
          <w:rFonts w:eastAsia="Arial" w:cs="Arial"/>
          <w:i/>
          <w:iCs/>
        </w:rPr>
        <w:t>Steel's role in future mobility</w:t>
      </w:r>
      <w:r w:rsidRPr="00D70758">
        <w:rPr>
          <w:rFonts w:eastAsia="Arial" w:cs="Arial"/>
        </w:rPr>
        <w:t>. Available at: https://www.worldautosteel.org (Accessed: 5 June 2026).</w:t>
      </w:r>
    </w:p>
    <w:p w:rsidR="00D11007" w:rsidRPr="00173C46" w:rsidRDefault="00AB588E" w:rsidP="00173C46">
      <w:pPr>
        <w:spacing w:before="0"/>
        <w:rPr>
          <w:rFonts w:eastAsia="Arial" w:cs="Arial"/>
        </w:rPr>
      </w:pPr>
      <w:r w:rsidRPr="00D70758">
        <w:rPr>
          <w:rFonts w:eastAsia="Arial" w:cs="Arial"/>
        </w:rPr>
        <w:lastRenderedPageBreak/>
        <w:t xml:space="preserve">World Steel Association (2023) </w:t>
      </w:r>
      <w:r w:rsidRPr="00D70758">
        <w:rPr>
          <w:rFonts w:eastAsia="Arial" w:cs="Arial"/>
          <w:i/>
          <w:iCs/>
        </w:rPr>
        <w:t>Steel and raw materials: fact sheet 2023</w:t>
      </w:r>
      <w:r w:rsidRPr="00D70758">
        <w:rPr>
          <w:rFonts w:eastAsia="Arial" w:cs="Arial"/>
        </w:rPr>
        <w:t>. Brussels: World Steel Association.</w:t>
      </w:r>
    </w:p>
    <w:sectPr w:rsidR="00D11007" w:rsidRPr="00173C46">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9789F" w:rsidRDefault="0029789F" w:rsidP="002A2C6D">
      <w:pPr>
        <w:spacing w:before="0" w:after="0" w:line="240" w:lineRule="auto"/>
      </w:pPr>
      <w:r>
        <w:separator/>
      </w:r>
    </w:p>
  </w:endnote>
  <w:endnote w:type="continuationSeparator" w:id="0">
    <w:p w:rsidR="0029789F" w:rsidRDefault="0029789F" w:rsidP="002A2C6D">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71700232"/>
      <w:docPartObj>
        <w:docPartGallery w:val="Page Numbers (Bottom of Page)"/>
        <w:docPartUnique/>
      </w:docPartObj>
    </w:sdtPr>
    <w:sdtContent>
      <w:p w:rsidR="00E73D99" w:rsidRDefault="00E73D99">
        <w:pPr>
          <w:pStyle w:val="Footer"/>
          <w:jc w:val="right"/>
        </w:pPr>
        <w:r>
          <w:rPr>
            <w:noProof w:val="0"/>
          </w:rPr>
          <w:fldChar w:fldCharType="begin"/>
        </w:r>
        <w:r>
          <w:instrText xml:space="preserve"> PAGE   \* MERGEFORMAT </w:instrText>
        </w:r>
        <w:r>
          <w:rPr>
            <w:noProof w:val="0"/>
          </w:rPr>
          <w:fldChar w:fldCharType="separate"/>
        </w:r>
        <w:r w:rsidR="000D73A6">
          <w:t>13</w:t>
        </w:r>
        <w:r>
          <w:fldChar w:fldCharType="end"/>
        </w:r>
      </w:p>
    </w:sdtContent>
  </w:sdt>
  <w:p w:rsidR="00E73D99" w:rsidRDefault="00E73D9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9789F" w:rsidRDefault="0029789F" w:rsidP="002A2C6D">
      <w:pPr>
        <w:spacing w:before="0" w:after="0" w:line="240" w:lineRule="auto"/>
      </w:pPr>
      <w:r>
        <w:separator/>
      </w:r>
    </w:p>
  </w:footnote>
  <w:footnote w:type="continuationSeparator" w:id="0">
    <w:p w:rsidR="0029789F" w:rsidRDefault="0029789F" w:rsidP="002A2C6D">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6F514946"/>
    <w:multiLevelType w:val="hybridMultilevel"/>
    <w:tmpl w:val="8E18C4C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662D6"/>
    <w:rsid w:val="000859DC"/>
    <w:rsid w:val="0008716B"/>
    <w:rsid w:val="000D73A6"/>
    <w:rsid w:val="000F5CF9"/>
    <w:rsid w:val="00173C46"/>
    <w:rsid w:val="00212210"/>
    <w:rsid w:val="0029789F"/>
    <w:rsid w:val="002A2C6D"/>
    <w:rsid w:val="00306BB5"/>
    <w:rsid w:val="00311E9B"/>
    <w:rsid w:val="00495D5F"/>
    <w:rsid w:val="005D7318"/>
    <w:rsid w:val="006021C3"/>
    <w:rsid w:val="0065612F"/>
    <w:rsid w:val="008133EF"/>
    <w:rsid w:val="00926F2A"/>
    <w:rsid w:val="00966F3E"/>
    <w:rsid w:val="009C76A6"/>
    <w:rsid w:val="00AB588E"/>
    <w:rsid w:val="00AC48EA"/>
    <w:rsid w:val="00BB2B1E"/>
    <w:rsid w:val="00CE444A"/>
    <w:rsid w:val="00CF1E61"/>
    <w:rsid w:val="00D11007"/>
    <w:rsid w:val="00D70758"/>
    <w:rsid w:val="00DA41B1"/>
    <w:rsid w:val="00DB6536"/>
    <w:rsid w:val="00E15DB3"/>
    <w:rsid w:val="00E73D99"/>
    <w:rsid w:val="00E96DD8"/>
    <w:rsid w:val="00EA7383"/>
    <w:rsid w:val="00ED5F66"/>
    <w:rsid w:val="00F662D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03C2C06-4AAD-4A90-9E06-6F0CF57760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66F3E"/>
    <w:pPr>
      <w:spacing w:before="120" w:line="360" w:lineRule="auto"/>
      <w:jc w:val="both"/>
    </w:pPr>
    <w:rPr>
      <w:rFonts w:ascii="Arial" w:hAnsi="Arial"/>
      <w:noProof/>
      <w:sz w:val="24"/>
      <w:lang w:val="en-GB"/>
    </w:rPr>
  </w:style>
  <w:style w:type="paragraph" w:styleId="Heading1">
    <w:name w:val="heading 1"/>
    <w:basedOn w:val="Normal"/>
    <w:next w:val="Normal"/>
    <w:link w:val="Heading1Char"/>
    <w:autoRedefine/>
    <w:uiPriority w:val="9"/>
    <w:qFormat/>
    <w:rsid w:val="00212210"/>
    <w:pPr>
      <w:keepNext/>
      <w:keepLines/>
      <w:spacing w:before="240" w:after="0"/>
      <w:jc w:val="left"/>
      <w:outlineLvl w:val="0"/>
    </w:pPr>
    <w:rPr>
      <w:rFonts w:eastAsia="Arial" w:cs="Arial"/>
      <w:b/>
      <w:bCs/>
      <w:color w:val="1F4E79"/>
      <w:sz w:val="28"/>
      <w:szCs w:val="28"/>
    </w:rPr>
  </w:style>
  <w:style w:type="paragraph" w:styleId="Heading2">
    <w:name w:val="heading 2"/>
    <w:basedOn w:val="Normal"/>
    <w:next w:val="Normal"/>
    <w:link w:val="Heading2Char"/>
    <w:autoRedefine/>
    <w:uiPriority w:val="9"/>
    <w:unhideWhenUsed/>
    <w:qFormat/>
    <w:rsid w:val="00F662D6"/>
    <w:pPr>
      <w:keepNext/>
      <w:keepLines/>
      <w:spacing w:before="40" w:after="0"/>
      <w:jc w:val="left"/>
      <w:outlineLvl w:val="1"/>
    </w:pPr>
    <w:rPr>
      <w:rFonts w:eastAsiaTheme="majorEastAsia"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F662D6"/>
    <w:rPr>
      <w:rFonts w:ascii="Arial" w:eastAsiaTheme="majorEastAsia" w:hAnsi="Arial" w:cstheme="majorBidi"/>
      <w:color w:val="2E74B5" w:themeColor="accent1" w:themeShade="BF"/>
      <w:sz w:val="26"/>
      <w:szCs w:val="26"/>
    </w:rPr>
  </w:style>
  <w:style w:type="character" w:customStyle="1" w:styleId="Heading1Char">
    <w:name w:val="Heading 1 Char"/>
    <w:basedOn w:val="DefaultParagraphFont"/>
    <w:link w:val="Heading1"/>
    <w:uiPriority w:val="9"/>
    <w:rsid w:val="00212210"/>
    <w:rPr>
      <w:rFonts w:ascii="Arial" w:eastAsia="Arial" w:hAnsi="Arial" w:cs="Arial"/>
      <w:b/>
      <w:bCs/>
      <w:color w:val="1F4E79"/>
      <w:sz w:val="28"/>
      <w:szCs w:val="28"/>
    </w:rPr>
  </w:style>
  <w:style w:type="paragraph" w:styleId="Caption">
    <w:name w:val="caption"/>
    <w:basedOn w:val="Normal"/>
    <w:next w:val="Normal"/>
    <w:uiPriority w:val="35"/>
    <w:unhideWhenUsed/>
    <w:qFormat/>
    <w:rsid w:val="00DA41B1"/>
    <w:pPr>
      <w:spacing w:before="0" w:after="200" w:line="240" w:lineRule="auto"/>
    </w:pPr>
    <w:rPr>
      <w:i/>
      <w:iCs/>
      <w:color w:val="44546A" w:themeColor="text2"/>
      <w:sz w:val="18"/>
      <w:szCs w:val="18"/>
    </w:rPr>
  </w:style>
  <w:style w:type="paragraph" w:styleId="Header">
    <w:name w:val="header"/>
    <w:basedOn w:val="Normal"/>
    <w:link w:val="HeaderChar"/>
    <w:uiPriority w:val="99"/>
    <w:unhideWhenUsed/>
    <w:rsid w:val="002A2C6D"/>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2A2C6D"/>
    <w:rPr>
      <w:rFonts w:ascii="Arial" w:hAnsi="Arial"/>
    </w:rPr>
  </w:style>
  <w:style w:type="paragraph" w:styleId="Footer">
    <w:name w:val="footer"/>
    <w:basedOn w:val="Normal"/>
    <w:link w:val="FooterChar"/>
    <w:uiPriority w:val="99"/>
    <w:unhideWhenUsed/>
    <w:rsid w:val="002A2C6D"/>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2A2C6D"/>
    <w:rPr>
      <w:rFonts w:ascii="Arial" w:hAnsi="Arial"/>
    </w:rPr>
  </w:style>
  <w:style w:type="paragraph" w:styleId="TOCHeading">
    <w:name w:val="TOC Heading"/>
    <w:basedOn w:val="Heading1"/>
    <w:next w:val="Normal"/>
    <w:uiPriority w:val="39"/>
    <w:unhideWhenUsed/>
    <w:qFormat/>
    <w:rsid w:val="002A2C6D"/>
    <w:pPr>
      <w:spacing w:line="259" w:lineRule="auto"/>
      <w:outlineLvl w:val="9"/>
    </w:pPr>
    <w:rPr>
      <w:rFonts w:asciiTheme="majorHAnsi" w:eastAsiaTheme="majorEastAsia" w:hAnsiTheme="majorHAnsi" w:cstheme="majorBidi"/>
      <w:b w:val="0"/>
      <w:bCs w:val="0"/>
      <w:color w:val="2E74B5" w:themeColor="accent1" w:themeShade="BF"/>
      <w:sz w:val="32"/>
      <w:szCs w:val="32"/>
    </w:rPr>
  </w:style>
  <w:style w:type="paragraph" w:styleId="TOC1">
    <w:name w:val="toc 1"/>
    <w:basedOn w:val="Normal"/>
    <w:next w:val="Normal"/>
    <w:autoRedefine/>
    <w:uiPriority w:val="39"/>
    <w:unhideWhenUsed/>
    <w:rsid w:val="002A2C6D"/>
    <w:pPr>
      <w:spacing w:after="100"/>
    </w:pPr>
  </w:style>
  <w:style w:type="paragraph" w:styleId="TOC2">
    <w:name w:val="toc 2"/>
    <w:basedOn w:val="Normal"/>
    <w:next w:val="Normal"/>
    <w:autoRedefine/>
    <w:uiPriority w:val="39"/>
    <w:unhideWhenUsed/>
    <w:rsid w:val="002A2C6D"/>
    <w:pPr>
      <w:spacing w:after="100"/>
      <w:ind w:left="220"/>
    </w:pPr>
  </w:style>
  <w:style w:type="character" w:styleId="Hyperlink">
    <w:name w:val="Hyperlink"/>
    <w:basedOn w:val="DefaultParagraphFont"/>
    <w:uiPriority w:val="99"/>
    <w:unhideWhenUsed/>
    <w:rsid w:val="002A2C6D"/>
    <w:rPr>
      <w:color w:val="0563C1" w:themeColor="hyperlink"/>
      <w:u w:val="single"/>
    </w:rPr>
  </w:style>
  <w:style w:type="paragraph" w:styleId="ListParagraph">
    <w:name w:val="List Paragraph"/>
    <w:basedOn w:val="Normal"/>
    <w:uiPriority w:val="34"/>
    <w:qFormat/>
    <w:rsid w:val="00D70758"/>
    <w:pPr>
      <w:ind w:left="720"/>
      <w:contextualSpacing/>
    </w:pPr>
  </w:style>
  <w:style w:type="character" w:customStyle="1" w:styleId="ng-tns-c1752084143-35">
    <w:name w:val="ng-tns-c1752084143-35"/>
    <w:basedOn w:val="DefaultParagraphFont"/>
    <w:rsid w:val="00D11007"/>
  </w:style>
  <w:style w:type="paragraph" w:styleId="HTMLPreformatted">
    <w:name w:val="HTML Preformatted"/>
    <w:basedOn w:val="Normal"/>
    <w:link w:val="HTMLPreformattedChar"/>
    <w:uiPriority w:val="99"/>
    <w:unhideWhenUsed/>
    <w:rsid w:val="00D110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jc w:val="left"/>
    </w:pPr>
    <w:rPr>
      <w:rFonts w:ascii="Courier New" w:eastAsia="Times New Roman" w:hAnsi="Courier New" w:cs="Courier New"/>
      <w:noProof w:val="0"/>
      <w:sz w:val="20"/>
      <w:szCs w:val="20"/>
      <w:lang w:val="en-US"/>
    </w:rPr>
  </w:style>
  <w:style w:type="character" w:customStyle="1" w:styleId="HTMLPreformattedChar">
    <w:name w:val="HTML Preformatted Char"/>
    <w:basedOn w:val="DefaultParagraphFont"/>
    <w:link w:val="HTMLPreformatted"/>
    <w:uiPriority w:val="99"/>
    <w:rsid w:val="00D11007"/>
    <w:rPr>
      <w:rFonts w:ascii="Courier New" w:eastAsia="Times New Roman" w:hAnsi="Courier New" w:cs="Courier New"/>
      <w:sz w:val="20"/>
      <w:szCs w:val="20"/>
    </w:rPr>
  </w:style>
  <w:style w:type="character" w:styleId="HTMLCode">
    <w:name w:val="HTML Code"/>
    <w:basedOn w:val="DefaultParagraphFont"/>
    <w:uiPriority w:val="99"/>
    <w:semiHidden/>
    <w:unhideWhenUsed/>
    <w:rsid w:val="00D11007"/>
    <w:rPr>
      <w:rFonts w:ascii="Courier New" w:eastAsia="Times New Roman" w:hAnsi="Courier New" w:cs="Courier New"/>
      <w:sz w:val="20"/>
      <w:szCs w:val="20"/>
    </w:rPr>
  </w:style>
  <w:style w:type="character" w:customStyle="1" w:styleId="hljs-comment">
    <w:name w:val="hljs-comment"/>
    <w:basedOn w:val="DefaultParagraphFont"/>
    <w:rsid w:val="00D11007"/>
  </w:style>
  <w:style w:type="character" w:customStyle="1" w:styleId="hljs-string">
    <w:name w:val="hljs-string"/>
    <w:basedOn w:val="DefaultParagraphFont"/>
    <w:rsid w:val="00D11007"/>
  </w:style>
  <w:style w:type="character" w:customStyle="1" w:styleId="hljs-subst">
    <w:name w:val="hljs-subst"/>
    <w:basedOn w:val="DefaultParagraphFont"/>
    <w:rsid w:val="00D11007"/>
  </w:style>
  <w:style w:type="paragraph" w:styleId="NormalWeb">
    <w:name w:val="Normal (Web)"/>
    <w:basedOn w:val="Normal"/>
    <w:uiPriority w:val="99"/>
    <w:semiHidden/>
    <w:unhideWhenUsed/>
    <w:rsid w:val="00D11007"/>
    <w:pPr>
      <w:spacing w:before="100" w:beforeAutospacing="1" w:after="100" w:afterAutospacing="1" w:line="240" w:lineRule="auto"/>
      <w:jc w:val="left"/>
    </w:pPr>
    <w:rPr>
      <w:rFonts w:ascii="Times New Roman" w:eastAsia="Times New Roman" w:hAnsi="Times New Roman" w:cs="Times New Roman"/>
      <w:noProof w:val="0"/>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76474192">
      <w:bodyDiv w:val="1"/>
      <w:marLeft w:val="0"/>
      <w:marRight w:val="0"/>
      <w:marTop w:val="0"/>
      <w:marBottom w:val="0"/>
      <w:divBdr>
        <w:top w:val="none" w:sz="0" w:space="0" w:color="auto"/>
        <w:left w:val="none" w:sz="0" w:space="0" w:color="auto"/>
        <w:bottom w:val="none" w:sz="0" w:space="0" w:color="auto"/>
        <w:right w:val="none" w:sz="0" w:space="0" w:color="auto"/>
      </w:divBdr>
    </w:div>
    <w:div w:id="21330166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1FC603-6805-4F51-92EB-8EEFB97F17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3989</Words>
  <Characters>22739</Characters>
  <DocSecurity>0</DocSecurity>
  <Lines>189</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26675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2026-06-26T06:07:00Z</dcterms:created>
  <dcterms:modified xsi:type="dcterms:W3CDTF">2026-06-26T06:07:00Z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ad542008-1b00-4679-b3aa-f623f1e86a73</vt:lpwstr>
  </property>
</Properties>
</file>