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C99DF" w14:textId="4F4FF93A" w:rsidR="00234907" w:rsidRDefault="00234907" w:rsidP="00A16750">
      <w:pPr>
        <w:rPr>
          <w:rFonts w:ascii="Arial" w:hAnsi="Arial" w:cs="Arial"/>
          <w:b/>
          <w:bCs/>
          <w:sz w:val="32"/>
          <w:szCs w:val="32"/>
        </w:rPr>
      </w:pPr>
      <w:r>
        <w:rPr>
          <w:rFonts w:ascii="Arial" w:hAnsi="Arial" w:cs="Arial"/>
          <w:b/>
          <w:bCs/>
          <w:sz w:val="32"/>
          <w:szCs w:val="32"/>
        </w:rPr>
        <w:t xml:space="preserve">Cover page </w:t>
      </w:r>
    </w:p>
    <w:p w14:paraId="4B0C86EF" w14:textId="77777777" w:rsidR="00234907" w:rsidRDefault="00234907" w:rsidP="00A16750">
      <w:pPr>
        <w:rPr>
          <w:rFonts w:ascii="Arial" w:hAnsi="Arial" w:cs="Arial"/>
          <w:b/>
          <w:bCs/>
          <w:sz w:val="32"/>
          <w:szCs w:val="32"/>
        </w:rPr>
      </w:pPr>
    </w:p>
    <w:p w14:paraId="49E700F1" w14:textId="77777777" w:rsidR="00234907" w:rsidRDefault="00234907" w:rsidP="00A16750">
      <w:pPr>
        <w:rPr>
          <w:rFonts w:ascii="Arial" w:hAnsi="Arial" w:cs="Arial"/>
          <w:b/>
          <w:bCs/>
          <w:sz w:val="32"/>
          <w:szCs w:val="32"/>
        </w:rPr>
      </w:pPr>
    </w:p>
    <w:p w14:paraId="35DD6811" w14:textId="40C7BE94" w:rsidR="00A16750" w:rsidRDefault="00A16750" w:rsidP="00A16750">
      <w:pPr>
        <w:rPr>
          <w:rFonts w:ascii="Arial" w:hAnsi="Arial" w:cs="Arial"/>
          <w:sz w:val="22"/>
          <w:szCs w:val="22"/>
        </w:rPr>
      </w:pPr>
      <w:r w:rsidRPr="00A16750">
        <w:rPr>
          <w:rFonts w:ascii="Arial" w:hAnsi="Arial" w:cs="Arial"/>
          <w:b/>
          <w:bCs/>
          <w:sz w:val="32"/>
          <w:szCs w:val="32"/>
        </w:rPr>
        <w:t>Name</w:t>
      </w:r>
      <w:r>
        <w:t xml:space="preserve">: </w:t>
      </w:r>
      <w:r w:rsidRPr="00234907">
        <w:rPr>
          <w:rFonts w:ascii="Arial" w:hAnsi="Arial" w:cs="Arial"/>
          <w:sz w:val="22"/>
          <w:szCs w:val="22"/>
        </w:rPr>
        <w:t>Kiera Handley</w:t>
      </w:r>
    </w:p>
    <w:p w14:paraId="24C011CF" w14:textId="77777777" w:rsidR="00CC0FD3" w:rsidRDefault="00CC0FD3" w:rsidP="00A16750"/>
    <w:p w14:paraId="09EE1272" w14:textId="4F845A01" w:rsidR="00A16750" w:rsidRDefault="00A16750" w:rsidP="00A16750">
      <w:pPr>
        <w:rPr>
          <w:rFonts w:ascii="Arial" w:hAnsi="Arial" w:cs="Arial"/>
          <w:sz w:val="22"/>
          <w:szCs w:val="22"/>
        </w:rPr>
      </w:pPr>
      <w:r w:rsidRPr="00A16750">
        <w:rPr>
          <w:rFonts w:ascii="Arial" w:hAnsi="Arial" w:cs="Arial"/>
          <w:b/>
          <w:bCs/>
          <w:sz w:val="32"/>
          <w:szCs w:val="32"/>
        </w:rPr>
        <w:t>Student Number:</w:t>
      </w:r>
      <w:r w:rsidRPr="00234907">
        <w:rPr>
          <w:sz w:val="22"/>
          <w:szCs w:val="22"/>
        </w:rPr>
        <w:t xml:space="preserve"> </w:t>
      </w:r>
      <w:r w:rsidRPr="00234907">
        <w:rPr>
          <w:rFonts w:ascii="Arial" w:hAnsi="Arial" w:cs="Arial"/>
          <w:sz w:val="22"/>
          <w:szCs w:val="22"/>
        </w:rPr>
        <w:t>2410084</w:t>
      </w:r>
    </w:p>
    <w:p w14:paraId="4F3CBDCD" w14:textId="77777777" w:rsidR="00CC0FD3" w:rsidRPr="00A16750" w:rsidRDefault="00CC0FD3" w:rsidP="00A16750">
      <w:pPr>
        <w:rPr>
          <w:rFonts w:ascii="Arial" w:hAnsi="Arial" w:cs="Arial"/>
        </w:rPr>
      </w:pPr>
    </w:p>
    <w:p w14:paraId="0D4650B8" w14:textId="125671F4" w:rsidR="00A16750" w:rsidRDefault="00A16750" w:rsidP="00A16750">
      <w:pPr>
        <w:rPr>
          <w:rFonts w:ascii="Arial" w:hAnsi="Arial" w:cs="Arial"/>
          <w:sz w:val="22"/>
          <w:szCs w:val="22"/>
        </w:rPr>
      </w:pPr>
      <w:r w:rsidRPr="00A16750">
        <w:rPr>
          <w:rFonts w:ascii="Arial" w:hAnsi="Arial" w:cs="Arial"/>
          <w:b/>
          <w:bCs/>
          <w:sz w:val="32"/>
          <w:szCs w:val="32"/>
        </w:rPr>
        <w:t>Module Code &amp; Title</w:t>
      </w:r>
      <w:r>
        <w:rPr>
          <w:rFonts w:ascii="Arial" w:hAnsi="Arial" w:cs="Arial"/>
          <w:b/>
          <w:bCs/>
          <w:sz w:val="32"/>
          <w:szCs w:val="32"/>
        </w:rPr>
        <w:t>:</w:t>
      </w:r>
      <w:r w:rsidRPr="00A16750">
        <w:rPr>
          <w:rFonts w:ascii="Arial" w:hAnsi="Arial" w:cs="Arial"/>
          <w:sz w:val="32"/>
          <w:szCs w:val="32"/>
        </w:rPr>
        <w:t xml:space="preserve"> </w:t>
      </w:r>
      <w:r w:rsidRPr="00234907">
        <w:rPr>
          <w:rFonts w:ascii="Arial" w:hAnsi="Arial" w:cs="Arial"/>
          <w:sz w:val="22"/>
          <w:szCs w:val="22"/>
        </w:rPr>
        <w:t>Principles</w:t>
      </w:r>
      <w:r w:rsidRPr="00234907">
        <w:rPr>
          <w:rFonts w:ascii="Arial" w:hAnsi="Arial" w:cs="Arial"/>
          <w:b/>
          <w:bCs/>
          <w:sz w:val="22"/>
          <w:szCs w:val="22"/>
        </w:rPr>
        <w:t xml:space="preserve"> </w:t>
      </w:r>
      <w:r w:rsidRPr="00234907">
        <w:rPr>
          <w:rFonts w:ascii="Arial" w:hAnsi="Arial" w:cs="Arial"/>
          <w:sz w:val="22"/>
          <w:szCs w:val="22"/>
        </w:rPr>
        <w:t>in Health and social care.</w:t>
      </w:r>
    </w:p>
    <w:p w14:paraId="0464ABA2" w14:textId="77777777" w:rsidR="00CC0FD3" w:rsidRPr="00A16750" w:rsidRDefault="00CC0FD3" w:rsidP="00A16750"/>
    <w:p w14:paraId="5D936A40" w14:textId="25191762" w:rsidR="00A16750" w:rsidRDefault="00A16750" w:rsidP="00A16750">
      <w:pPr>
        <w:rPr>
          <w:rFonts w:ascii="Arial" w:hAnsi="Arial" w:cs="Arial"/>
          <w:sz w:val="22"/>
          <w:szCs w:val="22"/>
        </w:rPr>
      </w:pPr>
      <w:r w:rsidRPr="00A16750">
        <w:rPr>
          <w:rFonts w:ascii="Arial" w:hAnsi="Arial" w:cs="Arial"/>
          <w:b/>
          <w:bCs/>
          <w:sz w:val="32"/>
          <w:szCs w:val="32"/>
        </w:rPr>
        <w:t>Lecturer’s Name</w:t>
      </w:r>
      <w:r>
        <w:rPr>
          <w:rFonts w:ascii="Arial" w:hAnsi="Arial" w:cs="Arial"/>
          <w:b/>
          <w:bCs/>
          <w:sz w:val="32"/>
          <w:szCs w:val="32"/>
        </w:rPr>
        <w:t xml:space="preserve">: </w:t>
      </w:r>
      <w:r w:rsidRPr="00234907">
        <w:rPr>
          <w:rFonts w:ascii="Arial" w:hAnsi="Arial" w:cs="Arial"/>
          <w:sz w:val="22"/>
          <w:szCs w:val="22"/>
        </w:rPr>
        <w:t>Aishat Barke</w:t>
      </w:r>
      <w:r w:rsidR="00CC0FD3">
        <w:rPr>
          <w:rFonts w:ascii="Arial" w:hAnsi="Arial" w:cs="Arial"/>
          <w:sz w:val="22"/>
          <w:szCs w:val="22"/>
        </w:rPr>
        <w:t>.</w:t>
      </w:r>
    </w:p>
    <w:p w14:paraId="54C1B2AB" w14:textId="77777777" w:rsidR="00CC0FD3" w:rsidRPr="00A16750" w:rsidRDefault="00CC0FD3" w:rsidP="00A16750"/>
    <w:p w14:paraId="3E418D59" w14:textId="62D70879" w:rsidR="00C16709" w:rsidRDefault="00A16750" w:rsidP="00A16750">
      <w:pPr>
        <w:rPr>
          <w:rFonts w:ascii="Arial" w:hAnsi="Arial" w:cs="Arial"/>
          <w:sz w:val="22"/>
          <w:szCs w:val="22"/>
        </w:rPr>
      </w:pPr>
      <w:r w:rsidRPr="00A16750">
        <w:rPr>
          <w:rFonts w:ascii="Arial" w:hAnsi="Arial" w:cs="Arial"/>
          <w:b/>
          <w:bCs/>
          <w:sz w:val="32"/>
          <w:szCs w:val="32"/>
        </w:rPr>
        <w:t>Assignment Title:</w:t>
      </w:r>
      <w:r w:rsidRPr="00234907">
        <w:rPr>
          <w:rFonts w:ascii="Arial" w:hAnsi="Arial" w:cs="Arial"/>
          <w:sz w:val="22"/>
          <w:szCs w:val="22"/>
        </w:rPr>
        <w:t xml:space="preserve"> Person-Centred Care and Partnership Working in Community Mental Health Services</w:t>
      </w:r>
      <w:r w:rsidRPr="00234907">
        <w:rPr>
          <w:rFonts w:ascii="Arial" w:hAnsi="Arial" w:cs="Arial"/>
          <w:sz w:val="22"/>
          <w:szCs w:val="22"/>
        </w:rPr>
        <w:t>.</w:t>
      </w:r>
    </w:p>
    <w:p w14:paraId="0B2CE8B0" w14:textId="77777777" w:rsidR="00CC0FD3" w:rsidRDefault="00CC0FD3" w:rsidP="00A16750"/>
    <w:p w14:paraId="12F6CB51" w14:textId="77777777" w:rsidR="00A65D0A" w:rsidRDefault="00A16750" w:rsidP="00A16750">
      <w:pPr>
        <w:rPr>
          <w:rFonts w:ascii="Arial" w:hAnsi="Arial" w:cs="Arial"/>
          <w:sz w:val="22"/>
          <w:szCs w:val="22"/>
        </w:rPr>
      </w:pPr>
      <w:r w:rsidRPr="00A16750">
        <w:rPr>
          <w:rFonts w:ascii="Arial" w:hAnsi="Arial" w:cs="Arial"/>
          <w:b/>
          <w:bCs/>
          <w:sz w:val="32"/>
          <w:szCs w:val="32"/>
        </w:rPr>
        <w:t>Date</w:t>
      </w:r>
      <w:r>
        <w:rPr>
          <w:rFonts w:ascii="Arial" w:hAnsi="Arial" w:cs="Arial"/>
          <w:b/>
          <w:bCs/>
          <w:sz w:val="32"/>
          <w:szCs w:val="32"/>
        </w:rPr>
        <w:t xml:space="preserve">: </w:t>
      </w:r>
      <w:r w:rsidR="00234907" w:rsidRPr="00234907">
        <w:rPr>
          <w:rFonts w:ascii="Arial" w:hAnsi="Arial" w:cs="Arial"/>
          <w:sz w:val="22"/>
          <w:szCs w:val="22"/>
        </w:rPr>
        <w:t>23/03/2026</w:t>
      </w:r>
    </w:p>
    <w:p w14:paraId="30BD03A9" w14:textId="77777777" w:rsidR="00A65D0A" w:rsidRDefault="00A65D0A" w:rsidP="00A16750">
      <w:pPr>
        <w:rPr>
          <w:rFonts w:ascii="Arial" w:hAnsi="Arial" w:cs="Arial"/>
          <w:sz w:val="22"/>
          <w:szCs w:val="22"/>
        </w:rPr>
      </w:pPr>
    </w:p>
    <w:p w14:paraId="14FCCAEB" w14:textId="77777777" w:rsidR="004426D5" w:rsidRPr="004426D5" w:rsidRDefault="004426D5" w:rsidP="004426D5">
      <w:pPr>
        <w:rPr>
          <w:rFonts w:ascii="Arial" w:hAnsi="Arial" w:cs="Arial"/>
          <w:sz w:val="22"/>
          <w:szCs w:val="22"/>
        </w:rPr>
      </w:pPr>
    </w:p>
    <w:p w14:paraId="11799DD7" w14:textId="77777777" w:rsidR="004426D5" w:rsidRDefault="004426D5" w:rsidP="004426D5">
      <w:pPr>
        <w:rPr>
          <w:rFonts w:ascii="Arial" w:hAnsi="Arial" w:cs="Arial"/>
          <w:sz w:val="22"/>
          <w:szCs w:val="22"/>
        </w:rPr>
      </w:pPr>
    </w:p>
    <w:p w14:paraId="4CB2A7A9" w14:textId="77777777" w:rsidR="004426D5" w:rsidRDefault="004426D5" w:rsidP="004426D5">
      <w:pPr>
        <w:rPr>
          <w:rFonts w:ascii="Arial" w:hAnsi="Arial" w:cs="Arial"/>
          <w:sz w:val="22"/>
          <w:szCs w:val="22"/>
        </w:rPr>
      </w:pPr>
    </w:p>
    <w:p w14:paraId="57102B81" w14:textId="77777777" w:rsidR="004426D5" w:rsidRDefault="004426D5" w:rsidP="004426D5">
      <w:pPr>
        <w:rPr>
          <w:rFonts w:ascii="Arial" w:hAnsi="Arial" w:cs="Arial"/>
          <w:sz w:val="22"/>
          <w:szCs w:val="22"/>
        </w:rPr>
      </w:pPr>
    </w:p>
    <w:p w14:paraId="1E36F764" w14:textId="77777777" w:rsidR="004426D5" w:rsidRDefault="004426D5" w:rsidP="004426D5">
      <w:pPr>
        <w:rPr>
          <w:rFonts w:ascii="Arial" w:hAnsi="Arial" w:cs="Arial"/>
          <w:sz w:val="22"/>
          <w:szCs w:val="22"/>
        </w:rPr>
      </w:pPr>
    </w:p>
    <w:p w14:paraId="295D93FD" w14:textId="77777777" w:rsidR="004426D5" w:rsidRDefault="004426D5" w:rsidP="004426D5">
      <w:pPr>
        <w:rPr>
          <w:rFonts w:ascii="Arial" w:hAnsi="Arial" w:cs="Arial"/>
          <w:sz w:val="22"/>
          <w:szCs w:val="22"/>
        </w:rPr>
      </w:pPr>
    </w:p>
    <w:p w14:paraId="4075317A" w14:textId="77777777" w:rsidR="004426D5" w:rsidRDefault="004426D5" w:rsidP="004426D5">
      <w:pPr>
        <w:rPr>
          <w:rFonts w:ascii="Arial" w:hAnsi="Arial" w:cs="Arial"/>
          <w:sz w:val="22"/>
          <w:szCs w:val="22"/>
        </w:rPr>
      </w:pPr>
    </w:p>
    <w:p w14:paraId="4470CBA3" w14:textId="77777777" w:rsidR="004426D5" w:rsidRDefault="004426D5" w:rsidP="004426D5">
      <w:pPr>
        <w:rPr>
          <w:rFonts w:ascii="Arial" w:hAnsi="Arial" w:cs="Arial"/>
          <w:sz w:val="22"/>
          <w:szCs w:val="22"/>
        </w:rPr>
      </w:pPr>
    </w:p>
    <w:p w14:paraId="75E8ABE5" w14:textId="77777777" w:rsidR="004426D5" w:rsidRDefault="004426D5" w:rsidP="004426D5">
      <w:pPr>
        <w:rPr>
          <w:rFonts w:ascii="Arial" w:hAnsi="Arial" w:cs="Arial"/>
          <w:sz w:val="22"/>
          <w:szCs w:val="22"/>
        </w:rPr>
      </w:pPr>
    </w:p>
    <w:p w14:paraId="6F98EBF0" w14:textId="77777777" w:rsidR="004426D5" w:rsidRDefault="004426D5" w:rsidP="004426D5">
      <w:pPr>
        <w:rPr>
          <w:rFonts w:ascii="Arial" w:hAnsi="Arial" w:cs="Arial"/>
          <w:sz w:val="22"/>
          <w:szCs w:val="22"/>
        </w:rPr>
      </w:pPr>
    </w:p>
    <w:p w14:paraId="16AF73A7" w14:textId="77777777" w:rsidR="004426D5" w:rsidRDefault="004426D5" w:rsidP="004426D5">
      <w:pPr>
        <w:rPr>
          <w:rFonts w:ascii="Arial" w:hAnsi="Arial" w:cs="Arial"/>
          <w:sz w:val="22"/>
          <w:szCs w:val="22"/>
        </w:rPr>
      </w:pPr>
    </w:p>
    <w:p w14:paraId="36479766" w14:textId="77777777" w:rsidR="004426D5" w:rsidRDefault="004426D5" w:rsidP="004426D5">
      <w:pPr>
        <w:rPr>
          <w:rFonts w:ascii="Arial" w:hAnsi="Arial" w:cs="Arial"/>
          <w:sz w:val="22"/>
          <w:szCs w:val="22"/>
        </w:rPr>
      </w:pPr>
    </w:p>
    <w:p w14:paraId="419A3D95" w14:textId="77777777" w:rsidR="004426D5" w:rsidRDefault="004426D5" w:rsidP="004426D5">
      <w:pPr>
        <w:rPr>
          <w:rFonts w:ascii="Arial" w:hAnsi="Arial" w:cs="Arial"/>
          <w:sz w:val="22"/>
          <w:szCs w:val="22"/>
        </w:rPr>
      </w:pPr>
    </w:p>
    <w:p w14:paraId="121B0D2B" w14:textId="77777777" w:rsidR="004426D5" w:rsidRDefault="004426D5" w:rsidP="004426D5">
      <w:pPr>
        <w:rPr>
          <w:rFonts w:ascii="Arial" w:hAnsi="Arial" w:cs="Arial"/>
          <w:sz w:val="22"/>
          <w:szCs w:val="22"/>
        </w:rPr>
      </w:pPr>
    </w:p>
    <w:p w14:paraId="2BEEB008" w14:textId="77777777" w:rsidR="004426D5" w:rsidRDefault="004426D5" w:rsidP="004426D5">
      <w:pPr>
        <w:rPr>
          <w:rFonts w:ascii="Arial" w:hAnsi="Arial" w:cs="Arial"/>
          <w:sz w:val="22"/>
          <w:szCs w:val="22"/>
        </w:rPr>
      </w:pPr>
    </w:p>
    <w:p w14:paraId="6B0D6592" w14:textId="77777777" w:rsidR="004426D5" w:rsidRPr="00C5626F" w:rsidRDefault="004426D5" w:rsidP="004426D5">
      <w:pPr>
        <w:rPr>
          <w:rFonts w:ascii="Arial" w:hAnsi="Arial" w:cs="Arial"/>
          <w:sz w:val="22"/>
          <w:szCs w:val="22"/>
        </w:rPr>
      </w:pPr>
      <w:r w:rsidRPr="00C5626F">
        <w:rPr>
          <w:rFonts w:ascii="Arial" w:hAnsi="Arial" w:cs="Arial"/>
          <w:sz w:val="22"/>
          <w:szCs w:val="22"/>
        </w:rPr>
        <w:lastRenderedPageBreak/>
        <w:t>Introduction</w:t>
      </w:r>
    </w:p>
    <w:p w14:paraId="7BFE7551" w14:textId="1E8A6C43" w:rsidR="004426D5" w:rsidRPr="004426D5" w:rsidRDefault="004426D5" w:rsidP="004426D5">
      <w:pPr>
        <w:rPr>
          <w:rFonts w:ascii="Arial" w:hAnsi="Arial" w:cs="Arial"/>
          <w:sz w:val="22"/>
          <w:szCs w:val="22"/>
        </w:rPr>
      </w:pPr>
      <w:r w:rsidRPr="004426D5">
        <w:rPr>
          <w:rFonts w:ascii="Arial" w:hAnsi="Arial" w:cs="Arial"/>
          <w:sz w:val="22"/>
          <w:szCs w:val="22"/>
        </w:rPr>
        <w:t>Across the UK, Person</w:t>
      </w:r>
      <w:r w:rsidRPr="004426D5">
        <w:rPr>
          <w:rFonts w:ascii="Cambria Math" w:hAnsi="Cambria Math" w:cs="Cambria Math"/>
          <w:sz w:val="22"/>
          <w:szCs w:val="22"/>
        </w:rPr>
        <w:t>‑</w:t>
      </w:r>
      <w:r w:rsidRPr="004426D5">
        <w:rPr>
          <w:rFonts w:ascii="Arial" w:hAnsi="Arial" w:cs="Arial"/>
          <w:sz w:val="22"/>
          <w:szCs w:val="22"/>
        </w:rPr>
        <w:t>Centred Care (PCC) and Partnership Working (PW) have increasingly shaped the direction of mental health services, especially those operating within community settings. These approaches have gained prominence because community mental health care often involves addressing complex, long</w:t>
      </w:r>
      <w:r w:rsidRPr="004426D5">
        <w:rPr>
          <w:rFonts w:ascii="Cambria Math" w:hAnsi="Cambria Math" w:cs="Cambria Math"/>
          <w:sz w:val="22"/>
          <w:szCs w:val="22"/>
        </w:rPr>
        <w:t>‑</w:t>
      </w:r>
      <w:r w:rsidRPr="004426D5">
        <w:rPr>
          <w:rFonts w:ascii="Arial" w:hAnsi="Arial" w:cs="Arial"/>
          <w:sz w:val="22"/>
          <w:szCs w:val="22"/>
        </w:rPr>
        <w:t xml:space="preserve">standing needs that extend beyond clinical symptoms alone. PCC focuses on tailoring care around the unique preferences, goals, and lived experiences of </w:t>
      </w:r>
      <w:r w:rsidR="00B163C8" w:rsidRPr="004426D5">
        <w:rPr>
          <w:rFonts w:ascii="Arial" w:hAnsi="Arial" w:cs="Arial"/>
          <w:sz w:val="22"/>
          <w:szCs w:val="22"/>
        </w:rPr>
        <w:t>everyone</w:t>
      </w:r>
      <w:r w:rsidRPr="004426D5">
        <w:rPr>
          <w:rFonts w:ascii="Arial" w:hAnsi="Arial" w:cs="Arial"/>
          <w:sz w:val="22"/>
          <w:szCs w:val="22"/>
        </w:rPr>
        <w:t xml:space="preserve"> (NICE, no date). In contrast, PW brings together professionals, organisations, and service users in collaborative processes designed to improve coordination and effectiveness (Glasby and Dickinson, 2014).</w:t>
      </w:r>
    </w:p>
    <w:p w14:paraId="6BE79830" w14:textId="77777777" w:rsidR="004426D5" w:rsidRPr="004426D5" w:rsidRDefault="004426D5" w:rsidP="004426D5">
      <w:pPr>
        <w:rPr>
          <w:rFonts w:ascii="Arial" w:hAnsi="Arial" w:cs="Arial"/>
          <w:sz w:val="22"/>
          <w:szCs w:val="22"/>
        </w:rPr>
      </w:pPr>
      <w:r w:rsidRPr="004426D5">
        <w:rPr>
          <w:rFonts w:ascii="Arial" w:hAnsi="Arial" w:cs="Arial"/>
          <w:sz w:val="22"/>
          <w:szCs w:val="22"/>
        </w:rPr>
        <w:t>This report critically examines PCC and PW by drawing upon established theories, ethical principles, and policy frameworks. Additionally, the report explores how these approaches operate in practice, especially in situations involving risk, differing professional perspectives, or limited resources. The discussion concludes by suggesting ways forward to strengthen PCC and PW in community mental health services.</w:t>
      </w:r>
    </w:p>
    <w:p w14:paraId="2EC65BB4" w14:textId="77777777" w:rsidR="004426D5" w:rsidRPr="004426D5" w:rsidRDefault="004426D5" w:rsidP="004426D5">
      <w:pPr>
        <w:rPr>
          <w:rFonts w:ascii="Arial" w:hAnsi="Arial" w:cs="Arial"/>
          <w:sz w:val="22"/>
          <w:szCs w:val="22"/>
        </w:rPr>
      </w:pPr>
    </w:p>
    <w:p w14:paraId="0AB8E262" w14:textId="77777777" w:rsidR="004426D5" w:rsidRPr="004426D5" w:rsidRDefault="004426D5" w:rsidP="004426D5">
      <w:pPr>
        <w:rPr>
          <w:rFonts w:ascii="Arial" w:hAnsi="Arial" w:cs="Arial"/>
          <w:sz w:val="22"/>
          <w:szCs w:val="22"/>
        </w:rPr>
      </w:pPr>
      <w:r w:rsidRPr="004426D5">
        <w:rPr>
          <w:rFonts w:ascii="Arial" w:hAnsi="Arial" w:cs="Arial"/>
          <w:sz w:val="22"/>
          <w:szCs w:val="22"/>
        </w:rPr>
        <w:t>Theoretical Foundations of Person</w:t>
      </w:r>
      <w:r w:rsidRPr="004426D5">
        <w:rPr>
          <w:rFonts w:ascii="Cambria Math" w:hAnsi="Cambria Math" w:cs="Cambria Math"/>
          <w:sz w:val="22"/>
          <w:szCs w:val="22"/>
        </w:rPr>
        <w:t>‑</w:t>
      </w:r>
      <w:r w:rsidRPr="004426D5">
        <w:rPr>
          <w:rFonts w:ascii="Arial" w:hAnsi="Arial" w:cs="Arial"/>
          <w:sz w:val="22"/>
          <w:szCs w:val="22"/>
        </w:rPr>
        <w:t>Centred Care</w:t>
      </w:r>
    </w:p>
    <w:p w14:paraId="71D182D8" w14:textId="77777777" w:rsidR="004426D5" w:rsidRPr="004426D5" w:rsidRDefault="004426D5" w:rsidP="004426D5">
      <w:pPr>
        <w:rPr>
          <w:rFonts w:ascii="Arial" w:hAnsi="Arial" w:cs="Arial"/>
          <w:sz w:val="22"/>
          <w:szCs w:val="22"/>
        </w:rPr>
      </w:pPr>
      <w:r w:rsidRPr="004426D5">
        <w:rPr>
          <w:rFonts w:ascii="Arial" w:hAnsi="Arial" w:cs="Arial"/>
          <w:sz w:val="22"/>
          <w:szCs w:val="22"/>
        </w:rPr>
        <w:t>Several theoretical perspectives underpin modern understandings of PCC. One of the most influential contributions is Carl Rogers’ person</w:t>
      </w:r>
      <w:r w:rsidRPr="004426D5">
        <w:rPr>
          <w:rFonts w:ascii="Cambria Math" w:hAnsi="Cambria Math" w:cs="Cambria Math"/>
          <w:sz w:val="22"/>
          <w:szCs w:val="22"/>
        </w:rPr>
        <w:t>‑</w:t>
      </w:r>
      <w:r w:rsidRPr="004426D5">
        <w:rPr>
          <w:rFonts w:ascii="Arial" w:hAnsi="Arial" w:cs="Arial"/>
          <w:sz w:val="22"/>
          <w:szCs w:val="22"/>
        </w:rPr>
        <w:t>centred theory. Rogers (1951) argued that individuals are more likely to grow and recover in environments characterised by empathy, acceptance, and genuine interaction. These ideas have deeply shaped contemporary mental health practice by encouraging practitioners to prioritise the person’s viewpoint and emotional world.</w:t>
      </w:r>
    </w:p>
    <w:p w14:paraId="0D958FFC" w14:textId="77777777" w:rsidR="004426D5" w:rsidRPr="004426D5" w:rsidRDefault="004426D5" w:rsidP="004426D5">
      <w:pPr>
        <w:rPr>
          <w:rFonts w:ascii="Arial" w:hAnsi="Arial" w:cs="Arial"/>
          <w:sz w:val="22"/>
          <w:szCs w:val="22"/>
        </w:rPr>
      </w:pPr>
      <w:r w:rsidRPr="004426D5">
        <w:rPr>
          <w:rFonts w:ascii="Arial" w:hAnsi="Arial" w:cs="Arial"/>
          <w:sz w:val="22"/>
          <w:szCs w:val="22"/>
        </w:rPr>
        <w:t>Furthermore, Maslow’s (1943) hierarchy of needs provides another useful foundation for PCC. Maslow proposed that human needs exist in a structured hierarchy, beginning with essential physical requirements and moving upward toward psychological and self</w:t>
      </w:r>
      <w:r w:rsidRPr="004426D5">
        <w:rPr>
          <w:rFonts w:ascii="Cambria Math" w:hAnsi="Cambria Math" w:cs="Cambria Math"/>
          <w:sz w:val="22"/>
          <w:szCs w:val="22"/>
        </w:rPr>
        <w:t>‑</w:t>
      </w:r>
      <w:r w:rsidRPr="004426D5">
        <w:rPr>
          <w:rFonts w:ascii="Arial" w:hAnsi="Arial" w:cs="Arial"/>
          <w:sz w:val="22"/>
          <w:szCs w:val="22"/>
        </w:rPr>
        <w:t>fulfilment needs. Within mental health care, this model indicates the importance of supporting people in more than just symptom management. For example, someone living in insecure housing or experiencing social isolation may find it difficult to engage with therapy or recovery</w:t>
      </w:r>
      <w:r w:rsidRPr="004426D5">
        <w:rPr>
          <w:rFonts w:ascii="Cambria Math" w:hAnsi="Cambria Math" w:cs="Cambria Math"/>
          <w:sz w:val="22"/>
          <w:szCs w:val="22"/>
        </w:rPr>
        <w:t>‑</w:t>
      </w:r>
      <w:r w:rsidRPr="004426D5">
        <w:rPr>
          <w:rFonts w:ascii="Arial" w:hAnsi="Arial" w:cs="Arial"/>
          <w:sz w:val="22"/>
          <w:szCs w:val="22"/>
        </w:rPr>
        <w:t>focused interventions until these foundational needs are addressed.</w:t>
      </w:r>
    </w:p>
    <w:p w14:paraId="3DC15F3C" w14:textId="77777777" w:rsidR="004426D5" w:rsidRPr="004426D5" w:rsidRDefault="004426D5" w:rsidP="004426D5">
      <w:pPr>
        <w:rPr>
          <w:rFonts w:ascii="Arial" w:hAnsi="Arial" w:cs="Arial"/>
          <w:sz w:val="22"/>
          <w:szCs w:val="22"/>
        </w:rPr>
      </w:pPr>
      <w:r w:rsidRPr="004426D5">
        <w:rPr>
          <w:rFonts w:ascii="Arial" w:hAnsi="Arial" w:cs="Arial"/>
          <w:sz w:val="22"/>
          <w:szCs w:val="22"/>
        </w:rPr>
        <w:t xml:space="preserve">Another theory relevant to PCC is </w:t>
      </w:r>
      <w:proofErr w:type="spellStart"/>
      <w:r w:rsidRPr="004426D5">
        <w:rPr>
          <w:rFonts w:ascii="Arial" w:hAnsi="Arial" w:cs="Arial"/>
          <w:sz w:val="22"/>
          <w:szCs w:val="22"/>
        </w:rPr>
        <w:t>Kitwood’s</w:t>
      </w:r>
      <w:proofErr w:type="spellEnd"/>
      <w:r w:rsidRPr="004426D5">
        <w:rPr>
          <w:rFonts w:ascii="Arial" w:hAnsi="Arial" w:cs="Arial"/>
          <w:sz w:val="22"/>
          <w:szCs w:val="22"/>
        </w:rPr>
        <w:t xml:space="preserve"> (1997) conceptualisation of personhood. Although originally explored in relation to dementia care, </w:t>
      </w:r>
      <w:proofErr w:type="spellStart"/>
      <w:r w:rsidRPr="004426D5">
        <w:rPr>
          <w:rFonts w:ascii="Arial" w:hAnsi="Arial" w:cs="Arial"/>
          <w:sz w:val="22"/>
          <w:szCs w:val="22"/>
        </w:rPr>
        <w:t>Kitwood’s</w:t>
      </w:r>
      <w:proofErr w:type="spellEnd"/>
      <w:r w:rsidRPr="004426D5">
        <w:rPr>
          <w:rFonts w:ascii="Arial" w:hAnsi="Arial" w:cs="Arial"/>
          <w:sz w:val="22"/>
          <w:szCs w:val="22"/>
        </w:rPr>
        <w:t xml:space="preserve"> work emphasises the importance of respecting the individual’s identity, preferences, and dignity throughout the care process. These principles translate well into community mental health settings, where respect for the person’s narrative and life context is essential.</w:t>
      </w:r>
    </w:p>
    <w:p w14:paraId="3E6F4C7A" w14:textId="77777777" w:rsidR="004426D5" w:rsidRPr="004426D5" w:rsidRDefault="004426D5" w:rsidP="004426D5">
      <w:pPr>
        <w:rPr>
          <w:rFonts w:ascii="Arial" w:hAnsi="Arial" w:cs="Arial"/>
          <w:sz w:val="22"/>
          <w:szCs w:val="22"/>
        </w:rPr>
      </w:pPr>
      <w:r w:rsidRPr="004426D5">
        <w:rPr>
          <w:rFonts w:ascii="Arial" w:hAnsi="Arial" w:cs="Arial"/>
          <w:sz w:val="22"/>
          <w:szCs w:val="22"/>
        </w:rPr>
        <w:t>However, translating these theories into daily practice is not always straightforward. Services regularly face pressures such as high caseloads, limited appointment times, and bureaucratic demands (Glasby and Dickinson, 2014). These constraints may restrict opportunities to build meaningful therapeutic relationships. Similarly, risk</w:t>
      </w:r>
      <w:r w:rsidRPr="004426D5">
        <w:rPr>
          <w:rFonts w:ascii="Cambria Math" w:hAnsi="Cambria Math" w:cs="Cambria Math"/>
          <w:sz w:val="22"/>
          <w:szCs w:val="22"/>
        </w:rPr>
        <w:t>‑</w:t>
      </w:r>
      <w:r w:rsidRPr="004426D5">
        <w:rPr>
          <w:rFonts w:ascii="Arial" w:hAnsi="Arial" w:cs="Arial"/>
          <w:sz w:val="22"/>
          <w:szCs w:val="22"/>
        </w:rPr>
        <w:t>focused procedures can sometimes overshadow person</w:t>
      </w:r>
      <w:r w:rsidRPr="004426D5">
        <w:rPr>
          <w:rFonts w:ascii="Cambria Math" w:hAnsi="Cambria Math" w:cs="Cambria Math"/>
          <w:sz w:val="22"/>
          <w:szCs w:val="22"/>
        </w:rPr>
        <w:t>‑</w:t>
      </w:r>
      <w:r w:rsidRPr="004426D5">
        <w:rPr>
          <w:rFonts w:ascii="Arial" w:hAnsi="Arial" w:cs="Arial"/>
          <w:sz w:val="22"/>
          <w:szCs w:val="22"/>
        </w:rPr>
        <w:t>centred approaches when services prioritise safety and compliance. As a result, although the theory provides a strong basis for PCC, successful implementation depends heavily on organisational culture, leadership, and resources.</w:t>
      </w:r>
    </w:p>
    <w:p w14:paraId="4ED5A954" w14:textId="77777777" w:rsidR="004426D5" w:rsidRPr="004426D5" w:rsidRDefault="004426D5" w:rsidP="004426D5">
      <w:pPr>
        <w:rPr>
          <w:rFonts w:ascii="Arial" w:hAnsi="Arial" w:cs="Arial"/>
          <w:sz w:val="22"/>
          <w:szCs w:val="22"/>
        </w:rPr>
      </w:pPr>
    </w:p>
    <w:p w14:paraId="75CDE084" w14:textId="77777777" w:rsidR="004426D5" w:rsidRPr="00C5626F" w:rsidRDefault="004426D5" w:rsidP="004426D5">
      <w:pPr>
        <w:rPr>
          <w:rFonts w:ascii="Arial" w:hAnsi="Arial" w:cs="Arial"/>
          <w:sz w:val="22"/>
          <w:szCs w:val="22"/>
        </w:rPr>
      </w:pPr>
      <w:r w:rsidRPr="00C5626F">
        <w:rPr>
          <w:rFonts w:ascii="Arial" w:hAnsi="Arial" w:cs="Arial"/>
          <w:sz w:val="22"/>
          <w:szCs w:val="22"/>
        </w:rPr>
        <w:t>Ethical Principles Underpinning PCC</w:t>
      </w:r>
    </w:p>
    <w:p w14:paraId="762B2275" w14:textId="77777777" w:rsidR="004426D5" w:rsidRPr="004426D5" w:rsidRDefault="004426D5" w:rsidP="004426D5">
      <w:pPr>
        <w:rPr>
          <w:rFonts w:ascii="Arial" w:hAnsi="Arial" w:cs="Arial"/>
          <w:sz w:val="22"/>
          <w:szCs w:val="22"/>
        </w:rPr>
      </w:pPr>
      <w:r w:rsidRPr="004426D5">
        <w:rPr>
          <w:rFonts w:ascii="Arial" w:hAnsi="Arial" w:cs="Arial"/>
          <w:sz w:val="22"/>
          <w:szCs w:val="22"/>
        </w:rPr>
        <w:lastRenderedPageBreak/>
        <w:t>Ethical considerations are inseparable from the delivery of mental health care. The four widely recognised principles—autonomy, beneficence, non</w:t>
      </w:r>
      <w:r w:rsidRPr="004426D5">
        <w:rPr>
          <w:rFonts w:ascii="Cambria Math" w:hAnsi="Cambria Math" w:cs="Cambria Math"/>
          <w:sz w:val="22"/>
          <w:szCs w:val="22"/>
        </w:rPr>
        <w:t>‑</w:t>
      </w:r>
      <w:r w:rsidRPr="004426D5">
        <w:rPr>
          <w:rFonts w:ascii="Arial" w:hAnsi="Arial" w:cs="Arial"/>
          <w:sz w:val="22"/>
          <w:szCs w:val="22"/>
        </w:rPr>
        <w:t>maleficence, and justice—offer a moral framework that supports PCC and guides practitioners in navigating complex decisions (Beauchamp and Childress, 2019).</w:t>
      </w:r>
    </w:p>
    <w:p w14:paraId="6FD5E21B" w14:textId="77777777" w:rsidR="004426D5" w:rsidRPr="004426D5" w:rsidRDefault="004426D5" w:rsidP="004426D5">
      <w:pPr>
        <w:rPr>
          <w:rFonts w:ascii="Arial" w:hAnsi="Arial" w:cs="Arial"/>
          <w:sz w:val="22"/>
          <w:szCs w:val="22"/>
        </w:rPr>
      </w:pPr>
      <w:r w:rsidRPr="004426D5">
        <w:rPr>
          <w:rFonts w:ascii="Arial" w:hAnsi="Arial" w:cs="Arial"/>
          <w:sz w:val="22"/>
          <w:szCs w:val="22"/>
        </w:rPr>
        <w:t>Autonomy is central to PCC. It emphasises that people have a right to participate in decisions about their own treatment and to have their preferences acknowledged (NICE, 2021). In community mental health settings, respecting autonomy means involving service users in conversations about medication, support plans, and recovery goals. However, autonomy can sometimes conflict with other obligations. For instance, a person experiencing acute psychosis may refuse medication that professionals consider necessary for their safety, creating tension between respecting their choices and preventing harm.</w:t>
      </w:r>
    </w:p>
    <w:p w14:paraId="7B500C88" w14:textId="77777777" w:rsidR="004426D5" w:rsidRPr="004426D5" w:rsidRDefault="004426D5" w:rsidP="004426D5">
      <w:pPr>
        <w:rPr>
          <w:rFonts w:ascii="Arial" w:hAnsi="Arial" w:cs="Arial"/>
          <w:sz w:val="22"/>
          <w:szCs w:val="22"/>
        </w:rPr>
      </w:pPr>
      <w:r w:rsidRPr="004426D5">
        <w:rPr>
          <w:rFonts w:ascii="Arial" w:hAnsi="Arial" w:cs="Arial"/>
          <w:sz w:val="22"/>
          <w:szCs w:val="22"/>
        </w:rPr>
        <w:t>This leads to the principles of beneficence and non</w:t>
      </w:r>
      <w:r w:rsidRPr="004426D5">
        <w:rPr>
          <w:rFonts w:ascii="Cambria Math" w:hAnsi="Cambria Math" w:cs="Cambria Math"/>
          <w:sz w:val="22"/>
          <w:szCs w:val="22"/>
        </w:rPr>
        <w:t>‑</w:t>
      </w:r>
      <w:r w:rsidRPr="004426D5">
        <w:rPr>
          <w:rFonts w:ascii="Arial" w:hAnsi="Arial" w:cs="Arial"/>
          <w:sz w:val="22"/>
          <w:szCs w:val="22"/>
        </w:rPr>
        <w:t>maleficence. Beneficence requires practitioners to act in an individual’s best interests, while non</w:t>
      </w:r>
      <w:r w:rsidRPr="004426D5">
        <w:rPr>
          <w:rFonts w:ascii="Cambria Math" w:hAnsi="Cambria Math" w:cs="Cambria Math"/>
          <w:sz w:val="22"/>
          <w:szCs w:val="22"/>
        </w:rPr>
        <w:t>‑</w:t>
      </w:r>
      <w:r w:rsidRPr="004426D5">
        <w:rPr>
          <w:rFonts w:ascii="Arial" w:hAnsi="Arial" w:cs="Arial"/>
          <w:sz w:val="22"/>
          <w:szCs w:val="22"/>
        </w:rPr>
        <w:t>maleficence ensures that actions do not cause harm. Balancing these principles often requires careful judgement. Coulter (2012) notes that mental health care frequently involves situations where practitioners must negotiate conflicting values, particularly when risk or capacity is a concern.</w:t>
      </w:r>
    </w:p>
    <w:p w14:paraId="48FDBECF" w14:textId="77777777" w:rsidR="004426D5" w:rsidRPr="004426D5" w:rsidRDefault="004426D5" w:rsidP="004426D5">
      <w:pPr>
        <w:rPr>
          <w:rFonts w:ascii="Arial" w:hAnsi="Arial" w:cs="Arial"/>
          <w:sz w:val="22"/>
          <w:szCs w:val="22"/>
        </w:rPr>
      </w:pPr>
      <w:r w:rsidRPr="004426D5">
        <w:rPr>
          <w:rFonts w:ascii="Arial" w:hAnsi="Arial" w:cs="Arial"/>
          <w:sz w:val="22"/>
          <w:szCs w:val="22"/>
        </w:rPr>
        <w:t>Justice, the fourth principle, emphasises fairness and equality. Within community mental health care, this means ensuring all individuals have equal access to appropriate support, regardless of socioeconomic status, ethnicity, or disability. PCC supports this principle by valuing diversity and recognising that different people may require different forms of support to achieve similar outcomes.</w:t>
      </w:r>
    </w:p>
    <w:p w14:paraId="498DD959" w14:textId="77777777" w:rsidR="004426D5" w:rsidRPr="004426D5" w:rsidRDefault="004426D5" w:rsidP="004426D5">
      <w:pPr>
        <w:rPr>
          <w:rFonts w:ascii="Arial" w:hAnsi="Arial" w:cs="Arial"/>
          <w:sz w:val="22"/>
          <w:szCs w:val="22"/>
        </w:rPr>
      </w:pPr>
      <w:r w:rsidRPr="004426D5">
        <w:rPr>
          <w:rFonts w:ascii="Arial" w:hAnsi="Arial" w:cs="Arial"/>
          <w:sz w:val="22"/>
          <w:szCs w:val="22"/>
        </w:rPr>
        <w:t>These ethical principles highlight why PW is important. In challenging or ethically sensitive situations, collaborative decision</w:t>
      </w:r>
      <w:r w:rsidRPr="004426D5">
        <w:rPr>
          <w:rFonts w:ascii="Cambria Math" w:hAnsi="Cambria Math" w:cs="Cambria Math"/>
          <w:sz w:val="22"/>
          <w:szCs w:val="22"/>
        </w:rPr>
        <w:t>‑</w:t>
      </w:r>
      <w:r w:rsidRPr="004426D5">
        <w:rPr>
          <w:rFonts w:ascii="Arial" w:hAnsi="Arial" w:cs="Arial"/>
          <w:sz w:val="22"/>
          <w:szCs w:val="22"/>
        </w:rPr>
        <w:t>making involving multiple professionals can help ensure balanced and well</w:t>
      </w:r>
      <w:r w:rsidRPr="004426D5">
        <w:rPr>
          <w:rFonts w:ascii="Cambria Math" w:hAnsi="Cambria Math" w:cs="Cambria Math"/>
          <w:sz w:val="22"/>
          <w:szCs w:val="22"/>
        </w:rPr>
        <w:t>‑</w:t>
      </w:r>
      <w:r w:rsidRPr="004426D5">
        <w:rPr>
          <w:rFonts w:ascii="Arial" w:hAnsi="Arial" w:cs="Arial"/>
          <w:sz w:val="22"/>
          <w:szCs w:val="22"/>
        </w:rPr>
        <w:t>considered conclusions.</w:t>
      </w:r>
    </w:p>
    <w:p w14:paraId="4C5FC9CE" w14:textId="77777777" w:rsidR="00C5626F" w:rsidRPr="00C5626F" w:rsidRDefault="00C5626F" w:rsidP="00C5626F">
      <w:pPr>
        <w:rPr>
          <w:rFonts w:ascii="Arial" w:hAnsi="Arial" w:cs="Arial"/>
          <w:sz w:val="22"/>
          <w:szCs w:val="22"/>
        </w:rPr>
      </w:pPr>
      <w:r w:rsidRPr="00C5626F">
        <w:rPr>
          <w:rFonts w:ascii="Arial" w:hAnsi="Arial" w:cs="Arial"/>
          <w:sz w:val="22"/>
          <w:szCs w:val="22"/>
        </w:rPr>
        <w:t>Evaluating Partnership Working</w:t>
      </w:r>
    </w:p>
    <w:p w14:paraId="61D8167A" w14:textId="77777777" w:rsidR="004426D5" w:rsidRPr="004426D5" w:rsidRDefault="004426D5" w:rsidP="004426D5">
      <w:pPr>
        <w:rPr>
          <w:rFonts w:ascii="Arial" w:hAnsi="Arial" w:cs="Arial"/>
          <w:sz w:val="22"/>
          <w:szCs w:val="22"/>
        </w:rPr>
      </w:pPr>
    </w:p>
    <w:p w14:paraId="5D9FA52A" w14:textId="77777777" w:rsidR="004426D5" w:rsidRPr="004426D5" w:rsidRDefault="004426D5" w:rsidP="004426D5">
      <w:pPr>
        <w:rPr>
          <w:rFonts w:ascii="Arial" w:hAnsi="Arial" w:cs="Arial"/>
          <w:sz w:val="22"/>
          <w:szCs w:val="22"/>
        </w:rPr>
      </w:pPr>
      <w:r w:rsidRPr="004426D5">
        <w:rPr>
          <w:rFonts w:ascii="Arial" w:hAnsi="Arial" w:cs="Arial"/>
          <w:sz w:val="22"/>
          <w:szCs w:val="22"/>
        </w:rPr>
        <w:t>PW refers to coordinated collaboration between professionals, services, and service users to provide consistent and integrated care (Glasby and Dickinson, 2014). This approach is essential in community mental health services because service users’ needs often cross traditional organisational boundaries.</w:t>
      </w:r>
    </w:p>
    <w:p w14:paraId="5090144C" w14:textId="77777777" w:rsidR="004426D5" w:rsidRPr="004426D5" w:rsidRDefault="004426D5" w:rsidP="004426D5">
      <w:pPr>
        <w:rPr>
          <w:rFonts w:ascii="Arial" w:hAnsi="Arial" w:cs="Arial"/>
          <w:sz w:val="22"/>
          <w:szCs w:val="22"/>
        </w:rPr>
      </w:pPr>
      <w:r w:rsidRPr="004426D5">
        <w:rPr>
          <w:rFonts w:ascii="Arial" w:hAnsi="Arial" w:cs="Arial"/>
          <w:sz w:val="22"/>
          <w:szCs w:val="22"/>
        </w:rPr>
        <w:t>Benefits of Partnership Working</w:t>
      </w:r>
    </w:p>
    <w:p w14:paraId="426791DC" w14:textId="77777777" w:rsidR="004426D5" w:rsidRPr="004426D5" w:rsidRDefault="004426D5" w:rsidP="004426D5">
      <w:pPr>
        <w:rPr>
          <w:rFonts w:ascii="Arial" w:hAnsi="Arial" w:cs="Arial"/>
          <w:sz w:val="22"/>
          <w:szCs w:val="22"/>
        </w:rPr>
      </w:pPr>
      <w:r w:rsidRPr="004426D5">
        <w:rPr>
          <w:rFonts w:ascii="Arial" w:hAnsi="Arial" w:cs="Arial"/>
          <w:sz w:val="22"/>
          <w:szCs w:val="22"/>
        </w:rPr>
        <w:t>PW can yield substantial benefits. When agencies work together effectively, individuals experience fewer service gaps, repeated assessments, and contradictory advice. Instead, they receive a more coherent response that considers social, psychological, and clinical needs simultaneously (WHO, 2016). Effective PW also enables professionals to pool expertise and resources, which can improve efficiency and reduce duplication.</w:t>
      </w:r>
    </w:p>
    <w:p w14:paraId="1A536E21" w14:textId="77777777" w:rsidR="004426D5" w:rsidRPr="004426D5" w:rsidRDefault="004426D5" w:rsidP="004426D5">
      <w:pPr>
        <w:rPr>
          <w:rFonts w:ascii="Arial" w:hAnsi="Arial" w:cs="Arial"/>
          <w:sz w:val="22"/>
          <w:szCs w:val="22"/>
        </w:rPr>
      </w:pPr>
      <w:r w:rsidRPr="004426D5">
        <w:rPr>
          <w:rFonts w:ascii="Arial" w:hAnsi="Arial" w:cs="Arial"/>
          <w:sz w:val="22"/>
          <w:szCs w:val="22"/>
        </w:rPr>
        <w:t>The development of Integrated Care Systems (ICS) reflects national efforts to embed PW more systematically. NHS England (2019) argues that ICS structures encourage organisations within a local area to jointly plan and deliver services to meet population needs. In mental health care, PW between GPs, community teams, crisis services, social workers, and voluntary agencies is particularly valuable because it promotes continuity and supports early intervention.</w:t>
      </w:r>
    </w:p>
    <w:p w14:paraId="0DB4AD3A" w14:textId="77777777" w:rsidR="004426D5" w:rsidRPr="004426D5" w:rsidRDefault="004426D5" w:rsidP="004426D5">
      <w:pPr>
        <w:rPr>
          <w:rFonts w:ascii="Arial" w:hAnsi="Arial" w:cs="Arial"/>
          <w:sz w:val="22"/>
          <w:szCs w:val="22"/>
        </w:rPr>
      </w:pPr>
      <w:r w:rsidRPr="004426D5">
        <w:rPr>
          <w:rFonts w:ascii="Arial" w:hAnsi="Arial" w:cs="Arial"/>
          <w:sz w:val="22"/>
          <w:szCs w:val="22"/>
        </w:rPr>
        <w:lastRenderedPageBreak/>
        <w:t>Challenges Associated with Partnership Working</w:t>
      </w:r>
    </w:p>
    <w:p w14:paraId="67663740" w14:textId="77777777" w:rsidR="004426D5" w:rsidRPr="004426D5" w:rsidRDefault="004426D5" w:rsidP="004426D5">
      <w:pPr>
        <w:rPr>
          <w:rFonts w:ascii="Arial" w:hAnsi="Arial" w:cs="Arial"/>
          <w:sz w:val="22"/>
          <w:szCs w:val="22"/>
        </w:rPr>
      </w:pPr>
      <w:r w:rsidRPr="004426D5">
        <w:rPr>
          <w:rFonts w:ascii="Arial" w:hAnsi="Arial" w:cs="Arial"/>
          <w:sz w:val="22"/>
          <w:szCs w:val="22"/>
        </w:rPr>
        <w:t>Despite its potential, PW is not always implemented effectively. Conflicts can arise due to differences in organisational culture, priorities, and professional perspectives. For example, health services may prioritise clinical outcomes, while social care teams may focus more on housing, welfare, or daily living. Additional barriers include unclear role definitions, communication breakdowns, and incompatible digital systems (The King’s Fund, 2018).</w:t>
      </w:r>
    </w:p>
    <w:p w14:paraId="57628065" w14:textId="77777777" w:rsidR="004426D5" w:rsidRPr="004426D5" w:rsidRDefault="004426D5" w:rsidP="004426D5">
      <w:pPr>
        <w:rPr>
          <w:rFonts w:ascii="Arial" w:hAnsi="Arial" w:cs="Arial"/>
          <w:sz w:val="22"/>
          <w:szCs w:val="22"/>
        </w:rPr>
      </w:pPr>
      <w:r w:rsidRPr="004426D5">
        <w:rPr>
          <w:rFonts w:ascii="Arial" w:hAnsi="Arial" w:cs="Arial"/>
          <w:sz w:val="22"/>
          <w:szCs w:val="22"/>
        </w:rPr>
        <w:t>Inadequate collaboration can lead to delayed responses, duplicated efforts, or conflicting care plans—issues that significantly affect service user experiences. As such, PW requires strong leadership, shared goals, and sustained investment to function well.</w:t>
      </w:r>
    </w:p>
    <w:p w14:paraId="78E47CFA" w14:textId="77777777" w:rsidR="004426D5" w:rsidRPr="004426D5" w:rsidRDefault="004426D5" w:rsidP="004426D5">
      <w:pPr>
        <w:rPr>
          <w:rFonts w:ascii="Arial" w:hAnsi="Arial" w:cs="Arial"/>
          <w:sz w:val="22"/>
          <w:szCs w:val="22"/>
        </w:rPr>
      </w:pPr>
    </w:p>
    <w:p w14:paraId="709B7E4D" w14:textId="77777777" w:rsidR="004426D5" w:rsidRPr="004426D5" w:rsidRDefault="004426D5" w:rsidP="004426D5">
      <w:pPr>
        <w:rPr>
          <w:rFonts w:ascii="Arial" w:hAnsi="Arial" w:cs="Arial"/>
          <w:sz w:val="22"/>
          <w:szCs w:val="22"/>
        </w:rPr>
      </w:pPr>
      <w:r w:rsidRPr="004426D5">
        <w:rPr>
          <w:rFonts w:ascii="Arial" w:hAnsi="Arial" w:cs="Arial"/>
          <w:sz w:val="22"/>
          <w:szCs w:val="22"/>
        </w:rPr>
        <w:t>Policy and Legislation Supporting PCC and PW</w:t>
      </w:r>
    </w:p>
    <w:p w14:paraId="18493700" w14:textId="77777777" w:rsidR="004426D5" w:rsidRPr="004426D5" w:rsidRDefault="004426D5" w:rsidP="004426D5">
      <w:pPr>
        <w:rPr>
          <w:rFonts w:ascii="Arial" w:hAnsi="Arial" w:cs="Arial"/>
          <w:sz w:val="22"/>
          <w:szCs w:val="22"/>
        </w:rPr>
      </w:pPr>
      <w:r w:rsidRPr="004426D5">
        <w:rPr>
          <w:rFonts w:ascii="Arial" w:hAnsi="Arial" w:cs="Arial"/>
          <w:sz w:val="22"/>
          <w:szCs w:val="22"/>
        </w:rPr>
        <w:t>A range of policies and legislative frameworks supports PCC and PW across the UK. Together, these create structural expectations around how services should operate.</w:t>
      </w:r>
    </w:p>
    <w:p w14:paraId="4BCFCB8C" w14:textId="77777777" w:rsidR="004426D5" w:rsidRPr="004426D5" w:rsidRDefault="004426D5" w:rsidP="004426D5">
      <w:pPr>
        <w:rPr>
          <w:rFonts w:ascii="Arial" w:hAnsi="Arial" w:cs="Arial"/>
          <w:sz w:val="22"/>
          <w:szCs w:val="22"/>
        </w:rPr>
      </w:pPr>
      <w:r w:rsidRPr="004426D5">
        <w:rPr>
          <w:rFonts w:ascii="Arial" w:hAnsi="Arial" w:cs="Arial"/>
          <w:sz w:val="22"/>
          <w:szCs w:val="22"/>
        </w:rPr>
        <w:t>The Care Act 2014 is one of the most influential pieces of legislation in this area. It highlights the importance of promoting wellbeing, independence, and personalisation, all of which reflect PCC principles (Department of Health, 2014). The Act also encourages collaboration between agencies to ensure people’s needs are met holistically.</w:t>
      </w:r>
    </w:p>
    <w:p w14:paraId="7DC09DCF" w14:textId="2C5F1260" w:rsidR="004426D5" w:rsidRPr="004426D5" w:rsidRDefault="004426D5" w:rsidP="004426D5">
      <w:pPr>
        <w:rPr>
          <w:rFonts w:ascii="Arial" w:hAnsi="Arial" w:cs="Arial"/>
          <w:sz w:val="22"/>
          <w:szCs w:val="22"/>
        </w:rPr>
      </w:pPr>
      <w:r w:rsidRPr="004426D5">
        <w:rPr>
          <w:rFonts w:ascii="Arial" w:hAnsi="Arial" w:cs="Arial"/>
          <w:sz w:val="22"/>
          <w:szCs w:val="22"/>
        </w:rPr>
        <w:t xml:space="preserve">The Health and Care Act 2022 further </w:t>
      </w:r>
      <w:r w:rsidR="00CA1E38" w:rsidRPr="004426D5">
        <w:rPr>
          <w:rFonts w:ascii="Arial" w:hAnsi="Arial" w:cs="Arial"/>
          <w:sz w:val="22"/>
          <w:szCs w:val="22"/>
        </w:rPr>
        <w:t>strengthen</w:t>
      </w:r>
      <w:r w:rsidR="00CA1E38">
        <w:rPr>
          <w:rFonts w:ascii="Arial" w:hAnsi="Arial" w:cs="Arial"/>
          <w:sz w:val="22"/>
          <w:szCs w:val="22"/>
        </w:rPr>
        <w:t>s</w:t>
      </w:r>
      <w:r w:rsidRPr="004426D5">
        <w:rPr>
          <w:rFonts w:ascii="Arial" w:hAnsi="Arial" w:cs="Arial"/>
          <w:sz w:val="22"/>
          <w:szCs w:val="22"/>
        </w:rPr>
        <w:t xml:space="preserve"> this approach by formalising ICS structures. These systems emphasise multi</w:t>
      </w:r>
      <w:r w:rsidRPr="004426D5">
        <w:rPr>
          <w:rFonts w:ascii="Cambria Math" w:hAnsi="Cambria Math" w:cs="Cambria Math"/>
          <w:sz w:val="22"/>
          <w:szCs w:val="22"/>
        </w:rPr>
        <w:t>‑</w:t>
      </w:r>
      <w:r w:rsidRPr="004426D5">
        <w:rPr>
          <w:rFonts w:ascii="Arial" w:hAnsi="Arial" w:cs="Arial"/>
          <w:sz w:val="22"/>
          <w:szCs w:val="22"/>
        </w:rPr>
        <w:t>agency collaboration and coordinated service planning, reinforcing PW as a central aspect of health and social care (Department of Health and Social Care, 2022).</w:t>
      </w:r>
    </w:p>
    <w:p w14:paraId="61731A3D" w14:textId="02418BE1" w:rsidR="004426D5" w:rsidRPr="004426D5" w:rsidRDefault="004426D5" w:rsidP="004426D5">
      <w:pPr>
        <w:rPr>
          <w:rFonts w:ascii="Arial" w:hAnsi="Arial" w:cs="Arial"/>
          <w:sz w:val="22"/>
          <w:szCs w:val="22"/>
        </w:rPr>
      </w:pPr>
      <w:r w:rsidRPr="004426D5">
        <w:rPr>
          <w:rFonts w:ascii="Arial" w:hAnsi="Arial" w:cs="Arial"/>
          <w:sz w:val="22"/>
          <w:szCs w:val="22"/>
        </w:rPr>
        <w:t xml:space="preserve">Additionally, the Health and Social Care Act 2012 </w:t>
      </w:r>
      <w:r w:rsidR="00CA1E38" w:rsidRPr="004426D5">
        <w:rPr>
          <w:rFonts w:ascii="Arial" w:hAnsi="Arial" w:cs="Arial"/>
          <w:sz w:val="22"/>
          <w:szCs w:val="22"/>
        </w:rPr>
        <w:t>promote</w:t>
      </w:r>
      <w:r w:rsidR="00CA1E38">
        <w:rPr>
          <w:rFonts w:ascii="Arial" w:hAnsi="Arial" w:cs="Arial"/>
          <w:sz w:val="22"/>
          <w:szCs w:val="22"/>
        </w:rPr>
        <w:t>s</w:t>
      </w:r>
      <w:r w:rsidRPr="004426D5">
        <w:rPr>
          <w:rFonts w:ascii="Arial" w:hAnsi="Arial" w:cs="Arial"/>
          <w:sz w:val="22"/>
          <w:szCs w:val="22"/>
        </w:rPr>
        <w:t xml:space="preserve"> patient choice and involvement in decision</w:t>
      </w:r>
      <w:r w:rsidRPr="004426D5">
        <w:rPr>
          <w:rFonts w:ascii="Cambria Math" w:hAnsi="Cambria Math" w:cs="Cambria Math"/>
          <w:sz w:val="22"/>
          <w:szCs w:val="22"/>
        </w:rPr>
        <w:t>‑</w:t>
      </w:r>
      <w:r w:rsidRPr="004426D5">
        <w:rPr>
          <w:rFonts w:ascii="Arial" w:hAnsi="Arial" w:cs="Arial"/>
          <w:sz w:val="22"/>
          <w:szCs w:val="22"/>
        </w:rPr>
        <w:t>making. The Equality Act 2010 ensures that individuals are protected from discrimination, supporting fairness and inclusion. The Human Rights Act 1998 provides further protection for fundamental rights, including dignity, respect, and autonomy—key values within PCC.</w:t>
      </w:r>
    </w:p>
    <w:p w14:paraId="17C282BC" w14:textId="77777777" w:rsidR="004426D5" w:rsidRPr="004426D5" w:rsidRDefault="004426D5" w:rsidP="004426D5">
      <w:pPr>
        <w:rPr>
          <w:rFonts w:ascii="Arial" w:hAnsi="Arial" w:cs="Arial"/>
          <w:sz w:val="22"/>
          <w:szCs w:val="22"/>
        </w:rPr>
      </w:pPr>
      <w:r w:rsidRPr="004426D5">
        <w:rPr>
          <w:rFonts w:ascii="Arial" w:hAnsi="Arial" w:cs="Arial"/>
          <w:sz w:val="22"/>
          <w:szCs w:val="22"/>
        </w:rPr>
        <w:t>Although these policies strongly support PCC and PW, practical challenges remain. The King’s Fund (2018) highlights concerns about funding shortages, workforce pressures, and increasing demand for mental health care—all of which affect the ability of services to enact policy intentions fully.</w:t>
      </w:r>
    </w:p>
    <w:p w14:paraId="1C1E2158" w14:textId="77777777" w:rsidR="004426D5" w:rsidRPr="004426D5" w:rsidRDefault="004426D5" w:rsidP="004426D5">
      <w:pPr>
        <w:rPr>
          <w:rFonts w:ascii="Arial" w:hAnsi="Arial" w:cs="Arial"/>
          <w:sz w:val="22"/>
          <w:szCs w:val="22"/>
        </w:rPr>
      </w:pPr>
    </w:p>
    <w:p w14:paraId="4AF1E58A" w14:textId="77777777" w:rsidR="004426D5" w:rsidRPr="004426D5" w:rsidRDefault="004426D5" w:rsidP="004426D5">
      <w:pPr>
        <w:rPr>
          <w:rFonts w:ascii="Arial" w:hAnsi="Arial" w:cs="Arial"/>
          <w:sz w:val="22"/>
          <w:szCs w:val="22"/>
        </w:rPr>
      </w:pPr>
      <w:r w:rsidRPr="004426D5">
        <w:rPr>
          <w:rFonts w:ascii="Arial" w:hAnsi="Arial" w:cs="Arial"/>
          <w:sz w:val="22"/>
          <w:szCs w:val="22"/>
        </w:rPr>
        <w:t>Recommendations</w:t>
      </w:r>
    </w:p>
    <w:p w14:paraId="3CFFBE4B" w14:textId="77777777" w:rsidR="004426D5" w:rsidRPr="004426D5" w:rsidRDefault="004426D5" w:rsidP="004426D5">
      <w:pPr>
        <w:rPr>
          <w:rFonts w:ascii="Arial" w:hAnsi="Arial" w:cs="Arial"/>
          <w:sz w:val="22"/>
          <w:szCs w:val="22"/>
        </w:rPr>
      </w:pPr>
      <w:r w:rsidRPr="004426D5">
        <w:rPr>
          <w:rFonts w:ascii="Arial" w:hAnsi="Arial" w:cs="Arial"/>
          <w:sz w:val="22"/>
          <w:szCs w:val="22"/>
        </w:rPr>
        <w:t>Based on the discussion above, several recommendations could help community mental health services strengthen PCC and PW:</w:t>
      </w:r>
    </w:p>
    <w:p w14:paraId="3A3410F3" w14:textId="77777777" w:rsidR="004426D5" w:rsidRPr="004426D5" w:rsidRDefault="004426D5" w:rsidP="004426D5">
      <w:pPr>
        <w:rPr>
          <w:rFonts w:ascii="Arial" w:hAnsi="Arial" w:cs="Arial"/>
          <w:sz w:val="22"/>
          <w:szCs w:val="22"/>
        </w:rPr>
      </w:pPr>
      <w:r w:rsidRPr="004426D5">
        <w:rPr>
          <w:rFonts w:ascii="Arial" w:hAnsi="Arial" w:cs="Arial"/>
          <w:sz w:val="22"/>
          <w:szCs w:val="22"/>
        </w:rPr>
        <w:t>1. Provide ongoing training for staff</w:t>
      </w:r>
    </w:p>
    <w:p w14:paraId="7A7AFB9D" w14:textId="77777777" w:rsidR="004426D5" w:rsidRPr="004426D5" w:rsidRDefault="004426D5" w:rsidP="004426D5">
      <w:pPr>
        <w:rPr>
          <w:rFonts w:ascii="Arial" w:hAnsi="Arial" w:cs="Arial"/>
          <w:sz w:val="22"/>
          <w:szCs w:val="22"/>
        </w:rPr>
      </w:pPr>
      <w:r w:rsidRPr="004426D5">
        <w:rPr>
          <w:rFonts w:ascii="Arial" w:hAnsi="Arial" w:cs="Arial"/>
          <w:sz w:val="22"/>
          <w:szCs w:val="22"/>
        </w:rPr>
        <w:t>Training should focus on communication skills, shared decision</w:t>
      </w:r>
      <w:r w:rsidRPr="004426D5">
        <w:rPr>
          <w:rFonts w:ascii="Cambria Math" w:hAnsi="Cambria Math" w:cs="Cambria Math"/>
          <w:sz w:val="22"/>
          <w:szCs w:val="22"/>
        </w:rPr>
        <w:t>‑</w:t>
      </w:r>
      <w:r w:rsidRPr="004426D5">
        <w:rPr>
          <w:rFonts w:ascii="Arial" w:hAnsi="Arial" w:cs="Arial"/>
          <w:sz w:val="22"/>
          <w:szCs w:val="22"/>
        </w:rPr>
        <w:t>making, and understanding ethical dilemmas (Coulter, 2012). Regular reflective practice could also help staff integrate PCC principles into their work.</w:t>
      </w:r>
    </w:p>
    <w:p w14:paraId="5B139EDC" w14:textId="77777777" w:rsidR="004426D5" w:rsidRPr="004426D5" w:rsidRDefault="004426D5" w:rsidP="004426D5">
      <w:pPr>
        <w:rPr>
          <w:rFonts w:ascii="Arial" w:hAnsi="Arial" w:cs="Arial"/>
          <w:sz w:val="22"/>
          <w:szCs w:val="22"/>
        </w:rPr>
      </w:pPr>
      <w:r w:rsidRPr="004426D5">
        <w:rPr>
          <w:rFonts w:ascii="Arial" w:hAnsi="Arial" w:cs="Arial"/>
          <w:sz w:val="22"/>
          <w:szCs w:val="22"/>
        </w:rPr>
        <w:t>2. Improve digital communication systems</w:t>
      </w:r>
    </w:p>
    <w:p w14:paraId="1AC23C42" w14:textId="77777777" w:rsidR="004426D5" w:rsidRPr="004426D5" w:rsidRDefault="004426D5" w:rsidP="004426D5">
      <w:pPr>
        <w:rPr>
          <w:rFonts w:ascii="Arial" w:hAnsi="Arial" w:cs="Arial"/>
          <w:sz w:val="22"/>
          <w:szCs w:val="22"/>
        </w:rPr>
      </w:pPr>
      <w:r w:rsidRPr="004426D5">
        <w:rPr>
          <w:rFonts w:ascii="Arial" w:hAnsi="Arial" w:cs="Arial"/>
          <w:sz w:val="22"/>
          <w:szCs w:val="22"/>
        </w:rPr>
        <w:t>Implementing shared electronic records and aligned IT systems would reduce communication gaps and support streamlined care coordination (NHS England, 2019).</w:t>
      </w:r>
    </w:p>
    <w:p w14:paraId="288E7DC1" w14:textId="77777777" w:rsidR="004426D5" w:rsidRPr="004426D5" w:rsidRDefault="004426D5" w:rsidP="004426D5">
      <w:pPr>
        <w:rPr>
          <w:rFonts w:ascii="Arial" w:hAnsi="Arial" w:cs="Arial"/>
          <w:sz w:val="22"/>
          <w:szCs w:val="22"/>
        </w:rPr>
      </w:pPr>
      <w:r w:rsidRPr="004426D5">
        <w:rPr>
          <w:rFonts w:ascii="Arial" w:hAnsi="Arial" w:cs="Arial"/>
          <w:sz w:val="22"/>
          <w:szCs w:val="22"/>
        </w:rPr>
        <w:lastRenderedPageBreak/>
        <w:t>3. Strengthen inter</w:t>
      </w:r>
      <w:r w:rsidRPr="004426D5">
        <w:rPr>
          <w:rFonts w:ascii="Cambria Math" w:hAnsi="Cambria Math" w:cs="Cambria Math"/>
          <w:sz w:val="22"/>
          <w:szCs w:val="22"/>
        </w:rPr>
        <w:t>‑</w:t>
      </w:r>
      <w:r w:rsidRPr="004426D5">
        <w:rPr>
          <w:rFonts w:ascii="Arial" w:hAnsi="Arial" w:cs="Arial"/>
          <w:sz w:val="22"/>
          <w:szCs w:val="22"/>
        </w:rPr>
        <w:t>agency structures</w:t>
      </w:r>
    </w:p>
    <w:p w14:paraId="7D7B1D6A" w14:textId="77777777" w:rsidR="004426D5" w:rsidRPr="004426D5" w:rsidRDefault="004426D5" w:rsidP="004426D5">
      <w:pPr>
        <w:rPr>
          <w:rFonts w:ascii="Arial" w:hAnsi="Arial" w:cs="Arial"/>
          <w:sz w:val="22"/>
          <w:szCs w:val="22"/>
        </w:rPr>
      </w:pPr>
      <w:r w:rsidRPr="004426D5">
        <w:rPr>
          <w:rFonts w:ascii="Arial" w:hAnsi="Arial" w:cs="Arial"/>
          <w:sz w:val="22"/>
          <w:szCs w:val="22"/>
        </w:rPr>
        <w:t>Regular meetings, joint training sessions, and shared care plans could support clearer communication and promote more equal partnerships between organisations.</w:t>
      </w:r>
    </w:p>
    <w:p w14:paraId="77247692" w14:textId="77777777" w:rsidR="004426D5" w:rsidRPr="004426D5" w:rsidRDefault="004426D5" w:rsidP="004426D5">
      <w:pPr>
        <w:rPr>
          <w:rFonts w:ascii="Arial" w:hAnsi="Arial" w:cs="Arial"/>
          <w:sz w:val="22"/>
          <w:szCs w:val="22"/>
        </w:rPr>
      </w:pPr>
      <w:r w:rsidRPr="004426D5">
        <w:rPr>
          <w:rFonts w:ascii="Arial" w:hAnsi="Arial" w:cs="Arial"/>
          <w:sz w:val="22"/>
          <w:szCs w:val="22"/>
        </w:rPr>
        <w:t>4. Increase funding and staffing</w:t>
      </w:r>
    </w:p>
    <w:p w14:paraId="4CE5C409" w14:textId="77777777" w:rsidR="004426D5" w:rsidRPr="004426D5" w:rsidRDefault="004426D5" w:rsidP="004426D5">
      <w:pPr>
        <w:rPr>
          <w:rFonts w:ascii="Arial" w:hAnsi="Arial" w:cs="Arial"/>
          <w:sz w:val="22"/>
          <w:szCs w:val="22"/>
        </w:rPr>
      </w:pPr>
      <w:r w:rsidRPr="004426D5">
        <w:rPr>
          <w:rFonts w:ascii="Arial" w:hAnsi="Arial" w:cs="Arial"/>
          <w:sz w:val="22"/>
          <w:szCs w:val="22"/>
        </w:rPr>
        <w:t>Adequate resources are essential to reduce caseload pressure and allow staff the time needed for meaningful relationship</w:t>
      </w:r>
      <w:r w:rsidRPr="004426D5">
        <w:rPr>
          <w:rFonts w:ascii="Cambria Math" w:hAnsi="Cambria Math" w:cs="Cambria Math"/>
          <w:sz w:val="22"/>
          <w:szCs w:val="22"/>
        </w:rPr>
        <w:t>‑</w:t>
      </w:r>
      <w:r w:rsidRPr="004426D5">
        <w:rPr>
          <w:rFonts w:ascii="Arial" w:hAnsi="Arial" w:cs="Arial"/>
          <w:sz w:val="22"/>
          <w:szCs w:val="22"/>
        </w:rPr>
        <w:t>building.</w:t>
      </w:r>
    </w:p>
    <w:p w14:paraId="259E76FF" w14:textId="77777777" w:rsidR="004426D5" w:rsidRPr="004426D5" w:rsidRDefault="004426D5" w:rsidP="004426D5">
      <w:pPr>
        <w:rPr>
          <w:rFonts w:ascii="Arial" w:hAnsi="Arial" w:cs="Arial"/>
          <w:sz w:val="22"/>
          <w:szCs w:val="22"/>
        </w:rPr>
      </w:pPr>
      <w:r w:rsidRPr="004426D5">
        <w:rPr>
          <w:rFonts w:ascii="Arial" w:hAnsi="Arial" w:cs="Arial"/>
          <w:sz w:val="22"/>
          <w:szCs w:val="22"/>
        </w:rPr>
        <w:t>5. Expand research on PCC and PW</w:t>
      </w:r>
    </w:p>
    <w:p w14:paraId="4B47D36D" w14:textId="77777777" w:rsidR="004426D5" w:rsidRPr="004426D5" w:rsidRDefault="004426D5" w:rsidP="004426D5">
      <w:pPr>
        <w:rPr>
          <w:rFonts w:ascii="Arial" w:hAnsi="Arial" w:cs="Arial"/>
          <w:sz w:val="22"/>
          <w:szCs w:val="22"/>
        </w:rPr>
      </w:pPr>
      <w:r w:rsidRPr="004426D5">
        <w:rPr>
          <w:rFonts w:ascii="Arial" w:hAnsi="Arial" w:cs="Arial"/>
          <w:sz w:val="22"/>
          <w:szCs w:val="22"/>
        </w:rPr>
        <w:t>More research would help identify the most effective models of PCC and PW across different community mental health contexts.</w:t>
      </w:r>
    </w:p>
    <w:p w14:paraId="1D86DEAE" w14:textId="77777777" w:rsidR="004426D5" w:rsidRPr="004426D5" w:rsidRDefault="004426D5" w:rsidP="004426D5">
      <w:pPr>
        <w:rPr>
          <w:rFonts w:ascii="Arial" w:hAnsi="Arial" w:cs="Arial"/>
          <w:sz w:val="22"/>
          <w:szCs w:val="22"/>
        </w:rPr>
      </w:pPr>
    </w:p>
    <w:p w14:paraId="5A198A22" w14:textId="77777777" w:rsidR="004426D5" w:rsidRPr="004426D5" w:rsidRDefault="004426D5" w:rsidP="004426D5">
      <w:pPr>
        <w:rPr>
          <w:rFonts w:ascii="Arial" w:hAnsi="Arial" w:cs="Arial"/>
          <w:sz w:val="22"/>
          <w:szCs w:val="22"/>
        </w:rPr>
      </w:pPr>
      <w:r w:rsidRPr="004426D5">
        <w:rPr>
          <w:rFonts w:ascii="Arial" w:hAnsi="Arial" w:cs="Arial"/>
          <w:sz w:val="22"/>
          <w:szCs w:val="22"/>
        </w:rPr>
        <w:t>Conclusion</w:t>
      </w:r>
    </w:p>
    <w:p w14:paraId="20D51AC9" w14:textId="77777777" w:rsidR="004426D5" w:rsidRPr="004426D5" w:rsidRDefault="004426D5" w:rsidP="004426D5">
      <w:pPr>
        <w:rPr>
          <w:rFonts w:ascii="Arial" w:hAnsi="Arial" w:cs="Arial"/>
          <w:sz w:val="22"/>
          <w:szCs w:val="22"/>
        </w:rPr>
      </w:pPr>
      <w:r w:rsidRPr="004426D5">
        <w:rPr>
          <w:rFonts w:ascii="Arial" w:hAnsi="Arial" w:cs="Arial"/>
          <w:sz w:val="22"/>
          <w:szCs w:val="22"/>
        </w:rPr>
        <w:t>PCC and PW are essential components of effective community mental health care in the UK. PCC ensures that individuals feel respected, involved, and supported in ways that reflect their personal circumstances, while PW brings services together to address complex needs holistically. Although strong theoretical and policy foundations support these approaches, practical barriers such as limited resources and communication challenges must be addressed. By improving training, strengthening collaboration, enhancing digital systems, and investing in the workforce, services can deliver more consistent, high</w:t>
      </w:r>
      <w:r w:rsidRPr="004426D5">
        <w:rPr>
          <w:rFonts w:ascii="Cambria Math" w:hAnsi="Cambria Math" w:cs="Cambria Math"/>
          <w:sz w:val="22"/>
          <w:szCs w:val="22"/>
        </w:rPr>
        <w:t>‑</w:t>
      </w:r>
      <w:r w:rsidRPr="004426D5">
        <w:rPr>
          <w:rFonts w:ascii="Arial" w:hAnsi="Arial" w:cs="Arial"/>
          <w:sz w:val="22"/>
          <w:szCs w:val="22"/>
        </w:rPr>
        <w:t>quality, and person</w:t>
      </w:r>
      <w:r w:rsidRPr="004426D5">
        <w:rPr>
          <w:rFonts w:ascii="Cambria Math" w:hAnsi="Cambria Math" w:cs="Cambria Math"/>
          <w:sz w:val="22"/>
          <w:szCs w:val="22"/>
        </w:rPr>
        <w:t>‑</w:t>
      </w:r>
      <w:r w:rsidRPr="004426D5">
        <w:rPr>
          <w:rFonts w:ascii="Arial" w:hAnsi="Arial" w:cs="Arial"/>
          <w:sz w:val="22"/>
          <w:szCs w:val="22"/>
        </w:rPr>
        <w:t>centred mental health care.</w:t>
      </w:r>
    </w:p>
    <w:p w14:paraId="2A716218" w14:textId="77777777" w:rsidR="004426D5" w:rsidRPr="004426D5" w:rsidRDefault="004426D5" w:rsidP="004426D5">
      <w:pPr>
        <w:rPr>
          <w:rFonts w:ascii="Arial" w:hAnsi="Arial" w:cs="Arial"/>
          <w:sz w:val="22"/>
          <w:szCs w:val="22"/>
        </w:rPr>
      </w:pPr>
    </w:p>
    <w:p w14:paraId="6A2958CA" w14:textId="77777777" w:rsidR="00C5626F" w:rsidRDefault="00C5626F" w:rsidP="004426D5">
      <w:pPr>
        <w:rPr>
          <w:rFonts w:ascii="Segoe UI Emoji" w:hAnsi="Segoe UI Emoji" w:cs="Segoe UI Emoji"/>
          <w:sz w:val="22"/>
          <w:szCs w:val="22"/>
        </w:rPr>
      </w:pPr>
    </w:p>
    <w:p w14:paraId="6A4EA5CA" w14:textId="77777777" w:rsidR="00C5626F" w:rsidRDefault="00C5626F" w:rsidP="004426D5">
      <w:pPr>
        <w:rPr>
          <w:rFonts w:ascii="Segoe UI Emoji" w:hAnsi="Segoe UI Emoji" w:cs="Segoe UI Emoji"/>
          <w:sz w:val="22"/>
          <w:szCs w:val="22"/>
        </w:rPr>
      </w:pPr>
    </w:p>
    <w:p w14:paraId="0517D34B" w14:textId="77777777" w:rsidR="00C5626F" w:rsidRDefault="00C5626F" w:rsidP="004426D5">
      <w:pPr>
        <w:rPr>
          <w:rFonts w:ascii="Segoe UI Emoji" w:hAnsi="Segoe UI Emoji" w:cs="Segoe UI Emoji"/>
          <w:sz w:val="22"/>
          <w:szCs w:val="22"/>
        </w:rPr>
      </w:pPr>
    </w:p>
    <w:p w14:paraId="04D0DC0E" w14:textId="77777777" w:rsidR="00C5626F" w:rsidRDefault="00C5626F" w:rsidP="004426D5">
      <w:pPr>
        <w:rPr>
          <w:rFonts w:ascii="Segoe UI Emoji" w:hAnsi="Segoe UI Emoji" w:cs="Segoe UI Emoji"/>
          <w:sz w:val="22"/>
          <w:szCs w:val="22"/>
        </w:rPr>
      </w:pPr>
    </w:p>
    <w:p w14:paraId="3F36495E" w14:textId="77777777" w:rsidR="00C5626F" w:rsidRDefault="00C5626F" w:rsidP="004426D5">
      <w:pPr>
        <w:rPr>
          <w:rFonts w:ascii="Segoe UI Emoji" w:hAnsi="Segoe UI Emoji" w:cs="Segoe UI Emoji"/>
          <w:sz w:val="22"/>
          <w:szCs w:val="22"/>
        </w:rPr>
      </w:pPr>
    </w:p>
    <w:p w14:paraId="1CC3C492" w14:textId="77777777" w:rsidR="00C5626F" w:rsidRDefault="00C5626F" w:rsidP="004426D5">
      <w:pPr>
        <w:rPr>
          <w:rFonts w:ascii="Segoe UI Emoji" w:hAnsi="Segoe UI Emoji" w:cs="Segoe UI Emoji"/>
          <w:sz w:val="22"/>
          <w:szCs w:val="22"/>
        </w:rPr>
      </w:pPr>
    </w:p>
    <w:p w14:paraId="7627928C" w14:textId="77777777" w:rsidR="00C5626F" w:rsidRDefault="00C5626F" w:rsidP="004426D5">
      <w:pPr>
        <w:rPr>
          <w:rFonts w:ascii="Segoe UI Emoji" w:hAnsi="Segoe UI Emoji" w:cs="Segoe UI Emoji"/>
          <w:sz w:val="22"/>
          <w:szCs w:val="22"/>
        </w:rPr>
      </w:pPr>
    </w:p>
    <w:p w14:paraId="6ADE500F" w14:textId="77777777" w:rsidR="00C5626F" w:rsidRDefault="00C5626F" w:rsidP="004426D5">
      <w:pPr>
        <w:rPr>
          <w:rFonts w:ascii="Segoe UI Emoji" w:hAnsi="Segoe UI Emoji" w:cs="Segoe UI Emoji"/>
          <w:sz w:val="22"/>
          <w:szCs w:val="22"/>
        </w:rPr>
      </w:pPr>
    </w:p>
    <w:p w14:paraId="6934130A" w14:textId="77777777" w:rsidR="00C5626F" w:rsidRDefault="00C5626F" w:rsidP="004426D5">
      <w:pPr>
        <w:rPr>
          <w:rFonts w:ascii="Segoe UI Emoji" w:hAnsi="Segoe UI Emoji" w:cs="Segoe UI Emoji"/>
          <w:sz w:val="22"/>
          <w:szCs w:val="22"/>
        </w:rPr>
      </w:pPr>
    </w:p>
    <w:p w14:paraId="4F06F37C" w14:textId="77777777" w:rsidR="00C5626F" w:rsidRDefault="00C5626F" w:rsidP="004426D5">
      <w:pPr>
        <w:rPr>
          <w:rFonts w:ascii="Segoe UI Emoji" w:hAnsi="Segoe UI Emoji" w:cs="Segoe UI Emoji"/>
          <w:sz w:val="22"/>
          <w:szCs w:val="22"/>
        </w:rPr>
      </w:pPr>
    </w:p>
    <w:p w14:paraId="191A6A8A" w14:textId="77777777" w:rsidR="00C5626F" w:rsidRDefault="00C5626F" w:rsidP="004426D5">
      <w:pPr>
        <w:rPr>
          <w:rFonts w:ascii="Segoe UI Emoji" w:hAnsi="Segoe UI Emoji" w:cs="Segoe UI Emoji"/>
          <w:sz w:val="22"/>
          <w:szCs w:val="22"/>
        </w:rPr>
      </w:pPr>
    </w:p>
    <w:p w14:paraId="373F229F" w14:textId="77777777" w:rsidR="00C5626F" w:rsidRDefault="00C5626F" w:rsidP="004426D5">
      <w:pPr>
        <w:rPr>
          <w:rFonts w:ascii="Segoe UI Emoji" w:hAnsi="Segoe UI Emoji" w:cs="Segoe UI Emoji"/>
          <w:sz w:val="22"/>
          <w:szCs w:val="22"/>
        </w:rPr>
      </w:pPr>
    </w:p>
    <w:p w14:paraId="4060D831" w14:textId="77777777" w:rsidR="00C5626F" w:rsidRDefault="00C5626F" w:rsidP="004426D5">
      <w:pPr>
        <w:rPr>
          <w:rFonts w:ascii="Segoe UI Emoji" w:hAnsi="Segoe UI Emoji" w:cs="Segoe UI Emoji"/>
          <w:sz w:val="22"/>
          <w:szCs w:val="22"/>
        </w:rPr>
      </w:pPr>
    </w:p>
    <w:p w14:paraId="2373D390" w14:textId="4E26161A" w:rsidR="00C5626F" w:rsidRDefault="00C5626F" w:rsidP="004426D5">
      <w:pPr>
        <w:rPr>
          <w:rFonts w:ascii="Segoe UI Emoji" w:hAnsi="Segoe UI Emoji" w:cs="Segoe UI Emoji"/>
          <w:sz w:val="22"/>
          <w:szCs w:val="22"/>
        </w:rPr>
      </w:pPr>
      <w:r>
        <w:rPr>
          <w:rFonts w:ascii="Segoe UI Emoji" w:hAnsi="Segoe UI Emoji" w:cs="Segoe UI Emoji"/>
          <w:sz w:val="22"/>
          <w:szCs w:val="22"/>
        </w:rPr>
        <w:t>Refer</w:t>
      </w:r>
      <w:r w:rsidR="000C7CE0">
        <w:rPr>
          <w:rFonts w:ascii="Segoe UI Emoji" w:hAnsi="Segoe UI Emoji" w:cs="Segoe UI Emoji"/>
          <w:sz w:val="22"/>
          <w:szCs w:val="22"/>
        </w:rPr>
        <w:t>ence</w:t>
      </w:r>
    </w:p>
    <w:p w14:paraId="04BB7A68" w14:textId="6D553705" w:rsidR="004426D5" w:rsidRPr="004426D5" w:rsidRDefault="004426D5" w:rsidP="004426D5">
      <w:pPr>
        <w:rPr>
          <w:rFonts w:ascii="Arial" w:hAnsi="Arial" w:cs="Arial"/>
          <w:sz w:val="22"/>
          <w:szCs w:val="22"/>
        </w:rPr>
      </w:pPr>
      <w:r w:rsidRPr="004426D5">
        <w:rPr>
          <w:rFonts w:ascii="Arial" w:hAnsi="Arial" w:cs="Arial"/>
          <w:sz w:val="22"/>
          <w:szCs w:val="22"/>
        </w:rPr>
        <w:lastRenderedPageBreak/>
        <w:t>Beauchamp, T.L. and Childress, J.F., 2019. Principles of Biomedical Ethics. 8th ed. New York: Oxford University Press.</w:t>
      </w:r>
    </w:p>
    <w:p w14:paraId="27538A2D" w14:textId="77777777" w:rsidR="004426D5" w:rsidRPr="004426D5" w:rsidRDefault="004426D5" w:rsidP="004426D5">
      <w:pPr>
        <w:rPr>
          <w:rFonts w:ascii="Arial" w:hAnsi="Arial" w:cs="Arial"/>
          <w:sz w:val="22"/>
          <w:szCs w:val="22"/>
        </w:rPr>
      </w:pPr>
      <w:r w:rsidRPr="004426D5">
        <w:rPr>
          <w:rFonts w:ascii="Arial" w:hAnsi="Arial" w:cs="Arial"/>
          <w:sz w:val="22"/>
          <w:szCs w:val="22"/>
        </w:rPr>
        <w:t>Coulter, A., 2012. Patient engagement—What works? Journal of Ambulatory Care Management, 35(2), pp.80–89.</w:t>
      </w:r>
    </w:p>
    <w:p w14:paraId="4AE8A222" w14:textId="77777777" w:rsidR="004426D5" w:rsidRPr="004426D5" w:rsidRDefault="004426D5" w:rsidP="004426D5">
      <w:pPr>
        <w:rPr>
          <w:rFonts w:ascii="Arial" w:hAnsi="Arial" w:cs="Arial"/>
          <w:sz w:val="22"/>
          <w:szCs w:val="22"/>
        </w:rPr>
      </w:pPr>
      <w:r w:rsidRPr="004426D5">
        <w:rPr>
          <w:rFonts w:ascii="Arial" w:hAnsi="Arial" w:cs="Arial"/>
          <w:sz w:val="22"/>
          <w:szCs w:val="22"/>
        </w:rPr>
        <w:t>Department of Health, 2014. Care Act 2014. London: Department of Health.</w:t>
      </w:r>
    </w:p>
    <w:p w14:paraId="59A0DE9F" w14:textId="77777777" w:rsidR="004426D5" w:rsidRPr="004426D5" w:rsidRDefault="004426D5" w:rsidP="004426D5">
      <w:pPr>
        <w:rPr>
          <w:rFonts w:ascii="Arial" w:hAnsi="Arial" w:cs="Arial"/>
          <w:sz w:val="22"/>
          <w:szCs w:val="22"/>
        </w:rPr>
      </w:pPr>
      <w:r w:rsidRPr="004426D5">
        <w:rPr>
          <w:rFonts w:ascii="Arial" w:hAnsi="Arial" w:cs="Arial"/>
          <w:sz w:val="22"/>
          <w:szCs w:val="22"/>
        </w:rPr>
        <w:t>Department of Health and Social Care, 2022. Health and Care Act 2022: Overview. London: DHSC.</w:t>
      </w:r>
    </w:p>
    <w:p w14:paraId="0B8965A9" w14:textId="77777777" w:rsidR="004426D5" w:rsidRPr="004426D5" w:rsidRDefault="004426D5" w:rsidP="004426D5">
      <w:pPr>
        <w:rPr>
          <w:rFonts w:ascii="Arial" w:hAnsi="Arial" w:cs="Arial"/>
          <w:sz w:val="22"/>
          <w:szCs w:val="22"/>
        </w:rPr>
      </w:pPr>
      <w:r w:rsidRPr="004426D5">
        <w:rPr>
          <w:rFonts w:ascii="Arial" w:hAnsi="Arial" w:cs="Arial"/>
          <w:sz w:val="22"/>
          <w:szCs w:val="22"/>
        </w:rPr>
        <w:t>Glasby, J. and Dickinson, H., 2014. Partnership Working in Health and Social Care. 2nd ed. Bristol: Policy Press.</w:t>
      </w:r>
    </w:p>
    <w:p w14:paraId="310DCD73" w14:textId="77777777" w:rsidR="004426D5" w:rsidRPr="004426D5" w:rsidRDefault="004426D5" w:rsidP="004426D5">
      <w:pPr>
        <w:rPr>
          <w:rFonts w:ascii="Arial" w:hAnsi="Arial" w:cs="Arial"/>
          <w:sz w:val="22"/>
          <w:szCs w:val="22"/>
        </w:rPr>
      </w:pPr>
      <w:proofErr w:type="spellStart"/>
      <w:r w:rsidRPr="004426D5">
        <w:rPr>
          <w:rFonts w:ascii="Arial" w:hAnsi="Arial" w:cs="Arial"/>
          <w:sz w:val="22"/>
          <w:szCs w:val="22"/>
        </w:rPr>
        <w:t>Kitwood</w:t>
      </w:r>
      <w:proofErr w:type="spellEnd"/>
      <w:r w:rsidRPr="004426D5">
        <w:rPr>
          <w:rFonts w:ascii="Arial" w:hAnsi="Arial" w:cs="Arial"/>
          <w:sz w:val="22"/>
          <w:szCs w:val="22"/>
        </w:rPr>
        <w:t>, T., 1997. Dementia Reconsidered: The Person Comes First. Buckingham: Open University Press.</w:t>
      </w:r>
    </w:p>
    <w:p w14:paraId="798F926F" w14:textId="77777777" w:rsidR="004426D5" w:rsidRPr="004426D5" w:rsidRDefault="004426D5" w:rsidP="004426D5">
      <w:pPr>
        <w:rPr>
          <w:rFonts w:ascii="Arial" w:hAnsi="Arial" w:cs="Arial"/>
          <w:sz w:val="22"/>
          <w:szCs w:val="22"/>
        </w:rPr>
      </w:pPr>
      <w:r w:rsidRPr="004426D5">
        <w:rPr>
          <w:rFonts w:ascii="Arial" w:hAnsi="Arial" w:cs="Arial"/>
          <w:sz w:val="22"/>
          <w:szCs w:val="22"/>
        </w:rPr>
        <w:t>Maslow, A., 1943. A Theory of Human Motivation. Psychological Review, 50(4), pp.370–396.</w:t>
      </w:r>
    </w:p>
    <w:p w14:paraId="13F1AE7A" w14:textId="77777777" w:rsidR="004426D5" w:rsidRPr="004426D5" w:rsidRDefault="004426D5" w:rsidP="004426D5">
      <w:pPr>
        <w:rPr>
          <w:rFonts w:ascii="Arial" w:hAnsi="Arial" w:cs="Arial"/>
          <w:sz w:val="22"/>
          <w:szCs w:val="22"/>
        </w:rPr>
      </w:pPr>
      <w:r w:rsidRPr="004426D5">
        <w:rPr>
          <w:rFonts w:ascii="Arial" w:hAnsi="Arial" w:cs="Arial"/>
          <w:sz w:val="22"/>
          <w:szCs w:val="22"/>
        </w:rPr>
        <w:t>NHS England, 2019. The NHS Long Term Plan. London: NHS England.</w:t>
      </w:r>
    </w:p>
    <w:p w14:paraId="39BF456E" w14:textId="77777777" w:rsidR="004426D5" w:rsidRPr="004426D5" w:rsidRDefault="004426D5" w:rsidP="004426D5">
      <w:pPr>
        <w:rPr>
          <w:rFonts w:ascii="Arial" w:hAnsi="Arial" w:cs="Arial"/>
          <w:sz w:val="22"/>
          <w:szCs w:val="22"/>
        </w:rPr>
      </w:pPr>
      <w:r w:rsidRPr="004426D5">
        <w:rPr>
          <w:rFonts w:ascii="Arial" w:hAnsi="Arial" w:cs="Arial"/>
          <w:sz w:val="22"/>
          <w:szCs w:val="22"/>
        </w:rPr>
        <w:t>NICE, no date. Person</w:t>
      </w:r>
      <w:r w:rsidRPr="004426D5">
        <w:rPr>
          <w:rFonts w:ascii="Cambria Math" w:hAnsi="Cambria Math" w:cs="Cambria Math"/>
          <w:sz w:val="22"/>
          <w:szCs w:val="22"/>
        </w:rPr>
        <w:t>‑</w:t>
      </w:r>
      <w:r w:rsidRPr="004426D5">
        <w:rPr>
          <w:rFonts w:ascii="Arial" w:hAnsi="Arial" w:cs="Arial"/>
          <w:sz w:val="22"/>
          <w:szCs w:val="22"/>
        </w:rPr>
        <w:t>Centred Care Overview. Available at: https://www.nice.org.uk (Accessed 26 March 2026).</w:t>
      </w:r>
    </w:p>
    <w:p w14:paraId="79D74EE5" w14:textId="77777777" w:rsidR="004426D5" w:rsidRPr="004426D5" w:rsidRDefault="004426D5" w:rsidP="004426D5">
      <w:pPr>
        <w:rPr>
          <w:rFonts w:ascii="Arial" w:hAnsi="Arial" w:cs="Arial"/>
          <w:sz w:val="22"/>
          <w:szCs w:val="22"/>
        </w:rPr>
      </w:pPr>
      <w:r w:rsidRPr="004426D5">
        <w:rPr>
          <w:rFonts w:ascii="Arial" w:hAnsi="Arial" w:cs="Arial"/>
          <w:sz w:val="22"/>
          <w:szCs w:val="22"/>
        </w:rPr>
        <w:t>NICE, 2021. Shared Decision Making. London: NICE.</w:t>
      </w:r>
    </w:p>
    <w:p w14:paraId="53FAA166" w14:textId="77777777" w:rsidR="004426D5" w:rsidRPr="004426D5" w:rsidRDefault="004426D5" w:rsidP="004426D5">
      <w:pPr>
        <w:rPr>
          <w:rFonts w:ascii="Arial" w:hAnsi="Arial" w:cs="Arial"/>
          <w:sz w:val="22"/>
          <w:szCs w:val="22"/>
        </w:rPr>
      </w:pPr>
      <w:r w:rsidRPr="004426D5">
        <w:rPr>
          <w:rFonts w:ascii="Arial" w:hAnsi="Arial" w:cs="Arial"/>
          <w:sz w:val="22"/>
          <w:szCs w:val="22"/>
        </w:rPr>
        <w:t>Rogers, C., 1951. Client</w:t>
      </w:r>
      <w:r w:rsidRPr="004426D5">
        <w:rPr>
          <w:rFonts w:ascii="Cambria Math" w:hAnsi="Cambria Math" w:cs="Cambria Math"/>
          <w:sz w:val="22"/>
          <w:szCs w:val="22"/>
        </w:rPr>
        <w:t>‑</w:t>
      </w:r>
      <w:r w:rsidRPr="004426D5">
        <w:rPr>
          <w:rFonts w:ascii="Arial" w:hAnsi="Arial" w:cs="Arial"/>
          <w:sz w:val="22"/>
          <w:szCs w:val="22"/>
        </w:rPr>
        <w:t>Centred Therapy. Boston: Houghton Mifflin.</w:t>
      </w:r>
    </w:p>
    <w:p w14:paraId="510EA9C9" w14:textId="77777777" w:rsidR="004426D5" w:rsidRPr="004426D5" w:rsidRDefault="004426D5" w:rsidP="004426D5">
      <w:pPr>
        <w:rPr>
          <w:rFonts w:ascii="Arial" w:hAnsi="Arial" w:cs="Arial"/>
          <w:sz w:val="22"/>
          <w:szCs w:val="22"/>
        </w:rPr>
      </w:pPr>
      <w:r w:rsidRPr="004426D5">
        <w:rPr>
          <w:rFonts w:ascii="Arial" w:hAnsi="Arial" w:cs="Arial"/>
          <w:sz w:val="22"/>
          <w:szCs w:val="22"/>
        </w:rPr>
        <w:t>The King’s Fund, 2018. Integrated Care: What is it and why does it matter? London: The King’s Fund.</w:t>
      </w:r>
    </w:p>
    <w:p w14:paraId="2AEAF564" w14:textId="3A9454CB" w:rsidR="00A65D0A" w:rsidRDefault="004426D5" w:rsidP="004426D5">
      <w:pPr>
        <w:rPr>
          <w:rFonts w:ascii="Arial" w:hAnsi="Arial" w:cs="Arial"/>
          <w:sz w:val="22"/>
          <w:szCs w:val="22"/>
        </w:rPr>
      </w:pPr>
      <w:r w:rsidRPr="004426D5">
        <w:rPr>
          <w:rFonts w:ascii="Arial" w:hAnsi="Arial" w:cs="Arial"/>
          <w:sz w:val="22"/>
          <w:szCs w:val="22"/>
        </w:rPr>
        <w:t>WHO, 2016. Framework on Integrated People</w:t>
      </w:r>
      <w:r w:rsidRPr="004426D5">
        <w:rPr>
          <w:rFonts w:ascii="Cambria Math" w:hAnsi="Cambria Math" w:cs="Cambria Math"/>
          <w:sz w:val="22"/>
          <w:szCs w:val="22"/>
        </w:rPr>
        <w:t>‑</w:t>
      </w:r>
      <w:r w:rsidRPr="004426D5">
        <w:rPr>
          <w:rFonts w:ascii="Arial" w:hAnsi="Arial" w:cs="Arial"/>
          <w:sz w:val="22"/>
          <w:szCs w:val="22"/>
        </w:rPr>
        <w:t>Centred Health Services. Geneva: World Health Organization.</w:t>
      </w:r>
    </w:p>
    <w:p w14:paraId="072A8282" w14:textId="77777777" w:rsidR="00A65D0A" w:rsidRDefault="00A65D0A" w:rsidP="00A16750">
      <w:pPr>
        <w:rPr>
          <w:rFonts w:ascii="Arial" w:hAnsi="Arial" w:cs="Arial"/>
          <w:sz w:val="22"/>
          <w:szCs w:val="22"/>
        </w:rPr>
      </w:pPr>
    </w:p>
    <w:p w14:paraId="3D684EAA" w14:textId="77777777" w:rsidR="00A65D0A" w:rsidRDefault="00A65D0A" w:rsidP="00A16750">
      <w:pPr>
        <w:rPr>
          <w:rFonts w:ascii="Arial" w:hAnsi="Arial" w:cs="Arial"/>
          <w:sz w:val="22"/>
          <w:szCs w:val="22"/>
        </w:rPr>
      </w:pPr>
    </w:p>
    <w:p w14:paraId="14CB8E03" w14:textId="77777777" w:rsidR="00A65D0A" w:rsidRDefault="00A65D0A" w:rsidP="00A16750">
      <w:pPr>
        <w:rPr>
          <w:rFonts w:ascii="Arial" w:hAnsi="Arial" w:cs="Arial"/>
          <w:sz w:val="22"/>
          <w:szCs w:val="22"/>
        </w:rPr>
      </w:pPr>
    </w:p>
    <w:p w14:paraId="7326F676" w14:textId="77777777" w:rsidR="00A65D0A" w:rsidRDefault="00A65D0A" w:rsidP="00A16750">
      <w:pPr>
        <w:rPr>
          <w:rFonts w:ascii="Arial" w:hAnsi="Arial" w:cs="Arial"/>
          <w:sz w:val="22"/>
          <w:szCs w:val="22"/>
        </w:rPr>
      </w:pPr>
    </w:p>
    <w:p w14:paraId="397E47A2" w14:textId="77777777" w:rsidR="00A65D0A" w:rsidRDefault="00A65D0A" w:rsidP="00A16750">
      <w:pPr>
        <w:rPr>
          <w:rFonts w:ascii="Arial" w:hAnsi="Arial" w:cs="Arial"/>
          <w:sz w:val="22"/>
          <w:szCs w:val="22"/>
        </w:rPr>
      </w:pPr>
    </w:p>
    <w:p w14:paraId="5098E69F" w14:textId="77777777" w:rsidR="00A65D0A" w:rsidRDefault="00A65D0A" w:rsidP="00A16750">
      <w:pPr>
        <w:rPr>
          <w:rFonts w:ascii="Arial" w:hAnsi="Arial" w:cs="Arial"/>
          <w:sz w:val="22"/>
          <w:szCs w:val="22"/>
        </w:rPr>
      </w:pPr>
    </w:p>
    <w:p w14:paraId="2CEB3586" w14:textId="77777777" w:rsidR="00A65D0A" w:rsidRDefault="00A65D0A" w:rsidP="00A16750">
      <w:pPr>
        <w:rPr>
          <w:rFonts w:ascii="Arial" w:hAnsi="Arial" w:cs="Arial"/>
          <w:sz w:val="22"/>
          <w:szCs w:val="22"/>
        </w:rPr>
      </w:pPr>
    </w:p>
    <w:p w14:paraId="517FF322" w14:textId="7C94DE99" w:rsidR="00A65D0A" w:rsidRPr="009A2511" w:rsidRDefault="00A65D0A" w:rsidP="00A16750">
      <w:pPr>
        <w:rPr>
          <w:rFonts w:ascii="Arial" w:hAnsi="Arial" w:cs="Arial"/>
          <w:b/>
          <w:bCs/>
          <w:sz w:val="32"/>
          <w:szCs w:val="32"/>
        </w:rPr>
      </w:pPr>
      <w:r>
        <w:rPr>
          <w:rFonts w:ascii="Arial" w:hAnsi="Arial" w:cs="Arial"/>
          <w:sz w:val="22"/>
          <w:szCs w:val="22"/>
        </w:rPr>
        <w:br w:type="page"/>
      </w:r>
    </w:p>
    <w:p w14:paraId="00B3822C" w14:textId="77777777" w:rsidR="00CB7886" w:rsidRPr="00CB7886" w:rsidRDefault="00CB7886" w:rsidP="00106E9F">
      <w:pPr>
        <w:rPr>
          <w:rFonts w:ascii="Arial" w:hAnsi="Arial" w:cs="Arial"/>
          <w:sz w:val="22"/>
          <w:szCs w:val="22"/>
        </w:rPr>
      </w:pPr>
    </w:p>
    <w:p w14:paraId="3A070AC2" w14:textId="77777777" w:rsidR="000E1661" w:rsidRDefault="000E1661" w:rsidP="000E1661">
      <w:pPr>
        <w:rPr>
          <w:rFonts w:ascii="Arial" w:hAnsi="Arial" w:cs="Arial"/>
          <w:sz w:val="22"/>
          <w:szCs w:val="22"/>
        </w:rPr>
      </w:pPr>
    </w:p>
    <w:p w14:paraId="6805A4F6" w14:textId="77777777" w:rsidR="000E1661" w:rsidRPr="00574839" w:rsidRDefault="000E1661" w:rsidP="000E1661">
      <w:pPr>
        <w:rPr>
          <w:rFonts w:ascii="Arial" w:hAnsi="Arial" w:cs="Arial"/>
          <w:sz w:val="22"/>
          <w:szCs w:val="22"/>
        </w:rPr>
      </w:pPr>
    </w:p>
    <w:p w14:paraId="3F96975B" w14:textId="77777777" w:rsidR="00CC0FD3" w:rsidRPr="00A16750" w:rsidRDefault="00CC0FD3" w:rsidP="00A16750">
      <w:pPr>
        <w:rPr>
          <w:rFonts w:ascii="Arial" w:hAnsi="Arial" w:cs="Arial"/>
          <w:sz w:val="32"/>
          <w:szCs w:val="32"/>
        </w:rPr>
      </w:pPr>
    </w:p>
    <w:sectPr w:rsidR="00CC0FD3" w:rsidRPr="00A167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2681C" w14:textId="77777777" w:rsidR="003A50BB" w:rsidRDefault="003A50BB" w:rsidP="00322E22">
      <w:pPr>
        <w:spacing w:after="0" w:line="240" w:lineRule="auto"/>
      </w:pPr>
      <w:r>
        <w:separator/>
      </w:r>
    </w:p>
  </w:endnote>
  <w:endnote w:type="continuationSeparator" w:id="0">
    <w:p w14:paraId="12284AB9" w14:textId="77777777" w:rsidR="003A50BB" w:rsidRDefault="003A50BB" w:rsidP="00322E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5FD4C" w14:textId="77777777" w:rsidR="003A50BB" w:rsidRDefault="003A50BB" w:rsidP="00322E22">
      <w:pPr>
        <w:spacing w:after="0" w:line="240" w:lineRule="auto"/>
      </w:pPr>
      <w:r>
        <w:separator/>
      </w:r>
    </w:p>
  </w:footnote>
  <w:footnote w:type="continuationSeparator" w:id="0">
    <w:p w14:paraId="008338BD" w14:textId="77777777" w:rsidR="003A50BB" w:rsidRDefault="003A50BB" w:rsidP="00322E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750"/>
    <w:rsid w:val="00014EC1"/>
    <w:rsid w:val="000C7CE0"/>
    <w:rsid w:val="000E1661"/>
    <w:rsid w:val="00101B73"/>
    <w:rsid w:val="00106E9F"/>
    <w:rsid w:val="00234907"/>
    <w:rsid w:val="002B64D8"/>
    <w:rsid w:val="00322E22"/>
    <w:rsid w:val="003A50BB"/>
    <w:rsid w:val="004426D5"/>
    <w:rsid w:val="004B077D"/>
    <w:rsid w:val="004E34D8"/>
    <w:rsid w:val="00574839"/>
    <w:rsid w:val="0060527A"/>
    <w:rsid w:val="006D238D"/>
    <w:rsid w:val="006E1B1C"/>
    <w:rsid w:val="00723C58"/>
    <w:rsid w:val="007A736E"/>
    <w:rsid w:val="009A2511"/>
    <w:rsid w:val="009F0849"/>
    <w:rsid w:val="00A16750"/>
    <w:rsid w:val="00A65D0A"/>
    <w:rsid w:val="00A933EE"/>
    <w:rsid w:val="00AB75A5"/>
    <w:rsid w:val="00AE4B3D"/>
    <w:rsid w:val="00B163C8"/>
    <w:rsid w:val="00C16709"/>
    <w:rsid w:val="00C5626F"/>
    <w:rsid w:val="00CA1E38"/>
    <w:rsid w:val="00CB7886"/>
    <w:rsid w:val="00CC0FD3"/>
    <w:rsid w:val="00E345F7"/>
    <w:rsid w:val="00EC1815"/>
    <w:rsid w:val="00EF0B58"/>
    <w:rsid w:val="00EF44AB"/>
    <w:rsid w:val="00FA2B69"/>
    <w:rsid w:val="00FD2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64F52"/>
  <w15:chartTrackingRefBased/>
  <w15:docId w15:val="{3D59ED37-5691-4206-97F5-BA7AF9EDB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7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67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7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7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7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7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7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7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7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7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67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7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7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7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7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7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7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750"/>
    <w:rPr>
      <w:rFonts w:eastAsiaTheme="majorEastAsia" w:cstheme="majorBidi"/>
      <w:color w:val="272727" w:themeColor="text1" w:themeTint="D8"/>
    </w:rPr>
  </w:style>
  <w:style w:type="paragraph" w:styleId="Title">
    <w:name w:val="Title"/>
    <w:basedOn w:val="Normal"/>
    <w:next w:val="Normal"/>
    <w:link w:val="TitleChar"/>
    <w:uiPriority w:val="10"/>
    <w:qFormat/>
    <w:rsid w:val="00A167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7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7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7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750"/>
    <w:pPr>
      <w:spacing w:before="160"/>
      <w:jc w:val="center"/>
    </w:pPr>
    <w:rPr>
      <w:i/>
      <w:iCs/>
      <w:color w:val="404040" w:themeColor="text1" w:themeTint="BF"/>
    </w:rPr>
  </w:style>
  <w:style w:type="character" w:customStyle="1" w:styleId="QuoteChar">
    <w:name w:val="Quote Char"/>
    <w:basedOn w:val="DefaultParagraphFont"/>
    <w:link w:val="Quote"/>
    <w:uiPriority w:val="29"/>
    <w:rsid w:val="00A16750"/>
    <w:rPr>
      <w:i/>
      <w:iCs/>
      <w:color w:val="404040" w:themeColor="text1" w:themeTint="BF"/>
    </w:rPr>
  </w:style>
  <w:style w:type="paragraph" w:styleId="ListParagraph">
    <w:name w:val="List Paragraph"/>
    <w:basedOn w:val="Normal"/>
    <w:uiPriority w:val="34"/>
    <w:qFormat/>
    <w:rsid w:val="00A16750"/>
    <w:pPr>
      <w:ind w:left="720"/>
      <w:contextualSpacing/>
    </w:pPr>
  </w:style>
  <w:style w:type="character" w:styleId="IntenseEmphasis">
    <w:name w:val="Intense Emphasis"/>
    <w:basedOn w:val="DefaultParagraphFont"/>
    <w:uiPriority w:val="21"/>
    <w:qFormat/>
    <w:rsid w:val="00A16750"/>
    <w:rPr>
      <w:i/>
      <w:iCs/>
      <w:color w:val="0F4761" w:themeColor="accent1" w:themeShade="BF"/>
    </w:rPr>
  </w:style>
  <w:style w:type="paragraph" w:styleId="IntenseQuote">
    <w:name w:val="Intense Quote"/>
    <w:basedOn w:val="Normal"/>
    <w:next w:val="Normal"/>
    <w:link w:val="IntenseQuoteChar"/>
    <w:uiPriority w:val="30"/>
    <w:qFormat/>
    <w:rsid w:val="00A167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750"/>
    <w:rPr>
      <w:i/>
      <w:iCs/>
      <w:color w:val="0F4761" w:themeColor="accent1" w:themeShade="BF"/>
    </w:rPr>
  </w:style>
  <w:style w:type="character" w:styleId="IntenseReference">
    <w:name w:val="Intense Reference"/>
    <w:basedOn w:val="DefaultParagraphFont"/>
    <w:uiPriority w:val="32"/>
    <w:qFormat/>
    <w:rsid w:val="00A16750"/>
    <w:rPr>
      <w:b/>
      <w:bCs/>
      <w:smallCaps/>
      <w:color w:val="0F4761" w:themeColor="accent1" w:themeShade="BF"/>
      <w:spacing w:val="5"/>
    </w:rPr>
  </w:style>
  <w:style w:type="character" w:styleId="Hyperlink">
    <w:name w:val="Hyperlink"/>
    <w:basedOn w:val="DefaultParagraphFont"/>
    <w:uiPriority w:val="99"/>
    <w:unhideWhenUsed/>
    <w:rsid w:val="00EC1815"/>
    <w:rPr>
      <w:color w:val="467886" w:themeColor="hyperlink"/>
      <w:u w:val="single"/>
    </w:rPr>
  </w:style>
  <w:style w:type="character" w:styleId="UnresolvedMention">
    <w:name w:val="Unresolved Mention"/>
    <w:basedOn w:val="DefaultParagraphFont"/>
    <w:uiPriority w:val="99"/>
    <w:semiHidden/>
    <w:unhideWhenUsed/>
    <w:rsid w:val="00EC1815"/>
    <w:rPr>
      <w:color w:val="605E5C"/>
      <w:shd w:val="clear" w:color="auto" w:fill="E1DFDD"/>
    </w:rPr>
  </w:style>
  <w:style w:type="paragraph" w:styleId="Header">
    <w:name w:val="header"/>
    <w:basedOn w:val="Normal"/>
    <w:link w:val="HeaderChar"/>
    <w:uiPriority w:val="99"/>
    <w:unhideWhenUsed/>
    <w:rsid w:val="00322E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E22"/>
  </w:style>
  <w:style w:type="paragraph" w:styleId="Footer">
    <w:name w:val="footer"/>
    <w:basedOn w:val="Normal"/>
    <w:link w:val="FooterChar"/>
    <w:uiPriority w:val="99"/>
    <w:unhideWhenUsed/>
    <w:rsid w:val="00322E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617</TotalTime>
  <Pages>7</Pages>
  <Words>1628</Words>
  <Characters>10426</Characters>
  <Application>Microsoft Office Word</Application>
  <DocSecurity>0</DocSecurity>
  <Lines>236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Leanne Handley (2410084)</dc:creator>
  <cp:keywords/>
  <dc:description/>
  <cp:lastModifiedBy>Kiera Leanne Handley (2410084)</cp:lastModifiedBy>
  <cp:revision>30</cp:revision>
  <dcterms:created xsi:type="dcterms:W3CDTF">2026-03-26T07:02:00Z</dcterms:created>
  <dcterms:modified xsi:type="dcterms:W3CDTF">2026-03-26T17:26:00Z</dcterms:modified>
</cp:coreProperties>
</file>