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C6FB9B" w14:textId="5A231B33" w:rsidR="00B50FBC" w:rsidRDefault="00B5179C" w:rsidP="00B5179C">
      <w:pPr>
        <w:spacing w:line="276" w:lineRule="auto"/>
        <w:jc w:val="center"/>
        <w:rPr>
          <w:rFonts w:ascii="Arial Narrow" w:hAnsi="Arial Narrow"/>
          <w:b/>
          <w:bCs/>
          <w:sz w:val="30"/>
          <w:szCs w:val="30"/>
        </w:rPr>
      </w:pPr>
      <w:r w:rsidRPr="00B5179C">
        <w:rPr>
          <w:rFonts w:ascii="Arial Narrow" w:hAnsi="Arial Narrow"/>
          <w:b/>
          <w:bCs/>
          <w:sz w:val="30"/>
          <w:szCs w:val="30"/>
        </w:rPr>
        <w:t>The Importance of Recognising the Signs of Sexual Abuse with Children in Early Years Settings</w:t>
      </w:r>
    </w:p>
    <w:p w14:paraId="49A0CD39" w14:textId="77777777" w:rsidR="00B5179C" w:rsidRDefault="00B5179C" w:rsidP="00B5179C">
      <w:pPr>
        <w:spacing w:line="276" w:lineRule="auto"/>
        <w:jc w:val="center"/>
        <w:rPr>
          <w:rFonts w:ascii="Arial Narrow" w:hAnsi="Arial Narrow"/>
          <w:b/>
          <w:bCs/>
          <w:sz w:val="30"/>
          <w:szCs w:val="30"/>
        </w:rPr>
      </w:pPr>
    </w:p>
    <w:p w14:paraId="1AAEFAA2" w14:textId="77777777" w:rsidR="00B5179C" w:rsidRDefault="00B5179C" w:rsidP="00B5179C">
      <w:pPr>
        <w:spacing w:line="276" w:lineRule="auto"/>
        <w:rPr>
          <w:rFonts w:ascii="Arial Narrow" w:hAnsi="Arial Narrow"/>
        </w:rPr>
      </w:pPr>
    </w:p>
    <w:p w14:paraId="15725DBF" w14:textId="6717D6B9" w:rsidR="00B5179C" w:rsidRDefault="00B5179C" w:rsidP="00B5179C">
      <w:pPr>
        <w:spacing w:line="276" w:lineRule="auto"/>
        <w:rPr>
          <w:rFonts w:ascii="Arial Narrow" w:hAnsi="Arial Narrow"/>
        </w:rPr>
      </w:pPr>
      <w:r>
        <w:rPr>
          <w:rFonts w:ascii="Arial Narrow" w:hAnsi="Arial Narrow"/>
        </w:rPr>
        <w:t>In view of case study 3, where 2-year and 4-month-old Lucy attends a day nursery</w:t>
      </w:r>
      <w:r w:rsidR="006E637D">
        <w:rPr>
          <w:rFonts w:ascii="Arial Narrow" w:hAnsi="Arial Narrow"/>
        </w:rPr>
        <w:t>,</w:t>
      </w:r>
      <w:r>
        <w:rPr>
          <w:rFonts w:ascii="Arial Narrow" w:hAnsi="Arial Narrow"/>
        </w:rPr>
        <w:t xml:space="preserve"> a practitioner has witnessed Lucy crying in the bathroom with red and inflamed areas surrounding </w:t>
      </w:r>
      <w:r w:rsidR="006F3268">
        <w:rPr>
          <w:rFonts w:ascii="Arial Narrow" w:hAnsi="Arial Narrow"/>
        </w:rPr>
        <w:t>Lucy’s</w:t>
      </w:r>
      <w:r>
        <w:rPr>
          <w:rFonts w:ascii="Arial Narrow" w:hAnsi="Arial Narrow"/>
        </w:rPr>
        <w:t xml:space="preserve"> genitals</w:t>
      </w:r>
      <w:r w:rsidR="006F3268">
        <w:rPr>
          <w:rFonts w:ascii="Arial Narrow" w:hAnsi="Arial Narrow"/>
        </w:rPr>
        <w:t>. When questioned how Lucy was feeling, Lucy replied that Dad had said: “not to tell anyone, it was their secret”.</w:t>
      </w:r>
      <w:r w:rsidR="00AD7AAF">
        <w:rPr>
          <w:rFonts w:ascii="Arial Narrow" w:hAnsi="Arial Narrow"/>
        </w:rPr>
        <w:t xml:space="preserve"> </w:t>
      </w:r>
      <w:r w:rsidR="0045197F">
        <w:rPr>
          <w:rFonts w:ascii="Arial Narrow" w:hAnsi="Arial Narrow"/>
        </w:rPr>
        <w:t xml:space="preserve">As a matter of safeguarding, this may be perceived as child sexual abuse, although it is of utmost importance that practitioners abstain from assuming the circumstances (Hegarty, </w:t>
      </w:r>
      <w:r w:rsidR="0045197F" w:rsidRPr="0045197F">
        <w:rPr>
          <w:rFonts w:ascii="Arial Narrow" w:hAnsi="Arial Narrow"/>
          <w:i/>
          <w:iCs/>
        </w:rPr>
        <w:t xml:space="preserve">et al., </w:t>
      </w:r>
      <w:r w:rsidR="0045197F">
        <w:rPr>
          <w:rFonts w:ascii="Arial Narrow" w:hAnsi="Arial Narrow"/>
        </w:rPr>
        <w:t xml:space="preserve">2020). </w:t>
      </w:r>
      <w:r w:rsidR="006F3268">
        <w:rPr>
          <w:rFonts w:ascii="Arial Narrow" w:hAnsi="Arial Narrow"/>
        </w:rPr>
        <w:t>S</w:t>
      </w:r>
      <w:r>
        <w:rPr>
          <w:rFonts w:ascii="Arial Narrow" w:hAnsi="Arial Narrow"/>
        </w:rPr>
        <w:t xml:space="preserve">ection </w:t>
      </w:r>
      <w:r w:rsidR="006F3268">
        <w:rPr>
          <w:rFonts w:ascii="Arial Narrow" w:hAnsi="Arial Narrow"/>
        </w:rPr>
        <w:t>42 of t</w:t>
      </w:r>
      <w:r>
        <w:rPr>
          <w:rFonts w:ascii="Arial Narrow" w:hAnsi="Arial Narrow"/>
        </w:rPr>
        <w:t xml:space="preserve">he </w:t>
      </w:r>
      <w:r w:rsidRPr="00B5179C">
        <w:rPr>
          <w:rFonts w:ascii="Arial Narrow" w:hAnsi="Arial Narrow"/>
          <w:i/>
          <w:iCs/>
        </w:rPr>
        <w:t>Sexual Offences Act 2003</w:t>
      </w:r>
      <w:r>
        <w:rPr>
          <w:rFonts w:ascii="Arial Narrow" w:hAnsi="Arial Narrow"/>
        </w:rPr>
        <w:t xml:space="preserve"> sustains that </w:t>
      </w:r>
      <w:r w:rsidR="006F3268">
        <w:rPr>
          <w:rFonts w:ascii="Arial Narrow" w:hAnsi="Arial Narrow"/>
        </w:rPr>
        <w:t>the offence of sexual abuse of trust is committed by an individual over the age of 18 intentionally engaging in sexual activity directed at an individual who is under 18, regarding the perpetrator being within a position of trust.</w:t>
      </w:r>
      <w:r w:rsidR="006E637D">
        <w:rPr>
          <w:rFonts w:ascii="Arial Narrow" w:hAnsi="Arial Narrow"/>
        </w:rPr>
        <w:t xml:space="preserve"> </w:t>
      </w:r>
      <w:proofErr w:type="spellStart"/>
      <w:r w:rsidR="006E637D">
        <w:rPr>
          <w:rFonts w:ascii="Arial Narrow" w:hAnsi="Arial Narrow"/>
        </w:rPr>
        <w:t>Bentovin</w:t>
      </w:r>
      <w:proofErr w:type="spellEnd"/>
      <w:r w:rsidR="006E637D">
        <w:rPr>
          <w:rFonts w:ascii="Arial Narrow" w:hAnsi="Arial Narrow"/>
        </w:rPr>
        <w:t xml:space="preserve"> (2018) </w:t>
      </w:r>
      <w:r w:rsidR="00A07256">
        <w:rPr>
          <w:rFonts w:ascii="Arial Narrow" w:hAnsi="Arial Narrow"/>
        </w:rPr>
        <w:t>and the NSPCC (202</w:t>
      </w:r>
      <w:r w:rsidR="00AD7AAF">
        <w:rPr>
          <w:rFonts w:ascii="Arial Narrow" w:hAnsi="Arial Narrow"/>
        </w:rPr>
        <w:t>2</w:t>
      </w:r>
      <w:r w:rsidR="00A07256">
        <w:rPr>
          <w:rFonts w:ascii="Arial Narrow" w:hAnsi="Arial Narrow"/>
        </w:rPr>
        <w:t xml:space="preserve">) agree </w:t>
      </w:r>
      <w:r w:rsidR="006E637D">
        <w:rPr>
          <w:rFonts w:ascii="Arial Narrow" w:hAnsi="Arial Narrow"/>
        </w:rPr>
        <w:t>by suggesting that a child being forced or enticed to partake in sexual activities, which may include non-contact activities or the encouragement to engage in sexually inappropriate ways, may be unaware of the circumstances</w:t>
      </w:r>
      <w:r w:rsidR="00EA3CF9">
        <w:rPr>
          <w:rFonts w:ascii="Arial Narrow" w:hAnsi="Arial Narrow"/>
        </w:rPr>
        <w:t xml:space="preserve">, notably when the perpetrator is of a trustworthy status to the victim (Tener, Tarshish and </w:t>
      </w:r>
      <w:proofErr w:type="spellStart"/>
      <w:r w:rsidR="00EA3CF9">
        <w:rPr>
          <w:rFonts w:ascii="Arial Narrow" w:hAnsi="Arial Narrow"/>
        </w:rPr>
        <w:t>Turgeman</w:t>
      </w:r>
      <w:proofErr w:type="spellEnd"/>
      <w:r w:rsidR="00EA3CF9">
        <w:rPr>
          <w:rFonts w:ascii="Arial Narrow" w:hAnsi="Arial Narrow"/>
        </w:rPr>
        <w:t xml:space="preserve">, 2020). </w:t>
      </w:r>
    </w:p>
    <w:p w14:paraId="411DF6AB" w14:textId="77777777" w:rsidR="00EF5C1C" w:rsidRDefault="00EF5C1C" w:rsidP="00B5179C">
      <w:pPr>
        <w:spacing w:line="276" w:lineRule="auto"/>
        <w:rPr>
          <w:rFonts w:ascii="Arial Narrow" w:hAnsi="Arial Narrow"/>
        </w:rPr>
      </w:pPr>
    </w:p>
    <w:p w14:paraId="1E5687DF" w14:textId="1ED2609B" w:rsidR="00412C00" w:rsidRPr="00082DA2" w:rsidRDefault="00EF5C1C" w:rsidP="00082DA2">
      <w:pPr>
        <w:spacing w:after="100" w:afterAutospacing="1" w:line="276" w:lineRule="auto"/>
        <w:rPr>
          <w:rFonts w:ascii="Muli" w:eastAsia="Times New Roman" w:hAnsi="Muli" w:cs="Times New Roman"/>
          <w:color w:val="706F6F"/>
          <w:spacing w:val="20"/>
          <w:lang w:eastAsia="en-GB"/>
        </w:rPr>
      </w:pPr>
      <w:r>
        <w:rPr>
          <w:rFonts w:ascii="Arial Narrow" w:hAnsi="Arial Narrow"/>
        </w:rPr>
        <w:t>The process of safeguarding ensures the protection of children and young people from abuse, harm, and neglect (</w:t>
      </w:r>
      <w:r w:rsidR="0045197F">
        <w:rPr>
          <w:rFonts w:ascii="Arial Narrow" w:hAnsi="Arial Narrow"/>
        </w:rPr>
        <w:t>Firmin, 2020</w:t>
      </w:r>
      <w:r>
        <w:rPr>
          <w:rFonts w:ascii="Arial Narrow" w:hAnsi="Arial Narrow"/>
        </w:rPr>
        <w:t xml:space="preserve">) which </w:t>
      </w:r>
      <w:proofErr w:type="spellStart"/>
      <w:r>
        <w:rPr>
          <w:rFonts w:ascii="Arial Narrow" w:hAnsi="Arial Narrow"/>
        </w:rPr>
        <w:t>as</w:t>
      </w:r>
      <w:proofErr w:type="spellEnd"/>
      <w:r>
        <w:rPr>
          <w:rFonts w:ascii="Arial Narrow" w:hAnsi="Arial Narrow"/>
        </w:rPr>
        <w:t xml:space="preserve"> maintained by </w:t>
      </w:r>
      <w:r w:rsidR="0045197F">
        <w:rPr>
          <w:rFonts w:ascii="Arial Narrow" w:hAnsi="Arial Narrow"/>
        </w:rPr>
        <w:t>Nutbrown (2021</w:t>
      </w:r>
      <w:r>
        <w:rPr>
          <w:rFonts w:ascii="Arial Narrow" w:hAnsi="Arial Narrow"/>
        </w:rPr>
        <w:t xml:space="preserve">) is of utmost significance within an early </w:t>
      </w:r>
      <w:proofErr w:type="gramStart"/>
      <w:r>
        <w:rPr>
          <w:rFonts w:ascii="Arial Narrow" w:hAnsi="Arial Narrow"/>
        </w:rPr>
        <w:t>years</w:t>
      </w:r>
      <w:proofErr w:type="gramEnd"/>
      <w:r>
        <w:rPr>
          <w:rFonts w:ascii="Arial Narrow" w:hAnsi="Arial Narrow"/>
        </w:rPr>
        <w:t xml:space="preserve"> education setting</w:t>
      </w:r>
      <w:r w:rsidR="0045197F">
        <w:rPr>
          <w:rFonts w:ascii="Arial Narrow" w:hAnsi="Arial Narrow"/>
        </w:rPr>
        <w:t xml:space="preserve"> in accordance with the </w:t>
      </w:r>
      <w:r w:rsidR="0045197F" w:rsidRPr="0045197F">
        <w:rPr>
          <w:rFonts w:ascii="Arial Narrow" w:hAnsi="Arial Narrow"/>
          <w:i/>
          <w:iCs/>
        </w:rPr>
        <w:t>Children Act 2004</w:t>
      </w:r>
      <w:r w:rsidR="0045197F">
        <w:rPr>
          <w:rFonts w:ascii="Arial Narrow" w:hAnsi="Arial Narrow"/>
        </w:rPr>
        <w:t xml:space="preserve"> and the </w:t>
      </w:r>
      <w:r w:rsidR="0045197F" w:rsidRPr="0045197F">
        <w:rPr>
          <w:rFonts w:ascii="Arial Narrow" w:hAnsi="Arial Narrow"/>
          <w:i/>
          <w:iCs/>
        </w:rPr>
        <w:t>Education Act 2002</w:t>
      </w:r>
      <w:r w:rsidRPr="0045197F">
        <w:rPr>
          <w:rFonts w:ascii="Arial Narrow" w:hAnsi="Arial Narrow"/>
          <w:i/>
          <w:iCs/>
        </w:rPr>
        <w:t>.</w:t>
      </w:r>
      <w:r>
        <w:rPr>
          <w:rFonts w:ascii="Arial Narrow" w:hAnsi="Arial Narrow"/>
        </w:rPr>
        <w:t xml:space="preserve"> It is crucial that all members of staff are proactive </w:t>
      </w:r>
      <w:proofErr w:type="gramStart"/>
      <w:r>
        <w:rPr>
          <w:rFonts w:ascii="Arial Narrow" w:hAnsi="Arial Narrow"/>
        </w:rPr>
        <w:t>with regard to</w:t>
      </w:r>
      <w:proofErr w:type="gramEnd"/>
      <w:r>
        <w:rPr>
          <w:rFonts w:ascii="Arial Narrow" w:hAnsi="Arial Narrow"/>
        </w:rPr>
        <w:t xml:space="preserve"> safeguarding concerns (</w:t>
      </w:r>
      <w:proofErr w:type="spellStart"/>
      <w:r w:rsidR="0018622C">
        <w:rPr>
          <w:rFonts w:ascii="Arial Narrow" w:hAnsi="Arial Narrow"/>
        </w:rPr>
        <w:t>Baginsky</w:t>
      </w:r>
      <w:proofErr w:type="spellEnd"/>
      <w:r w:rsidR="0018622C">
        <w:rPr>
          <w:rFonts w:ascii="Arial Narrow" w:hAnsi="Arial Narrow"/>
        </w:rPr>
        <w:t xml:space="preserve">, </w:t>
      </w:r>
      <w:r w:rsidR="0018622C" w:rsidRPr="0018622C">
        <w:rPr>
          <w:rFonts w:ascii="Arial Narrow" w:hAnsi="Arial Narrow"/>
          <w:i/>
          <w:iCs/>
        </w:rPr>
        <w:t>et al.,</w:t>
      </w:r>
      <w:r w:rsidR="0018622C">
        <w:rPr>
          <w:rFonts w:ascii="Arial Narrow" w:hAnsi="Arial Narrow"/>
        </w:rPr>
        <w:t xml:space="preserve"> 2022</w:t>
      </w:r>
      <w:r>
        <w:rPr>
          <w:rFonts w:ascii="Arial Narrow" w:hAnsi="Arial Narrow"/>
        </w:rPr>
        <w:t>). Therefore, an</w:t>
      </w:r>
      <w:r>
        <w:rPr>
          <w:rFonts w:ascii="Arial Narrow" w:hAnsi="Arial Narrow"/>
        </w:rPr>
        <w:t xml:space="preserve"> </w:t>
      </w:r>
      <w:r>
        <w:rPr>
          <w:rFonts w:ascii="Arial Narrow" w:hAnsi="Arial Narrow"/>
        </w:rPr>
        <w:t>e</w:t>
      </w:r>
      <w:r>
        <w:rPr>
          <w:rFonts w:ascii="Arial Narrow" w:hAnsi="Arial Narrow"/>
        </w:rPr>
        <w:t xml:space="preserve">arly </w:t>
      </w:r>
      <w:r>
        <w:rPr>
          <w:rFonts w:ascii="Arial Narrow" w:hAnsi="Arial Narrow"/>
        </w:rPr>
        <w:t>y</w:t>
      </w:r>
      <w:r>
        <w:rPr>
          <w:rFonts w:ascii="Arial Narrow" w:hAnsi="Arial Narrow"/>
        </w:rPr>
        <w:t>ears education setting is obligated to provide adequate and appropriate safeguarding training and awareness courses for all practitioners employed at the setting (</w:t>
      </w:r>
      <w:r w:rsidR="0018622C">
        <w:rPr>
          <w:rFonts w:ascii="Arial Narrow" w:hAnsi="Arial Narrow"/>
        </w:rPr>
        <w:t>Bradwell and Bending, 2021</w:t>
      </w:r>
      <w:r>
        <w:rPr>
          <w:rFonts w:ascii="Arial Narrow" w:hAnsi="Arial Narrow"/>
        </w:rPr>
        <w:t xml:space="preserve">) in order for practitioners to obtain the vital knowledge of signs and symptoms of the multitude of types of abuse that may occur concerning the observation of abnormal or changed behaviour of an individual as insisted by </w:t>
      </w:r>
      <w:r w:rsidR="0018622C">
        <w:rPr>
          <w:rFonts w:ascii="Arial Narrow" w:hAnsi="Arial Narrow"/>
        </w:rPr>
        <w:t xml:space="preserve">Callaghan, </w:t>
      </w:r>
      <w:r w:rsidR="0018622C" w:rsidRPr="0018622C">
        <w:rPr>
          <w:rFonts w:ascii="Arial Narrow" w:hAnsi="Arial Narrow"/>
          <w:i/>
          <w:iCs/>
        </w:rPr>
        <w:t>et al.</w:t>
      </w:r>
      <w:r w:rsidR="0018622C">
        <w:rPr>
          <w:rFonts w:ascii="Arial Narrow" w:hAnsi="Arial Narrow"/>
        </w:rPr>
        <w:t xml:space="preserve"> (2015), alternatively,</w:t>
      </w:r>
      <w:r>
        <w:rPr>
          <w:rFonts w:ascii="Arial Narrow" w:hAnsi="Arial Narrow"/>
        </w:rPr>
        <w:t xml:space="preserve"> disclosure from an individual regarding abuse or neglect rais</w:t>
      </w:r>
      <w:r w:rsidR="0018622C">
        <w:rPr>
          <w:rFonts w:ascii="Arial Narrow" w:hAnsi="Arial Narrow"/>
        </w:rPr>
        <w:t>es</w:t>
      </w:r>
      <w:r>
        <w:rPr>
          <w:rFonts w:ascii="Arial Narrow" w:hAnsi="Arial Narrow"/>
        </w:rPr>
        <w:t xml:space="preserve"> cause for concern (</w:t>
      </w:r>
      <w:r w:rsidR="000A3703">
        <w:rPr>
          <w:rFonts w:ascii="Arial Narrow" w:hAnsi="Arial Narrow"/>
        </w:rPr>
        <w:t>McGuire and London, 2020</w:t>
      </w:r>
      <w:r>
        <w:rPr>
          <w:rFonts w:ascii="Arial Narrow" w:hAnsi="Arial Narrow"/>
        </w:rPr>
        <w:t>).</w:t>
      </w:r>
      <w:r w:rsidR="00412C00">
        <w:rPr>
          <w:rFonts w:ascii="Arial Narrow" w:hAnsi="Arial Narrow"/>
        </w:rPr>
        <w:t xml:space="preserve"> Subsequently to obtaining knowledge and understanding of safeguarding protocols and procedures, practitioners must also consider providing a safe and comfortable environment for children within the setting (</w:t>
      </w:r>
      <w:proofErr w:type="spellStart"/>
      <w:r w:rsidR="000A3703">
        <w:rPr>
          <w:rFonts w:ascii="Arial Narrow" w:hAnsi="Arial Narrow"/>
        </w:rPr>
        <w:t>Sciaraffa</w:t>
      </w:r>
      <w:proofErr w:type="spellEnd"/>
      <w:r w:rsidR="000A3703">
        <w:rPr>
          <w:rFonts w:ascii="Arial Narrow" w:hAnsi="Arial Narrow"/>
        </w:rPr>
        <w:t>, et al., 2018</w:t>
      </w:r>
      <w:r w:rsidR="00412C00">
        <w:rPr>
          <w:rFonts w:ascii="Arial Narrow" w:hAnsi="Arial Narrow"/>
        </w:rPr>
        <w:t>) to therefore promote the development of healthy and compassionate relationships which is significant when a child is disclosing information (</w:t>
      </w:r>
      <w:r w:rsidR="000A3703">
        <w:rPr>
          <w:rFonts w:ascii="Arial Narrow" w:hAnsi="Arial Narrow"/>
        </w:rPr>
        <w:t>Morrison, Bruce and Wilson, 2018</w:t>
      </w:r>
      <w:r w:rsidR="00412C00">
        <w:rPr>
          <w:rFonts w:ascii="Arial Narrow" w:hAnsi="Arial Narrow"/>
        </w:rPr>
        <w:t xml:space="preserve">). </w:t>
      </w:r>
      <w:r w:rsidR="000A3703">
        <w:rPr>
          <w:rFonts w:ascii="Arial Narrow" w:hAnsi="Arial Narrow"/>
        </w:rPr>
        <w:t xml:space="preserve">Morrison, Bruce and Wilson </w:t>
      </w:r>
      <w:r w:rsidR="000A3703">
        <w:rPr>
          <w:rFonts w:ascii="Arial Narrow" w:hAnsi="Arial Narrow"/>
        </w:rPr>
        <w:t>(</w:t>
      </w:r>
      <w:r w:rsidR="000A3703">
        <w:rPr>
          <w:rFonts w:ascii="Arial Narrow" w:hAnsi="Arial Narrow"/>
        </w:rPr>
        <w:t>2018</w:t>
      </w:r>
      <w:r w:rsidR="00412C00">
        <w:rPr>
          <w:rFonts w:ascii="Arial Narrow" w:hAnsi="Arial Narrow"/>
        </w:rPr>
        <w:t xml:space="preserve">) continue by insisting that </w:t>
      </w:r>
      <w:proofErr w:type="gramStart"/>
      <w:r w:rsidR="00412C00">
        <w:rPr>
          <w:rFonts w:ascii="Arial Narrow" w:hAnsi="Arial Narrow"/>
        </w:rPr>
        <w:t>as a result of</w:t>
      </w:r>
      <w:proofErr w:type="gramEnd"/>
      <w:r w:rsidR="00412C00">
        <w:rPr>
          <w:rFonts w:ascii="Arial Narrow" w:hAnsi="Arial Narrow"/>
        </w:rPr>
        <w:t xml:space="preserve"> the development of healthy relationships between children and setting practitioners, children can converse openly and honestly without fear of judgment and disregard. </w:t>
      </w:r>
      <w:r w:rsidR="0000781A" w:rsidRPr="0000781A">
        <w:rPr>
          <w:rFonts w:ascii="Arial Narrow" w:hAnsi="Arial Narrow" w:cs="Arial"/>
          <w:color w:val="000000" w:themeColor="text1"/>
        </w:rPr>
        <w:t xml:space="preserve">Evidence from Child Practice Reviews </w:t>
      </w:r>
      <w:r w:rsidR="0000781A">
        <w:rPr>
          <w:rFonts w:ascii="Arial Narrow" w:hAnsi="Arial Narrow" w:cs="Arial"/>
          <w:color w:val="000000" w:themeColor="text1"/>
        </w:rPr>
        <w:t>highlight</w:t>
      </w:r>
      <w:r w:rsidR="0000781A" w:rsidRPr="0000781A">
        <w:rPr>
          <w:rFonts w:ascii="Arial Narrow" w:hAnsi="Arial Narrow" w:cs="Arial"/>
          <w:color w:val="000000" w:themeColor="text1"/>
        </w:rPr>
        <w:t xml:space="preserve"> the need for children to </w:t>
      </w:r>
      <w:r w:rsidR="0000781A">
        <w:rPr>
          <w:rFonts w:ascii="Arial Narrow" w:hAnsi="Arial Narrow" w:cs="Arial"/>
          <w:color w:val="000000" w:themeColor="text1"/>
        </w:rPr>
        <w:t>initiate conversations with</w:t>
      </w:r>
      <w:r w:rsidR="0000781A" w:rsidRPr="0000781A">
        <w:rPr>
          <w:rFonts w:ascii="Arial Narrow" w:hAnsi="Arial Narrow" w:cs="Arial"/>
          <w:color w:val="000000" w:themeColor="text1"/>
        </w:rPr>
        <w:t xml:space="preserve"> practitioners, away from parents and carers in an environment where they feel safe so that the child can </w:t>
      </w:r>
      <w:r w:rsidR="0000781A">
        <w:rPr>
          <w:rFonts w:ascii="Arial Narrow" w:hAnsi="Arial Narrow" w:cs="Arial"/>
          <w:color w:val="000000" w:themeColor="text1"/>
        </w:rPr>
        <w:t xml:space="preserve">discuss </w:t>
      </w:r>
      <w:r w:rsidR="0000781A" w:rsidRPr="0000781A">
        <w:rPr>
          <w:rFonts w:ascii="Arial Narrow" w:hAnsi="Arial Narrow" w:cs="Arial"/>
          <w:color w:val="000000" w:themeColor="text1"/>
        </w:rPr>
        <w:t xml:space="preserve">the </w:t>
      </w:r>
      <w:r w:rsidR="0000781A">
        <w:rPr>
          <w:rFonts w:ascii="Arial Narrow" w:hAnsi="Arial Narrow" w:cs="Arial"/>
          <w:color w:val="000000" w:themeColor="text1"/>
        </w:rPr>
        <w:t xml:space="preserve">abuse or </w:t>
      </w:r>
      <w:proofErr w:type="gramStart"/>
      <w:r w:rsidR="0000781A">
        <w:rPr>
          <w:rFonts w:ascii="Arial Narrow" w:hAnsi="Arial Narrow" w:cs="Arial"/>
          <w:color w:val="000000" w:themeColor="text1"/>
        </w:rPr>
        <w:t>neglect</w:t>
      </w:r>
      <w:proofErr w:type="gramEnd"/>
      <w:r w:rsidR="0000781A">
        <w:rPr>
          <w:rFonts w:ascii="Arial Narrow" w:hAnsi="Arial Narrow" w:cs="Arial"/>
          <w:color w:val="000000" w:themeColor="text1"/>
        </w:rPr>
        <w:t xml:space="preserve"> they have been subjected to, which </w:t>
      </w:r>
      <w:r w:rsidR="0000781A" w:rsidRPr="0000781A">
        <w:rPr>
          <w:rFonts w:ascii="Arial Narrow" w:hAnsi="Arial Narrow" w:cs="Arial"/>
          <w:color w:val="000000" w:themeColor="text1"/>
        </w:rPr>
        <w:t>have prompted safeguarding</w:t>
      </w:r>
      <w:r w:rsidR="0000781A" w:rsidRPr="0000781A">
        <w:rPr>
          <w:rFonts w:ascii="Arial Narrow" w:hAnsi="Arial Narrow" w:cs="Arial"/>
          <w:color w:val="000000" w:themeColor="text1"/>
          <w:sz w:val="30"/>
          <w:szCs w:val="30"/>
        </w:rPr>
        <w:t xml:space="preserve"> </w:t>
      </w:r>
      <w:r w:rsidR="0000781A" w:rsidRPr="0000781A">
        <w:rPr>
          <w:rFonts w:ascii="Arial Narrow" w:hAnsi="Arial Narrow" w:cs="Arial"/>
          <w:color w:val="000000" w:themeColor="text1"/>
        </w:rPr>
        <w:t>concerns</w:t>
      </w:r>
      <w:r w:rsidR="0000781A">
        <w:rPr>
          <w:rFonts w:ascii="Arial Narrow" w:hAnsi="Arial Narrow" w:cs="Arial"/>
          <w:color w:val="000000" w:themeColor="text1"/>
        </w:rPr>
        <w:t xml:space="preserve"> (ref).</w:t>
      </w:r>
      <w:r w:rsidR="0000781A" w:rsidRPr="0000781A">
        <w:rPr>
          <w:rStyle w:val="apple-converted-space"/>
          <w:rFonts w:ascii="Arial Narrow" w:hAnsi="Arial Narrow" w:cs="Arial"/>
          <w:color w:val="000000" w:themeColor="text1"/>
        </w:rPr>
        <w:t> </w:t>
      </w:r>
      <w:r w:rsidR="002B7E45" w:rsidRPr="0000781A">
        <w:rPr>
          <w:rFonts w:ascii="Arial Narrow" w:hAnsi="Arial Narrow"/>
          <w:color w:val="000000" w:themeColor="text1"/>
        </w:rPr>
        <w:t>Therefore</w:t>
      </w:r>
      <w:r w:rsidR="002B7E45">
        <w:rPr>
          <w:rFonts w:ascii="Arial Narrow" w:hAnsi="Arial Narrow"/>
        </w:rPr>
        <w:t xml:space="preserve">, when approached by Lucy, practitioners must communicate in a highly sensitive manner and avoid assuming the circumstances in which the injuries occurred, and instead listen respectfully to Lucy and take note when </w:t>
      </w:r>
      <w:proofErr w:type="gramStart"/>
      <w:r w:rsidR="002B7E45">
        <w:rPr>
          <w:rFonts w:ascii="Arial Narrow" w:hAnsi="Arial Narrow"/>
        </w:rPr>
        <w:t>possible</w:t>
      </w:r>
      <w:proofErr w:type="gramEnd"/>
      <w:r w:rsidR="002B7E45">
        <w:rPr>
          <w:rFonts w:ascii="Arial Narrow" w:hAnsi="Arial Narrow"/>
        </w:rPr>
        <w:t xml:space="preserve"> of the discussion using Lucy’s words and avoiding mature phrasing, to ensure that that correct information can be passed on to the necessary agencies and services to continue with the report. (ref)</w:t>
      </w:r>
    </w:p>
    <w:p w14:paraId="1B1951FD" w14:textId="01D15783" w:rsidR="004B6122" w:rsidRPr="0045197F" w:rsidRDefault="00412C00" w:rsidP="0045197F">
      <w:pPr>
        <w:spacing w:line="276" w:lineRule="auto"/>
        <w:rPr>
          <w:rFonts w:ascii="Arial Narrow" w:hAnsi="Arial Narrow"/>
        </w:rPr>
      </w:pPr>
      <w:r>
        <w:rPr>
          <w:rFonts w:ascii="Arial Narrow" w:hAnsi="Arial Narrow"/>
        </w:rPr>
        <w:lastRenderedPageBreak/>
        <w:t xml:space="preserve">In addition, safeguarding involves the recording </w:t>
      </w:r>
      <w:r w:rsidR="00A067C2">
        <w:rPr>
          <w:rFonts w:ascii="Arial Narrow" w:hAnsi="Arial Narrow"/>
        </w:rPr>
        <w:t xml:space="preserve">where a practitioner has witnessed and observed </w:t>
      </w:r>
      <w:r>
        <w:rPr>
          <w:rFonts w:ascii="Arial Narrow" w:hAnsi="Arial Narrow"/>
        </w:rPr>
        <w:t xml:space="preserve">of changed or abnormal behaviour of an individual </w:t>
      </w:r>
      <w:r w:rsidR="00A067C2">
        <w:rPr>
          <w:rFonts w:ascii="Arial Narrow" w:hAnsi="Arial Narrow"/>
        </w:rPr>
        <w:t>child (</w:t>
      </w:r>
      <w:r w:rsidR="000A3703">
        <w:rPr>
          <w:rFonts w:ascii="Arial Narrow" w:hAnsi="Arial Narrow"/>
        </w:rPr>
        <w:t xml:space="preserve">Callaghan, </w:t>
      </w:r>
      <w:r w:rsidR="000A3703" w:rsidRPr="0018622C">
        <w:rPr>
          <w:rFonts w:ascii="Arial Narrow" w:hAnsi="Arial Narrow"/>
          <w:i/>
          <w:iCs/>
        </w:rPr>
        <w:t>et al.</w:t>
      </w:r>
      <w:r w:rsidR="000A3703">
        <w:rPr>
          <w:rFonts w:ascii="Arial Narrow" w:hAnsi="Arial Narrow"/>
        </w:rPr>
        <w:t xml:space="preserve">, </w:t>
      </w:r>
      <w:r w:rsidR="000A3703">
        <w:rPr>
          <w:rFonts w:ascii="Arial Narrow" w:hAnsi="Arial Narrow"/>
        </w:rPr>
        <w:t>2015</w:t>
      </w:r>
      <w:r w:rsidR="00A067C2">
        <w:rPr>
          <w:rFonts w:ascii="Arial Narrow" w:hAnsi="Arial Narrow"/>
        </w:rPr>
        <w:t>). Regardless if the individual has disclosed information, practitioners have a responsibility to hold a record of information concerning an individual (</w:t>
      </w:r>
      <w:proofErr w:type="spellStart"/>
      <w:r w:rsidR="003116DC">
        <w:rPr>
          <w:rFonts w:ascii="Arial Narrow" w:hAnsi="Arial Narrow"/>
        </w:rPr>
        <w:t>Saffady</w:t>
      </w:r>
      <w:proofErr w:type="spellEnd"/>
      <w:r w:rsidR="003116DC">
        <w:rPr>
          <w:rFonts w:ascii="Arial Narrow" w:hAnsi="Arial Narrow"/>
        </w:rPr>
        <w:t>, 2021</w:t>
      </w:r>
      <w:r w:rsidR="00A067C2">
        <w:rPr>
          <w:rFonts w:ascii="Arial Narrow" w:hAnsi="Arial Narrow"/>
        </w:rPr>
        <w:t xml:space="preserve">), which according to </w:t>
      </w:r>
      <w:r w:rsidR="003116DC">
        <w:rPr>
          <w:rFonts w:ascii="Arial Narrow" w:hAnsi="Arial Narrow"/>
        </w:rPr>
        <w:t xml:space="preserve">Lamb, </w:t>
      </w:r>
      <w:r w:rsidR="003116DC" w:rsidRPr="003116DC">
        <w:rPr>
          <w:rFonts w:ascii="Arial Narrow" w:hAnsi="Arial Narrow"/>
          <w:i/>
          <w:iCs/>
        </w:rPr>
        <w:t>et al.</w:t>
      </w:r>
      <w:r w:rsidR="003116DC">
        <w:rPr>
          <w:rFonts w:ascii="Arial Narrow" w:hAnsi="Arial Narrow"/>
        </w:rPr>
        <w:t xml:space="preserve"> (2018</w:t>
      </w:r>
      <w:r w:rsidR="00A067C2">
        <w:rPr>
          <w:rFonts w:ascii="Arial Narrow" w:hAnsi="Arial Narrow"/>
        </w:rPr>
        <w:t xml:space="preserve">) can include a change in behaviour, the child’s response to others in the setting, whether withdrawn or erratic tendencies to ordinary occurrences in the setting, visible marks or bruises on the child’s body, or a change in hygiene and eating routine. </w:t>
      </w:r>
      <w:r w:rsidR="00ED02C7">
        <w:rPr>
          <w:rFonts w:ascii="Arial Narrow" w:hAnsi="Arial Narrow"/>
        </w:rPr>
        <w:t>During the recording and observation period, it is essential that practitioners are informed on the correct practice in which to record, wher</w:t>
      </w:r>
      <w:r w:rsidR="003116DC">
        <w:rPr>
          <w:rFonts w:ascii="Arial Narrow" w:hAnsi="Arial Narrow"/>
        </w:rPr>
        <w:t>e</w:t>
      </w:r>
      <w:r w:rsidR="00ED02C7">
        <w:rPr>
          <w:rFonts w:ascii="Arial Narrow" w:hAnsi="Arial Narrow"/>
        </w:rPr>
        <w:t xml:space="preserve"> </w:t>
      </w:r>
      <w:r w:rsidR="003116DC">
        <w:rPr>
          <w:rFonts w:ascii="Arial Narrow" w:hAnsi="Arial Narrow"/>
        </w:rPr>
        <w:t>McCoy and Keen (2022</w:t>
      </w:r>
      <w:r w:rsidR="00ED02C7">
        <w:rPr>
          <w:rFonts w:ascii="Arial Narrow" w:hAnsi="Arial Narrow"/>
        </w:rPr>
        <w:t xml:space="preserve">) argue it is crucial to account for the exact words used by the child, contrary to relating the discussion using mature details and phrasing. This ensures that the information from the disclosure made by the individual is communicated correctly to the appropriate services </w:t>
      </w:r>
      <w:proofErr w:type="gramStart"/>
      <w:r w:rsidR="00ED02C7">
        <w:rPr>
          <w:rFonts w:ascii="Arial Narrow" w:hAnsi="Arial Narrow"/>
        </w:rPr>
        <w:t>in order to</w:t>
      </w:r>
      <w:proofErr w:type="gramEnd"/>
      <w:r w:rsidR="00ED02C7">
        <w:rPr>
          <w:rFonts w:ascii="Arial Narrow" w:hAnsi="Arial Narrow"/>
        </w:rPr>
        <w:t xml:space="preserve"> proceed with further reporting (</w:t>
      </w:r>
      <w:r w:rsidR="003116DC">
        <w:rPr>
          <w:rFonts w:ascii="Arial Narrow" w:hAnsi="Arial Narrow"/>
        </w:rPr>
        <w:t xml:space="preserve">Joseph, </w:t>
      </w:r>
      <w:r w:rsidR="003116DC" w:rsidRPr="003116DC">
        <w:rPr>
          <w:rFonts w:ascii="Arial Narrow" w:hAnsi="Arial Narrow"/>
          <w:i/>
          <w:iCs/>
        </w:rPr>
        <w:t>et al</w:t>
      </w:r>
      <w:r w:rsidR="003116DC">
        <w:rPr>
          <w:rFonts w:ascii="Arial Narrow" w:hAnsi="Arial Narrow"/>
        </w:rPr>
        <w:t>., 201</w:t>
      </w:r>
      <w:r w:rsidR="00851903">
        <w:rPr>
          <w:rFonts w:ascii="Arial Narrow" w:hAnsi="Arial Narrow"/>
        </w:rPr>
        <w:t>9</w:t>
      </w:r>
      <w:r w:rsidR="00ED02C7">
        <w:rPr>
          <w:rFonts w:ascii="Arial Narrow" w:hAnsi="Arial Narrow"/>
        </w:rPr>
        <w:t xml:space="preserve">), </w:t>
      </w:r>
      <w:r w:rsidR="003116DC">
        <w:rPr>
          <w:rFonts w:ascii="Arial Narrow" w:hAnsi="Arial Narrow"/>
        </w:rPr>
        <w:t>for</w:t>
      </w:r>
      <w:r w:rsidR="00ED02C7">
        <w:rPr>
          <w:rFonts w:ascii="Arial Narrow" w:hAnsi="Arial Narrow"/>
        </w:rPr>
        <w:t xml:space="preserve"> which a Designated Safeguarding Officer would be responsible (</w:t>
      </w:r>
      <w:proofErr w:type="spellStart"/>
      <w:r w:rsidR="00851903">
        <w:rPr>
          <w:rFonts w:ascii="Arial Narrow" w:hAnsi="Arial Narrow"/>
        </w:rPr>
        <w:t>McGoven</w:t>
      </w:r>
      <w:proofErr w:type="spellEnd"/>
      <w:r w:rsidR="00851903">
        <w:rPr>
          <w:rFonts w:ascii="Arial Narrow" w:hAnsi="Arial Narrow"/>
        </w:rPr>
        <w:t xml:space="preserve"> and </w:t>
      </w:r>
      <w:proofErr w:type="spellStart"/>
      <w:r w:rsidR="00851903">
        <w:rPr>
          <w:rFonts w:ascii="Arial Narrow" w:hAnsi="Arial Narrow"/>
        </w:rPr>
        <w:t>McGoven</w:t>
      </w:r>
      <w:proofErr w:type="spellEnd"/>
      <w:r w:rsidR="00851903">
        <w:rPr>
          <w:rFonts w:ascii="Arial Narrow" w:hAnsi="Arial Narrow"/>
        </w:rPr>
        <w:t>, 2021</w:t>
      </w:r>
      <w:r w:rsidR="00ED02C7">
        <w:rPr>
          <w:rFonts w:ascii="Arial Narrow" w:hAnsi="Arial Narrow"/>
        </w:rPr>
        <w:t>).</w:t>
      </w:r>
      <w:r w:rsidR="00B75E1B">
        <w:rPr>
          <w:rFonts w:ascii="Arial Narrow" w:hAnsi="Arial Narrow"/>
        </w:rPr>
        <w:t xml:space="preserve"> </w:t>
      </w:r>
      <w:r w:rsidR="005112D9">
        <w:rPr>
          <w:rFonts w:ascii="Arial Narrow" w:hAnsi="Arial Narrow"/>
        </w:rPr>
        <w:t xml:space="preserve">Furthermore, (reference) argues that practitioners are responsible for monitoring and recording suspected signs and symptoms of abuse or neglect in accordance with the protection policy of the setting which correlates with the </w:t>
      </w:r>
      <w:r w:rsidR="005112D9" w:rsidRPr="005112D9">
        <w:rPr>
          <w:rFonts w:ascii="Arial Narrow" w:hAnsi="Arial Narrow"/>
          <w:i/>
          <w:iCs/>
        </w:rPr>
        <w:t>Education Act 2002</w:t>
      </w:r>
      <w:r w:rsidR="005112D9">
        <w:rPr>
          <w:rFonts w:ascii="Arial Narrow" w:hAnsi="Arial Narrow"/>
          <w:i/>
          <w:iCs/>
        </w:rPr>
        <w:t xml:space="preserve">. </w:t>
      </w:r>
      <w:r w:rsidR="005112D9">
        <w:rPr>
          <w:rFonts w:ascii="Arial Narrow" w:hAnsi="Arial Narrow"/>
        </w:rPr>
        <w:t xml:space="preserve">It is crucial that practitioners additionally recognise that individuals may be reluctant to disclose their experiences attributable to the fear of consequences of lack of trust (reference). Therefore, it is the responsibility of the practitioner to ensure that appropriate measures are taken to establish that the individual is protected (reference), which requires the setting to possess policies and procedures for reporting </w:t>
      </w:r>
      <w:r w:rsidR="00082DA2">
        <w:rPr>
          <w:rFonts w:ascii="Arial Narrow" w:hAnsi="Arial Narrow"/>
        </w:rPr>
        <w:t>concerns</w:t>
      </w:r>
      <w:r w:rsidR="005112D9">
        <w:rPr>
          <w:rFonts w:ascii="Arial Narrow" w:hAnsi="Arial Narrow"/>
        </w:rPr>
        <w:t xml:space="preserve"> and collaborating with the appropriate external agencies when necessary (reference).</w:t>
      </w:r>
      <w:r w:rsidR="00082DA2">
        <w:rPr>
          <w:rFonts w:ascii="Arial Narrow" w:hAnsi="Arial Narrow"/>
        </w:rPr>
        <w:t xml:space="preserve"> </w:t>
      </w:r>
      <w:r w:rsidR="004B6122">
        <w:rPr>
          <w:rFonts w:ascii="Arial Narrow" w:hAnsi="Arial Narrow"/>
        </w:rPr>
        <w:t>Following the</w:t>
      </w:r>
      <w:r w:rsidR="004B6122" w:rsidRPr="004B6122">
        <w:rPr>
          <w:rFonts w:ascii="Arial Narrow" w:hAnsi="Arial Narrow"/>
          <w:i/>
          <w:iCs/>
        </w:rPr>
        <w:t xml:space="preserve"> General </w:t>
      </w:r>
      <w:r w:rsidR="004B6122">
        <w:rPr>
          <w:rFonts w:ascii="Arial Narrow" w:hAnsi="Arial Narrow"/>
          <w:i/>
          <w:iCs/>
        </w:rPr>
        <w:t>D</w:t>
      </w:r>
      <w:r w:rsidR="004B6122" w:rsidRPr="004B6122">
        <w:rPr>
          <w:rFonts w:ascii="Arial Narrow" w:hAnsi="Arial Narrow"/>
          <w:i/>
          <w:iCs/>
        </w:rPr>
        <w:t>ata Protection Regulation 2018</w:t>
      </w:r>
      <w:r w:rsidR="004B6122">
        <w:rPr>
          <w:rFonts w:ascii="Arial Narrow" w:hAnsi="Arial Narrow"/>
          <w:i/>
          <w:iCs/>
        </w:rPr>
        <w:t xml:space="preserve"> </w:t>
      </w:r>
      <w:r w:rsidR="004B6122" w:rsidRPr="004B6122">
        <w:rPr>
          <w:rFonts w:ascii="Arial Narrow" w:hAnsi="Arial Narrow"/>
        </w:rPr>
        <w:t xml:space="preserve">recordings and observation notes must be </w:t>
      </w:r>
      <w:r w:rsidR="004B6122">
        <w:rPr>
          <w:rFonts w:ascii="Arial Narrow" w:hAnsi="Arial Narrow"/>
        </w:rPr>
        <w:t xml:space="preserve">stored safely where exclusively practitioners have access to (reference). </w:t>
      </w:r>
    </w:p>
    <w:p w14:paraId="183B15DE" w14:textId="77777777" w:rsidR="00A067C2" w:rsidRDefault="00A067C2" w:rsidP="00A067C2">
      <w:pPr>
        <w:spacing w:line="276" w:lineRule="auto"/>
        <w:rPr>
          <w:rFonts w:ascii="Arial Narrow" w:hAnsi="Arial Narrow"/>
        </w:rPr>
      </w:pPr>
    </w:p>
    <w:p w14:paraId="2DC2B6F2" w14:textId="77777777" w:rsidR="00A067C2" w:rsidRPr="00082DA2" w:rsidRDefault="00A067C2" w:rsidP="00A067C2">
      <w:pPr>
        <w:numPr>
          <w:ilvl w:val="0"/>
          <w:numId w:val="2"/>
        </w:numPr>
        <w:ind w:left="1080" w:firstLine="0"/>
        <w:textAlignment w:val="baseline"/>
        <w:rPr>
          <w:rFonts w:ascii="Segoe UI" w:eastAsia="Times New Roman" w:hAnsi="Segoe UI" w:cs="Segoe UI"/>
          <w:color w:val="0F4761" w:themeColor="accent1" w:themeShade="BF"/>
          <w:sz w:val="18"/>
          <w:szCs w:val="18"/>
        </w:rPr>
      </w:pPr>
      <w:r w:rsidRPr="00523C97">
        <w:rPr>
          <w:rFonts w:ascii="Arial" w:eastAsia="Times New Roman" w:hAnsi="Arial" w:cs="Arial"/>
          <w:color w:val="0F4761" w:themeColor="accent1" w:themeShade="BF"/>
        </w:rPr>
        <w:t>Critically analyse the reporting and referral processes and procedures when abuse is suspected. Consider statutory requirements, policy and ethical frameworks when reporting and referring safeguarding concerns </w:t>
      </w:r>
    </w:p>
    <w:p w14:paraId="7189E897" w14:textId="77777777" w:rsidR="00082DA2" w:rsidRDefault="00082DA2" w:rsidP="00082DA2">
      <w:pPr>
        <w:textAlignment w:val="baseline"/>
        <w:rPr>
          <w:rFonts w:ascii="Arial" w:eastAsia="Times New Roman" w:hAnsi="Arial" w:cs="Arial"/>
          <w:color w:val="0F4761" w:themeColor="accent1" w:themeShade="BF"/>
        </w:rPr>
      </w:pPr>
    </w:p>
    <w:p w14:paraId="208DC757" w14:textId="77777777" w:rsidR="005F1860" w:rsidRDefault="00046FAB" w:rsidP="002C3CB4">
      <w:pPr>
        <w:spacing w:line="276" w:lineRule="auto"/>
        <w:rPr>
          <w:rFonts w:ascii="Arial Narrow" w:hAnsi="Arial Narrow"/>
        </w:rPr>
      </w:pPr>
      <w:r>
        <w:rPr>
          <w:rFonts w:ascii="Arial Narrow" w:hAnsi="Arial Narrow"/>
        </w:rPr>
        <w:t xml:space="preserve">The data protection law allows professionals to share information and communicate effectively when required </w:t>
      </w:r>
      <w:proofErr w:type="gramStart"/>
      <w:r>
        <w:rPr>
          <w:rFonts w:ascii="Arial Narrow" w:hAnsi="Arial Narrow"/>
        </w:rPr>
        <w:t>in order to</w:t>
      </w:r>
      <w:proofErr w:type="gramEnd"/>
      <w:r>
        <w:rPr>
          <w:rFonts w:ascii="Arial Narrow" w:hAnsi="Arial Narrow"/>
        </w:rPr>
        <w:t xml:space="preserve"> safeguard children and prevent the risk of significant harm (</w:t>
      </w:r>
      <w:proofErr w:type="spellStart"/>
      <w:r w:rsidR="00612BD1">
        <w:rPr>
          <w:rFonts w:ascii="Arial Narrow" w:hAnsi="Arial Narrow"/>
        </w:rPr>
        <w:t>Buitelaar</w:t>
      </w:r>
      <w:proofErr w:type="spellEnd"/>
      <w:r w:rsidR="00612BD1">
        <w:rPr>
          <w:rFonts w:ascii="Arial Narrow" w:hAnsi="Arial Narrow"/>
        </w:rPr>
        <w:t>, 2018</w:t>
      </w:r>
      <w:r>
        <w:rPr>
          <w:rFonts w:ascii="Arial Narrow" w:hAnsi="Arial Narrow"/>
        </w:rPr>
        <w:t xml:space="preserve">). (reference) supports this by maintaining that the </w:t>
      </w:r>
      <w:r w:rsidRPr="004B6122">
        <w:rPr>
          <w:rFonts w:ascii="Arial Narrow" w:hAnsi="Arial Narrow"/>
          <w:i/>
          <w:iCs/>
        </w:rPr>
        <w:t xml:space="preserve">General </w:t>
      </w:r>
      <w:r>
        <w:rPr>
          <w:rFonts w:ascii="Arial Narrow" w:hAnsi="Arial Narrow"/>
          <w:i/>
          <w:iCs/>
        </w:rPr>
        <w:t>D</w:t>
      </w:r>
      <w:r w:rsidRPr="004B6122">
        <w:rPr>
          <w:rFonts w:ascii="Arial Narrow" w:hAnsi="Arial Narrow"/>
          <w:i/>
          <w:iCs/>
        </w:rPr>
        <w:t>ata Protection Regulation 2018</w:t>
      </w:r>
      <w:r>
        <w:rPr>
          <w:rFonts w:ascii="Arial Narrow" w:hAnsi="Arial Narrow"/>
          <w:i/>
          <w:iCs/>
        </w:rPr>
        <w:t xml:space="preserve"> </w:t>
      </w:r>
      <w:r>
        <w:rPr>
          <w:rFonts w:ascii="Arial Narrow" w:hAnsi="Arial Narrow"/>
        </w:rPr>
        <w:t xml:space="preserve">ensures that individuals’ fundamental rights are protected, particularly </w:t>
      </w:r>
      <w:proofErr w:type="gramStart"/>
      <w:r>
        <w:rPr>
          <w:rFonts w:ascii="Arial Narrow" w:hAnsi="Arial Narrow"/>
        </w:rPr>
        <w:t>in regard to</w:t>
      </w:r>
      <w:proofErr w:type="gramEnd"/>
      <w:r>
        <w:rPr>
          <w:rFonts w:ascii="Arial Narrow" w:hAnsi="Arial Narrow"/>
        </w:rPr>
        <w:t xml:space="preserve"> personal information. </w:t>
      </w:r>
      <w:proofErr w:type="gramStart"/>
      <w:r w:rsidR="002C3CB4">
        <w:rPr>
          <w:rFonts w:ascii="Arial Narrow" w:hAnsi="Arial Narrow"/>
        </w:rPr>
        <w:t>In order to</w:t>
      </w:r>
      <w:proofErr w:type="gramEnd"/>
      <w:r w:rsidR="002C3CB4">
        <w:rPr>
          <w:rFonts w:ascii="Arial Narrow" w:hAnsi="Arial Narrow"/>
        </w:rPr>
        <w:t xml:space="preserve"> support families in maintaining their children’s well-being, professionals</w:t>
      </w:r>
      <w:r w:rsidR="002C3CB4">
        <w:rPr>
          <w:rFonts w:ascii="Arial Narrow" w:hAnsi="Arial Narrow"/>
        </w:rPr>
        <w:t xml:space="preserve"> are required to </w:t>
      </w:r>
      <w:r w:rsidR="002C3CB4">
        <w:rPr>
          <w:rFonts w:ascii="Arial Narrow" w:hAnsi="Arial Narrow"/>
        </w:rPr>
        <w:t>communicate and</w:t>
      </w:r>
      <w:r w:rsidR="002C3CB4">
        <w:rPr>
          <w:rFonts w:ascii="Arial Narrow" w:hAnsi="Arial Narrow"/>
        </w:rPr>
        <w:t xml:space="preserve"> effectively</w:t>
      </w:r>
      <w:r w:rsidR="002C3CB4">
        <w:rPr>
          <w:rFonts w:ascii="Arial Narrow" w:hAnsi="Arial Narrow"/>
        </w:rPr>
        <w:t xml:space="preserve"> share information</w:t>
      </w:r>
      <w:r w:rsidR="002C3CB4">
        <w:rPr>
          <w:rFonts w:ascii="Arial Narrow" w:hAnsi="Arial Narrow"/>
        </w:rPr>
        <w:t xml:space="preserve"> during Initial Child Protection Conferences</w:t>
      </w:r>
      <w:r w:rsidR="002C3CB4">
        <w:rPr>
          <w:rFonts w:ascii="Arial Narrow" w:hAnsi="Arial Narrow"/>
        </w:rPr>
        <w:t xml:space="preserve"> (reference)</w:t>
      </w:r>
      <w:r w:rsidR="002C3CB4">
        <w:rPr>
          <w:rFonts w:ascii="Arial Narrow" w:hAnsi="Arial Narrow"/>
        </w:rPr>
        <w:t xml:space="preserve"> concerning </w:t>
      </w:r>
      <w:r w:rsidR="002C3CB4">
        <w:rPr>
          <w:rFonts w:ascii="Arial Narrow" w:hAnsi="Arial Narrow"/>
        </w:rPr>
        <w:t xml:space="preserve">an </w:t>
      </w:r>
      <w:r w:rsidR="002C3CB4">
        <w:rPr>
          <w:rFonts w:ascii="Arial Narrow" w:hAnsi="Arial Narrow"/>
        </w:rPr>
        <w:t>inquiry</w:t>
      </w:r>
      <w:r w:rsidR="002C3CB4">
        <w:rPr>
          <w:rFonts w:ascii="Arial Narrow" w:hAnsi="Arial Narrow"/>
        </w:rPr>
        <w:t xml:space="preserve"> of abuse</w:t>
      </w:r>
      <w:r w:rsidR="002C3CB4">
        <w:rPr>
          <w:rFonts w:ascii="Arial Narrow" w:hAnsi="Arial Narrow"/>
        </w:rPr>
        <w:t xml:space="preserve"> by Designated Safeguarding Officers</w:t>
      </w:r>
      <w:r w:rsidR="002C3CB4">
        <w:rPr>
          <w:rFonts w:ascii="Arial Narrow" w:hAnsi="Arial Narrow"/>
        </w:rPr>
        <w:t xml:space="preserve"> (reference). Following an educational practitioner observing and recording information that raises cause for concern, it is the practitioner’s responsibility to report to the Designated Safeguarding Officer of the setting (reference). The DSO then continues by forwarding the information collated by the practitioner to appropriate agencies, such as social services</w:t>
      </w:r>
      <w:r w:rsidR="00612BD1">
        <w:rPr>
          <w:rFonts w:ascii="Arial Narrow" w:hAnsi="Arial Narrow"/>
        </w:rPr>
        <w:t xml:space="preserve"> if the information presented by the family was not adequate, or additionally if the family become defensive and withdrawn (ref)</w:t>
      </w:r>
      <w:r w:rsidR="002C3CB4">
        <w:rPr>
          <w:rFonts w:ascii="Arial Narrow" w:hAnsi="Arial Narrow"/>
        </w:rPr>
        <w:t>. A</w:t>
      </w:r>
      <w:r w:rsidR="002C3CB4">
        <w:rPr>
          <w:rFonts w:ascii="Arial Narrow" w:hAnsi="Arial Narrow"/>
        </w:rPr>
        <w:t xml:space="preserve">s per section 3, part 2 of section 47 of the </w:t>
      </w:r>
      <w:r w:rsidR="002C3CB4" w:rsidRPr="000002A3">
        <w:rPr>
          <w:rFonts w:ascii="Arial Narrow" w:hAnsi="Arial Narrow"/>
          <w:i/>
          <w:iCs/>
        </w:rPr>
        <w:t>Children Act 1989</w:t>
      </w:r>
      <w:r w:rsidR="002C3CB4">
        <w:rPr>
          <w:rFonts w:ascii="Arial Narrow" w:hAnsi="Arial Narrow"/>
        </w:rPr>
        <w:t xml:space="preserve"> and </w:t>
      </w:r>
      <w:r w:rsidR="00612BD1">
        <w:rPr>
          <w:rFonts w:ascii="Arial Narrow" w:hAnsi="Arial Narrow"/>
        </w:rPr>
        <w:t>per</w:t>
      </w:r>
      <w:r w:rsidR="002C3CB4">
        <w:rPr>
          <w:rFonts w:ascii="Arial Narrow" w:hAnsi="Arial Narrow"/>
        </w:rPr>
        <w:t xml:space="preserve"> the </w:t>
      </w:r>
      <w:r w:rsidR="002C3CB4" w:rsidRPr="000002A3">
        <w:rPr>
          <w:rFonts w:ascii="Arial Narrow" w:hAnsi="Arial Narrow"/>
          <w:i/>
          <w:iCs/>
        </w:rPr>
        <w:t>Education Act 2002</w:t>
      </w:r>
      <w:r w:rsidR="002C3CB4">
        <w:rPr>
          <w:rFonts w:ascii="Arial Narrow" w:hAnsi="Arial Narrow"/>
        </w:rPr>
        <w:t xml:space="preserve"> </w:t>
      </w:r>
      <w:r w:rsidR="002C3CB4">
        <w:rPr>
          <w:rFonts w:ascii="Arial Narrow" w:hAnsi="Arial Narrow"/>
        </w:rPr>
        <w:t xml:space="preserve">a referral made by a Designated Safeguarding Officer must be responded to by a social worker within 24 hours. (reference). </w:t>
      </w:r>
    </w:p>
    <w:p w14:paraId="1ABFA004" w14:textId="77777777" w:rsidR="0000781A" w:rsidRDefault="0000781A" w:rsidP="002C3CB4">
      <w:pPr>
        <w:spacing w:line="276" w:lineRule="auto"/>
        <w:rPr>
          <w:rFonts w:ascii="Arial Narrow" w:hAnsi="Arial Narrow"/>
        </w:rPr>
      </w:pPr>
    </w:p>
    <w:p w14:paraId="5C455ECD" w14:textId="39E6ADEC" w:rsidR="00717D4E" w:rsidRDefault="0000781A" w:rsidP="00717D4E">
      <w:pPr>
        <w:spacing w:line="276" w:lineRule="auto"/>
        <w:rPr>
          <w:rFonts w:ascii="Arial Narrow" w:hAnsi="Arial Narrow"/>
        </w:rPr>
      </w:pPr>
      <w:r>
        <w:rPr>
          <w:rFonts w:ascii="Arial Narrow" w:hAnsi="Arial Narrow"/>
        </w:rPr>
        <w:t xml:space="preserve">It is essential that practitioners obtain consent from the parents or guardians of the individual (ref) and inform the child of the process that must happen in a sensitive manner, </w:t>
      </w:r>
      <w:proofErr w:type="gramStart"/>
      <w:r>
        <w:rPr>
          <w:rFonts w:ascii="Arial Narrow" w:hAnsi="Arial Narrow"/>
        </w:rPr>
        <w:t>as a result of</w:t>
      </w:r>
      <w:proofErr w:type="gramEnd"/>
      <w:r>
        <w:rPr>
          <w:rFonts w:ascii="Arial Narrow" w:hAnsi="Arial Narrow"/>
        </w:rPr>
        <w:t xml:space="preserve"> the referral being </w:t>
      </w:r>
      <w:r>
        <w:rPr>
          <w:rFonts w:ascii="Arial Narrow" w:hAnsi="Arial Narrow"/>
        </w:rPr>
        <w:lastRenderedPageBreak/>
        <w:t>central to the individual</w:t>
      </w:r>
      <w:r w:rsidR="00717D4E">
        <w:rPr>
          <w:rFonts w:ascii="Arial Narrow" w:hAnsi="Arial Narrow"/>
        </w:rPr>
        <w:t xml:space="preserve">, in accordance with the </w:t>
      </w:r>
      <w:r w:rsidR="00717D4E" w:rsidRPr="00717D4E">
        <w:rPr>
          <w:rFonts w:ascii="Arial Narrow" w:hAnsi="Arial Narrow"/>
          <w:i/>
          <w:iCs/>
        </w:rPr>
        <w:t>Social Services and Wellbeing (Wales) Act 2014</w:t>
      </w:r>
      <w:r w:rsidR="00717D4E">
        <w:rPr>
          <w:rFonts w:ascii="Arial Narrow" w:hAnsi="Arial Narrow"/>
          <w:i/>
          <w:iCs/>
        </w:rPr>
        <w:t>.</w:t>
      </w:r>
      <w:r w:rsidR="00717D4E">
        <w:rPr>
          <w:rFonts w:ascii="Arial Narrow" w:hAnsi="Arial Narrow"/>
        </w:rPr>
        <w:t xml:space="preserve"> It is the responsibility of the Designated Safeguarding Officer to contact the Multi-Agency Safeguarding Hub as soon as possible to ensure no further abuse can occur (ref) who will inspect the reports made and provide feedback within twenty-four hours of the referral. Per section 3 part 2 of Section 47 of the </w:t>
      </w:r>
      <w:r w:rsidR="00717D4E" w:rsidRPr="00717D4E">
        <w:rPr>
          <w:rFonts w:ascii="Arial Narrow" w:hAnsi="Arial Narrow"/>
          <w:i/>
          <w:iCs/>
        </w:rPr>
        <w:t>Children Act 1989</w:t>
      </w:r>
      <w:r w:rsidR="00717D4E">
        <w:rPr>
          <w:rFonts w:ascii="Arial Narrow" w:hAnsi="Arial Narrow"/>
        </w:rPr>
        <w:t xml:space="preserve">, the local authorities are required to conduct an inquiry into the referral allegations and appoint a social worker to visit </w:t>
      </w:r>
      <w:r w:rsidR="00717D4E">
        <w:rPr>
          <w:rFonts w:ascii="Arial Narrow" w:hAnsi="Arial Narrow"/>
        </w:rPr>
        <w:t xml:space="preserve">the home environment of the individual in which the reference was made (ref) to assess the living standards of the home, in keeping with the </w:t>
      </w:r>
      <w:r w:rsidR="00717D4E" w:rsidRPr="000002A3">
        <w:rPr>
          <w:rFonts w:ascii="Arial Narrow" w:hAnsi="Arial Narrow"/>
          <w:i/>
          <w:iCs/>
        </w:rPr>
        <w:t>Care Standards Act 2000</w:t>
      </w:r>
      <w:r w:rsidR="00717D4E">
        <w:rPr>
          <w:rFonts w:ascii="Arial Narrow" w:hAnsi="Arial Narrow"/>
          <w:i/>
          <w:iCs/>
        </w:rPr>
        <w:t xml:space="preserve"> </w:t>
      </w:r>
      <w:r w:rsidR="00717D4E" w:rsidRPr="000002A3">
        <w:rPr>
          <w:rFonts w:ascii="Arial Narrow" w:hAnsi="Arial Narrow"/>
        </w:rPr>
        <w:t>legislation</w:t>
      </w:r>
      <w:r w:rsidR="00717D4E">
        <w:rPr>
          <w:rFonts w:ascii="Arial Narrow" w:hAnsi="Arial Narrow"/>
        </w:rPr>
        <w:t xml:space="preserve">. This coincides with the Victoria Climbié Inquiry (Laming, 2003) where it was highlighted that safer and more robust procedures were necessary under the </w:t>
      </w:r>
      <w:r w:rsidR="00717D4E" w:rsidRPr="009D30BD">
        <w:rPr>
          <w:rFonts w:ascii="Arial Narrow" w:hAnsi="Arial Narrow"/>
          <w:i/>
          <w:iCs/>
        </w:rPr>
        <w:t xml:space="preserve">Children Act 2004. </w:t>
      </w:r>
    </w:p>
    <w:p w14:paraId="7D73F41A" w14:textId="77777777" w:rsidR="005F1860" w:rsidRDefault="005F1860" w:rsidP="002C3CB4">
      <w:pPr>
        <w:spacing w:line="276" w:lineRule="auto"/>
        <w:rPr>
          <w:rFonts w:ascii="Arial Narrow" w:hAnsi="Arial Narrow"/>
        </w:rPr>
      </w:pPr>
    </w:p>
    <w:p w14:paraId="15DE7753" w14:textId="497CE524" w:rsidR="005F1860" w:rsidRDefault="002B7E45" w:rsidP="002C3CB4">
      <w:pPr>
        <w:spacing w:line="276" w:lineRule="auto"/>
        <w:rPr>
          <w:rFonts w:ascii="Arial Narrow" w:hAnsi="Arial Narrow"/>
        </w:rPr>
      </w:pPr>
      <w:r>
        <w:rPr>
          <w:rFonts w:ascii="Arial Narrow" w:hAnsi="Arial Narrow"/>
        </w:rPr>
        <w:t xml:space="preserve">Due to the extent of Lucy’s injuries </w:t>
      </w:r>
      <w:r w:rsidR="005F1860">
        <w:rPr>
          <w:rFonts w:ascii="Arial Narrow" w:hAnsi="Arial Narrow"/>
        </w:rPr>
        <w:t xml:space="preserve">which disregards the </w:t>
      </w:r>
      <w:r w:rsidR="005F1860" w:rsidRPr="000002A3">
        <w:rPr>
          <w:rFonts w:ascii="Arial Narrow" w:hAnsi="Arial Narrow"/>
          <w:i/>
          <w:iCs/>
        </w:rPr>
        <w:t>Human Rights Act 1998</w:t>
      </w:r>
      <w:r w:rsidR="005F1860">
        <w:rPr>
          <w:rFonts w:ascii="Arial Narrow" w:hAnsi="Arial Narrow"/>
          <w:i/>
          <w:iCs/>
        </w:rPr>
        <w:t xml:space="preserve"> </w:t>
      </w:r>
      <w:r w:rsidR="005F1860">
        <w:rPr>
          <w:rFonts w:ascii="Arial Narrow" w:hAnsi="Arial Narrow"/>
        </w:rPr>
        <w:t>along with Article 17 of the UNCRC (UNICEF, no date) where adults are obligated to protect children from abuse, harm, and neglect</w:t>
      </w:r>
      <w:r w:rsidR="005F1860">
        <w:rPr>
          <w:rFonts w:ascii="Arial Narrow" w:hAnsi="Arial Narrow"/>
        </w:rPr>
        <w:t xml:space="preserve"> </w:t>
      </w:r>
      <w:r>
        <w:rPr>
          <w:rFonts w:ascii="Arial Narrow" w:hAnsi="Arial Narrow"/>
        </w:rPr>
        <w:t>and the distress of the individual, the practitioner must involve the necessary servi</w:t>
      </w:r>
      <w:r w:rsidR="005F1860">
        <w:rPr>
          <w:rFonts w:ascii="Arial Narrow" w:hAnsi="Arial Narrow"/>
        </w:rPr>
        <w:t>c</w:t>
      </w:r>
      <w:r>
        <w:rPr>
          <w:rFonts w:ascii="Arial Narrow" w:hAnsi="Arial Narrow"/>
        </w:rPr>
        <w:t>es immediately (ref) including the police</w:t>
      </w:r>
      <w:r w:rsidR="005F1860">
        <w:rPr>
          <w:rFonts w:ascii="Arial Narrow" w:hAnsi="Arial Narrow"/>
        </w:rPr>
        <w:t xml:space="preserve">, as a result of Lucy disclosing concerning information regarding Dad being the perpetrator and the nature of the injuries (ref). Consequently, providing the circumstances, notifying or requesting consent from the parents regarding the advancement of the report would be detrimental (ref) and therefore the practitioner must continue the referral in the absence of parental consent </w:t>
      </w:r>
      <w:proofErr w:type="gramStart"/>
      <w:r w:rsidR="005F1860">
        <w:rPr>
          <w:rFonts w:ascii="Arial Narrow" w:hAnsi="Arial Narrow"/>
        </w:rPr>
        <w:t>in order to</w:t>
      </w:r>
      <w:proofErr w:type="gramEnd"/>
      <w:r w:rsidR="005F1860">
        <w:rPr>
          <w:rFonts w:ascii="Arial Narrow" w:hAnsi="Arial Narrow"/>
        </w:rPr>
        <w:t xml:space="preserve"> prioritise the individuals’ safety</w:t>
      </w:r>
      <w:r w:rsidR="0000781A">
        <w:rPr>
          <w:rFonts w:ascii="Arial Narrow" w:hAnsi="Arial Narrow"/>
        </w:rPr>
        <w:t xml:space="preserve"> and to abstain the abuse from progressing (ref)</w:t>
      </w:r>
      <w:r w:rsidR="005F1860">
        <w:rPr>
          <w:rFonts w:ascii="Arial Narrow" w:hAnsi="Arial Narrow"/>
        </w:rPr>
        <w:t xml:space="preserve">. </w:t>
      </w:r>
      <w:r w:rsidR="005F1860">
        <w:rPr>
          <w:rFonts w:ascii="Arial Narrow" w:hAnsi="Arial Narrow"/>
        </w:rPr>
        <w:t xml:space="preserve">It is </w:t>
      </w:r>
      <w:r w:rsidR="00E344BD">
        <w:rPr>
          <w:rFonts w:ascii="Arial Narrow" w:hAnsi="Arial Narrow"/>
        </w:rPr>
        <w:t xml:space="preserve">therefore </w:t>
      </w:r>
      <w:r w:rsidR="005F1860">
        <w:rPr>
          <w:rFonts w:ascii="Arial Narrow" w:hAnsi="Arial Narrow"/>
        </w:rPr>
        <w:t>essential that professionals communicate openly and effectively to ensure that safeguarding responsibilities are met and that approaches are suitable for the specific needs of individual families (</w:t>
      </w:r>
      <w:proofErr w:type="spellStart"/>
      <w:r w:rsidR="005F1860">
        <w:rPr>
          <w:rFonts w:ascii="Arial Narrow" w:hAnsi="Arial Narrow"/>
        </w:rPr>
        <w:t>Jahans</w:t>
      </w:r>
      <w:proofErr w:type="spellEnd"/>
      <w:r w:rsidR="005F1860">
        <w:rPr>
          <w:rFonts w:ascii="Arial Narrow" w:hAnsi="Arial Narrow"/>
        </w:rPr>
        <w:t xml:space="preserve">-Baynton and </w:t>
      </w:r>
      <w:proofErr w:type="spellStart"/>
      <w:r w:rsidR="005F1860">
        <w:rPr>
          <w:rFonts w:ascii="Arial Narrow" w:hAnsi="Arial Narrow"/>
        </w:rPr>
        <w:t>Grealish</w:t>
      </w:r>
      <w:proofErr w:type="spellEnd"/>
      <w:r w:rsidR="005F1860">
        <w:rPr>
          <w:rFonts w:ascii="Arial Narrow" w:hAnsi="Arial Narrow"/>
        </w:rPr>
        <w:t>, 2020).</w:t>
      </w:r>
    </w:p>
    <w:p w14:paraId="383BA5BB" w14:textId="77777777" w:rsidR="00AA689A" w:rsidRDefault="00AA689A" w:rsidP="00B5179C">
      <w:pPr>
        <w:spacing w:line="276" w:lineRule="auto"/>
        <w:rPr>
          <w:rFonts w:ascii="Arial Narrow" w:hAnsi="Arial Narrow"/>
        </w:rPr>
      </w:pPr>
    </w:p>
    <w:p w14:paraId="586ACD44" w14:textId="77777777" w:rsidR="00AA689A" w:rsidRPr="00523C97" w:rsidRDefault="00AA689A" w:rsidP="00AA689A">
      <w:pPr>
        <w:numPr>
          <w:ilvl w:val="0"/>
          <w:numId w:val="3"/>
        </w:numPr>
        <w:ind w:left="1080" w:firstLine="0"/>
        <w:textAlignment w:val="baseline"/>
        <w:rPr>
          <w:rFonts w:ascii="Segoe UI" w:eastAsia="Times New Roman" w:hAnsi="Segoe UI" w:cs="Segoe UI"/>
          <w:color w:val="0F4761" w:themeColor="accent1" w:themeShade="BF"/>
          <w:sz w:val="18"/>
          <w:szCs w:val="18"/>
        </w:rPr>
      </w:pPr>
      <w:r w:rsidRPr="00523C97">
        <w:rPr>
          <w:rFonts w:ascii="Arial" w:eastAsia="Times New Roman" w:hAnsi="Arial" w:cs="Arial"/>
          <w:color w:val="0F4761" w:themeColor="accent1" w:themeShade="BF"/>
        </w:rPr>
        <w:t xml:space="preserve">Discuss the setting responsibilities of settings to ensure </w:t>
      </w:r>
      <w:proofErr w:type="gramStart"/>
      <w:r w:rsidRPr="00523C97">
        <w:rPr>
          <w:rFonts w:ascii="Arial" w:eastAsia="Times New Roman" w:hAnsi="Arial" w:cs="Arial"/>
          <w:color w:val="0F4761" w:themeColor="accent1" w:themeShade="BF"/>
        </w:rPr>
        <w:t>an</w:t>
      </w:r>
      <w:proofErr w:type="gramEnd"/>
      <w:r w:rsidRPr="00523C97">
        <w:rPr>
          <w:rFonts w:ascii="Arial" w:eastAsia="Times New Roman" w:hAnsi="Arial" w:cs="Arial"/>
          <w:color w:val="0F4761" w:themeColor="accent1" w:themeShade="BF"/>
        </w:rPr>
        <w:t xml:space="preserve"> holistic, open and effective approach to safeguarding, consider the impact of the United Nations Convention on the Rights of the Child (UNCRC) </w:t>
      </w:r>
    </w:p>
    <w:p w14:paraId="1897617F" w14:textId="77777777" w:rsidR="00AA689A" w:rsidRPr="00523C97" w:rsidRDefault="00AA689A" w:rsidP="00AA689A">
      <w:pPr>
        <w:textAlignment w:val="baseline"/>
        <w:rPr>
          <w:rFonts w:ascii="Segoe UI" w:eastAsia="Times New Roman" w:hAnsi="Segoe UI" w:cs="Segoe UI"/>
          <w:color w:val="0F4761" w:themeColor="accent1" w:themeShade="BF"/>
          <w:sz w:val="18"/>
          <w:szCs w:val="18"/>
        </w:rPr>
      </w:pPr>
      <w:r w:rsidRPr="00523C97">
        <w:rPr>
          <w:rFonts w:ascii="Arial" w:eastAsia="Times New Roman" w:hAnsi="Arial" w:cs="Arial"/>
          <w:color w:val="0F4761" w:themeColor="accent1" w:themeShade="BF"/>
        </w:rPr>
        <w:t> </w:t>
      </w:r>
    </w:p>
    <w:p w14:paraId="4DF9F0A0" w14:textId="2BB3FF81" w:rsidR="006F3268" w:rsidRDefault="00C96EF2" w:rsidP="00B5179C">
      <w:pPr>
        <w:spacing w:line="276" w:lineRule="auto"/>
        <w:rPr>
          <w:rFonts w:ascii="Arial Narrow" w:hAnsi="Arial Narrow"/>
        </w:rPr>
      </w:pPr>
      <w:r>
        <w:rPr>
          <w:rFonts w:ascii="Arial Narrow" w:hAnsi="Arial Narrow"/>
        </w:rPr>
        <w:t xml:space="preserve">Safeguarding training at present forms a principal segment of the mandatory training requirements for ESTYN and CIW (reference), therefore, all education settings are required to arrange and supply sufficient and productive safeguarding training for practitioners to ensure that the setting </w:t>
      </w:r>
      <w:r w:rsidR="00AF223F">
        <w:rPr>
          <w:rFonts w:ascii="Arial Narrow" w:hAnsi="Arial Narrow"/>
        </w:rPr>
        <w:t xml:space="preserve">implements proactive protocols and sustain responsibility </w:t>
      </w:r>
      <w:proofErr w:type="gramStart"/>
      <w:r w:rsidR="00AF223F">
        <w:rPr>
          <w:rFonts w:ascii="Arial Narrow" w:hAnsi="Arial Narrow"/>
        </w:rPr>
        <w:t>in regards to</w:t>
      </w:r>
      <w:proofErr w:type="gramEnd"/>
      <w:r w:rsidR="00AF223F">
        <w:rPr>
          <w:rFonts w:ascii="Arial Narrow" w:hAnsi="Arial Narrow"/>
        </w:rPr>
        <w:t xml:space="preserve"> the process of protecting children from abuse, harm, and neglect (reference). According to (reference) having robust policies and procedures in place is essential in achieving objectives regarding the </w:t>
      </w:r>
      <w:r w:rsidR="00015387">
        <w:rPr>
          <w:rFonts w:ascii="Arial Narrow" w:hAnsi="Arial Narrow"/>
        </w:rPr>
        <w:t xml:space="preserve">recording </w:t>
      </w:r>
      <w:r w:rsidR="00AF223F">
        <w:rPr>
          <w:rFonts w:ascii="Arial Narrow" w:hAnsi="Arial Narrow"/>
        </w:rPr>
        <w:t>process whilst concurrently prioritising the safety needs of the individuals involved.</w:t>
      </w:r>
      <w:r w:rsidR="00015387">
        <w:rPr>
          <w:rFonts w:ascii="Arial Narrow" w:hAnsi="Arial Narrow"/>
        </w:rPr>
        <w:t xml:space="preserve"> </w:t>
      </w:r>
    </w:p>
    <w:p w14:paraId="7241EF42" w14:textId="77777777" w:rsidR="009D30BD" w:rsidRDefault="009D30BD" w:rsidP="00B5179C">
      <w:pPr>
        <w:spacing w:line="276" w:lineRule="auto"/>
        <w:rPr>
          <w:rFonts w:ascii="Arial Narrow" w:hAnsi="Arial Narrow"/>
        </w:rPr>
      </w:pPr>
    </w:p>
    <w:p w14:paraId="04E727AA" w14:textId="77777777" w:rsidR="009D30BD" w:rsidRPr="009D30BD" w:rsidRDefault="009D30BD" w:rsidP="009D30BD">
      <w:pPr>
        <w:spacing w:line="276" w:lineRule="auto"/>
        <w:rPr>
          <w:rFonts w:ascii="Arial Narrow" w:hAnsi="Arial Narrow"/>
        </w:rPr>
      </w:pPr>
      <w:r w:rsidRPr="009D30BD">
        <w:rPr>
          <w:rFonts w:ascii="Arial Narrow" w:hAnsi="Arial Narrow"/>
        </w:rPr>
        <w:t xml:space="preserve">Settings are required to appoint an appropriate senior member of staff who has overall responsibility for overseeing all processes, policies and procedures with regards to safeguarding and child protection concerns within the setting, </w:t>
      </w:r>
      <w:proofErr w:type="gramStart"/>
      <w:r w:rsidRPr="009D30BD">
        <w:rPr>
          <w:rFonts w:ascii="Arial Narrow" w:hAnsi="Arial Narrow"/>
        </w:rPr>
        <w:t>This</w:t>
      </w:r>
      <w:proofErr w:type="gramEnd"/>
      <w:r w:rsidRPr="009D30BD">
        <w:rPr>
          <w:rFonts w:ascii="Arial Narrow" w:hAnsi="Arial Narrow"/>
        </w:rPr>
        <w:t xml:space="preserve"> person is referred to as the Designated Safeguarding Officer. </w:t>
      </w:r>
      <w:proofErr w:type="gramStart"/>
      <w:r w:rsidRPr="009D30BD">
        <w:rPr>
          <w:rFonts w:ascii="Arial Narrow" w:hAnsi="Arial Narrow"/>
        </w:rPr>
        <w:t>However</w:t>
      </w:r>
      <w:proofErr w:type="gramEnd"/>
      <w:r w:rsidRPr="009D30BD">
        <w:rPr>
          <w:rFonts w:ascii="Arial Narrow" w:hAnsi="Arial Narrow"/>
        </w:rPr>
        <w:t xml:space="preserve"> it is vital to remember that Safeguarding is EVERYONES responsibility. It is worth noting here that there is a drive to make it an offence if it is identified that where a child has suffered serious child abuse, resulting in death or serious injury, any individuals who may have known or suspected and failed to act upon those concerns or information can be prosecuted. This puts an even bigger responsibility on practitioners to report.  </w:t>
      </w:r>
    </w:p>
    <w:p w14:paraId="32E95FF4" w14:textId="77777777" w:rsidR="009D30BD" w:rsidRPr="009D30BD" w:rsidRDefault="009D30BD" w:rsidP="009D30BD">
      <w:pPr>
        <w:spacing w:line="276" w:lineRule="auto"/>
        <w:rPr>
          <w:rFonts w:ascii="Arial Narrow" w:hAnsi="Arial Narrow"/>
        </w:rPr>
      </w:pPr>
      <w:r w:rsidRPr="009D30BD">
        <w:rPr>
          <w:rFonts w:ascii="Arial Narrow" w:hAnsi="Arial Narrow"/>
        </w:rPr>
        <w:t>All stakeholders should be made aware of who the Designated Safeguarding Officer for the setting is and how they can be contacted.</w:t>
      </w:r>
    </w:p>
    <w:p w14:paraId="3E12DA26" w14:textId="77777777" w:rsidR="009D30BD" w:rsidRPr="009D30BD" w:rsidRDefault="009D30BD" w:rsidP="009D30BD">
      <w:pPr>
        <w:spacing w:line="276" w:lineRule="auto"/>
        <w:rPr>
          <w:rFonts w:ascii="Arial Narrow" w:hAnsi="Arial Narrow"/>
        </w:rPr>
      </w:pPr>
      <w:r w:rsidRPr="009D30BD">
        <w:rPr>
          <w:rFonts w:ascii="Arial Narrow" w:hAnsi="Arial Narrow"/>
        </w:rPr>
        <w:lastRenderedPageBreak/>
        <w:t>Some of the key responsibilities of the DSO are</w:t>
      </w:r>
    </w:p>
    <w:p w14:paraId="7447BAB8" w14:textId="77777777" w:rsidR="009D30BD" w:rsidRPr="009D30BD" w:rsidRDefault="009D30BD" w:rsidP="009D30BD">
      <w:pPr>
        <w:numPr>
          <w:ilvl w:val="0"/>
          <w:numId w:val="4"/>
        </w:numPr>
        <w:spacing w:line="276" w:lineRule="auto"/>
        <w:rPr>
          <w:rFonts w:ascii="Arial Narrow" w:hAnsi="Arial Narrow"/>
        </w:rPr>
      </w:pPr>
      <w:r w:rsidRPr="009D30BD">
        <w:rPr>
          <w:rFonts w:ascii="Arial Narrow" w:hAnsi="Arial Narrow"/>
        </w:rPr>
        <w:t xml:space="preserve">Take a lead role in developing and reviewing </w:t>
      </w:r>
      <w:proofErr w:type="gramStart"/>
      <w:r w:rsidRPr="009D30BD">
        <w:rPr>
          <w:rFonts w:ascii="Arial Narrow" w:hAnsi="Arial Narrow"/>
        </w:rPr>
        <w:t>all of</w:t>
      </w:r>
      <w:proofErr w:type="gramEnd"/>
      <w:r w:rsidRPr="009D30BD">
        <w:rPr>
          <w:rFonts w:ascii="Arial Narrow" w:hAnsi="Arial Narrow"/>
        </w:rPr>
        <w:t xml:space="preserve"> the settings safeguarding and child protection policies and procedures.</w:t>
      </w:r>
    </w:p>
    <w:p w14:paraId="7ED319A7" w14:textId="77777777" w:rsidR="009D30BD" w:rsidRPr="009D30BD" w:rsidRDefault="009D30BD" w:rsidP="009D30BD">
      <w:pPr>
        <w:numPr>
          <w:ilvl w:val="0"/>
          <w:numId w:val="4"/>
        </w:numPr>
        <w:spacing w:line="276" w:lineRule="auto"/>
        <w:rPr>
          <w:rFonts w:ascii="Arial Narrow" w:hAnsi="Arial Narrow"/>
        </w:rPr>
      </w:pPr>
      <w:r w:rsidRPr="009D30BD">
        <w:rPr>
          <w:rFonts w:ascii="Arial Narrow" w:hAnsi="Arial Narrow"/>
        </w:rPr>
        <w:t>Take a lead role in implementing the settings safeguarding and child protection policies and procedures: ensuring all safeguarding and child protection issues concerning children and young people who take part in the settings activities are responded to appropriately and effectively.</w:t>
      </w:r>
    </w:p>
    <w:p w14:paraId="038C22C5" w14:textId="77777777" w:rsidR="009D30BD" w:rsidRPr="009D30BD" w:rsidRDefault="009D30BD" w:rsidP="009D30BD">
      <w:pPr>
        <w:numPr>
          <w:ilvl w:val="0"/>
          <w:numId w:val="4"/>
        </w:numPr>
        <w:spacing w:line="276" w:lineRule="auto"/>
        <w:rPr>
          <w:rFonts w:ascii="Arial Narrow" w:hAnsi="Arial Narrow"/>
        </w:rPr>
      </w:pPr>
      <w:r w:rsidRPr="009D30BD">
        <w:rPr>
          <w:rFonts w:ascii="Arial Narrow" w:hAnsi="Arial Narrow"/>
        </w:rPr>
        <w:t xml:space="preserve">Make sure that everyone working or volunteering with or for children and young people at the setting, including the board of trustees/management committee members, understands the safeguarding and child protection policy and procedures and knows what to do if they have concerns about a child’s welfare. </w:t>
      </w:r>
    </w:p>
    <w:p w14:paraId="321E7FDD" w14:textId="77777777" w:rsidR="009D30BD" w:rsidRPr="009D30BD" w:rsidRDefault="009D30BD" w:rsidP="009D30BD">
      <w:pPr>
        <w:numPr>
          <w:ilvl w:val="0"/>
          <w:numId w:val="4"/>
        </w:numPr>
        <w:spacing w:line="276" w:lineRule="auto"/>
        <w:rPr>
          <w:rFonts w:ascii="Arial Narrow" w:hAnsi="Arial Narrow"/>
        </w:rPr>
      </w:pPr>
      <w:r w:rsidRPr="009D30BD">
        <w:rPr>
          <w:rFonts w:ascii="Arial Narrow" w:hAnsi="Arial Narrow"/>
        </w:rPr>
        <w:t>Make sure children and young people who are involved in activities at the setting and their parents know who they can talk to if they have a welfare concern and understand what action the organisation will take in response</w:t>
      </w:r>
    </w:p>
    <w:p w14:paraId="571BFFC6" w14:textId="77777777" w:rsidR="009D30BD" w:rsidRPr="009D30BD" w:rsidRDefault="009D30BD" w:rsidP="009D30BD">
      <w:pPr>
        <w:numPr>
          <w:ilvl w:val="0"/>
          <w:numId w:val="4"/>
        </w:numPr>
        <w:spacing w:line="276" w:lineRule="auto"/>
        <w:rPr>
          <w:rFonts w:ascii="Arial Narrow" w:hAnsi="Arial Narrow"/>
        </w:rPr>
      </w:pPr>
      <w:r w:rsidRPr="009D30BD">
        <w:rPr>
          <w:rFonts w:ascii="Arial Narrow" w:hAnsi="Arial Narrow"/>
        </w:rPr>
        <w:t xml:space="preserve">Receive and record information from anyone who has concerns about a child who takes part in the settings activities, this should be done in </w:t>
      </w:r>
      <w:proofErr w:type="spellStart"/>
      <w:r w:rsidRPr="009D30BD">
        <w:rPr>
          <w:rFonts w:ascii="Arial Narrow" w:hAnsi="Arial Narrow"/>
        </w:rPr>
        <w:t>accordanc</w:t>
      </w:r>
      <w:proofErr w:type="spellEnd"/>
      <w:r w:rsidRPr="009D30BD">
        <w:rPr>
          <w:rFonts w:ascii="Arial Narrow" w:hAnsi="Arial Narrow"/>
        </w:rPr>
        <w:t xml:space="preserve"> with settings policies and procedures and statutory requirements. </w:t>
      </w:r>
    </w:p>
    <w:p w14:paraId="30FC9F57" w14:textId="77777777" w:rsidR="009D30BD" w:rsidRDefault="009D30BD" w:rsidP="00B5179C">
      <w:pPr>
        <w:spacing w:line="276" w:lineRule="auto"/>
        <w:rPr>
          <w:rFonts w:ascii="Arial Narrow" w:hAnsi="Arial Narrow"/>
        </w:rPr>
      </w:pPr>
    </w:p>
    <w:p w14:paraId="121FF258" w14:textId="77777777" w:rsidR="00412C00" w:rsidRDefault="00412C00" w:rsidP="00B5179C">
      <w:pPr>
        <w:spacing w:line="276" w:lineRule="auto"/>
        <w:rPr>
          <w:rFonts w:ascii="Arial Narrow" w:hAnsi="Arial Narrow"/>
        </w:rPr>
      </w:pPr>
    </w:p>
    <w:p w14:paraId="65428D84" w14:textId="77777777" w:rsidR="00412C00" w:rsidRPr="00AA689A" w:rsidRDefault="00412C00" w:rsidP="00412C00">
      <w:pPr>
        <w:spacing w:after="100" w:afterAutospacing="1"/>
        <w:rPr>
          <w:rFonts w:ascii="Muli" w:eastAsia="Times New Roman" w:hAnsi="Muli" w:cs="Times New Roman"/>
          <w:color w:val="706F6F"/>
          <w:spacing w:val="20"/>
          <w:lang w:eastAsia="en-GB"/>
        </w:rPr>
      </w:pPr>
      <w:r w:rsidRPr="00AA689A">
        <w:rPr>
          <w:rFonts w:ascii="Muli" w:eastAsia="Times New Roman" w:hAnsi="Muli" w:cs="Times New Roman"/>
          <w:color w:val="706F6F"/>
          <w:spacing w:val="20"/>
          <w:lang w:eastAsia="en-GB"/>
        </w:rPr>
        <w:t>It also involves making sure that all staff in the school are aware of their safeguarding responsibilities and ensuring that any concerns about the welfare or safety of students are reported and addressed promptly. In some cases, this may involve referring a student to social services or other external agencies for further support. </w:t>
      </w:r>
    </w:p>
    <w:p w14:paraId="24559E36" w14:textId="7F133F80" w:rsidR="00015387" w:rsidRDefault="00412C00" w:rsidP="00082DA2">
      <w:pPr>
        <w:spacing w:after="100" w:afterAutospacing="1"/>
        <w:rPr>
          <w:rFonts w:ascii="Muli" w:eastAsia="Times New Roman" w:hAnsi="Muli" w:cs="Times New Roman"/>
          <w:color w:val="706F6F"/>
          <w:spacing w:val="20"/>
          <w:lang w:eastAsia="en-GB"/>
        </w:rPr>
      </w:pPr>
      <w:r w:rsidRPr="00AA689A">
        <w:rPr>
          <w:rFonts w:ascii="Muli" w:eastAsia="Times New Roman" w:hAnsi="Muli" w:cs="Times New Roman"/>
          <w:color w:val="706F6F"/>
          <w:spacing w:val="20"/>
          <w:lang w:eastAsia="en-GB"/>
        </w:rPr>
        <w:t>By understanding what safeguarding is, teachers can create a safe and secure environment for students, helping to ensure their physical, emotional and social wellbeing.</w:t>
      </w:r>
    </w:p>
    <w:p w14:paraId="0DB9BA31" w14:textId="77777777" w:rsidR="004B6122" w:rsidRPr="004B6122" w:rsidRDefault="004B6122" w:rsidP="004B6122">
      <w:pPr>
        <w:spacing w:after="100" w:afterAutospacing="1"/>
        <w:rPr>
          <w:rFonts w:ascii="Muli" w:eastAsia="Times New Roman" w:hAnsi="Muli" w:cs="Times New Roman"/>
          <w:color w:val="706F6F"/>
          <w:spacing w:val="20"/>
          <w:lang w:eastAsia="en-GB"/>
        </w:rPr>
      </w:pPr>
      <w:r w:rsidRPr="004B6122">
        <w:rPr>
          <w:rFonts w:ascii="Muli" w:eastAsia="Times New Roman" w:hAnsi="Muli" w:cs="Times New Roman"/>
          <w:color w:val="706F6F"/>
          <w:spacing w:val="20"/>
          <w:lang w:val="en-US" w:eastAsia="en-GB"/>
        </w:rPr>
        <w:t>In 2011 the Criminal Records Bureau and Independent Safeguarding Authority merged to create the more stringent and streamlined Disclosure and Barring Service that we are now all familiar with. This gives employers and </w:t>
      </w:r>
      <w:proofErr w:type="spellStart"/>
      <w:r w:rsidRPr="004B6122">
        <w:rPr>
          <w:rFonts w:ascii="Muli" w:eastAsia="Times New Roman" w:hAnsi="Muli" w:cs="Times New Roman"/>
          <w:color w:val="706F6F"/>
          <w:spacing w:val="20"/>
          <w:lang w:val="en-US" w:eastAsia="en-GB"/>
        </w:rPr>
        <w:t>organisations</w:t>
      </w:r>
      <w:proofErr w:type="spellEnd"/>
      <w:r w:rsidRPr="004B6122">
        <w:rPr>
          <w:rFonts w:ascii="Muli" w:eastAsia="Times New Roman" w:hAnsi="Muli" w:cs="Times New Roman"/>
          <w:color w:val="706F6F"/>
          <w:spacing w:val="20"/>
          <w:lang w:val="en-US" w:eastAsia="en-GB"/>
        </w:rPr>
        <w:t> the ability to check if individuals applying to work with children or vulnerable individuals have a criminal record. </w:t>
      </w:r>
    </w:p>
    <w:p w14:paraId="3DCD4E8E" w14:textId="77777777" w:rsidR="004B6122" w:rsidRPr="00A07256" w:rsidRDefault="004B6122" w:rsidP="00082DA2">
      <w:pPr>
        <w:spacing w:after="100" w:afterAutospacing="1"/>
        <w:rPr>
          <w:rFonts w:ascii="Muli" w:eastAsia="Times New Roman" w:hAnsi="Muli" w:cs="Times New Roman"/>
          <w:color w:val="706F6F"/>
          <w:spacing w:val="20"/>
          <w:lang w:eastAsia="en-GB"/>
        </w:rPr>
      </w:pPr>
    </w:p>
    <w:p w14:paraId="7A981F9D" w14:textId="77777777" w:rsidR="00A07256" w:rsidRDefault="00A07256" w:rsidP="00B5179C">
      <w:pPr>
        <w:spacing w:line="276" w:lineRule="auto"/>
        <w:rPr>
          <w:rFonts w:ascii="Arial Narrow" w:hAnsi="Arial Narrow"/>
        </w:rPr>
      </w:pPr>
    </w:p>
    <w:p w14:paraId="7DEAE71D" w14:textId="157942F9" w:rsidR="006F3268" w:rsidRDefault="006F3268" w:rsidP="006F3268">
      <w:pPr>
        <w:spacing w:line="276" w:lineRule="auto"/>
        <w:jc w:val="both"/>
        <w:rPr>
          <w:rFonts w:ascii="Arial Narrow" w:hAnsi="Arial Narrow"/>
          <w:b/>
          <w:bCs/>
          <w:sz w:val="30"/>
          <w:szCs w:val="30"/>
        </w:rPr>
      </w:pPr>
      <w:r>
        <w:rPr>
          <w:rFonts w:ascii="Arial Narrow" w:hAnsi="Arial Narrow"/>
          <w:b/>
          <w:bCs/>
          <w:sz w:val="30"/>
          <w:szCs w:val="30"/>
        </w:rPr>
        <w:t>Reference List</w:t>
      </w:r>
    </w:p>
    <w:p w14:paraId="14B0AC7D" w14:textId="77777777" w:rsidR="0018622C" w:rsidRDefault="0018622C" w:rsidP="006E637D">
      <w:pPr>
        <w:spacing w:line="276" w:lineRule="auto"/>
        <w:rPr>
          <w:rFonts w:ascii="Arial Narrow" w:hAnsi="Arial Narrow"/>
        </w:rPr>
      </w:pPr>
    </w:p>
    <w:p w14:paraId="58D6045C" w14:textId="77777777" w:rsidR="0018622C" w:rsidRDefault="0018622C" w:rsidP="006E637D">
      <w:pPr>
        <w:spacing w:line="276" w:lineRule="auto"/>
        <w:rPr>
          <w:rFonts w:ascii="Arial Narrow" w:hAnsi="Arial Narrow"/>
        </w:rPr>
      </w:pPr>
      <w:proofErr w:type="spellStart"/>
      <w:r>
        <w:rPr>
          <w:rFonts w:ascii="Arial Narrow" w:hAnsi="Arial Narrow"/>
        </w:rPr>
        <w:t>Baginksy</w:t>
      </w:r>
      <w:proofErr w:type="spellEnd"/>
      <w:r>
        <w:rPr>
          <w:rFonts w:ascii="Arial Narrow" w:hAnsi="Arial Narrow"/>
        </w:rPr>
        <w:t xml:space="preserve">, M., </w:t>
      </w:r>
      <w:r w:rsidRPr="0018622C">
        <w:rPr>
          <w:rFonts w:ascii="Arial Narrow" w:hAnsi="Arial Narrow"/>
          <w:i/>
          <w:iCs/>
        </w:rPr>
        <w:t>et al.</w:t>
      </w:r>
      <w:r>
        <w:rPr>
          <w:rFonts w:ascii="Arial Narrow" w:hAnsi="Arial Narrow"/>
        </w:rPr>
        <w:t xml:space="preserve"> (2022) </w:t>
      </w:r>
      <w:r w:rsidRPr="0018622C">
        <w:rPr>
          <w:rFonts w:ascii="Arial Narrow" w:hAnsi="Arial Narrow"/>
          <w:i/>
          <w:iCs/>
        </w:rPr>
        <w:t>Protecting and Safeguarding Children in Schools. A Multi-Agency Approach.</w:t>
      </w:r>
      <w:r>
        <w:rPr>
          <w:rFonts w:ascii="Arial Narrow" w:hAnsi="Arial Narrow"/>
        </w:rPr>
        <w:t xml:space="preserve"> Bristol: Policy Press.</w:t>
      </w:r>
    </w:p>
    <w:p w14:paraId="1BF8707C" w14:textId="77777777" w:rsidR="0018622C" w:rsidRDefault="0018622C" w:rsidP="006E637D">
      <w:pPr>
        <w:spacing w:line="276" w:lineRule="auto"/>
        <w:rPr>
          <w:rFonts w:ascii="Arial Narrow" w:hAnsi="Arial Narrow"/>
        </w:rPr>
      </w:pPr>
    </w:p>
    <w:p w14:paraId="5D0D54A6" w14:textId="36012D2A" w:rsidR="0018622C" w:rsidRDefault="0018622C" w:rsidP="006E637D">
      <w:pPr>
        <w:spacing w:line="276" w:lineRule="auto"/>
        <w:rPr>
          <w:rFonts w:ascii="Arial Narrow" w:hAnsi="Arial Narrow"/>
        </w:rPr>
      </w:pPr>
      <w:proofErr w:type="spellStart"/>
      <w:r>
        <w:rPr>
          <w:rFonts w:ascii="Arial Narrow" w:hAnsi="Arial Narrow"/>
        </w:rPr>
        <w:t>Bentovin</w:t>
      </w:r>
      <w:proofErr w:type="spellEnd"/>
      <w:r>
        <w:rPr>
          <w:rFonts w:ascii="Arial Narrow" w:hAnsi="Arial Narrow"/>
        </w:rPr>
        <w:t xml:space="preserve"> (2018) </w:t>
      </w:r>
      <w:r w:rsidRPr="006E637D">
        <w:rPr>
          <w:rFonts w:ascii="Arial Narrow" w:hAnsi="Arial Narrow"/>
          <w:i/>
          <w:iCs/>
        </w:rPr>
        <w:t>Trauma-Organized Systems. Physical and Sexual Abuse in Families</w:t>
      </w:r>
      <w:r>
        <w:rPr>
          <w:rFonts w:ascii="Arial Narrow" w:hAnsi="Arial Narrow"/>
        </w:rPr>
        <w:t>. London: Routledge.</w:t>
      </w:r>
    </w:p>
    <w:p w14:paraId="4A4BEAC6" w14:textId="77777777" w:rsidR="002B7E45" w:rsidRDefault="0018622C" w:rsidP="002B7E45">
      <w:pPr>
        <w:pStyle w:val="Heading1"/>
        <w:spacing w:line="276" w:lineRule="auto"/>
        <w:rPr>
          <w:rFonts w:ascii="Arial Narrow" w:hAnsi="Arial Narrow" w:cs="Open Sans"/>
          <w:color w:val="000000" w:themeColor="text1"/>
          <w:sz w:val="24"/>
          <w:szCs w:val="24"/>
        </w:rPr>
      </w:pPr>
      <w:r w:rsidRPr="0018622C">
        <w:rPr>
          <w:rFonts w:ascii="Arial Narrow" w:hAnsi="Arial Narrow"/>
          <w:color w:val="000000" w:themeColor="text1"/>
          <w:sz w:val="24"/>
          <w:szCs w:val="24"/>
        </w:rPr>
        <w:lastRenderedPageBreak/>
        <w:t>Bradwell, M. and Bending, H. (2021) ‘</w:t>
      </w:r>
      <w:r w:rsidRPr="0018622C">
        <w:rPr>
          <w:rFonts w:ascii="Arial Narrow" w:hAnsi="Arial Narrow" w:cs="Open Sans"/>
          <w:color w:val="000000" w:themeColor="text1"/>
          <w:sz w:val="24"/>
          <w:szCs w:val="24"/>
        </w:rPr>
        <w:t>“I’m just a TA”; From mixing paints to managing safeguarding and class teaching: An exploration of teaching assistant's perceptions and roles in school</w:t>
      </w:r>
      <w:r>
        <w:rPr>
          <w:rFonts w:ascii="Arial Narrow" w:hAnsi="Arial Narrow" w:cs="Open Sans"/>
          <w:color w:val="000000" w:themeColor="text1"/>
          <w:sz w:val="24"/>
          <w:szCs w:val="24"/>
        </w:rPr>
        <w:t xml:space="preserve">’, </w:t>
      </w:r>
      <w:r w:rsidRPr="0018622C">
        <w:rPr>
          <w:rFonts w:ascii="Arial Narrow" w:hAnsi="Arial Narrow" w:cs="Open Sans"/>
          <w:i/>
          <w:iCs/>
          <w:color w:val="000000" w:themeColor="text1"/>
          <w:sz w:val="24"/>
          <w:szCs w:val="24"/>
        </w:rPr>
        <w:t xml:space="preserve">Management in Education, </w:t>
      </w:r>
      <w:r>
        <w:rPr>
          <w:rFonts w:ascii="Arial Narrow" w:hAnsi="Arial Narrow" w:cs="Open Sans"/>
          <w:color w:val="000000" w:themeColor="text1"/>
          <w:sz w:val="24"/>
          <w:szCs w:val="24"/>
        </w:rPr>
        <w:t>38(3), pp. 120-124.</w:t>
      </w:r>
      <w:r w:rsidR="002B7E45">
        <w:rPr>
          <w:rFonts w:ascii="Arial Narrow" w:hAnsi="Arial Narrow" w:cs="Open Sans"/>
          <w:color w:val="000000" w:themeColor="text1"/>
          <w:sz w:val="24"/>
          <w:szCs w:val="24"/>
        </w:rPr>
        <w:t xml:space="preserve"> </w:t>
      </w:r>
    </w:p>
    <w:p w14:paraId="3844A18A" w14:textId="17751638" w:rsidR="0018622C" w:rsidRPr="0018622C" w:rsidRDefault="002B7E45" w:rsidP="002B7E45">
      <w:pPr>
        <w:pStyle w:val="Heading1"/>
        <w:spacing w:line="276" w:lineRule="auto"/>
        <w:rPr>
          <w:rFonts w:ascii="Arial Narrow" w:hAnsi="Arial Narrow" w:cs="Open Sans"/>
          <w:color w:val="000000" w:themeColor="text1"/>
          <w:sz w:val="24"/>
          <w:szCs w:val="24"/>
        </w:rPr>
      </w:pPr>
      <w:proofErr w:type="spellStart"/>
      <w:r>
        <w:rPr>
          <w:rFonts w:ascii="Arial Narrow" w:hAnsi="Arial Narrow" w:cs="Open Sans"/>
          <w:color w:val="000000" w:themeColor="text1"/>
          <w:sz w:val="24"/>
          <w:szCs w:val="24"/>
        </w:rPr>
        <w:t>Buitelaar</w:t>
      </w:r>
      <w:proofErr w:type="spellEnd"/>
      <w:r>
        <w:rPr>
          <w:rFonts w:ascii="Arial Narrow" w:hAnsi="Arial Narrow" w:cs="Open Sans"/>
          <w:color w:val="000000" w:themeColor="text1"/>
          <w:sz w:val="24"/>
          <w:szCs w:val="24"/>
        </w:rPr>
        <w:t>, J. C. (2018) ‘</w:t>
      </w:r>
      <w:r w:rsidRPr="002B7E45">
        <w:rPr>
          <w:rFonts w:ascii="Arial Narrow" w:hAnsi="Arial Narrow"/>
          <w:color w:val="2A2A2A"/>
          <w:sz w:val="24"/>
          <w:szCs w:val="24"/>
          <w:shd w:val="clear" w:color="auto" w:fill="FFFFFF"/>
        </w:rPr>
        <w:t>Child’s best interest and informational self-determination: what the GDPR ca</w:t>
      </w:r>
      <w:r>
        <w:rPr>
          <w:rFonts w:ascii="Arial Narrow" w:hAnsi="Arial Narrow"/>
          <w:color w:val="2A2A2A"/>
          <w:sz w:val="24"/>
          <w:szCs w:val="24"/>
          <w:shd w:val="clear" w:color="auto" w:fill="FFFFFF"/>
        </w:rPr>
        <w:t xml:space="preserve">n </w:t>
      </w:r>
      <w:r w:rsidRPr="002B7E45">
        <w:rPr>
          <w:rFonts w:ascii="Arial Narrow" w:hAnsi="Arial Narrow"/>
          <w:color w:val="2A2A2A"/>
          <w:sz w:val="24"/>
          <w:szCs w:val="24"/>
          <w:shd w:val="clear" w:color="auto" w:fill="FFFFFF"/>
        </w:rPr>
        <w:t>learn from children’s right</w:t>
      </w:r>
      <w:r>
        <w:rPr>
          <w:rFonts w:ascii="Arial Narrow" w:hAnsi="Arial Narrow"/>
          <w:color w:val="2A2A2A"/>
          <w:sz w:val="24"/>
          <w:szCs w:val="24"/>
          <w:shd w:val="clear" w:color="auto" w:fill="FFFFFF"/>
        </w:rPr>
        <w:t xml:space="preserve">s’, </w:t>
      </w:r>
      <w:r w:rsidRPr="002B7E45">
        <w:rPr>
          <w:rFonts w:ascii="Arial Narrow" w:hAnsi="Arial Narrow"/>
          <w:i/>
          <w:iCs/>
          <w:color w:val="2A2A2A"/>
          <w:sz w:val="24"/>
          <w:szCs w:val="24"/>
          <w:shd w:val="clear" w:color="auto" w:fill="FFFFFF"/>
        </w:rPr>
        <w:t>International Data Privacy Law</w:t>
      </w:r>
      <w:r>
        <w:rPr>
          <w:rFonts w:ascii="Arial Narrow" w:hAnsi="Arial Narrow"/>
          <w:color w:val="2A2A2A"/>
          <w:sz w:val="24"/>
          <w:szCs w:val="24"/>
          <w:shd w:val="clear" w:color="auto" w:fill="FFFFFF"/>
        </w:rPr>
        <w:t>, 8(4), pp. 293-308.</w:t>
      </w:r>
    </w:p>
    <w:p w14:paraId="641EC4AF" w14:textId="6733811E" w:rsidR="0018622C" w:rsidRDefault="0018622C" w:rsidP="0018622C">
      <w:pPr>
        <w:pStyle w:val="Heading1"/>
        <w:spacing w:line="276" w:lineRule="auto"/>
        <w:rPr>
          <w:rFonts w:ascii="Arial Narrow" w:hAnsi="Arial Narrow" w:cs="Open Sans"/>
          <w:color w:val="000000" w:themeColor="text1"/>
          <w:sz w:val="24"/>
          <w:szCs w:val="24"/>
        </w:rPr>
      </w:pPr>
      <w:r w:rsidRPr="0018622C">
        <w:rPr>
          <w:rFonts w:ascii="Arial Narrow" w:hAnsi="Arial Narrow"/>
          <w:color w:val="000000" w:themeColor="text1"/>
          <w:sz w:val="24"/>
          <w:szCs w:val="24"/>
          <w:lang w:eastAsia="en-GB"/>
        </w:rPr>
        <w:t xml:space="preserve">Callaghan, J. E. M., et al. (2018) </w:t>
      </w:r>
      <w:r w:rsidRPr="0018622C">
        <w:rPr>
          <w:rFonts w:ascii="Arial Narrow" w:hAnsi="Arial Narrow" w:cs="Open Sans"/>
          <w:color w:val="000000" w:themeColor="text1"/>
          <w:sz w:val="24"/>
          <w:szCs w:val="24"/>
        </w:rPr>
        <w:t>Beyond “Witnessing”: Children’s Experiences of Coercive Control in Domestic Violence and Abuse</w:t>
      </w:r>
      <w:r>
        <w:rPr>
          <w:rFonts w:ascii="Arial Narrow" w:hAnsi="Arial Narrow" w:cs="Open Sans"/>
          <w:color w:val="000000" w:themeColor="text1"/>
          <w:sz w:val="24"/>
          <w:szCs w:val="24"/>
        </w:rPr>
        <w:t xml:space="preserve">’, </w:t>
      </w:r>
      <w:r w:rsidRPr="0018622C">
        <w:rPr>
          <w:rFonts w:ascii="Arial Narrow" w:hAnsi="Arial Narrow" w:cs="Open Sans"/>
          <w:i/>
          <w:iCs/>
          <w:color w:val="000000" w:themeColor="text1"/>
          <w:sz w:val="24"/>
          <w:szCs w:val="24"/>
        </w:rPr>
        <w:t>Journal of Interpersonal Violence</w:t>
      </w:r>
      <w:r>
        <w:rPr>
          <w:rFonts w:ascii="Arial Narrow" w:hAnsi="Arial Narrow" w:cs="Open Sans"/>
          <w:color w:val="000000" w:themeColor="text1"/>
          <w:sz w:val="24"/>
          <w:szCs w:val="24"/>
        </w:rPr>
        <w:t>, 33(10), pp. 1551-1581.</w:t>
      </w:r>
    </w:p>
    <w:p w14:paraId="3DF99D5A" w14:textId="77777777" w:rsidR="00F877C3" w:rsidRDefault="00F877C3" w:rsidP="00F877C3">
      <w:pPr>
        <w:rPr>
          <w:lang w:eastAsia="en-GB"/>
        </w:rPr>
      </w:pPr>
    </w:p>
    <w:p w14:paraId="2E416EA9" w14:textId="3BED4E9E" w:rsidR="00717D4E" w:rsidRPr="00717D4E" w:rsidRDefault="00F877C3" w:rsidP="00717D4E">
      <w:pPr>
        <w:rPr>
          <w:rFonts w:ascii="Arial Narrow" w:hAnsi="Arial Narrow"/>
          <w:color w:val="000000" w:themeColor="text1"/>
        </w:rPr>
      </w:pPr>
      <w:r w:rsidRPr="008F5576">
        <w:rPr>
          <w:rFonts w:ascii="Arial Narrow" w:eastAsia="Aptos" w:hAnsi="Arial Narrow" w:cs="Aptos"/>
          <w:i/>
          <w:iCs/>
          <w:color w:val="000000" w:themeColor="text1"/>
        </w:rPr>
        <w:t>Care Standards Act 2000,</w:t>
      </w:r>
      <w:r w:rsidRPr="008641AD">
        <w:rPr>
          <w:rFonts w:ascii="Arial Narrow" w:eastAsia="Aptos" w:hAnsi="Arial Narrow" w:cs="Aptos"/>
          <w:color w:val="000000" w:themeColor="text1"/>
        </w:rPr>
        <w:t xml:space="preserve"> c. </w:t>
      </w:r>
      <w:r w:rsidRPr="008641AD">
        <w:rPr>
          <w:rFonts w:ascii="Arial Narrow" w:eastAsia="Times New Roman" w:hAnsi="Arial Narrow" w:cs="Times New Roman"/>
          <w:color w:val="000000" w:themeColor="text1"/>
        </w:rPr>
        <w:t xml:space="preserve">14. Available at: </w:t>
      </w:r>
      <w:hyperlink r:id="rId5">
        <w:r w:rsidRPr="008641AD">
          <w:rPr>
            <w:rStyle w:val="Hyperlink"/>
            <w:rFonts w:ascii="Arial Narrow" w:eastAsia="Aptos" w:hAnsi="Arial Narrow" w:cs="Aptos"/>
            <w:color w:val="000000" w:themeColor="text1"/>
          </w:rPr>
          <w:t>https://www.legislation.gov.uk/ukpga/2000/14/contents</w:t>
        </w:r>
      </w:hyperlink>
      <w:r w:rsidRPr="008641AD">
        <w:rPr>
          <w:rFonts w:ascii="Arial Narrow" w:eastAsia="Aptos" w:hAnsi="Arial Narrow" w:cs="Aptos"/>
          <w:color w:val="000000" w:themeColor="text1"/>
        </w:rPr>
        <w:t xml:space="preserve"> (Accessed: 26th June 2024).</w:t>
      </w:r>
      <w:r w:rsidRPr="008641AD">
        <w:rPr>
          <w:rFonts w:ascii="Arial Narrow" w:eastAsia="Aptos" w:hAnsi="Arial Narrow" w:cs="Aptos"/>
          <w:color w:val="000000" w:themeColor="text1"/>
          <w:lang w:val="en-US"/>
        </w:rPr>
        <w:t xml:space="preserve"> </w:t>
      </w:r>
    </w:p>
    <w:p w14:paraId="1F3F1AB2" w14:textId="77777777" w:rsidR="00717D4E" w:rsidRDefault="00717D4E" w:rsidP="006E637D">
      <w:pPr>
        <w:spacing w:line="276" w:lineRule="auto"/>
        <w:rPr>
          <w:rFonts w:ascii="Arial Narrow" w:hAnsi="Arial Narrow"/>
        </w:rPr>
      </w:pPr>
    </w:p>
    <w:p w14:paraId="52EFD536" w14:textId="77777777" w:rsidR="00717D4E" w:rsidRDefault="00717D4E" w:rsidP="00717D4E">
      <w:pPr>
        <w:rPr>
          <w:rFonts w:ascii="Arial Narrow" w:eastAsia="Aptos" w:hAnsi="Arial Narrow" w:cs="Aptos"/>
          <w:color w:val="000000" w:themeColor="text1"/>
        </w:rPr>
      </w:pPr>
      <w:r w:rsidRPr="008F5576">
        <w:rPr>
          <w:rFonts w:ascii="Arial Narrow" w:eastAsia="Aptos" w:hAnsi="Arial Narrow" w:cs="Aptos"/>
          <w:i/>
          <w:iCs/>
          <w:color w:val="000000" w:themeColor="text1"/>
        </w:rPr>
        <w:t>Children Act 1989</w:t>
      </w:r>
      <w:r w:rsidRPr="008F5576">
        <w:rPr>
          <w:rFonts w:ascii="Arial Narrow" w:eastAsia="Times New Roman" w:hAnsi="Arial Narrow" w:cs="Times New Roman"/>
          <w:i/>
          <w:iCs/>
          <w:color w:val="000000" w:themeColor="text1"/>
        </w:rPr>
        <w:t>,</w:t>
      </w:r>
      <w:r w:rsidRPr="008641AD">
        <w:rPr>
          <w:rFonts w:ascii="Arial Narrow" w:eastAsia="Times New Roman" w:hAnsi="Arial Narrow" w:cs="Times New Roman"/>
          <w:color w:val="000000" w:themeColor="text1"/>
        </w:rPr>
        <w:t xml:space="preserve"> </w:t>
      </w:r>
      <w:r w:rsidRPr="008641AD">
        <w:rPr>
          <w:rFonts w:ascii="Arial Narrow" w:eastAsia="Aptos" w:hAnsi="Arial Narrow" w:cs="Aptos"/>
          <w:color w:val="000000" w:themeColor="text1"/>
        </w:rPr>
        <w:t>c. 4</w:t>
      </w:r>
      <w:r w:rsidRPr="008641AD">
        <w:rPr>
          <w:rFonts w:ascii="Arial Narrow" w:eastAsia="Times New Roman" w:hAnsi="Arial Narrow" w:cs="Times New Roman"/>
          <w:color w:val="000000" w:themeColor="text1"/>
        </w:rPr>
        <w:t xml:space="preserve">1. Available at: </w:t>
      </w:r>
      <w:hyperlink r:id="rId6">
        <w:r w:rsidRPr="008641AD">
          <w:rPr>
            <w:rStyle w:val="Hyperlink"/>
            <w:rFonts w:ascii="Arial Narrow" w:eastAsia="Aptos" w:hAnsi="Arial Narrow" w:cs="Aptos"/>
            <w:color w:val="000000" w:themeColor="text1"/>
          </w:rPr>
          <w:t>https://www.legislation.gov.uk/ukpga/1989/41/section/47</w:t>
        </w:r>
      </w:hyperlink>
      <w:r w:rsidRPr="008641AD">
        <w:rPr>
          <w:rFonts w:ascii="Arial Narrow" w:eastAsia="Aptos" w:hAnsi="Arial Narrow" w:cs="Aptos"/>
          <w:color w:val="000000" w:themeColor="text1"/>
        </w:rPr>
        <w:t xml:space="preserve"> (Accessed: 26th June 2024).  </w:t>
      </w:r>
    </w:p>
    <w:p w14:paraId="548CA77F" w14:textId="77777777" w:rsidR="00717D4E" w:rsidRPr="008641AD" w:rsidRDefault="00717D4E" w:rsidP="00717D4E">
      <w:pPr>
        <w:rPr>
          <w:rFonts w:ascii="Arial Narrow" w:hAnsi="Arial Narrow"/>
          <w:color w:val="000000" w:themeColor="text1"/>
        </w:rPr>
      </w:pPr>
    </w:p>
    <w:p w14:paraId="55D35B72" w14:textId="77777777" w:rsidR="00717D4E" w:rsidRPr="0018622C" w:rsidRDefault="00717D4E" w:rsidP="0018622C">
      <w:pPr>
        <w:rPr>
          <w:rFonts w:ascii="Arial Narrow" w:hAnsi="Arial Narrow"/>
          <w:color w:val="000000" w:themeColor="text1"/>
        </w:rPr>
      </w:pPr>
      <w:r w:rsidRPr="008F5576">
        <w:rPr>
          <w:rFonts w:ascii="Arial Narrow" w:eastAsia="Times New Roman" w:hAnsi="Arial Narrow" w:cs="Times New Roman"/>
          <w:i/>
          <w:iCs/>
          <w:color w:val="000000" w:themeColor="text1"/>
        </w:rPr>
        <w:t>Children Act 2004</w:t>
      </w:r>
      <w:r w:rsidRPr="008F5576">
        <w:rPr>
          <w:rFonts w:ascii="Arial Narrow" w:eastAsia="Aptos" w:hAnsi="Arial Narrow" w:cs="Aptos"/>
          <w:i/>
          <w:iCs/>
          <w:color w:val="000000" w:themeColor="text1"/>
        </w:rPr>
        <w:t>,</w:t>
      </w:r>
      <w:r w:rsidRPr="008641AD">
        <w:rPr>
          <w:rFonts w:ascii="Arial Narrow" w:eastAsia="Aptos" w:hAnsi="Arial Narrow" w:cs="Aptos"/>
          <w:color w:val="000000" w:themeColor="text1"/>
        </w:rPr>
        <w:t xml:space="preserve"> c. 31. Available at: </w:t>
      </w:r>
      <w:hyperlink r:id="rId7">
        <w:r w:rsidRPr="008641AD">
          <w:rPr>
            <w:rStyle w:val="Hyperlink"/>
            <w:rFonts w:ascii="Arial Narrow" w:eastAsia="Aptos" w:hAnsi="Arial Narrow" w:cs="Aptos"/>
            <w:color w:val="000000" w:themeColor="text1"/>
          </w:rPr>
          <w:t>https://www.legislation.gov.uk/ukpga/2004/31/contents</w:t>
        </w:r>
      </w:hyperlink>
      <w:r w:rsidRPr="008641AD">
        <w:rPr>
          <w:rFonts w:ascii="Arial Narrow" w:eastAsia="Aptos" w:hAnsi="Arial Narrow" w:cs="Aptos"/>
          <w:color w:val="000000" w:themeColor="text1"/>
        </w:rPr>
        <w:t xml:space="preserve"> (Accessed:</w:t>
      </w:r>
      <w:r>
        <w:rPr>
          <w:rFonts w:ascii="Arial Narrow" w:eastAsia="Aptos" w:hAnsi="Arial Narrow" w:cs="Aptos"/>
          <w:color w:val="000000" w:themeColor="text1"/>
        </w:rPr>
        <w:t xml:space="preserve"> 9</w:t>
      </w:r>
      <w:r w:rsidRPr="0018622C">
        <w:rPr>
          <w:rFonts w:ascii="Arial Narrow" w:eastAsia="Aptos" w:hAnsi="Arial Narrow" w:cs="Aptos"/>
          <w:color w:val="000000" w:themeColor="text1"/>
          <w:vertAlign w:val="superscript"/>
        </w:rPr>
        <w:t>th</w:t>
      </w:r>
      <w:r>
        <w:rPr>
          <w:rFonts w:ascii="Arial Narrow" w:eastAsia="Aptos" w:hAnsi="Arial Narrow" w:cs="Aptos"/>
          <w:color w:val="000000" w:themeColor="text1"/>
        </w:rPr>
        <w:t xml:space="preserve"> </w:t>
      </w:r>
      <w:r w:rsidRPr="008641AD">
        <w:rPr>
          <w:rFonts w:ascii="Arial Narrow" w:eastAsia="Aptos" w:hAnsi="Arial Narrow" w:cs="Aptos"/>
          <w:color w:val="000000" w:themeColor="text1"/>
        </w:rPr>
        <w:t xml:space="preserve">July 2024). </w:t>
      </w:r>
    </w:p>
    <w:p w14:paraId="2DC20958" w14:textId="77777777" w:rsidR="00717D4E" w:rsidRDefault="00717D4E" w:rsidP="006E637D">
      <w:pPr>
        <w:spacing w:line="276" w:lineRule="auto"/>
        <w:rPr>
          <w:rFonts w:ascii="Arial Narrow" w:hAnsi="Arial Narrow"/>
        </w:rPr>
      </w:pPr>
    </w:p>
    <w:p w14:paraId="64B0097A" w14:textId="6958FB9F" w:rsidR="0018622C" w:rsidRPr="0018622C" w:rsidRDefault="0018622C" w:rsidP="0018622C">
      <w:pPr>
        <w:rPr>
          <w:rFonts w:ascii="Arial Narrow" w:hAnsi="Arial Narrow"/>
          <w:color w:val="000000" w:themeColor="text1"/>
        </w:rPr>
      </w:pPr>
      <w:r w:rsidRPr="008F5576">
        <w:rPr>
          <w:rFonts w:ascii="Arial Narrow" w:eastAsia="Aptos" w:hAnsi="Arial Narrow" w:cs="Aptos"/>
          <w:i/>
          <w:iCs/>
          <w:color w:val="000000" w:themeColor="text1"/>
          <w:lang w:val="en"/>
        </w:rPr>
        <w:t>Education Act 2002</w:t>
      </w:r>
      <w:r w:rsidRPr="008641AD">
        <w:rPr>
          <w:rFonts w:ascii="Arial Narrow" w:eastAsia="Times New Roman" w:hAnsi="Arial Narrow" w:cs="Times New Roman"/>
          <w:color w:val="000000" w:themeColor="text1"/>
        </w:rPr>
        <w:t xml:space="preserve">, </w:t>
      </w:r>
      <w:r w:rsidRPr="008641AD">
        <w:rPr>
          <w:rFonts w:ascii="Arial Narrow" w:eastAsia="Aptos" w:hAnsi="Arial Narrow" w:cs="Aptos"/>
          <w:color w:val="000000" w:themeColor="text1"/>
          <w:lang w:val="en"/>
        </w:rPr>
        <w:t xml:space="preserve">c. </w:t>
      </w:r>
      <w:r w:rsidRPr="008641AD">
        <w:rPr>
          <w:rFonts w:ascii="Arial Narrow" w:eastAsia="Times New Roman" w:hAnsi="Arial Narrow" w:cs="Times New Roman"/>
          <w:color w:val="000000" w:themeColor="text1"/>
          <w:lang w:val="en"/>
        </w:rPr>
        <w:t xml:space="preserve">32. Available at: </w:t>
      </w:r>
      <w:hyperlink r:id="rId8">
        <w:r w:rsidRPr="008641AD">
          <w:rPr>
            <w:rStyle w:val="Hyperlink"/>
            <w:rFonts w:ascii="Arial Narrow" w:eastAsia="Aptos" w:hAnsi="Arial Narrow" w:cs="Aptos"/>
            <w:color w:val="000000" w:themeColor="text1"/>
            <w:lang w:val="en"/>
          </w:rPr>
          <w:t>https://www.legislation.gov.uk/ukpga/2002/32/contents</w:t>
        </w:r>
      </w:hyperlink>
      <w:r w:rsidRPr="008641AD">
        <w:rPr>
          <w:rFonts w:ascii="Arial Narrow" w:eastAsia="Aptos" w:hAnsi="Arial Narrow" w:cs="Aptos"/>
          <w:color w:val="000000" w:themeColor="text1"/>
          <w:lang w:val="en"/>
        </w:rPr>
        <w:t xml:space="preserve"> (Accessed: </w:t>
      </w:r>
      <w:r>
        <w:rPr>
          <w:rFonts w:ascii="Arial Narrow" w:eastAsia="Aptos" w:hAnsi="Arial Narrow" w:cs="Aptos"/>
          <w:color w:val="000000" w:themeColor="text1"/>
          <w:lang w:val="en"/>
        </w:rPr>
        <w:t>9</w:t>
      </w:r>
      <w:r w:rsidRPr="0018622C">
        <w:rPr>
          <w:rFonts w:ascii="Arial Narrow" w:eastAsia="Aptos" w:hAnsi="Arial Narrow" w:cs="Aptos"/>
          <w:color w:val="000000" w:themeColor="text1"/>
          <w:vertAlign w:val="superscript"/>
          <w:lang w:val="en"/>
        </w:rPr>
        <w:t>th</w:t>
      </w:r>
      <w:r>
        <w:rPr>
          <w:rFonts w:ascii="Arial Narrow" w:eastAsia="Aptos" w:hAnsi="Arial Narrow" w:cs="Aptos"/>
          <w:color w:val="000000" w:themeColor="text1"/>
          <w:lang w:val="en"/>
        </w:rPr>
        <w:t xml:space="preserve"> July</w:t>
      </w:r>
      <w:r w:rsidRPr="008641AD">
        <w:rPr>
          <w:rFonts w:ascii="Arial Narrow" w:eastAsia="Times New Roman" w:hAnsi="Arial Narrow" w:cs="Times New Roman"/>
          <w:color w:val="000000" w:themeColor="text1"/>
          <w:lang w:val="en"/>
        </w:rPr>
        <w:t xml:space="preserve"> 2024).</w:t>
      </w:r>
      <w:r w:rsidRPr="008641AD">
        <w:rPr>
          <w:rFonts w:ascii="Arial Narrow" w:eastAsia="Aptos" w:hAnsi="Arial Narrow" w:cs="Aptos"/>
          <w:color w:val="000000" w:themeColor="text1"/>
          <w:lang w:val="en-US"/>
        </w:rPr>
        <w:t xml:space="preserve"> </w:t>
      </w:r>
    </w:p>
    <w:p w14:paraId="36A37D05" w14:textId="77777777" w:rsidR="0045197F" w:rsidRDefault="0045197F" w:rsidP="006E637D">
      <w:pPr>
        <w:spacing w:line="276" w:lineRule="auto"/>
        <w:rPr>
          <w:rFonts w:ascii="Arial Narrow" w:hAnsi="Arial Narrow"/>
        </w:rPr>
      </w:pPr>
    </w:p>
    <w:p w14:paraId="4ECC2BB7" w14:textId="3D0E0FB5" w:rsidR="0045197F" w:rsidRDefault="0045197F" w:rsidP="0045197F">
      <w:pPr>
        <w:rPr>
          <w:rFonts w:ascii="Arial Narrow" w:eastAsia="Aptos" w:hAnsi="Arial Narrow" w:cs="Aptos"/>
          <w:color w:val="000000" w:themeColor="text1"/>
          <w:lang w:val="en-US"/>
        </w:rPr>
      </w:pPr>
      <w:r w:rsidRPr="008641AD">
        <w:rPr>
          <w:rFonts w:ascii="Arial Narrow" w:eastAsia="Aptos" w:hAnsi="Arial Narrow" w:cs="Aptos"/>
          <w:color w:val="000000" w:themeColor="text1"/>
          <w:lang w:val="en"/>
        </w:rPr>
        <w:t xml:space="preserve">Firmin, C. (2020) </w:t>
      </w:r>
      <w:r w:rsidRPr="00D72AD6">
        <w:rPr>
          <w:rFonts w:ascii="Arial Narrow" w:eastAsia="Times New Roman" w:hAnsi="Arial Narrow" w:cs="Times New Roman"/>
          <w:i/>
          <w:iCs/>
          <w:color w:val="000000" w:themeColor="text1"/>
          <w:lang w:val="en"/>
        </w:rPr>
        <w:t>Contextual Safeguarding and Child Protection.</w:t>
      </w:r>
      <w:r w:rsidRPr="008641AD">
        <w:rPr>
          <w:rFonts w:ascii="Arial Narrow" w:eastAsia="Times New Roman" w:hAnsi="Arial Narrow" w:cs="Times New Roman"/>
          <w:color w:val="000000" w:themeColor="text1"/>
          <w:lang w:val="en"/>
        </w:rPr>
        <w:t xml:space="preserve"> London: Routledge.</w:t>
      </w:r>
      <w:r w:rsidRPr="008641AD">
        <w:rPr>
          <w:rFonts w:ascii="Arial Narrow" w:eastAsia="Aptos" w:hAnsi="Arial Narrow" w:cs="Aptos"/>
          <w:color w:val="000000" w:themeColor="text1"/>
          <w:lang w:val="en-US"/>
        </w:rPr>
        <w:t xml:space="preserve"> </w:t>
      </w:r>
    </w:p>
    <w:p w14:paraId="4C61D0CF" w14:textId="77777777" w:rsidR="00F877C3" w:rsidRDefault="00F877C3" w:rsidP="0045197F">
      <w:pPr>
        <w:rPr>
          <w:rFonts w:ascii="Arial Narrow" w:eastAsia="Aptos" w:hAnsi="Arial Narrow" w:cs="Aptos"/>
          <w:color w:val="000000" w:themeColor="text1"/>
          <w:lang w:val="en-US"/>
        </w:rPr>
      </w:pPr>
    </w:p>
    <w:p w14:paraId="5A8EDA29" w14:textId="14C5B3A3" w:rsidR="00F877C3" w:rsidRPr="00F877C3" w:rsidRDefault="00F877C3" w:rsidP="0045197F">
      <w:pPr>
        <w:rPr>
          <w:rFonts w:ascii="Arial Narrow" w:hAnsi="Arial Narrow"/>
          <w:color w:val="000000" w:themeColor="text1"/>
        </w:rPr>
      </w:pPr>
      <w:r w:rsidRPr="00F877C3">
        <w:rPr>
          <w:rFonts w:ascii="Arial Narrow" w:eastAsia="Aptos" w:hAnsi="Arial Narrow" w:cs="Aptos"/>
          <w:i/>
          <w:iCs/>
          <w:color w:val="000000" w:themeColor="text1"/>
          <w:lang w:val="en-US"/>
        </w:rPr>
        <w:t>General Data Protection Regulation 200</w:t>
      </w:r>
      <w:r>
        <w:rPr>
          <w:rFonts w:ascii="Arial Narrow" w:eastAsia="Aptos" w:hAnsi="Arial Narrow" w:cs="Aptos"/>
          <w:i/>
          <w:iCs/>
          <w:color w:val="000000" w:themeColor="text1"/>
          <w:lang w:val="en-US"/>
        </w:rPr>
        <w:t xml:space="preserve">4, </w:t>
      </w:r>
      <w:r>
        <w:rPr>
          <w:rFonts w:ascii="Arial Narrow" w:eastAsia="Aptos" w:hAnsi="Arial Narrow" w:cs="Aptos"/>
          <w:color w:val="000000" w:themeColor="text1"/>
          <w:lang w:val="en-US"/>
        </w:rPr>
        <w:t xml:space="preserve">c. 3. Available at: </w:t>
      </w:r>
      <w:hyperlink r:id="rId9" w:history="1">
        <w:r w:rsidRPr="002708A8">
          <w:rPr>
            <w:rStyle w:val="Hyperlink"/>
            <w:rFonts w:ascii="Arial Narrow" w:eastAsia="Aptos" w:hAnsi="Arial Narrow" w:cs="Aptos"/>
            <w:lang w:val="en-US"/>
          </w:rPr>
          <w:t>https://gdpr-info.eu</w:t>
        </w:r>
      </w:hyperlink>
      <w:r>
        <w:rPr>
          <w:rFonts w:ascii="Arial Narrow" w:eastAsia="Aptos" w:hAnsi="Arial Narrow" w:cs="Aptos"/>
          <w:color w:val="000000" w:themeColor="text1"/>
          <w:lang w:val="en-US"/>
        </w:rPr>
        <w:t xml:space="preserve"> (</w:t>
      </w:r>
      <w:proofErr w:type="spellStart"/>
      <w:r>
        <w:rPr>
          <w:rFonts w:ascii="Arial Narrow" w:eastAsia="Aptos" w:hAnsi="Arial Narrow" w:cs="Aptos"/>
          <w:color w:val="000000" w:themeColor="text1"/>
          <w:lang w:val="en-US"/>
        </w:rPr>
        <w:t>Accesssed</w:t>
      </w:r>
      <w:proofErr w:type="spellEnd"/>
      <w:r>
        <w:rPr>
          <w:rFonts w:ascii="Arial Narrow" w:eastAsia="Aptos" w:hAnsi="Arial Narrow" w:cs="Aptos"/>
          <w:color w:val="000000" w:themeColor="text1"/>
          <w:lang w:val="en-US"/>
        </w:rPr>
        <w:t>: 9</w:t>
      </w:r>
      <w:r w:rsidRPr="00F877C3">
        <w:rPr>
          <w:rFonts w:ascii="Arial Narrow" w:eastAsia="Aptos" w:hAnsi="Arial Narrow" w:cs="Aptos"/>
          <w:color w:val="000000" w:themeColor="text1"/>
          <w:vertAlign w:val="superscript"/>
          <w:lang w:val="en-US"/>
        </w:rPr>
        <w:t>th</w:t>
      </w:r>
      <w:r>
        <w:rPr>
          <w:rFonts w:ascii="Arial Narrow" w:eastAsia="Aptos" w:hAnsi="Arial Narrow" w:cs="Aptos"/>
          <w:color w:val="000000" w:themeColor="text1"/>
          <w:lang w:val="en-US"/>
        </w:rPr>
        <w:t xml:space="preserve"> July 2024).</w:t>
      </w:r>
    </w:p>
    <w:p w14:paraId="3F8B6117" w14:textId="77777777" w:rsidR="0045197F" w:rsidRDefault="0045197F" w:rsidP="006E637D">
      <w:pPr>
        <w:spacing w:line="276" w:lineRule="auto"/>
        <w:rPr>
          <w:rFonts w:ascii="Arial Narrow" w:hAnsi="Arial Narrow"/>
        </w:rPr>
      </w:pPr>
    </w:p>
    <w:p w14:paraId="2C6B3758" w14:textId="77777777" w:rsidR="003116DC" w:rsidRDefault="0045197F" w:rsidP="003116DC">
      <w:pPr>
        <w:pStyle w:val="Heading1"/>
        <w:spacing w:before="0" w:after="0" w:line="276" w:lineRule="auto"/>
        <w:rPr>
          <w:rFonts w:ascii="Arial Narrow" w:hAnsi="Arial Narrow" w:cs="Open Sans"/>
          <w:color w:val="000000" w:themeColor="text1"/>
          <w:sz w:val="24"/>
          <w:szCs w:val="24"/>
        </w:rPr>
      </w:pPr>
      <w:r w:rsidRPr="0045197F">
        <w:rPr>
          <w:rFonts w:ascii="Arial Narrow" w:hAnsi="Arial Narrow"/>
          <w:color w:val="000000" w:themeColor="text1"/>
          <w:sz w:val="24"/>
          <w:szCs w:val="24"/>
        </w:rPr>
        <w:t xml:space="preserve">Hegarty, K., </w:t>
      </w:r>
      <w:r w:rsidRPr="0045197F">
        <w:rPr>
          <w:rFonts w:ascii="Arial Narrow" w:hAnsi="Arial Narrow"/>
          <w:i/>
          <w:iCs/>
          <w:color w:val="000000" w:themeColor="text1"/>
          <w:sz w:val="24"/>
          <w:szCs w:val="24"/>
        </w:rPr>
        <w:t>et al.</w:t>
      </w:r>
      <w:r w:rsidRPr="0045197F">
        <w:rPr>
          <w:rFonts w:ascii="Arial Narrow" w:hAnsi="Arial Narrow"/>
          <w:color w:val="000000" w:themeColor="text1"/>
          <w:sz w:val="24"/>
          <w:szCs w:val="24"/>
        </w:rPr>
        <w:t xml:space="preserve"> (2020) </w:t>
      </w:r>
      <w:r>
        <w:rPr>
          <w:rFonts w:ascii="Arial Narrow" w:hAnsi="Arial Narrow"/>
          <w:color w:val="000000" w:themeColor="text1"/>
          <w:sz w:val="24"/>
          <w:szCs w:val="24"/>
        </w:rPr>
        <w:t>‘</w:t>
      </w:r>
      <w:r w:rsidRPr="0045197F">
        <w:rPr>
          <w:rFonts w:ascii="Arial Narrow" w:hAnsi="Arial Narrow" w:cs="Open Sans"/>
          <w:color w:val="000000" w:themeColor="text1"/>
          <w:sz w:val="24"/>
          <w:szCs w:val="24"/>
        </w:rPr>
        <w:t>Health practitioners' readiness to address domestic violence and abuse: A qualitative meta-synthesis</w:t>
      </w:r>
      <w:r w:rsidR="0018622C">
        <w:rPr>
          <w:rFonts w:ascii="Arial Narrow" w:hAnsi="Arial Narrow" w:cs="Open Sans"/>
          <w:color w:val="000000" w:themeColor="text1"/>
          <w:sz w:val="24"/>
          <w:szCs w:val="24"/>
        </w:rPr>
        <w:t>’</w:t>
      </w:r>
      <w:r>
        <w:rPr>
          <w:rFonts w:ascii="Arial Narrow" w:hAnsi="Arial Narrow" w:cs="Open Sans"/>
          <w:color w:val="000000" w:themeColor="text1"/>
          <w:sz w:val="24"/>
          <w:szCs w:val="24"/>
        </w:rPr>
        <w:t xml:space="preserve">, </w:t>
      </w:r>
      <w:r w:rsidRPr="0045197F">
        <w:rPr>
          <w:rFonts w:ascii="Arial Narrow" w:hAnsi="Arial Narrow" w:cs="Open Sans"/>
          <w:i/>
          <w:iCs/>
          <w:color w:val="000000" w:themeColor="text1"/>
          <w:sz w:val="24"/>
          <w:szCs w:val="24"/>
        </w:rPr>
        <w:t>PLOS ONE</w:t>
      </w:r>
      <w:r>
        <w:rPr>
          <w:rFonts w:ascii="Arial Narrow" w:hAnsi="Arial Narrow" w:cs="Open Sans"/>
          <w:i/>
          <w:iCs/>
          <w:color w:val="000000" w:themeColor="text1"/>
          <w:sz w:val="24"/>
          <w:szCs w:val="24"/>
        </w:rPr>
        <w:t>,</w:t>
      </w:r>
      <w:r>
        <w:rPr>
          <w:rFonts w:ascii="Arial Narrow" w:hAnsi="Arial Narrow" w:cs="Open Sans"/>
          <w:color w:val="000000" w:themeColor="text1"/>
          <w:sz w:val="24"/>
          <w:szCs w:val="24"/>
        </w:rPr>
        <w:t xml:space="preserve"> 15(6), pp. 1-26.</w:t>
      </w:r>
      <w:r w:rsidR="000A3703">
        <w:rPr>
          <w:rFonts w:ascii="Arial Narrow" w:hAnsi="Arial Narrow" w:cs="Open Sans"/>
          <w:color w:val="000000" w:themeColor="text1"/>
          <w:sz w:val="24"/>
          <w:szCs w:val="24"/>
        </w:rPr>
        <w:t xml:space="preserve"> </w:t>
      </w:r>
      <w:r w:rsidR="003116DC">
        <w:rPr>
          <w:rFonts w:ascii="Arial Narrow" w:hAnsi="Arial Narrow" w:cs="Open Sans"/>
          <w:color w:val="000000" w:themeColor="text1"/>
          <w:sz w:val="24"/>
          <w:szCs w:val="24"/>
        </w:rPr>
        <w:t xml:space="preserve"> </w:t>
      </w:r>
    </w:p>
    <w:p w14:paraId="16812ECD" w14:textId="77777777" w:rsidR="005F1860" w:rsidRDefault="005F1860" w:rsidP="005F1860"/>
    <w:p w14:paraId="4C94A6E6" w14:textId="5C374671" w:rsidR="005F1860" w:rsidRPr="005F1860" w:rsidRDefault="005F1860" w:rsidP="005F1860">
      <w:pPr>
        <w:rPr>
          <w:rFonts w:ascii="Arial Narrow" w:hAnsi="Arial Narrow"/>
          <w:color w:val="000000" w:themeColor="text1"/>
        </w:rPr>
      </w:pPr>
      <w:r w:rsidRPr="00D72AD6">
        <w:rPr>
          <w:rFonts w:ascii="Arial Narrow" w:eastAsia="Times New Roman" w:hAnsi="Arial Narrow" w:cs="Times New Roman"/>
          <w:i/>
          <w:iCs/>
          <w:color w:val="000000" w:themeColor="text1"/>
        </w:rPr>
        <w:t>Human Rights Act 1998</w:t>
      </w:r>
      <w:r w:rsidRPr="00D72AD6">
        <w:rPr>
          <w:rFonts w:ascii="Arial Narrow" w:eastAsia="Aptos" w:hAnsi="Arial Narrow" w:cs="Aptos"/>
          <w:i/>
          <w:iCs/>
          <w:color w:val="000000" w:themeColor="text1"/>
        </w:rPr>
        <w:t>,</w:t>
      </w:r>
      <w:r w:rsidRPr="008641AD">
        <w:rPr>
          <w:rFonts w:ascii="Arial Narrow" w:eastAsia="Aptos" w:hAnsi="Arial Narrow" w:cs="Aptos"/>
          <w:color w:val="000000" w:themeColor="text1"/>
        </w:rPr>
        <w:t xml:space="preserve"> c. 42</w:t>
      </w:r>
      <w:r w:rsidRPr="008641AD">
        <w:rPr>
          <w:rFonts w:ascii="Arial Narrow" w:eastAsia="Times New Roman" w:hAnsi="Arial Narrow" w:cs="Times New Roman"/>
          <w:color w:val="000000" w:themeColor="text1"/>
        </w:rPr>
        <w:t xml:space="preserve">. Available at: </w:t>
      </w:r>
      <w:hyperlink r:id="rId10">
        <w:r w:rsidRPr="008641AD">
          <w:rPr>
            <w:rStyle w:val="Hyperlink"/>
            <w:rFonts w:ascii="Arial Narrow" w:eastAsia="Aptos" w:hAnsi="Arial Narrow" w:cs="Aptos"/>
            <w:color w:val="000000" w:themeColor="text1"/>
          </w:rPr>
          <w:t>https://www.legislation.gov.uk/ukpga/1998/42/contents</w:t>
        </w:r>
      </w:hyperlink>
      <w:r w:rsidRPr="008641AD">
        <w:rPr>
          <w:rFonts w:ascii="Arial Narrow" w:eastAsia="Aptos" w:hAnsi="Arial Narrow" w:cs="Aptos"/>
          <w:color w:val="000000" w:themeColor="text1"/>
        </w:rPr>
        <w:t xml:space="preserve"> (Accessed: </w:t>
      </w:r>
      <w:r>
        <w:rPr>
          <w:rFonts w:ascii="Arial Narrow" w:eastAsia="Aptos" w:hAnsi="Arial Narrow" w:cs="Aptos"/>
          <w:color w:val="000000" w:themeColor="text1"/>
        </w:rPr>
        <w:t>9th July</w:t>
      </w:r>
      <w:r w:rsidRPr="008641AD">
        <w:rPr>
          <w:rFonts w:ascii="Arial Narrow" w:eastAsia="Aptos" w:hAnsi="Arial Narrow" w:cs="Aptos"/>
          <w:color w:val="000000" w:themeColor="text1"/>
        </w:rPr>
        <w:t xml:space="preserve"> 2024). </w:t>
      </w:r>
    </w:p>
    <w:p w14:paraId="5DDAD7BF" w14:textId="77777777" w:rsidR="003116DC" w:rsidRDefault="003116DC" w:rsidP="003116DC">
      <w:pPr>
        <w:pStyle w:val="Heading1"/>
        <w:spacing w:before="0" w:after="0" w:line="276" w:lineRule="auto"/>
        <w:rPr>
          <w:rFonts w:ascii="Arial Narrow" w:hAnsi="Arial Narrow" w:cs="Open Sans"/>
          <w:color w:val="000000" w:themeColor="text1"/>
          <w:sz w:val="24"/>
          <w:szCs w:val="24"/>
        </w:rPr>
      </w:pPr>
    </w:p>
    <w:p w14:paraId="185BE373" w14:textId="77777777" w:rsidR="005F1860" w:rsidRPr="008641AD" w:rsidRDefault="005F1860" w:rsidP="005F1860">
      <w:pPr>
        <w:pStyle w:val="Heading1"/>
        <w:spacing w:before="0" w:after="0"/>
        <w:rPr>
          <w:rFonts w:ascii="Arial Narrow" w:hAnsi="Arial Narrow"/>
          <w:color w:val="000000" w:themeColor="text1"/>
          <w:sz w:val="24"/>
          <w:szCs w:val="24"/>
        </w:rPr>
      </w:pPr>
      <w:proofErr w:type="spellStart"/>
      <w:r w:rsidRPr="008641AD">
        <w:rPr>
          <w:rFonts w:ascii="Arial Narrow" w:eastAsia="Aptos" w:hAnsi="Arial Narrow" w:cs="Aptos"/>
          <w:color w:val="000000" w:themeColor="text1"/>
          <w:sz w:val="24"/>
          <w:szCs w:val="24"/>
        </w:rPr>
        <w:t>Jahans</w:t>
      </w:r>
      <w:proofErr w:type="spellEnd"/>
      <w:r w:rsidRPr="008641AD">
        <w:rPr>
          <w:rFonts w:ascii="Arial Narrow" w:eastAsia="Times New Roman" w:hAnsi="Arial Narrow" w:cs="Times New Roman"/>
          <w:color w:val="000000" w:themeColor="text1"/>
          <w:sz w:val="24"/>
          <w:szCs w:val="24"/>
        </w:rPr>
        <w:t xml:space="preserve">-Baynton, K. and </w:t>
      </w:r>
      <w:proofErr w:type="spellStart"/>
      <w:r w:rsidRPr="008641AD">
        <w:rPr>
          <w:rFonts w:ascii="Arial Narrow" w:eastAsia="Times New Roman" w:hAnsi="Arial Narrow" w:cs="Times New Roman"/>
          <w:color w:val="000000" w:themeColor="text1"/>
          <w:sz w:val="24"/>
          <w:szCs w:val="24"/>
        </w:rPr>
        <w:t>Grealish</w:t>
      </w:r>
      <w:proofErr w:type="spellEnd"/>
      <w:r w:rsidRPr="008641AD">
        <w:rPr>
          <w:rFonts w:ascii="Arial Narrow" w:eastAsia="Times New Roman" w:hAnsi="Arial Narrow" w:cs="Times New Roman"/>
          <w:color w:val="000000" w:themeColor="text1"/>
          <w:sz w:val="24"/>
          <w:szCs w:val="24"/>
        </w:rPr>
        <w:t>, A. (2020) ‘S</w:t>
      </w:r>
      <w:r w:rsidRPr="008641AD">
        <w:rPr>
          <w:rFonts w:ascii="Arial Narrow" w:eastAsia="Aptos" w:hAnsi="Arial Narrow" w:cs="Aptos"/>
          <w:color w:val="000000" w:themeColor="text1"/>
          <w:sz w:val="24"/>
          <w:szCs w:val="24"/>
          <w:lang w:val="en"/>
        </w:rPr>
        <w:t>safeguarding</w:t>
      </w:r>
      <w:r w:rsidRPr="008641AD">
        <w:rPr>
          <w:rFonts w:ascii="Arial Narrow" w:eastAsia="Times New Roman" w:hAnsi="Arial Narrow" w:cs="Times New Roman"/>
          <w:color w:val="000000" w:themeColor="text1"/>
          <w:sz w:val="24"/>
          <w:szCs w:val="24"/>
          <w:lang w:val="en"/>
        </w:rPr>
        <w:t xml:space="preserve"> communications between multiagency professionals when working with children and young people: A qualitative study’, </w:t>
      </w:r>
      <w:r w:rsidRPr="00D72AD6">
        <w:rPr>
          <w:rFonts w:ascii="Arial Narrow" w:eastAsia="Times New Roman" w:hAnsi="Arial Narrow" w:cs="Times New Roman"/>
          <w:i/>
          <w:iCs/>
          <w:color w:val="000000" w:themeColor="text1"/>
          <w:sz w:val="24"/>
          <w:szCs w:val="24"/>
          <w:lang w:val="en"/>
        </w:rPr>
        <w:t>Journal of Child and Adolescent Psychiatric Nursing,</w:t>
      </w:r>
      <w:r w:rsidRPr="008641AD">
        <w:rPr>
          <w:rFonts w:ascii="Arial Narrow" w:eastAsia="Times New Roman" w:hAnsi="Arial Narrow" w:cs="Times New Roman"/>
          <w:color w:val="000000" w:themeColor="text1"/>
          <w:sz w:val="24"/>
          <w:szCs w:val="24"/>
          <w:lang w:val="en"/>
        </w:rPr>
        <w:t xml:space="preserve"> 35(2), pp. 171-178.</w:t>
      </w:r>
      <w:r w:rsidRPr="008641AD">
        <w:rPr>
          <w:rFonts w:ascii="Arial Narrow" w:eastAsia="Aptos" w:hAnsi="Arial Narrow" w:cs="Aptos"/>
          <w:color w:val="000000" w:themeColor="text1"/>
          <w:sz w:val="24"/>
          <w:szCs w:val="24"/>
        </w:rPr>
        <w:t xml:space="preserve"> </w:t>
      </w:r>
    </w:p>
    <w:p w14:paraId="4D0D755A" w14:textId="77777777" w:rsidR="005F1860" w:rsidRPr="005F1860" w:rsidRDefault="005F1860" w:rsidP="005F1860"/>
    <w:p w14:paraId="55F14238" w14:textId="2297DAA3" w:rsidR="003116DC" w:rsidRPr="003116DC" w:rsidRDefault="003116DC" w:rsidP="00851903">
      <w:pPr>
        <w:pStyle w:val="Heading1"/>
        <w:spacing w:before="0"/>
        <w:rPr>
          <w:rFonts w:ascii="Arial Narrow" w:hAnsi="Arial Narrow" w:cs="Open Sans"/>
          <w:color w:val="000000" w:themeColor="text1"/>
          <w:sz w:val="24"/>
          <w:szCs w:val="24"/>
          <w:lang w:eastAsia="en-GB"/>
        </w:rPr>
      </w:pPr>
      <w:r w:rsidRPr="00851903">
        <w:rPr>
          <w:rFonts w:ascii="Arial Narrow" w:hAnsi="Arial Narrow" w:cs="Open Sans"/>
          <w:color w:val="000000" w:themeColor="text1"/>
          <w:sz w:val="24"/>
          <w:szCs w:val="24"/>
        </w:rPr>
        <w:lastRenderedPageBreak/>
        <w:t xml:space="preserve">Joseph, </w:t>
      </w:r>
      <w:r w:rsidR="00851903" w:rsidRPr="00851903">
        <w:rPr>
          <w:rFonts w:ascii="Arial Narrow" w:hAnsi="Arial Narrow" w:cs="Open Sans"/>
          <w:color w:val="000000" w:themeColor="text1"/>
          <w:sz w:val="24"/>
          <w:szCs w:val="24"/>
        </w:rPr>
        <w:t xml:space="preserve">S., </w:t>
      </w:r>
      <w:r w:rsidR="00851903" w:rsidRPr="00851903">
        <w:rPr>
          <w:rFonts w:ascii="Arial Narrow" w:hAnsi="Arial Narrow" w:cs="Open Sans"/>
          <w:i/>
          <w:iCs/>
          <w:color w:val="000000" w:themeColor="text1"/>
          <w:sz w:val="24"/>
          <w:szCs w:val="24"/>
        </w:rPr>
        <w:t>et al.</w:t>
      </w:r>
      <w:r w:rsidR="00851903" w:rsidRPr="00851903">
        <w:rPr>
          <w:rFonts w:ascii="Arial Narrow" w:hAnsi="Arial Narrow" w:cs="Open Sans"/>
          <w:color w:val="000000" w:themeColor="text1"/>
          <w:sz w:val="24"/>
          <w:szCs w:val="24"/>
        </w:rPr>
        <w:t xml:space="preserve"> (201</w:t>
      </w:r>
      <w:r w:rsidR="00851903">
        <w:rPr>
          <w:rFonts w:ascii="Arial Narrow" w:hAnsi="Arial Narrow" w:cs="Open Sans"/>
          <w:color w:val="000000" w:themeColor="text1"/>
          <w:sz w:val="24"/>
          <w:szCs w:val="24"/>
        </w:rPr>
        <w:t>9</w:t>
      </w:r>
      <w:r w:rsidR="00851903" w:rsidRPr="00851903">
        <w:rPr>
          <w:rFonts w:ascii="Arial Narrow" w:hAnsi="Arial Narrow" w:cs="Open Sans"/>
          <w:color w:val="000000" w:themeColor="text1"/>
          <w:sz w:val="24"/>
          <w:szCs w:val="24"/>
        </w:rPr>
        <w:t>) ‘</w:t>
      </w:r>
      <w:r w:rsidR="00851903" w:rsidRPr="00851903">
        <w:rPr>
          <w:rFonts w:ascii="Arial Narrow" w:hAnsi="Arial Narrow" w:cs="Open Sans"/>
          <w:color w:val="000000" w:themeColor="text1"/>
          <w:sz w:val="24"/>
          <w:szCs w:val="24"/>
        </w:rPr>
        <w:t>Inter-agency adult support and protection practice: A realistic evaluation with police, health and social care professionals</w:t>
      </w:r>
      <w:r w:rsidR="00851903">
        <w:rPr>
          <w:rFonts w:ascii="Arial Narrow" w:hAnsi="Arial Narrow" w:cs="Open Sans"/>
          <w:color w:val="000000" w:themeColor="text1"/>
          <w:sz w:val="24"/>
          <w:szCs w:val="24"/>
          <w:lang w:eastAsia="en-GB"/>
        </w:rPr>
        <w:t>’, Journal of Integrated Care, 27(1), pp. 101-128.</w:t>
      </w:r>
    </w:p>
    <w:p w14:paraId="03E9D263" w14:textId="77777777" w:rsidR="003116DC" w:rsidRDefault="003116DC" w:rsidP="003116DC">
      <w:pPr>
        <w:pStyle w:val="Heading1"/>
        <w:spacing w:before="0" w:after="0" w:line="276" w:lineRule="auto"/>
        <w:rPr>
          <w:rFonts w:ascii="Arial Narrow" w:hAnsi="Arial Narrow" w:cs="Open Sans"/>
          <w:color w:val="000000" w:themeColor="text1"/>
          <w:sz w:val="24"/>
          <w:szCs w:val="24"/>
        </w:rPr>
      </w:pPr>
    </w:p>
    <w:p w14:paraId="6DDD653E" w14:textId="77777777" w:rsidR="003116DC" w:rsidRDefault="003116DC" w:rsidP="003116DC">
      <w:pPr>
        <w:pStyle w:val="Heading1"/>
        <w:spacing w:before="0" w:after="0"/>
        <w:rPr>
          <w:rFonts w:ascii="Arial Narrow" w:hAnsi="Arial Narrow" w:cs="Arial"/>
          <w:color w:val="000000" w:themeColor="text1"/>
          <w:sz w:val="24"/>
          <w:szCs w:val="24"/>
        </w:rPr>
      </w:pPr>
      <w:r w:rsidRPr="003116DC">
        <w:rPr>
          <w:rFonts w:ascii="Arial Narrow" w:hAnsi="Arial Narrow" w:cs="Open Sans"/>
          <w:color w:val="000000" w:themeColor="text1"/>
          <w:sz w:val="24"/>
          <w:szCs w:val="24"/>
        </w:rPr>
        <w:t xml:space="preserve">Lamb, M. E., </w:t>
      </w:r>
      <w:r w:rsidRPr="003116DC">
        <w:rPr>
          <w:rFonts w:ascii="Arial Narrow" w:hAnsi="Arial Narrow" w:cs="Open Sans"/>
          <w:i/>
          <w:iCs/>
          <w:color w:val="000000" w:themeColor="text1"/>
          <w:sz w:val="24"/>
          <w:szCs w:val="24"/>
        </w:rPr>
        <w:t>et al.</w:t>
      </w:r>
      <w:r w:rsidRPr="003116DC">
        <w:rPr>
          <w:rFonts w:ascii="Arial Narrow" w:hAnsi="Arial Narrow" w:cs="Open Sans"/>
          <w:color w:val="000000" w:themeColor="text1"/>
          <w:sz w:val="24"/>
          <w:szCs w:val="24"/>
        </w:rPr>
        <w:t xml:space="preserve"> (2018) </w:t>
      </w:r>
      <w:r w:rsidRPr="003116DC">
        <w:rPr>
          <w:rFonts w:ascii="Arial Narrow" w:hAnsi="Arial Narrow" w:cs="Arial"/>
          <w:i/>
          <w:iCs/>
          <w:color w:val="000000" w:themeColor="text1"/>
          <w:sz w:val="24"/>
          <w:szCs w:val="24"/>
        </w:rPr>
        <w:t>Tell Me What Happened: Questioning Children About Abuse</w:t>
      </w:r>
      <w:r>
        <w:rPr>
          <w:rFonts w:ascii="Arial Narrow" w:hAnsi="Arial Narrow" w:cs="Arial"/>
          <w:i/>
          <w:iCs/>
          <w:color w:val="000000" w:themeColor="text1"/>
          <w:sz w:val="24"/>
          <w:szCs w:val="24"/>
        </w:rPr>
        <w:t xml:space="preserve">. </w:t>
      </w:r>
      <w:r>
        <w:rPr>
          <w:rFonts w:ascii="Arial Narrow" w:hAnsi="Arial Narrow" w:cs="Arial"/>
          <w:color w:val="000000" w:themeColor="text1"/>
          <w:sz w:val="24"/>
          <w:szCs w:val="24"/>
        </w:rPr>
        <w:t xml:space="preserve">West Sussex: John Wiley &amp; Sons. </w:t>
      </w:r>
    </w:p>
    <w:p w14:paraId="50BFF60B" w14:textId="77777777" w:rsidR="003116DC" w:rsidRDefault="003116DC" w:rsidP="003116DC">
      <w:pPr>
        <w:pStyle w:val="Heading1"/>
        <w:spacing w:before="0" w:after="0"/>
        <w:rPr>
          <w:rFonts w:ascii="Arial Narrow" w:hAnsi="Arial Narrow" w:cs="Arial"/>
          <w:color w:val="000000" w:themeColor="text1"/>
          <w:sz w:val="24"/>
          <w:szCs w:val="24"/>
        </w:rPr>
      </w:pPr>
    </w:p>
    <w:p w14:paraId="296530C8" w14:textId="77777777" w:rsidR="00851903" w:rsidRDefault="003116DC" w:rsidP="003116DC">
      <w:pPr>
        <w:pStyle w:val="Heading1"/>
        <w:spacing w:before="0" w:after="0"/>
        <w:rPr>
          <w:rFonts w:ascii="Arial Narrow" w:hAnsi="Arial Narrow" w:cs="Arial"/>
          <w:color w:val="000000" w:themeColor="text1"/>
          <w:sz w:val="24"/>
          <w:szCs w:val="24"/>
        </w:rPr>
      </w:pPr>
      <w:r>
        <w:rPr>
          <w:rFonts w:ascii="Arial Narrow" w:hAnsi="Arial Narrow" w:cs="Arial"/>
          <w:color w:val="000000" w:themeColor="text1"/>
          <w:sz w:val="24"/>
          <w:szCs w:val="24"/>
        </w:rPr>
        <w:t xml:space="preserve">McCoy, M. L. and Keen, S. M. (2022) </w:t>
      </w:r>
      <w:r w:rsidRPr="003116DC">
        <w:rPr>
          <w:rFonts w:ascii="Arial Narrow" w:hAnsi="Arial Narrow" w:cs="Arial"/>
          <w:i/>
          <w:iCs/>
          <w:color w:val="000000" w:themeColor="text1"/>
          <w:sz w:val="24"/>
          <w:szCs w:val="24"/>
        </w:rPr>
        <w:t>Child Abuse and Neglect</w:t>
      </w:r>
      <w:r>
        <w:rPr>
          <w:rFonts w:ascii="Arial Narrow" w:hAnsi="Arial Narrow" w:cs="Arial"/>
          <w:color w:val="000000" w:themeColor="text1"/>
          <w:sz w:val="24"/>
          <w:szCs w:val="24"/>
        </w:rPr>
        <w:t>. New York: Routledge.</w:t>
      </w:r>
      <w:r w:rsidR="00851903">
        <w:rPr>
          <w:rFonts w:ascii="Arial Narrow" w:hAnsi="Arial Narrow" w:cs="Arial"/>
          <w:color w:val="000000" w:themeColor="text1"/>
          <w:sz w:val="24"/>
          <w:szCs w:val="24"/>
        </w:rPr>
        <w:t xml:space="preserve"> </w:t>
      </w:r>
    </w:p>
    <w:p w14:paraId="565B9ABC" w14:textId="77777777" w:rsidR="00851903" w:rsidRDefault="00851903" w:rsidP="003116DC">
      <w:pPr>
        <w:pStyle w:val="Heading1"/>
        <w:spacing w:before="0" w:after="0"/>
        <w:rPr>
          <w:rFonts w:ascii="Arial Narrow" w:hAnsi="Arial Narrow" w:cs="Arial"/>
          <w:color w:val="000000" w:themeColor="text1"/>
          <w:sz w:val="24"/>
          <w:szCs w:val="24"/>
        </w:rPr>
      </w:pPr>
    </w:p>
    <w:p w14:paraId="7AE3E1DD" w14:textId="1730E3DC" w:rsidR="00851903" w:rsidRPr="00851903" w:rsidRDefault="00851903" w:rsidP="00851903">
      <w:pPr>
        <w:pStyle w:val="Heading1"/>
        <w:spacing w:before="0" w:line="276" w:lineRule="auto"/>
        <w:rPr>
          <w:rFonts w:ascii="Arial Narrow" w:hAnsi="Arial Narrow"/>
          <w:color w:val="000000" w:themeColor="text1"/>
          <w:sz w:val="24"/>
          <w:szCs w:val="24"/>
          <w:lang w:eastAsia="en-GB"/>
        </w:rPr>
      </w:pPr>
      <w:proofErr w:type="spellStart"/>
      <w:r>
        <w:rPr>
          <w:rFonts w:ascii="Arial Narrow" w:hAnsi="Arial Narrow" w:cs="Arial"/>
          <w:color w:val="000000" w:themeColor="text1"/>
          <w:sz w:val="24"/>
          <w:szCs w:val="24"/>
        </w:rPr>
        <w:t>McGoven</w:t>
      </w:r>
      <w:proofErr w:type="spellEnd"/>
      <w:r>
        <w:rPr>
          <w:rFonts w:ascii="Arial Narrow" w:hAnsi="Arial Narrow" w:cs="Arial"/>
          <w:color w:val="000000" w:themeColor="text1"/>
          <w:sz w:val="24"/>
          <w:szCs w:val="24"/>
        </w:rPr>
        <w:t xml:space="preserve">, W. and </w:t>
      </w:r>
      <w:proofErr w:type="spellStart"/>
      <w:r>
        <w:rPr>
          <w:rFonts w:ascii="Arial Narrow" w:hAnsi="Arial Narrow" w:cs="Arial"/>
          <w:color w:val="000000" w:themeColor="text1"/>
          <w:sz w:val="24"/>
          <w:szCs w:val="24"/>
        </w:rPr>
        <w:t>McGoven</w:t>
      </w:r>
      <w:proofErr w:type="spellEnd"/>
      <w:r>
        <w:rPr>
          <w:rFonts w:ascii="Arial Narrow" w:hAnsi="Arial Narrow" w:cs="Arial"/>
          <w:color w:val="000000" w:themeColor="text1"/>
          <w:sz w:val="24"/>
          <w:szCs w:val="24"/>
        </w:rPr>
        <w:t>, R. (2021) ‘</w:t>
      </w:r>
      <w:r w:rsidRPr="00851903">
        <w:rPr>
          <w:rFonts w:ascii="Arial Narrow" w:hAnsi="Arial Narrow"/>
          <w:color w:val="000000" w:themeColor="text1"/>
          <w:sz w:val="24"/>
          <w:szCs w:val="24"/>
        </w:rPr>
        <w:t>Understanding and Responding to Basic Safeguarding Concerns and Processes in Schools</w:t>
      </w:r>
      <w:r>
        <w:rPr>
          <w:rFonts w:ascii="Arial Narrow" w:hAnsi="Arial Narrow"/>
          <w:color w:val="000000" w:themeColor="text1"/>
          <w:sz w:val="24"/>
          <w:szCs w:val="24"/>
        </w:rPr>
        <w:t xml:space="preserve">’, </w:t>
      </w:r>
      <w:r w:rsidRPr="00851903">
        <w:rPr>
          <w:rFonts w:ascii="Arial Narrow" w:hAnsi="Arial Narrow"/>
          <w:i/>
          <w:iCs/>
          <w:color w:val="000000" w:themeColor="text1"/>
          <w:sz w:val="24"/>
          <w:szCs w:val="24"/>
        </w:rPr>
        <w:t>Early Careers in Education: Perspectives of Students and NQT’s’,</w:t>
      </w:r>
      <w:r>
        <w:rPr>
          <w:rFonts w:ascii="Arial Narrow" w:hAnsi="Arial Narrow"/>
          <w:color w:val="000000" w:themeColor="text1"/>
          <w:sz w:val="24"/>
          <w:szCs w:val="24"/>
        </w:rPr>
        <w:t xml:space="preserve"> 17(4), pp. 175-184.</w:t>
      </w:r>
    </w:p>
    <w:p w14:paraId="135CD9B1" w14:textId="77777777" w:rsidR="00851903" w:rsidRDefault="00851903" w:rsidP="00851903"/>
    <w:p w14:paraId="3F3124F2" w14:textId="6C181F42" w:rsidR="003116DC" w:rsidRPr="003116DC" w:rsidRDefault="003116DC" w:rsidP="003116DC">
      <w:pPr>
        <w:pStyle w:val="Heading1"/>
        <w:spacing w:before="0" w:after="0"/>
        <w:rPr>
          <w:rFonts w:ascii="Arial Narrow" w:hAnsi="Arial Narrow" w:cs="Arial"/>
          <w:color w:val="000000" w:themeColor="text1"/>
          <w:sz w:val="24"/>
          <w:szCs w:val="24"/>
        </w:rPr>
      </w:pPr>
    </w:p>
    <w:p w14:paraId="2F2B36F7" w14:textId="77777777" w:rsidR="000A3703" w:rsidRDefault="000A3703" w:rsidP="000A3703">
      <w:pPr>
        <w:pStyle w:val="Heading1"/>
        <w:spacing w:before="0" w:after="0" w:line="276" w:lineRule="auto"/>
        <w:rPr>
          <w:rFonts w:ascii="Arial Narrow" w:hAnsi="Arial Narrow" w:cs="Open Sans"/>
          <w:color w:val="000000" w:themeColor="text1"/>
          <w:sz w:val="24"/>
          <w:szCs w:val="24"/>
        </w:rPr>
      </w:pPr>
    </w:p>
    <w:p w14:paraId="3E3C42DD" w14:textId="77777777" w:rsidR="000A3703" w:rsidRDefault="000A3703" w:rsidP="000A3703">
      <w:pPr>
        <w:pStyle w:val="Heading1"/>
        <w:spacing w:before="0" w:after="0" w:line="276" w:lineRule="auto"/>
        <w:rPr>
          <w:rStyle w:val="title-text"/>
          <w:rFonts w:ascii="Arial Narrow" w:hAnsi="Arial Narrow"/>
          <w:color w:val="000000" w:themeColor="text1"/>
          <w:sz w:val="24"/>
          <w:szCs w:val="24"/>
        </w:rPr>
      </w:pPr>
      <w:r>
        <w:rPr>
          <w:rFonts w:ascii="Arial Narrow" w:hAnsi="Arial Narrow" w:cs="Open Sans"/>
          <w:color w:val="000000" w:themeColor="text1"/>
          <w:sz w:val="24"/>
          <w:szCs w:val="24"/>
        </w:rPr>
        <w:t>McGuire, K. and London, K. (</w:t>
      </w:r>
      <w:r w:rsidRPr="000A3703">
        <w:rPr>
          <w:rFonts w:ascii="Arial Narrow" w:hAnsi="Arial Narrow" w:cs="Open Sans"/>
          <w:color w:val="000000" w:themeColor="text1"/>
          <w:sz w:val="24"/>
          <w:szCs w:val="24"/>
        </w:rPr>
        <w:t>2020) ‘</w:t>
      </w:r>
      <w:r w:rsidRPr="000A3703">
        <w:rPr>
          <w:rStyle w:val="title-text"/>
          <w:rFonts w:ascii="Arial Narrow" w:hAnsi="Arial Narrow"/>
          <w:color w:val="000000" w:themeColor="text1"/>
          <w:sz w:val="24"/>
          <w:szCs w:val="24"/>
        </w:rPr>
        <w:t>A retrospective approach to examining child abuse disclosure</w:t>
      </w:r>
      <w:r>
        <w:rPr>
          <w:rStyle w:val="title-text"/>
          <w:rFonts w:ascii="Arial Narrow" w:hAnsi="Arial Narrow"/>
          <w:color w:val="000000" w:themeColor="text1"/>
          <w:sz w:val="24"/>
          <w:szCs w:val="24"/>
        </w:rPr>
        <w:t xml:space="preserve">’, </w:t>
      </w:r>
      <w:r w:rsidRPr="000A3703">
        <w:rPr>
          <w:rStyle w:val="title-text"/>
          <w:rFonts w:ascii="Arial Narrow" w:hAnsi="Arial Narrow"/>
          <w:i/>
          <w:iCs/>
          <w:color w:val="000000" w:themeColor="text1"/>
          <w:sz w:val="24"/>
          <w:szCs w:val="24"/>
        </w:rPr>
        <w:t>Child Abuse &amp; Neglect</w:t>
      </w:r>
      <w:r>
        <w:rPr>
          <w:rStyle w:val="title-text"/>
          <w:rFonts w:ascii="Arial Narrow" w:hAnsi="Arial Narrow"/>
          <w:color w:val="000000" w:themeColor="text1"/>
          <w:sz w:val="24"/>
          <w:szCs w:val="24"/>
        </w:rPr>
        <w:t xml:space="preserve">, 99(10), pp. 310-327. </w:t>
      </w:r>
    </w:p>
    <w:p w14:paraId="08CD33A2" w14:textId="25BA4591" w:rsidR="000A3703" w:rsidRPr="000A3703" w:rsidRDefault="000A3703" w:rsidP="000A3703"/>
    <w:p w14:paraId="7C7CFFCB" w14:textId="4C09328D" w:rsidR="000A3703" w:rsidRPr="000A3703" w:rsidRDefault="000A3703" w:rsidP="000A3703">
      <w:pPr>
        <w:pStyle w:val="Heading1"/>
        <w:spacing w:before="0" w:after="0" w:line="276" w:lineRule="auto"/>
        <w:rPr>
          <w:rFonts w:ascii="Arial Narrow" w:hAnsi="Arial Narrow"/>
          <w:color w:val="000000" w:themeColor="text1"/>
          <w:sz w:val="24"/>
          <w:szCs w:val="24"/>
        </w:rPr>
      </w:pPr>
      <w:r w:rsidRPr="000A3703">
        <w:rPr>
          <w:rStyle w:val="title-text"/>
          <w:rFonts w:ascii="Arial Narrow" w:hAnsi="Arial Narrow"/>
          <w:color w:val="000000" w:themeColor="text1"/>
          <w:sz w:val="24"/>
          <w:szCs w:val="24"/>
        </w:rPr>
        <w:t>Morrison, S. E., Bruce, C., and Wilson, S. (2018) ‘</w:t>
      </w:r>
      <w:r w:rsidRPr="000A3703">
        <w:rPr>
          <w:rFonts w:ascii="Arial Narrow" w:hAnsi="Arial Narrow"/>
          <w:color w:val="333333"/>
          <w:sz w:val="24"/>
          <w:szCs w:val="24"/>
        </w:rPr>
        <w:t>Children’s Disclosure of Sexual Abuse: A Systematic Review of Qualitative Research Exploring Barriers and Facilitators</w:t>
      </w:r>
      <w:r>
        <w:rPr>
          <w:rFonts w:ascii="Arial Narrow" w:hAnsi="Arial Narrow"/>
          <w:color w:val="333333"/>
          <w:sz w:val="24"/>
          <w:szCs w:val="24"/>
        </w:rPr>
        <w:t xml:space="preserve">’, </w:t>
      </w:r>
      <w:r w:rsidRPr="000A3703">
        <w:rPr>
          <w:rFonts w:ascii="Arial Narrow" w:hAnsi="Arial Narrow"/>
          <w:i/>
          <w:iCs/>
          <w:color w:val="333333"/>
          <w:sz w:val="24"/>
          <w:szCs w:val="24"/>
        </w:rPr>
        <w:t>Journal of Child Sexual Abuse</w:t>
      </w:r>
      <w:r>
        <w:rPr>
          <w:rFonts w:ascii="Arial Narrow" w:hAnsi="Arial Narrow"/>
          <w:color w:val="333333"/>
          <w:sz w:val="24"/>
          <w:szCs w:val="24"/>
        </w:rPr>
        <w:t>, 27(2), pp. 176-194.</w:t>
      </w:r>
    </w:p>
    <w:p w14:paraId="12327FA5" w14:textId="77777777" w:rsidR="00A07256" w:rsidRPr="000A3703" w:rsidRDefault="00A07256" w:rsidP="000A3703">
      <w:pPr>
        <w:spacing w:line="276" w:lineRule="auto"/>
        <w:rPr>
          <w:rFonts w:ascii="Arial Narrow" w:hAnsi="Arial Narrow"/>
        </w:rPr>
      </w:pPr>
    </w:p>
    <w:p w14:paraId="7A177283" w14:textId="529B2BC5" w:rsidR="00A07256" w:rsidRDefault="00A07256" w:rsidP="00A07256">
      <w:pPr>
        <w:spacing w:line="276" w:lineRule="auto"/>
        <w:rPr>
          <w:rFonts w:ascii="Arial Narrow" w:hAnsi="Arial Narrow"/>
        </w:rPr>
      </w:pPr>
      <w:r>
        <w:rPr>
          <w:rFonts w:ascii="Arial Narrow" w:hAnsi="Arial Narrow"/>
        </w:rPr>
        <w:t>NSPCC (202</w:t>
      </w:r>
      <w:r w:rsidR="00AD7AAF">
        <w:rPr>
          <w:rFonts w:ascii="Arial Narrow" w:hAnsi="Arial Narrow"/>
        </w:rPr>
        <w:t>2</w:t>
      </w:r>
      <w:r>
        <w:rPr>
          <w:rFonts w:ascii="Arial Narrow" w:hAnsi="Arial Narrow"/>
        </w:rPr>
        <w:t xml:space="preserve">) </w:t>
      </w:r>
      <w:r w:rsidR="00AD7AAF" w:rsidRPr="00AD7AAF">
        <w:rPr>
          <w:rFonts w:ascii="Arial Narrow" w:hAnsi="Arial Narrow"/>
        </w:rPr>
        <w:t xml:space="preserve">Types of Abuse. Available at: </w:t>
      </w:r>
      <w:hyperlink r:id="rId11" w:history="1">
        <w:r w:rsidR="00AD7AAF" w:rsidRPr="00AD7AAF">
          <w:rPr>
            <w:rStyle w:val="Hyperlink"/>
            <w:rFonts w:ascii="Arial Narrow" w:hAnsi="Arial Narrow"/>
          </w:rPr>
          <w:t>https://www.nspcc.org.uk/what-is-child-abuse/types-of-abuse/</w:t>
        </w:r>
      </w:hyperlink>
      <w:r w:rsidR="00AD7AAF" w:rsidRPr="00AD7AAF">
        <w:rPr>
          <w:rFonts w:ascii="Arial Narrow" w:hAnsi="Arial Narrow"/>
        </w:rPr>
        <w:t xml:space="preserve"> </w:t>
      </w:r>
      <w:r w:rsidRPr="00A07256">
        <w:rPr>
          <w:rFonts w:ascii="Arial Narrow" w:hAnsi="Arial Narrow"/>
        </w:rPr>
        <w:t>(</w:t>
      </w:r>
      <w:r w:rsidR="00AD7AAF">
        <w:rPr>
          <w:rFonts w:ascii="Arial Narrow" w:hAnsi="Arial Narrow"/>
        </w:rPr>
        <w:t xml:space="preserve">Accessed: </w:t>
      </w:r>
      <w:r>
        <w:rPr>
          <w:rFonts w:ascii="Arial Narrow" w:hAnsi="Arial Narrow"/>
        </w:rPr>
        <w:t>8</w:t>
      </w:r>
      <w:r w:rsidRPr="00A07256">
        <w:rPr>
          <w:rFonts w:ascii="Arial Narrow" w:hAnsi="Arial Narrow"/>
          <w:vertAlign w:val="superscript"/>
        </w:rPr>
        <w:t>th</w:t>
      </w:r>
      <w:r>
        <w:rPr>
          <w:rFonts w:ascii="Arial Narrow" w:hAnsi="Arial Narrow"/>
        </w:rPr>
        <w:t xml:space="preserve"> July 2024</w:t>
      </w:r>
      <w:r w:rsidRPr="00A07256">
        <w:rPr>
          <w:rFonts w:ascii="Arial Narrow" w:hAnsi="Arial Narrow"/>
        </w:rPr>
        <w:t>).</w:t>
      </w:r>
    </w:p>
    <w:p w14:paraId="6893C236" w14:textId="77777777" w:rsidR="0045197F" w:rsidRDefault="0045197F" w:rsidP="00A07256">
      <w:pPr>
        <w:spacing w:line="276" w:lineRule="auto"/>
        <w:rPr>
          <w:rFonts w:ascii="Arial Narrow" w:hAnsi="Arial Narrow"/>
        </w:rPr>
      </w:pPr>
    </w:p>
    <w:p w14:paraId="58FBC8A7" w14:textId="77777777" w:rsidR="003116DC" w:rsidRDefault="0045197F" w:rsidP="003116DC">
      <w:pPr>
        <w:pStyle w:val="Heading1"/>
        <w:spacing w:before="0" w:after="0" w:line="276" w:lineRule="auto"/>
        <w:rPr>
          <w:rFonts w:ascii="Arial Narrow" w:hAnsi="Arial Narrow"/>
          <w:color w:val="000000" w:themeColor="text1"/>
          <w:sz w:val="24"/>
          <w:szCs w:val="24"/>
        </w:rPr>
      </w:pPr>
      <w:r w:rsidRPr="003116DC">
        <w:rPr>
          <w:rFonts w:ascii="Arial Narrow" w:hAnsi="Arial Narrow"/>
          <w:color w:val="000000" w:themeColor="text1"/>
          <w:sz w:val="24"/>
          <w:szCs w:val="24"/>
        </w:rPr>
        <w:t>Nutbrown, C. (2021) ‘</w:t>
      </w:r>
      <w:r w:rsidRPr="003116DC">
        <w:rPr>
          <w:rFonts w:ascii="Arial Narrow" w:hAnsi="Arial Narrow"/>
          <w:color w:val="000000" w:themeColor="text1"/>
          <w:sz w:val="24"/>
          <w:szCs w:val="24"/>
        </w:rPr>
        <w:t>Early childhood educators’ qualifications: a framework for change</w:t>
      </w:r>
      <w:r w:rsidRPr="003116DC">
        <w:rPr>
          <w:rFonts w:ascii="Arial Narrow" w:hAnsi="Arial Narrow"/>
          <w:color w:val="000000" w:themeColor="text1"/>
          <w:sz w:val="24"/>
          <w:szCs w:val="24"/>
        </w:rPr>
        <w:t xml:space="preserve">’, </w:t>
      </w:r>
      <w:r w:rsidRPr="003116DC">
        <w:rPr>
          <w:rFonts w:ascii="Arial Narrow" w:hAnsi="Arial Narrow"/>
          <w:i/>
          <w:iCs/>
          <w:color w:val="000000" w:themeColor="text1"/>
          <w:sz w:val="24"/>
          <w:szCs w:val="24"/>
        </w:rPr>
        <w:t>International Journal of Early Years Education,</w:t>
      </w:r>
      <w:r w:rsidRPr="003116DC">
        <w:rPr>
          <w:rFonts w:ascii="Arial Narrow" w:hAnsi="Arial Narrow"/>
          <w:color w:val="000000" w:themeColor="text1"/>
          <w:sz w:val="24"/>
          <w:szCs w:val="24"/>
        </w:rPr>
        <w:t xml:space="preserve"> </w:t>
      </w:r>
      <w:r w:rsidR="0018622C" w:rsidRPr="003116DC">
        <w:rPr>
          <w:rFonts w:ascii="Arial Narrow" w:hAnsi="Arial Narrow"/>
          <w:color w:val="000000" w:themeColor="text1"/>
          <w:sz w:val="24"/>
          <w:szCs w:val="24"/>
        </w:rPr>
        <w:t>29(3), pp. 236-249.</w:t>
      </w:r>
      <w:r w:rsidR="003116DC" w:rsidRPr="003116DC">
        <w:rPr>
          <w:rFonts w:ascii="Arial Narrow" w:hAnsi="Arial Narrow"/>
          <w:color w:val="000000" w:themeColor="text1"/>
          <w:sz w:val="24"/>
          <w:szCs w:val="24"/>
        </w:rPr>
        <w:t xml:space="preserve"> </w:t>
      </w:r>
    </w:p>
    <w:p w14:paraId="119FBC33" w14:textId="77777777" w:rsidR="003116DC" w:rsidRDefault="003116DC" w:rsidP="003116DC">
      <w:pPr>
        <w:pStyle w:val="Heading1"/>
        <w:spacing w:before="0" w:after="0" w:line="276" w:lineRule="auto"/>
        <w:rPr>
          <w:rFonts w:ascii="Arial Narrow" w:hAnsi="Arial Narrow"/>
          <w:color w:val="000000" w:themeColor="text1"/>
          <w:sz w:val="24"/>
          <w:szCs w:val="24"/>
        </w:rPr>
      </w:pPr>
    </w:p>
    <w:p w14:paraId="59BE1865" w14:textId="31D2A02B" w:rsidR="006E637D" w:rsidRPr="003116DC" w:rsidRDefault="003116DC" w:rsidP="003116DC">
      <w:pPr>
        <w:pStyle w:val="Heading1"/>
        <w:spacing w:before="0" w:after="0" w:line="276" w:lineRule="auto"/>
        <w:rPr>
          <w:rFonts w:ascii="Arial Narrow" w:eastAsia="Times New Roman" w:hAnsi="Arial Narrow" w:cs="Arial"/>
          <w:color w:val="333333"/>
          <w:kern w:val="36"/>
          <w:sz w:val="24"/>
          <w:szCs w:val="24"/>
          <w:lang w:eastAsia="en-GB"/>
        </w:rPr>
      </w:pPr>
      <w:proofErr w:type="spellStart"/>
      <w:r w:rsidRPr="003116DC">
        <w:rPr>
          <w:rFonts w:ascii="Arial Narrow" w:hAnsi="Arial Narrow"/>
          <w:color w:val="000000" w:themeColor="text1"/>
          <w:sz w:val="24"/>
          <w:szCs w:val="24"/>
        </w:rPr>
        <w:t>Saffady</w:t>
      </w:r>
      <w:proofErr w:type="spellEnd"/>
      <w:r w:rsidRPr="003116DC">
        <w:rPr>
          <w:rFonts w:ascii="Arial Narrow" w:hAnsi="Arial Narrow"/>
          <w:color w:val="000000" w:themeColor="text1"/>
          <w:sz w:val="24"/>
          <w:szCs w:val="24"/>
        </w:rPr>
        <w:t xml:space="preserve">, W. (2021) </w:t>
      </w:r>
      <w:r w:rsidRPr="003116DC">
        <w:rPr>
          <w:rFonts w:ascii="Arial Narrow" w:eastAsia="Times New Roman" w:hAnsi="Arial Narrow" w:cs="Arial"/>
          <w:i/>
          <w:iCs/>
          <w:color w:val="333333"/>
          <w:kern w:val="36"/>
          <w:sz w:val="24"/>
          <w:szCs w:val="24"/>
          <w:lang w:eastAsia="en-GB"/>
        </w:rPr>
        <w:t>Records and Information Management: Fundamentals of Professional Practice</w:t>
      </w:r>
      <w:r>
        <w:rPr>
          <w:rFonts w:ascii="Arial Narrow" w:eastAsia="Times New Roman" w:hAnsi="Arial Narrow" w:cs="Arial"/>
          <w:color w:val="333333"/>
          <w:kern w:val="36"/>
          <w:sz w:val="24"/>
          <w:szCs w:val="24"/>
          <w:lang w:eastAsia="en-GB"/>
        </w:rPr>
        <w:t>. London: Rowman &amp; Littlefield.</w:t>
      </w:r>
    </w:p>
    <w:p w14:paraId="719A44FC" w14:textId="22C40A74" w:rsidR="000A3703" w:rsidRPr="000A3703" w:rsidRDefault="000A3703" w:rsidP="000A3703">
      <w:pPr>
        <w:pStyle w:val="Heading1"/>
        <w:spacing w:before="240" w:after="240" w:line="276" w:lineRule="auto"/>
        <w:rPr>
          <w:rFonts w:ascii="Arial Narrow" w:hAnsi="Arial Narrow"/>
          <w:color w:val="000000" w:themeColor="text1"/>
          <w:sz w:val="24"/>
          <w:szCs w:val="24"/>
          <w:lang w:eastAsia="en-GB"/>
        </w:rPr>
      </w:pPr>
      <w:proofErr w:type="spellStart"/>
      <w:r w:rsidRPr="000A3703">
        <w:rPr>
          <w:rFonts w:ascii="Arial Narrow" w:hAnsi="Arial Narrow"/>
          <w:color w:val="000000" w:themeColor="text1"/>
          <w:sz w:val="24"/>
          <w:szCs w:val="24"/>
        </w:rPr>
        <w:t>Sciaffara</w:t>
      </w:r>
      <w:proofErr w:type="spellEnd"/>
      <w:r w:rsidRPr="000A3703">
        <w:rPr>
          <w:rFonts w:ascii="Arial Narrow" w:hAnsi="Arial Narrow"/>
          <w:color w:val="000000" w:themeColor="text1"/>
          <w:sz w:val="24"/>
          <w:szCs w:val="24"/>
        </w:rPr>
        <w:t>, M. A., et al. (2018) ‘</w:t>
      </w:r>
      <w:r w:rsidRPr="000A3703">
        <w:rPr>
          <w:rFonts w:ascii="Arial Narrow" w:hAnsi="Arial Narrow"/>
          <w:color w:val="000000" w:themeColor="text1"/>
          <w:sz w:val="24"/>
          <w:szCs w:val="24"/>
        </w:rPr>
        <w:t>Understanding and Promoting Resilience in the Context of Adverse Childhood Experiences</w:t>
      </w:r>
      <w:r>
        <w:rPr>
          <w:rFonts w:ascii="Arial Narrow" w:hAnsi="Arial Narrow"/>
          <w:color w:val="000000" w:themeColor="text1"/>
          <w:sz w:val="24"/>
          <w:szCs w:val="24"/>
        </w:rPr>
        <w:t xml:space="preserve">’, </w:t>
      </w:r>
      <w:r w:rsidRPr="000A3703">
        <w:rPr>
          <w:rFonts w:ascii="Arial Narrow" w:hAnsi="Arial Narrow"/>
          <w:i/>
          <w:iCs/>
          <w:color w:val="000000" w:themeColor="text1"/>
          <w:sz w:val="24"/>
          <w:szCs w:val="24"/>
        </w:rPr>
        <w:t>Early Childhood Education Journal</w:t>
      </w:r>
      <w:r>
        <w:rPr>
          <w:rFonts w:ascii="Arial Narrow" w:hAnsi="Arial Narrow"/>
          <w:color w:val="000000" w:themeColor="text1"/>
          <w:sz w:val="24"/>
          <w:szCs w:val="24"/>
        </w:rPr>
        <w:t>, 46(8), pp. 343-353.</w:t>
      </w:r>
    </w:p>
    <w:p w14:paraId="4AF63A43" w14:textId="3801D762" w:rsidR="00EA3CF9" w:rsidRDefault="006E637D" w:rsidP="006E637D">
      <w:pPr>
        <w:spacing w:line="276" w:lineRule="auto"/>
        <w:rPr>
          <w:rFonts w:ascii="Arial Narrow" w:hAnsi="Arial Narrow"/>
        </w:rPr>
      </w:pPr>
      <w:r w:rsidRPr="006F3268">
        <w:rPr>
          <w:rFonts w:ascii="Arial Narrow" w:hAnsi="Arial Narrow"/>
          <w:i/>
          <w:iCs/>
        </w:rPr>
        <w:t>Sexual Offences Act 2003</w:t>
      </w:r>
      <w:r>
        <w:rPr>
          <w:rFonts w:ascii="Arial Narrow" w:hAnsi="Arial Narrow"/>
          <w:i/>
          <w:iCs/>
        </w:rPr>
        <w:t xml:space="preserve">, </w:t>
      </w:r>
      <w:r>
        <w:rPr>
          <w:rFonts w:ascii="Arial Narrow" w:hAnsi="Arial Narrow"/>
        </w:rPr>
        <w:t xml:space="preserve">c. 42. Available at: </w:t>
      </w:r>
      <w:hyperlink r:id="rId12" w:history="1">
        <w:r w:rsidRPr="002708A8">
          <w:rPr>
            <w:rStyle w:val="Hyperlink"/>
            <w:rFonts w:ascii="Arial Narrow" w:hAnsi="Arial Narrow"/>
          </w:rPr>
          <w:t>https://www.legislation.gov.uk/ukpga/2003/42/contents</w:t>
        </w:r>
      </w:hyperlink>
      <w:r>
        <w:rPr>
          <w:rFonts w:ascii="Arial Narrow" w:hAnsi="Arial Narrow"/>
        </w:rPr>
        <w:t xml:space="preserve"> (Accessed: 8</w:t>
      </w:r>
      <w:r w:rsidRPr="006F3268">
        <w:rPr>
          <w:rFonts w:ascii="Arial Narrow" w:hAnsi="Arial Narrow"/>
          <w:vertAlign w:val="superscript"/>
        </w:rPr>
        <w:t>th</w:t>
      </w:r>
      <w:r>
        <w:rPr>
          <w:rFonts w:ascii="Arial Narrow" w:hAnsi="Arial Narrow"/>
        </w:rPr>
        <w:t xml:space="preserve"> July 2024).</w:t>
      </w:r>
    </w:p>
    <w:p w14:paraId="25CA9FB8" w14:textId="4455886A" w:rsidR="00EA3CF9" w:rsidRDefault="00EA3CF9" w:rsidP="00EA3CF9">
      <w:pPr>
        <w:pStyle w:val="Heading1"/>
        <w:spacing w:line="276" w:lineRule="auto"/>
        <w:rPr>
          <w:rFonts w:ascii="Arial Narrow" w:eastAsia="Times New Roman" w:hAnsi="Arial Narrow" w:cs="Open Sans"/>
          <w:color w:val="000000" w:themeColor="text1"/>
          <w:kern w:val="36"/>
          <w:sz w:val="24"/>
          <w:szCs w:val="24"/>
          <w:lang w:eastAsia="en-GB"/>
        </w:rPr>
      </w:pPr>
      <w:r w:rsidRPr="00EA3CF9">
        <w:rPr>
          <w:rFonts w:ascii="Arial Narrow" w:hAnsi="Arial Narrow"/>
          <w:color w:val="000000" w:themeColor="text1"/>
          <w:sz w:val="24"/>
          <w:szCs w:val="24"/>
        </w:rPr>
        <w:t>Tener,</w:t>
      </w:r>
      <w:r>
        <w:rPr>
          <w:rFonts w:ascii="Arial Narrow" w:hAnsi="Arial Narrow"/>
          <w:color w:val="000000" w:themeColor="text1"/>
          <w:sz w:val="24"/>
          <w:szCs w:val="24"/>
        </w:rPr>
        <w:t xml:space="preserve"> D.,</w:t>
      </w:r>
      <w:r w:rsidRPr="00EA3CF9">
        <w:rPr>
          <w:rFonts w:ascii="Arial Narrow" w:hAnsi="Arial Narrow"/>
          <w:color w:val="000000" w:themeColor="text1"/>
          <w:sz w:val="24"/>
          <w:szCs w:val="24"/>
        </w:rPr>
        <w:t xml:space="preserve"> Tarshish</w:t>
      </w:r>
      <w:r>
        <w:rPr>
          <w:rFonts w:ascii="Arial Narrow" w:hAnsi="Arial Narrow"/>
          <w:color w:val="000000" w:themeColor="text1"/>
          <w:sz w:val="24"/>
          <w:szCs w:val="24"/>
        </w:rPr>
        <w:t>, N.</w:t>
      </w:r>
      <w:r w:rsidRPr="00EA3CF9">
        <w:rPr>
          <w:rFonts w:ascii="Arial Narrow" w:hAnsi="Arial Narrow"/>
          <w:color w:val="000000" w:themeColor="text1"/>
          <w:sz w:val="24"/>
          <w:szCs w:val="24"/>
        </w:rPr>
        <w:t xml:space="preserve"> and </w:t>
      </w:r>
      <w:proofErr w:type="spellStart"/>
      <w:r w:rsidRPr="00EA3CF9">
        <w:rPr>
          <w:rFonts w:ascii="Arial Narrow" w:hAnsi="Arial Narrow"/>
          <w:color w:val="000000" w:themeColor="text1"/>
          <w:sz w:val="24"/>
          <w:szCs w:val="24"/>
        </w:rPr>
        <w:t>Turgeman</w:t>
      </w:r>
      <w:proofErr w:type="spellEnd"/>
      <w:r w:rsidRPr="00EA3CF9">
        <w:rPr>
          <w:rFonts w:ascii="Arial Narrow" w:hAnsi="Arial Narrow"/>
          <w:color w:val="000000" w:themeColor="text1"/>
          <w:sz w:val="24"/>
          <w:szCs w:val="24"/>
        </w:rPr>
        <w:t xml:space="preserve">, </w:t>
      </w:r>
      <w:r>
        <w:rPr>
          <w:rFonts w:ascii="Arial Narrow" w:hAnsi="Arial Narrow"/>
          <w:color w:val="000000" w:themeColor="text1"/>
          <w:sz w:val="24"/>
          <w:szCs w:val="24"/>
        </w:rPr>
        <w:t>S. (</w:t>
      </w:r>
      <w:r w:rsidRPr="00EA3CF9">
        <w:rPr>
          <w:rFonts w:ascii="Arial Narrow" w:hAnsi="Arial Narrow"/>
          <w:color w:val="000000" w:themeColor="text1"/>
          <w:sz w:val="24"/>
          <w:szCs w:val="24"/>
        </w:rPr>
        <w:t>2020</w:t>
      </w:r>
      <w:r>
        <w:rPr>
          <w:rFonts w:ascii="Arial Narrow" w:hAnsi="Arial Narrow"/>
          <w:color w:val="000000" w:themeColor="text1"/>
          <w:sz w:val="24"/>
          <w:szCs w:val="24"/>
        </w:rPr>
        <w:t>)</w:t>
      </w:r>
      <w:r w:rsidRPr="00EA3CF9">
        <w:rPr>
          <w:rFonts w:ascii="Arial Narrow" w:hAnsi="Arial Narrow"/>
          <w:color w:val="000000" w:themeColor="text1"/>
          <w:sz w:val="24"/>
          <w:szCs w:val="24"/>
        </w:rPr>
        <w:t xml:space="preserve"> </w:t>
      </w:r>
      <w:r>
        <w:rPr>
          <w:rFonts w:ascii="Arial Narrow" w:hAnsi="Arial Narrow"/>
          <w:color w:val="000000" w:themeColor="text1"/>
          <w:sz w:val="24"/>
          <w:szCs w:val="24"/>
        </w:rPr>
        <w:t>‘</w:t>
      </w:r>
      <w:r w:rsidRPr="00EA3CF9">
        <w:rPr>
          <w:rFonts w:ascii="Arial Narrow" w:eastAsia="Times New Roman" w:hAnsi="Arial Narrow" w:cs="Open Sans"/>
          <w:color w:val="000000" w:themeColor="text1"/>
          <w:kern w:val="36"/>
          <w:sz w:val="24"/>
          <w:szCs w:val="24"/>
          <w:lang w:eastAsia="en-GB"/>
        </w:rPr>
        <w:t xml:space="preserve">“Victim, Perpetrator, or Just My Brother?” Sibling Sexual Abuse in Large Families: A Child Advocacy </w:t>
      </w:r>
      <w:proofErr w:type="spellStart"/>
      <w:r w:rsidRPr="00EA3CF9">
        <w:rPr>
          <w:rFonts w:ascii="Arial Narrow" w:eastAsia="Times New Roman" w:hAnsi="Arial Narrow" w:cs="Open Sans"/>
          <w:color w:val="000000" w:themeColor="text1"/>
          <w:kern w:val="36"/>
          <w:sz w:val="24"/>
          <w:szCs w:val="24"/>
          <w:lang w:eastAsia="en-GB"/>
        </w:rPr>
        <w:t>Center</w:t>
      </w:r>
      <w:proofErr w:type="spellEnd"/>
      <w:r w:rsidRPr="00EA3CF9">
        <w:rPr>
          <w:rFonts w:ascii="Arial Narrow" w:eastAsia="Times New Roman" w:hAnsi="Arial Narrow" w:cs="Open Sans"/>
          <w:color w:val="000000" w:themeColor="text1"/>
          <w:kern w:val="36"/>
          <w:sz w:val="24"/>
          <w:szCs w:val="24"/>
          <w:lang w:eastAsia="en-GB"/>
        </w:rPr>
        <w:t xml:space="preserve"> Study</w:t>
      </w:r>
      <w:r>
        <w:rPr>
          <w:rFonts w:ascii="Arial Narrow" w:eastAsia="Times New Roman" w:hAnsi="Arial Narrow" w:cs="Open Sans"/>
          <w:color w:val="000000" w:themeColor="text1"/>
          <w:kern w:val="36"/>
          <w:sz w:val="24"/>
          <w:szCs w:val="24"/>
          <w:lang w:eastAsia="en-GB"/>
        </w:rPr>
        <w:t xml:space="preserve">’, </w:t>
      </w:r>
      <w:r w:rsidRPr="00EA3CF9">
        <w:rPr>
          <w:rFonts w:ascii="Arial Narrow" w:eastAsia="Times New Roman" w:hAnsi="Arial Narrow" w:cs="Open Sans"/>
          <w:i/>
          <w:iCs/>
          <w:color w:val="000000" w:themeColor="text1"/>
          <w:kern w:val="36"/>
          <w:sz w:val="24"/>
          <w:szCs w:val="24"/>
          <w:lang w:eastAsia="en-GB"/>
        </w:rPr>
        <w:t>Journal of Interpersonal Violence</w:t>
      </w:r>
      <w:r>
        <w:rPr>
          <w:rFonts w:ascii="Arial Narrow" w:eastAsia="Times New Roman" w:hAnsi="Arial Narrow" w:cs="Open Sans"/>
          <w:color w:val="000000" w:themeColor="text1"/>
          <w:kern w:val="36"/>
          <w:sz w:val="24"/>
          <w:szCs w:val="24"/>
          <w:lang w:eastAsia="en-GB"/>
        </w:rPr>
        <w:t>, 35(21), pp. 4887-4912.</w:t>
      </w:r>
    </w:p>
    <w:p w14:paraId="0EB7CAA4" w14:textId="77777777" w:rsidR="005F1860" w:rsidRDefault="005F1860" w:rsidP="005F1860">
      <w:pPr>
        <w:rPr>
          <w:lang w:eastAsia="en-GB"/>
        </w:rPr>
      </w:pPr>
    </w:p>
    <w:p w14:paraId="611CC76E" w14:textId="77777777" w:rsidR="005F1860" w:rsidRDefault="005F1860" w:rsidP="005F186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Narrow" w:hAnsi="Arial Narrow" w:cs="Arial Narrow"/>
          <w:color w:val="000000"/>
          <w:lang w:eastAsia="en-US"/>
          <w14:ligatures w14:val="standardContextual"/>
        </w:rPr>
      </w:pPr>
      <w:r>
        <w:rPr>
          <w:rFonts w:ascii="Arial Narrow" w:hAnsi="Arial Narrow" w:cs="Arial Narrow"/>
          <w:color w:val="000000"/>
          <w:lang w:eastAsia="en-US"/>
          <w14:ligatures w14:val="standardContextual"/>
        </w:rPr>
        <w:t xml:space="preserve">UNICEF (no date) </w:t>
      </w:r>
      <w:r>
        <w:rPr>
          <w:rFonts w:ascii="Arial Narrow" w:hAnsi="Arial Narrow" w:cs="Arial Narrow"/>
          <w:i/>
          <w:iCs/>
          <w:color w:val="000000"/>
          <w:lang w:eastAsia="en-US"/>
          <w14:ligatures w14:val="standardContextual"/>
        </w:rPr>
        <w:t>A Summary of the UN Convention on the Rights of the Child.</w:t>
      </w:r>
      <w:r>
        <w:rPr>
          <w:rFonts w:ascii="Arial Narrow" w:hAnsi="Arial Narrow" w:cs="Arial Narrow"/>
          <w:color w:val="000000"/>
          <w:lang w:eastAsia="en-US"/>
          <w14:ligatures w14:val="standardContextual"/>
        </w:rPr>
        <w:t xml:space="preserve"> Available at: https://www.unicef.org.uk/wp-</w:t>
      </w:r>
    </w:p>
    <w:p w14:paraId="27CF5543" w14:textId="4D002568" w:rsidR="005F1860" w:rsidRPr="008641AD" w:rsidRDefault="005F1860" w:rsidP="005F1860">
      <w:pPr>
        <w:rPr>
          <w:rFonts w:ascii="Arial Narrow" w:hAnsi="Arial Narrow"/>
          <w:color w:val="000000" w:themeColor="text1"/>
        </w:rPr>
      </w:pPr>
      <w:r>
        <w:rPr>
          <w:rFonts w:ascii="Arial Narrow" w:hAnsi="Arial Narrow" w:cs="Arial Narrow"/>
          <w:color w:val="000000"/>
          <w:lang w:eastAsia="en-US"/>
          <w14:ligatures w14:val="standardContextual"/>
        </w:rPr>
        <w:t xml:space="preserve">content/uploads/2019/10/UNCRC_summary-1_1.pdf (Accessed: </w:t>
      </w:r>
      <w:r>
        <w:rPr>
          <w:rFonts w:ascii="Arial Narrow" w:hAnsi="Arial Narrow" w:cs="Arial Narrow"/>
          <w:color w:val="000000"/>
          <w:lang w:eastAsia="en-US"/>
          <w14:ligatures w14:val="standardContextual"/>
        </w:rPr>
        <w:t>9</w:t>
      </w:r>
      <w:r w:rsidRPr="005F1860">
        <w:rPr>
          <w:rFonts w:ascii="Arial Narrow" w:hAnsi="Arial Narrow" w:cs="Arial Narrow"/>
          <w:color w:val="000000"/>
          <w:vertAlign w:val="superscript"/>
          <w:lang w:eastAsia="en-US"/>
          <w14:ligatures w14:val="standardContextual"/>
        </w:rPr>
        <w:t>th</w:t>
      </w:r>
      <w:r>
        <w:rPr>
          <w:rFonts w:ascii="Arial Narrow" w:hAnsi="Arial Narrow" w:cs="Arial Narrow"/>
          <w:color w:val="000000"/>
          <w:lang w:eastAsia="en-US"/>
          <w14:ligatures w14:val="standardContextual"/>
        </w:rPr>
        <w:t xml:space="preserve"> </w:t>
      </w:r>
      <w:r>
        <w:rPr>
          <w:rFonts w:ascii="Arial Narrow" w:hAnsi="Arial Narrow" w:cs="Arial Narrow"/>
          <w:color w:val="000000"/>
          <w:lang w:eastAsia="en-US"/>
          <w14:ligatures w14:val="standardContextual"/>
        </w:rPr>
        <w:t>Ju</w:t>
      </w:r>
      <w:r>
        <w:rPr>
          <w:rFonts w:ascii="Arial Narrow" w:hAnsi="Arial Narrow" w:cs="Arial Narrow"/>
          <w:color w:val="000000"/>
          <w:lang w:eastAsia="en-US"/>
          <w14:ligatures w14:val="standardContextual"/>
        </w:rPr>
        <w:t xml:space="preserve">ly </w:t>
      </w:r>
      <w:r>
        <w:rPr>
          <w:rFonts w:ascii="Arial Narrow" w:hAnsi="Arial Narrow" w:cs="Arial Narrow"/>
          <w:color w:val="000000"/>
          <w:lang w:eastAsia="en-US"/>
          <w14:ligatures w14:val="standardContextual"/>
        </w:rPr>
        <w:t>2024).</w:t>
      </w:r>
      <w:r w:rsidRPr="008641AD">
        <w:rPr>
          <w:rFonts w:ascii="Arial Narrow" w:eastAsia="Aptos" w:hAnsi="Arial Narrow" w:cs="Aptos"/>
          <w:color w:val="000000" w:themeColor="text1"/>
          <w:lang w:val="en-US"/>
        </w:rPr>
        <w:t xml:space="preserve"> </w:t>
      </w:r>
    </w:p>
    <w:p w14:paraId="72996684" w14:textId="77777777" w:rsidR="005F1860" w:rsidRPr="005F1860" w:rsidRDefault="005F1860" w:rsidP="005F1860">
      <w:pPr>
        <w:rPr>
          <w:lang w:eastAsia="en-GB"/>
        </w:rPr>
      </w:pPr>
    </w:p>
    <w:p w14:paraId="40C706E0" w14:textId="695E15D5" w:rsidR="00EA3CF9" w:rsidRDefault="00EA3CF9" w:rsidP="006E637D">
      <w:pPr>
        <w:spacing w:line="276" w:lineRule="auto"/>
        <w:rPr>
          <w:rFonts w:ascii="Arial Narrow" w:hAnsi="Arial Narrow"/>
        </w:rPr>
      </w:pPr>
    </w:p>
    <w:sectPr w:rsidR="00EA3C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Muli">
    <w:altName w:val="Cambria"/>
    <w:panose1 w:val="020B0604020202020204"/>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924B5"/>
    <w:multiLevelType w:val="hybridMultilevel"/>
    <w:tmpl w:val="CD92CDF0"/>
    <w:lvl w:ilvl="0" w:tplc="F390763A">
      <w:start w:val="1"/>
      <w:numFmt w:val="bullet"/>
      <w:lvlText w:val="•"/>
      <w:lvlJc w:val="left"/>
      <w:pPr>
        <w:tabs>
          <w:tab w:val="num" w:pos="720"/>
        </w:tabs>
        <w:ind w:left="720" w:hanging="360"/>
      </w:pPr>
      <w:rPr>
        <w:rFonts w:ascii="Arial" w:hAnsi="Arial" w:hint="default"/>
      </w:rPr>
    </w:lvl>
    <w:lvl w:ilvl="1" w:tplc="3098B66E" w:tentative="1">
      <w:start w:val="1"/>
      <w:numFmt w:val="bullet"/>
      <w:lvlText w:val="•"/>
      <w:lvlJc w:val="left"/>
      <w:pPr>
        <w:tabs>
          <w:tab w:val="num" w:pos="1440"/>
        </w:tabs>
        <w:ind w:left="1440" w:hanging="360"/>
      </w:pPr>
      <w:rPr>
        <w:rFonts w:ascii="Arial" w:hAnsi="Arial" w:hint="default"/>
      </w:rPr>
    </w:lvl>
    <w:lvl w:ilvl="2" w:tplc="1F464A48" w:tentative="1">
      <w:start w:val="1"/>
      <w:numFmt w:val="bullet"/>
      <w:lvlText w:val="•"/>
      <w:lvlJc w:val="left"/>
      <w:pPr>
        <w:tabs>
          <w:tab w:val="num" w:pos="2160"/>
        </w:tabs>
        <w:ind w:left="2160" w:hanging="360"/>
      </w:pPr>
      <w:rPr>
        <w:rFonts w:ascii="Arial" w:hAnsi="Arial" w:hint="default"/>
      </w:rPr>
    </w:lvl>
    <w:lvl w:ilvl="3" w:tplc="3796F084" w:tentative="1">
      <w:start w:val="1"/>
      <w:numFmt w:val="bullet"/>
      <w:lvlText w:val="•"/>
      <w:lvlJc w:val="left"/>
      <w:pPr>
        <w:tabs>
          <w:tab w:val="num" w:pos="2880"/>
        </w:tabs>
        <w:ind w:left="2880" w:hanging="360"/>
      </w:pPr>
      <w:rPr>
        <w:rFonts w:ascii="Arial" w:hAnsi="Arial" w:hint="default"/>
      </w:rPr>
    </w:lvl>
    <w:lvl w:ilvl="4" w:tplc="B3A6909E" w:tentative="1">
      <w:start w:val="1"/>
      <w:numFmt w:val="bullet"/>
      <w:lvlText w:val="•"/>
      <w:lvlJc w:val="left"/>
      <w:pPr>
        <w:tabs>
          <w:tab w:val="num" w:pos="3600"/>
        </w:tabs>
        <w:ind w:left="3600" w:hanging="360"/>
      </w:pPr>
      <w:rPr>
        <w:rFonts w:ascii="Arial" w:hAnsi="Arial" w:hint="default"/>
      </w:rPr>
    </w:lvl>
    <w:lvl w:ilvl="5" w:tplc="93803ADC" w:tentative="1">
      <w:start w:val="1"/>
      <w:numFmt w:val="bullet"/>
      <w:lvlText w:val="•"/>
      <w:lvlJc w:val="left"/>
      <w:pPr>
        <w:tabs>
          <w:tab w:val="num" w:pos="4320"/>
        </w:tabs>
        <w:ind w:left="4320" w:hanging="360"/>
      </w:pPr>
      <w:rPr>
        <w:rFonts w:ascii="Arial" w:hAnsi="Arial" w:hint="default"/>
      </w:rPr>
    </w:lvl>
    <w:lvl w:ilvl="6" w:tplc="8940E424" w:tentative="1">
      <w:start w:val="1"/>
      <w:numFmt w:val="bullet"/>
      <w:lvlText w:val="•"/>
      <w:lvlJc w:val="left"/>
      <w:pPr>
        <w:tabs>
          <w:tab w:val="num" w:pos="5040"/>
        </w:tabs>
        <w:ind w:left="5040" w:hanging="360"/>
      </w:pPr>
      <w:rPr>
        <w:rFonts w:ascii="Arial" w:hAnsi="Arial" w:hint="default"/>
      </w:rPr>
    </w:lvl>
    <w:lvl w:ilvl="7" w:tplc="ED486C32" w:tentative="1">
      <w:start w:val="1"/>
      <w:numFmt w:val="bullet"/>
      <w:lvlText w:val="•"/>
      <w:lvlJc w:val="left"/>
      <w:pPr>
        <w:tabs>
          <w:tab w:val="num" w:pos="5760"/>
        </w:tabs>
        <w:ind w:left="5760" w:hanging="360"/>
      </w:pPr>
      <w:rPr>
        <w:rFonts w:ascii="Arial" w:hAnsi="Arial" w:hint="default"/>
      </w:rPr>
    </w:lvl>
    <w:lvl w:ilvl="8" w:tplc="30127FE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E926C61"/>
    <w:multiLevelType w:val="hybridMultilevel"/>
    <w:tmpl w:val="151C309C"/>
    <w:lvl w:ilvl="0" w:tplc="46BA99BE">
      <w:start w:val="1"/>
      <w:numFmt w:val="bullet"/>
      <w:lvlText w:val="•"/>
      <w:lvlJc w:val="left"/>
      <w:pPr>
        <w:tabs>
          <w:tab w:val="num" w:pos="720"/>
        </w:tabs>
        <w:ind w:left="720" w:hanging="360"/>
      </w:pPr>
      <w:rPr>
        <w:rFonts w:ascii="Arial" w:hAnsi="Arial" w:hint="default"/>
      </w:rPr>
    </w:lvl>
    <w:lvl w:ilvl="1" w:tplc="A3880A56" w:tentative="1">
      <w:start w:val="1"/>
      <w:numFmt w:val="bullet"/>
      <w:lvlText w:val="•"/>
      <w:lvlJc w:val="left"/>
      <w:pPr>
        <w:tabs>
          <w:tab w:val="num" w:pos="1440"/>
        </w:tabs>
        <w:ind w:left="1440" w:hanging="360"/>
      </w:pPr>
      <w:rPr>
        <w:rFonts w:ascii="Arial" w:hAnsi="Arial" w:hint="default"/>
      </w:rPr>
    </w:lvl>
    <w:lvl w:ilvl="2" w:tplc="D15EA81E" w:tentative="1">
      <w:start w:val="1"/>
      <w:numFmt w:val="bullet"/>
      <w:lvlText w:val="•"/>
      <w:lvlJc w:val="left"/>
      <w:pPr>
        <w:tabs>
          <w:tab w:val="num" w:pos="2160"/>
        </w:tabs>
        <w:ind w:left="2160" w:hanging="360"/>
      </w:pPr>
      <w:rPr>
        <w:rFonts w:ascii="Arial" w:hAnsi="Arial" w:hint="default"/>
      </w:rPr>
    </w:lvl>
    <w:lvl w:ilvl="3" w:tplc="1638D274" w:tentative="1">
      <w:start w:val="1"/>
      <w:numFmt w:val="bullet"/>
      <w:lvlText w:val="•"/>
      <w:lvlJc w:val="left"/>
      <w:pPr>
        <w:tabs>
          <w:tab w:val="num" w:pos="2880"/>
        </w:tabs>
        <w:ind w:left="2880" w:hanging="360"/>
      </w:pPr>
      <w:rPr>
        <w:rFonts w:ascii="Arial" w:hAnsi="Arial" w:hint="default"/>
      </w:rPr>
    </w:lvl>
    <w:lvl w:ilvl="4" w:tplc="6D966D1C" w:tentative="1">
      <w:start w:val="1"/>
      <w:numFmt w:val="bullet"/>
      <w:lvlText w:val="•"/>
      <w:lvlJc w:val="left"/>
      <w:pPr>
        <w:tabs>
          <w:tab w:val="num" w:pos="3600"/>
        </w:tabs>
        <w:ind w:left="3600" w:hanging="360"/>
      </w:pPr>
      <w:rPr>
        <w:rFonts w:ascii="Arial" w:hAnsi="Arial" w:hint="default"/>
      </w:rPr>
    </w:lvl>
    <w:lvl w:ilvl="5" w:tplc="549E968A" w:tentative="1">
      <w:start w:val="1"/>
      <w:numFmt w:val="bullet"/>
      <w:lvlText w:val="•"/>
      <w:lvlJc w:val="left"/>
      <w:pPr>
        <w:tabs>
          <w:tab w:val="num" w:pos="4320"/>
        </w:tabs>
        <w:ind w:left="4320" w:hanging="360"/>
      </w:pPr>
      <w:rPr>
        <w:rFonts w:ascii="Arial" w:hAnsi="Arial" w:hint="default"/>
      </w:rPr>
    </w:lvl>
    <w:lvl w:ilvl="6" w:tplc="D630AE98" w:tentative="1">
      <w:start w:val="1"/>
      <w:numFmt w:val="bullet"/>
      <w:lvlText w:val="•"/>
      <w:lvlJc w:val="left"/>
      <w:pPr>
        <w:tabs>
          <w:tab w:val="num" w:pos="5040"/>
        </w:tabs>
        <w:ind w:left="5040" w:hanging="360"/>
      </w:pPr>
      <w:rPr>
        <w:rFonts w:ascii="Arial" w:hAnsi="Arial" w:hint="default"/>
      </w:rPr>
    </w:lvl>
    <w:lvl w:ilvl="7" w:tplc="7AD6C94A" w:tentative="1">
      <w:start w:val="1"/>
      <w:numFmt w:val="bullet"/>
      <w:lvlText w:val="•"/>
      <w:lvlJc w:val="left"/>
      <w:pPr>
        <w:tabs>
          <w:tab w:val="num" w:pos="5760"/>
        </w:tabs>
        <w:ind w:left="5760" w:hanging="360"/>
      </w:pPr>
      <w:rPr>
        <w:rFonts w:ascii="Arial" w:hAnsi="Arial" w:hint="default"/>
      </w:rPr>
    </w:lvl>
    <w:lvl w:ilvl="8" w:tplc="A156CE9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EDE294D"/>
    <w:multiLevelType w:val="multilevel"/>
    <w:tmpl w:val="525C1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92D731E"/>
    <w:multiLevelType w:val="multilevel"/>
    <w:tmpl w:val="357C6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38461100">
    <w:abstractNumId w:val="1"/>
  </w:num>
  <w:num w:numId="2" w16cid:durableId="989408039">
    <w:abstractNumId w:val="3"/>
  </w:num>
  <w:num w:numId="3" w16cid:durableId="796221306">
    <w:abstractNumId w:val="2"/>
  </w:num>
  <w:num w:numId="4" w16cid:durableId="8017706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179C"/>
    <w:rsid w:val="0000781A"/>
    <w:rsid w:val="00015387"/>
    <w:rsid w:val="00046FAB"/>
    <w:rsid w:val="00082DA2"/>
    <w:rsid w:val="000A3703"/>
    <w:rsid w:val="0018622C"/>
    <w:rsid w:val="001B1AA9"/>
    <w:rsid w:val="001C43B5"/>
    <w:rsid w:val="001E10A9"/>
    <w:rsid w:val="002B7E45"/>
    <w:rsid w:val="002C3CB4"/>
    <w:rsid w:val="003116DC"/>
    <w:rsid w:val="003E7DD4"/>
    <w:rsid w:val="00412C00"/>
    <w:rsid w:val="0045197F"/>
    <w:rsid w:val="004B6122"/>
    <w:rsid w:val="005112D9"/>
    <w:rsid w:val="005647E6"/>
    <w:rsid w:val="005F1860"/>
    <w:rsid w:val="00612BD1"/>
    <w:rsid w:val="006E637D"/>
    <w:rsid w:val="006F3268"/>
    <w:rsid w:val="00717D4E"/>
    <w:rsid w:val="00851903"/>
    <w:rsid w:val="009D30BD"/>
    <w:rsid w:val="00A067C2"/>
    <w:rsid w:val="00A07256"/>
    <w:rsid w:val="00AA689A"/>
    <w:rsid w:val="00AD7AAF"/>
    <w:rsid w:val="00AF223F"/>
    <w:rsid w:val="00B50FBC"/>
    <w:rsid w:val="00B5179C"/>
    <w:rsid w:val="00B75E1B"/>
    <w:rsid w:val="00B96455"/>
    <w:rsid w:val="00BA47DC"/>
    <w:rsid w:val="00C96EF2"/>
    <w:rsid w:val="00D0200F"/>
    <w:rsid w:val="00E344BD"/>
    <w:rsid w:val="00EA3CF9"/>
    <w:rsid w:val="00ED02C7"/>
    <w:rsid w:val="00EF5C1C"/>
    <w:rsid w:val="00F877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8D411"/>
  <w15:chartTrackingRefBased/>
  <w15:docId w15:val="{A5533D27-3B7D-AE4F-9101-52CF50868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637D"/>
    <w:rPr>
      <w:rFonts w:ascii="Times New Roman" w:hAnsi="Times New Roman"/>
      <w:kern w:val="0"/>
      <w:lang w:eastAsia="zh-CN"/>
      <w14:ligatures w14:val="none"/>
    </w:rPr>
  </w:style>
  <w:style w:type="paragraph" w:styleId="Heading1">
    <w:name w:val="heading 1"/>
    <w:basedOn w:val="Normal"/>
    <w:next w:val="Normal"/>
    <w:link w:val="Heading1Char"/>
    <w:uiPriority w:val="9"/>
    <w:qFormat/>
    <w:rsid w:val="00B517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17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179C"/>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179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B5179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5179C"/>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5179C"/>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5179C"/>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5179C"/>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1C43B5"/>
    <w:rPr>
      <w:i/>
      <w:iCs/>
    </w:rPr>
  </w:style>
  <w:style w:type="paragraph" w:styleId="NoSpacing">
    <w:name w:val="No Spacing"/>
    <w:uiPriority w:val="1"/>
    <w:qFormat/>
    <w:rsid w:val="001C43B5"/>
    <w:rPr>
      <w:rFonts w:ascii="Times New Roman" w:eastAsia="Times New Roman" w:hAnsi="Times New Roman" w:cs="Times New Roman"/>
      <w:kern w:val="0"/>
      <w:lang w:eastAsia="zh-CN"/>
      <w14:ligatures w14:val="none"/>
    </w:rPr>
  </w:style>
  <w:style w:type="paragraph" w:styleId="ListParagraph">
    <w:name w:val="List Paragraph"/>
    <w:basedOn w:val="Normal"/>
    <w:uiPriority w:val="34"/>
    <w:qFormat/>
    <w:rsid w:val="001C43B5"/>
    <w:pPr>
      <w:ind w:left="720"/>
      <w:contextualSpacing/>
    </w:pPr>
    <w:rPr>
      <w:rFonts w:eastAsia="Times New Roman" w:cs="Times New Roman"/>
      <w:lang w:eastAsia="en-GB"/>
    </w:rPr>
  </w:style>
  <w:style w:type="character" w:customStyle="1" w:styleId="Heading1Char">
    <w:name w:val="Heading 1 Char"/>
    <w:basedOn w:val="DefaultParagraphFont"/>
    <w:link w:val="Heading1"/>
    <w:uiPriority w:val="9"/>
    <w:rsid w:val="00B5179C"/>
    <w:rPr>
      <w:rFonts w:asciiTheme="majorHAnsi" w:eastAsiaTheme="majorEastAsia" w:hAnsiTheme="majorHAnsi" w:cstheme="majorBidi"/>
      <w:color w:val="0F4761" w:themeColor="accent1" w:themeShade="BF"/>
      <w:kern w:val="0"/>
      <w:sz w:val="40"/>
      <w:szCs w:val="40"/>
      <w:lang w:eastAsia="zh-CN"/>
      <w14:ligatures w14:val="none"/>
    </w:rPr>
  </w:style>
  <w:style w:type="character" w:customStyle="1" w:styleId="Heading2Char">
    <w:name w:val="Heading 2 Char"/>
    <w:basedOn w:val="DefaultParagraphFont"/>
    <w:link w:val="Heading2"/>
    <w:uiPriority w:val="9"/>
    <w:semiHidden/>
    <w:rsid w:val="00B5179C"/>
    <w:rPr>
      <w:rFonts w:asciiTheme="majorHAnsi" w:eastAsiaTheme="majorEastAsia" w:hAnsiTheme="majorHAnsi" w:cstheme="majorBidi"/>
      <w:color w:val="0F4761" w:themeColor="accent1" w:themeShade="BF"/>
      <w:kern w:val="0"/>
      <w:sz w:val="32"/>
      <w:szCs w:val="32"/>
      <w:lang w:eastAsia="zh-CN"/>
      <w14:ligatures w14:val="none"/>
    </w:rPr>
  </w:style>
  <w:style w:type="character" w:customStyle="1" w:styleId="Heading3Char">
    <w:name w:val="Heading 3 Char"/>
    <w:basedOn w:val="DefaultParagraphFont"/>
    <w:link w:val="Heading3"/>
    <w:uiPriority w:val="9"/>
    <w:semiHidden/>
    <w:rsid w:val="00B5179C"/>
    <w:rPr>
      <w:rFonts w:eastAsiaTheme="majorEastAsia" w:cstheme="majorBidi"/>
      <w:color w:val="0F4761" w:themeColor="accent1" w:themeShade="BF"/>
      <w:kern w:val="0"/>
      <w:sz w:val="28"/>
      <w:szCs w:val="28"/>
      <w:lang w:eastAsia="zh-CN"/>
      <w14:ligatures w14:val="none"/>
    </w:rPr>
  </w:style>
  <w:style w:type="character" w:customStyle="1" w:styleId="Heading4Char">
    <w:name w:val="Heading 4 Char"/>
    <w:basedOn w:val="DefaultParagraphFont"/>
    <w:link w:val="Heading4"/>
    <w:uiPriority w:val="9"/>
    <w:semiHidden/>
    <w:rsid w:val="00B5179C"/>
    <w:rPr>
      <w:rFonts w:eastAsiaTheme="majorEastAsia" w:cstheme="majorBidi"/>
      <w:i/>
      <w:iCs/>
      <w:color w:val="0F4761" w:themeColor="accent1" w:themeShade="BF"/>
      <w:kern w:val="0"/>
      <w:lang w:eastAsia="zh-CN"/>
      <w14:ligatures w14:val="none"/>
    </w:rPr>
  </w:style>
  <w:style w:type="character" w:customStyle="1" w:styleId="Heading5Char">
    <w:name w:val="Heading 5 Char"/>
    <w:basedOn w:val="DefaultParagraphFont"/>
    <w:link w:val="Heading5"/>
    <w:uiPriority w:val="9"/>
    <w:semiHidden/>
    <w:rsid w:val="00B5179C"/>
    <w:rPr>
      <w:rFonts w:eastAsiaTheme="majorEastAsia" w:cstheme="majorBidi"/>
      <w:color w:val="0F4761" w:themeColor="accent1" w:themeShade="BF"/>
      <w:kern w:val="0"/>
      <w:lang w:eastAsia="zh-CN"/>
      <w14:ligatures w14:val="none"/>
    </w:rPr>
  </w:style>
  <w:style w:type="character" w:customStyle="1" w:styleId="Heading6Char">
    <w:name w:val="Heading 6 Char"/>
    <w:basedOn w:val="DefaultParagraphFont"/>
    <w:link w:val="Heading6"/>
    <w:uiPriority w:val="9"/>
    <w:semiHidden/>
    <w:rsid w:val="00B5179C"/>
    <w:rPr>
      <w:rFonts w:eastAsiaTheme="majorEastAsia" w:cstheme="majorBidi"/>
      <w:i/>
      <w:iCs/>
      <w:color w:val="595959" w:themeColor="text1" w:themeTint="A6"/>
      <w:kern w:val="0"/>
      <w:lang w:eastAsia="zh-CN"/>
      <w14:ligatures w14:val="none"/>
    </w:rPr>
  </w:style>
  <w:style w:type="character" w:customStyle="1" w:styleId="Heading7Char">
    <w:name w:val="Heading 7 Char"/>
    <w:basedOn w:val="DefaultParagraphFont"/>
    <w:link w:val="Heading7"/>
    <w:uiPriority w:val="9"/>
    <w:semiHidden/>
    <w:rsid w:val="00B5179C"/>
    <w:rPr>
      <w:rFonts w:eastAsiaTheme="majorEastAsia" w:cstheme="majorBidi"/>
      <w:color w:val="595959" w:themeColor="text1" w:themeTint="A6"/>
      <w:kern w:val="0"/>
      <w:lang w:eastAsia="zh-CN"/>
      <w14:ligatures w14:val="none"/>
    </w:rPr>
  </w:style>
  <w:style w:type="character" w:customStyle="1" w:styleId="Heading8Char">
    <w:name w:val="Heading 8 Char"/>
    <w:basedOn w:val="DefaultParagraphFont"/>
    <w:link w:val="Heading8"/>
    <w:uiPriority w:val="9"/>
    <w:semiHidden/>
    <w:rsid w:val="00B5179C"/>
    <w:rPr>
      <w:rFonts w:eastAsiaTheme="majorEastAsia" w:cstheme="majorBidi"/>
      <w:i/>
      <w:iCs/>
      <w:color w:val="272727" w:themeColor="text1" w:themeTint="D8"/>
      <w:kern w:val="0"/>
      <w:lang w:eastAsia="zh-CN"/>
      <w14:ligatures w14:val="none"/>
    </w:rPr>
  </w:style>
  <w:style w:type="character" w:customStyle="1" w:styleId="Heading9Char">
    <w:name w:val="Heading 9 Char"/>
    <w:basedOn w:val="DefaultParagraphFont"/>
    <w:link w:val="Heading9"/>
    <w:uiPriority w:val="9"/>
    <w:semiHidden/>
    <w:rsid w:val="00B5179C"/>
    <w:rPr>
      <w:rFonts w:eastAsiaTheme="majorEastAsia" w:cstheme="majorBidi"/>
      <w:color w:val="272727" w:themeColor="text1" w:themeTint="D8"/>
      <w:kern w:val="0"/>
      <w:lang w:eastAsia="zh-CN"/>
      <w14:ligatures w14:val="none"/>
    </w:rPr>
  </w:style>
  <w:style w:type="paragraph" w:styleId="Title">
    <w:name w:val="Title"/>
    <w:basedOn w:val="Normal"/>
    <w:next w:val="Normal"/>
    <w:link w:val="TitleChar"/>
    <w:uiPriority w:val="10"/>
    <w:qFormat/>
    <w:rsid w:val="00B5179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179C"/>
    <w:rPr>
      <w:rFonts w:asciiTheme="majorHAnsi" w:eastAsiaTheme="majorEastAsia" w:hAnsiTheme="majorHAnsi" w:cstheme="majorBidi"/>
      <w:spacing w:val="-10"/>
      <w:kern w:val="28"/>
      <w:sz w:val="56"/>
      <w:szCs w:val="56"/>
      <w:lang w:eastAsia="zh-CN"/>
      <w14:ligatures w14:val="none"/>
    </w:rPr>
  </w:style>
  <w:style w:type="paragraph" w:styleId="Subtitle">
    <w:name w:val="Subtitle"/>
    <w:basedOn w:val="Normal"/>
    <w:next w:val="Normal"/>
    <w:link w:val="SubtitleChar"/>
    <w:uiPriority w:val="11"/>
    <w:qFormat/>
    <w:rsid w:val="00B5179C"/>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179C"/>
    <w:rPr>
      <w:rFonts w:eastAsiaTheme="majorEastAsia" w:cstheme="majorBidi"/>
      <w:color w:val="595959" w:themeColor="text1" w:themeTint="A6"/>
      <w:spacing w:val="15"/>
      <w:kern w:val="0"/>
      <w:sz w:val="28"/>
      <w:szCs w:val="28"/>
      <w:lang w:eastAsia="zh-CN"/>
      <w14:ligatures w14:val="none"/>
    </w:rPr>
  </w:style>
  <w:style w:type="paragraph" w:styleId="Quote">
    <w:name w:val="Quote"/>
    <w:basedOn w:val="Normal"/>
    <w:next w:val="Normal"/>
    <w:link w:val="QuoteChar"/>
    <w:uiPriority w:val="29"/>
    <w:qFormat/>
    <w:rsid w:val="00B5179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5179C"/>
    <w:rPr>
      <w:rFonts w:ascii="Times New Roman" w:hAnsi="Times New Roman"/>
      <w:i/>
      <w:iCs/>
      <w:color w:val="404040" w:themeColor="text1" w:themeTint="BF"/>
      <w:kern w:val="0"/>
      <w:lang w:eastAsia="zh-CN"/>
      <w14:ligatures w14:val="none"/>
    </w:rPr>
  </w:style>
  <w:style w:type="character" w:styleId="IntenseEmphasis">
    <w:name w:val="Intense Emphasis"/>
    <w:basedOn w:val="DefaultParagraphFont"/>
    <w:uiPriority w:val="21"/>
    <w:qFormat/>
    <w:rsid w:val="00B5179C"/>
    <w:rPr>
      <w:i/>
      <w:iCs/>
      <w:color w:val="0F4761" w:themeColor="accent1" w:themeShade="BF"/>
    </w:rPr>
  </w:style>
  <w:style w:type="paragraph" w:styleId="IntenseQuote">
    <w:name w:val="Intense Quote"/>
    <w:basedOn w:val="Normal"/>
    <w:next w:val="Normal"/>
    <w:link w:val="IntenseQuoteChar"/>
    <w:uiPriority w:val="30"/>
    <w:qFormat/>
    <w:rsid w:val="00B517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179C"/>
    <w:rPr>
      <w:rFonts w:ascii="Times New Roman" w:hAnsi="Times New Roman"/>
      <w:i/>
      <w:iCs/>
      <w:color w:val="0F4761" w:themeColor="accent1" w:themeShade="BF"/>
      <w:kern w:val="0"/>
      <w:lang w:eastAsia="zh-CN"/>
      <w14:ligatures w14:val="none"/>
    </w:rPr>
  </w:style>
  <w:style w:type="character" w:styleId="IntenseReference">
    <w:name w:val="Intense Reference"/>
    <w:basedOn w:val="DefaultParagraphFont"/>
    <w:uiPriority w:val="32"/>
    <w:qFormat/>
    <w:rsid w:val="00B5179C"/>
    <w:rPr>
      <w:b/>
      <w:bCs/>
      <w:smallCaps/>
      <w:color w:val="0F4761" w:themeColor="accent1" w:themeShade="BF"/>
      <w:spacing w:val="5"/>
    </w:rPr>
  </w:style>
  <w:style w:type="character" w:styleId="Hyperlink">
    <w:name w:val="Hyperlink"/>
    <w:basedOn w:val="DefaultParagraphFont"/>
    <w:uiPriority w:val="99"/>
    <w:unhideWhenUsed/>
    <w:rsid w:val="006F3268"/>
    <w:rPr>
      <w:color w:val="467886" w:themeColor="hyperlink"/>
      <w:u w:val="single"/>
    </w:rPr>
  </w:style>
  <w:style w:type="character" w:styleId="UnresolvedMention">
    <w:name w:val="Unresolved Mention"/>
    <w:basedOn w:val="DefaultParagraphFont"/>
    <w:uiPriority w:val="99"/>
    <w:semiHidden/>
    <w:unhideWhenUsed/>
    <w:rsid w:val="006F3268"/>
    <w:rPr>
      <w:color w:val="605E5C"/>
      <w:shd w:val="clear" w:color="auto" w:fill="E1DFDD"/>
    </w:rPr>
  </w:style>
  <w:style w:type="paragraph" w:styleId="NormalWeb">
    <w:name w:val="Normal (Web)"/>
    <w:basedOn w:val="Normal"/>
    <w:uiPriority w:val="99"/>
    <w:semiHidden/>
    <w:unhideWhenUsed/>
    <w:rsid w:val="00A07256"/>
    <w:pPr>
      <w:spacing w:before="100" w:beforeAutospacing="1" w:after="100" w:afterAutospacing="1"/>
    </w:pPr>
    <w:rPr>
      <w:rFonts w:eastAsia="Times New Roman" w:cs="Times New Roman"/>
      <w:lang w:eastAsia="en-GB"/>
    </w:rPr>
  </w:style>
  <w:style w:type="character" w:customStyle="1" w:styleId="apple-converted-space">
    <w:name w:val="apple-converted-space"/>
    <w:basedOn w:val="DefaultParagraphFont"/>
    <w:rsid w:val="00AA689A"/>
  </w:style>
  <w:style w:type="character" w:customStyle="1" w:styleId="title-text">
    <w:name w:val="title-text"/>
    <w:basedOn w:val="DefaultParagraphFont"/>
    <w:rsid w:val="000A37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015093">
      <w:bodyDiv w:val="1"/>
      <w:marLeft w:val="0"/>
      <w:marRight w:val="0"/>
      <w:marTop w:val="0"/>
      <w:marBottom w:val="0"/>
      <w:divBdr>
        <w:top w:val="none" w:sz="0" w:space="0" w:color="auto"/>
        <w:left w:val="none" w:sz="0" w:space="0" w:color="auto"/>
        <w:bottom w:val="none" w:sz="0" w:space="0" w:color="auto"/>
        <w:right w:val="none" w:sz="0" w:space="0" w:color="auto"/>
      </w:divBdr>
    </w:div>
    <w:div w:id="63257769">
      <w:bodyDiv w:val="1"/>
      <w:marLeft w:val="0"/>
      <w:marRight w:val="0"/>
      <w:marTop w:val="0"/>
      <w:marBottom w:val="0"/>
      <w:divBdr>
        <w:top w:val="none" w:sz="0" w:space="0" w:color="auto"/>
        <w:left w:val="none" w:sz="0" w:space="0" w:color="auto"/>
        <w:bottom w:val="none" w:sz="0" w:space="0" w:color="auto"/>
        <w:right w:val="none" w:sz="0" w:space="0" w:color="auto"/>
      </w:divBdr>
    </w:div>
    <w:div w:id="185872986">
      <w:bodyDiv w:val="1"/>
      <w:marLeft w:val="0"/>
      <w:marRight w:val="0"/>
      <w:marTop w:val="0"/>
      <w:marBottom w:val="0"/>
      <w:divBdr>
        <w:top w:val="none" w:sz="0" w:space="0" w:color="auto"/>
        <w:left w:val="none" w:sz="0" w:space="0" w:color="auto"/>
        <w:bottom w:val="none" w:sz="0" w:space="0" w:color="auto"/>
        <w:right w:val="none" w:sz="0" w:space="0" w:color="auto"/>
      </w:divBdr>
    </w:div>
    <w:div w:id="198513728">
      <w:bodyDiv w:val="1"/>
      <w:marLeft w:val="0"/>
      <w:marRight w:val="0"/>
      <w:marTop w:val="0"/>
      <w:marBottom w:val="0"/>
      <w:divBdr>
        <w:top w:val="none" w:sz="0" w:space="0" w:color="auto"/>
        <w:left w:val="none" w:sz="0" w:space="0" w:color="auto"/>
        <w:bottom w:val="none" w:sz="0" w:space="0" w:color="auto"/>
        <w:right w:val="none" w:sz="0" w:space="0" w:color="auto"/>
      </w:divBdr>
      <w:divsChild>
        <w:div w:id="867521405">
          <w:marLeft w:val="274"/>
          <w:marRight w:val="0"/>
          <w:marTop w:val="0"/>
          <w:marBottom w:val="0"/>
          <w:divBdr>
            <w:top w:val="none" w:sz="0" w:space="0" w:color="auto"/>
            <w:left w:val="none" w:sz="0" w:space="0" w:color="auto"/>
            <w:bottom w:val="none" w:sz="0" w:space="0" w:color="auto"/>
            <w:right w:val="none" w:sz="0" w:space="0" w:color="auto"/>
          </w:divBdr>
        </w:div>
        <w:div w:id="937521988">
          <w:marLeft w:val="274"/>
          <w:marRight w:val="0"/>
          <w:marTop w:val="0"/>
          <w:marBottom w:val="0"/>
          <w:divBdr>
            <w:top w:val="none" w:sz="0" w:space="0" w:color="auto"/>
            <w:left w:val="none" w:sz="0" w:space="0" w:color="auto"/>
            <w:bottom w:val="none" w:sz="0" w:space="0" w:color="auto"/>
            <w:right w:val="none" w:sz="0" w:space="0" w:color="auto"/>
          </w:divBdr>
        </w:div>
        <w:div w:id="899680884">
          <w:marLeft w:val="274"/>
          <w:marRight w:val="0"/>
          <w:marTop w:val="0"/>
          <w:marBottom w:val="0"/>
          <w:divBdr>
            <w:top w:val="none" w:sz="0" w:space="0" w:color="auto"/>
            <w:left w:val="none" w:sz="0" w:space="0" w:color="auto"/>
            <w:bottom w:val="none" w:sz="0" w:space="0" w:color="auto"/>
            <w:right w:val="none" w:sz="0" w:space="0" w:color="auto"/>
          </w:divBdr>
        </w:div>
        <w:div w:id="709230784">
          <w:marLeft w:val="274"/>
          <w:marRight w:val="0"/>
          <w:marTop w:val="0"/>
          <w:marBottom w:val="0"/>
          <w:divBdr>
            <w:top w:val="none" w:sz="0" w:space="0" w:color="auto"/>
            <w:left w:val="none" w:sz="0" w:space="0" w:color="auto"/>
            <w:bottom w:val="none" w:sz="0" w:space="0" w:color="auto"/>
            <w:right w:val="none" w:sz="0" w:space="0" w:color="auto"/>
          </w:divBdr>
        </w:div>
        <w:div w:id="1054893510">
          <w:marLeft w:val="274"/>
          <w:marRight w:val="0"/>
          <w:marTop w:val="0"/>
          <w:marBottom w:val="0"/>
          <w:divBdr>
            <w:top w:val="none" w:sz="0" w:space="0" w:color="auto"/>
            <w:left w:val="none" w:sz="0" w:space="0" w:color="auto"/>
            <w:bottom w:val="none" w:sz="0" w:space="0" w:color="auto"/>
            <w:right w:val="none" w:sz="0" w:space="0" w:color="auto"/>
          </w:divBdr>
        </w:div>
      </w:divsChild>
    </w:div>
    <w:div w:id="250239074">
      <w:bodyDiv w:val="1"/>
      <w:marLeft w:val="0"/>
      <w:marRight w:val="0"/>
      <w:marTop w:val="0"/>
      <w:marBottom w:val="0"/>
      <w:divBdr>
        <w:top w:val="none" w:sz="0" w:space="0" w:color="auto"/>
        <w:left w:val="none" w:sz="0" w:space="0" w:color="auto"/>
        <w:bottom w:val="none" w:sz="0" w:space="0" w:color="auto"/>
        <w:right w:val="none" w:sz="0" w:space="0" w:color="auto"/>
      </w:divBdr>
    </w:div>
    <w:div w:id="254553837">
      <w:bodyDiv w:val="1"/>
      <w:marLeft w:val="0"/>
      <w:marRight w:val="0"/>
      <w:marTop w:val="0"/>
      <w:marBottom w:val="0"/>
      <w:divBdr>
        <w:top w:val="none" w:sz="0" w:space="0" w:color="auto"/>
        <w:left w:val="none" w:sz="0" w:space="0" w:color="auto"/>
        <w:bottom w:val="none" w:sz="0" w:space="0" w:color="auto"/>
        <w:right w:val="none" w:sz="0" w:space="0" w:color="auto"/>
      </w:divBdr>
    </w:div>
    <w:div w:id="429938484">
      <w:bodyDiv w:val="1"/>
      <w:marLeft w:val="0"/>
      <w:marRight w:val="0"/>
      <w:marTop w:val="0"/>
      <w:marBottom w:val="0"/>
      <w:divBdr>
        <w:top w:val="none" w:sz="0" w:space="0" w:color="auto"/>
        <w:left w:val="none" w:sz="0" w:space="0" w:color="auto"/>
        <w:bottom w:val="none" w:sz="0" w:space="0" w:color="auto"/>
        <w:right w:val="none" w:sz="0" w:space="0" w:color="auto"/>
      </w:divBdr>
    </w:div>
    <w:div w:id="489256849">
      <w:bodyDiv w:val="1"/>
      <w:marLeft w:val="0"/>
      <w:marRight w:val="0"/>
      <w:marTop w:val="0"/>
      <w:marBottom w:val="0"/>
      <w:divBdr>
        <w:top w:val="none" w:sz="0" w:space="0" w:color="auto"/>
        <w:left w:val="none" w:sz="0" w:space="0" w:color="auto"/>
        <w:bottom w:val="none" w:sz="0" w:space="0" w:color="auto"/>
        <w:right w:val="none" w:sz="0" w:space="0" w:color="auto"/>
      </w:divBdr>
    </w:div>
    <w:div w:id="578639167">
      <w:bodyDiv w:val="1"/>
      <w:marLeft w:val="0"/>
      <w:marRight w:val="0"/>
      <w:marTop w:val="0"/>
      <w:marBottom w:val="0"/>
      <w:divBdr>
        <w:top w:val="none" w:sz="0" w:space="0" w:color="auto"/>
        <w:left w:val="none" w:sz="0" w:space="0" w:color="auto"/>
        <w:bottom w:val="none" w:sz="0" w:space="0" w:color="auto"/>
        <w:right w:val="none" w:sz="0" w:space="0" w:color="auto"/>
      </w:divBdr>
    </w:div>
    <w:div w:id="588347605">
      <w:bodyDiv w:val="1"/>
      <w:marLeft w:val="0"/>
      <w:marRight w:val="0"/>
      <w:marTop w:val="0"/>
      <w:marBottom w:val="0"/>
      <w:divBdr>
        <w:top w:val="none" w:sz="0" w:space="0" w:color="auto"/>
        <w:left w:val="none" w:sz="0" w:space="0" w:color="auto"/>
        <w:bottom w:val="none" w:sz="0" w:space="0" w:color="auto"/>
        <w:right w:val="none" w:sz="0" w:space="0" w:color="auto"/>
      </w:divBdr>
    </w:div>
    <w:div w:id="654458101">
      <w:bodyDiv w:val="1"/>
      <w:marLeft w:val="0"/>
      <w:marRight w:val="0"/>
      <w:marTop w:val="0"/>
      <w:marBottom w:val="0"/>
      <w:divBdr>
        <w:top w:val="none" w:sz="0" w:space="0" w:color="auto"/>
        <w:left w:val="none" w:sz="0" w:space="0" w:color="auto"/>
        <w:bottom w:val="none" w:sz="0" w:space="0" w:color="auto"/>
        <w:right w:val="none" w:sz="0" w:space="0" w:color="auto"/>
      </w:divBdr>
    </w:div>
    <w:div w:id="675378848">
      <w:bodyDiv w:val="1"/>
      <w:marLeft w:val="0"/>
      <w:marRight w:val="0"/>
      <w:marTop w:val="0"/>
      <w:marBottom w:val="0"/>
      <w:divBdr>
        <w:top w:val="none" w:sz="0" w:space="0" w:color="auto"/>
        <w:left w:val="none" w:sz="0" w:space="0" w:color="auto"/>
        <w:bottom w:val="none" w:sz="0" w:space="0" w:color="auto"/>
        <w:right w:val="none" w:sz="0" w:space="0" w:color="auto"/>
      </w:divBdr>
    </w:div>
    <w:div w:id="756286924">
      <w:bodyDiv w:val="1"/>
      <w:marLeft w:val="0"/>
      <w:marRight w:val="0"/>
      <w:marTop w:val="0"/>
      <w:marBottom w:val="0"/>
      <w:divBdr>
        <w:top w:val="none" w:sz="0" w:space="0" w:color="auto"/>
        <w:left w:val="none" w:sz="0" w:space="0" w:color="auto"/>
        <w:bottom w:val="none" w:sz="0" w:space="0" w:color="auto"/>
        <w:right w:val="none" w:sz="0" w:space="0" w:color="auto"/>
      </w:divBdr>
    </w:div>
    <w:div w:id="1002242847">
      <w:bodyDiv w:val="1"/>
      <w:marLeft w:val="0"/>
      <w:marRight w:val="0"/>
      <w:marTop w:val="0"/>
      <w:marBottom w:val="0"/>
      <w:divBdr>
        <w:top w:val="none" w:sz="0" w:space="0" w:color="auto"/>
        <w:left w:val="none" w:sz="0" w:space="0" w:color="auto"/>
        <w:bottom w:val="none" w:sz="0" w:space="0" w:color="auto"/>
        <w:right w:val="none" w:sz="0" w:space="0" w:color="auto"/>
      </w:divBdr>
      <w:divsChild>
        <w:div w:id="1038973458">
          <w:marLeft w:val="360"/>
          <w:marRight w:val="0"/>
          <w:marTop w:val="200"/>
          <w:marBottom w:val="0"/>
          <w:divBdr>
            <w:top w:val="none" w:sz="0" w:space="0" w:color="auto"/>
            <w:left w:val="none" w:sz="0" w:space="0" w:color="auto"/>
            <w:bottom w:val="none" w:sz="0" w:space="0" w:color="auto"/>
            <w:right w:val="none" w:sz="0" w:space="0" w:color="auto"/>
          </w:divBdr>
        </w:div>
      </w:divsChild>
    </w:div>
    <w:div w:id="1037046621">
      <w:bodyDiv w:val="1"/>
      <w:marLeft w:val="0"/>
      <w:marRight w:val="0"/>
      <w:marTop w:val="0"/>
      <w:marBottom w:val="0"/>
      <w:divBdr>
        <w:top w:val="none" w:sz="0" w:space="0" w:color="auto"/>
        <w:left w:val="none" w:sz="0" w:space="0" w:color="auto"/>
        <w:bottom w:val="none" w:sz="0" w:space="0" w:color="auto"/>
        <w:right w:val="none" w:sz="0" w:space="0" w:color="auto"/>
      </w:divBdr>
    </w:div>
    <w:div w:id="1169097326">
      <w:bodyDiv w:val="1"/>
      <w:marLeft w:val="0"/>
      <w:marRight w:val="0"/>
      <w:marTop w:val="0"/>
      <w:marBottom w:val="0"/>
      <w:divBdr>
        <w:top w:val="none" w:sz="0" w:space="0" w:color="auto"/>
        <w:left w:val="none" w:sz="0" w:space="0" w:color="auto"/>
        <w:bottom w:val="none" w:sz="0" w:space="0" w:color="auto"/>
        <w:right w:val="none" w:sz="0" w:space="0" w:color="auto"/>
      </w:divBdr>
    </w:div>
    <w:div w:id="1320033506">
      <w:bodyDiv w:val="1"/>
      <w:marLeft w:val="0"/>
      <w:marRight w:val="0"/>
      <w:marTop w:val="0"/>
      <w:marBottom w:val="0"/>
      <w:divBdr>
        <w:top w:val="none" w:sz="0" w:space="0" w:color="auto"/>
        <w:left w:val="none" w:sz="0" w:space="0" w:color="auto"/>
        <w:bottom w:val="none" w:sz="0" w:space="0" w:color="auto"/>
        <w:right w:val="none" w:sz="0" w:space="0" w:color="auto"/>
      </w:divBdr>
    </w:div>
    <w:div w:id="1354458715">
      <w:bodyDiv w:val="1"/>
      <w:marLeft w:val="0"/>
      <w:marRight w:val="0"/>
      <w:marTop w:val="0"/>
      <w:marBottom w:val="0"/>
      <w:divBdr>
        <w:top w:val="none" w:sz="0" w:space="0" w:color="auto"/>
        <w:left w:val="none" w:sz="0" w:space="0" w:color="auto"/>
        <w:bottom w:val="none" w:sz="0" w:space="0" w:color="auto"/>
        <w:right w:val="none" w:sz="0" w:space="0" w:color="auto"/>
      </w:divBdr>
    </w:div>
    <w:div w:id="1595282261">
      <w:bodyDiv w:val="1"/>
      <w:marLeft w:val="0"/>
      <w:marRight w:val="0"/>
      <w:marTop w:val="0"/>
      <w:marBottom w:val="0"/>
      <w:divBdr>
        <w:top w:val="none" w:sz="0" w:space="0" w:color="auto"/>
        <w:left w:val="none" w:sz="0" w:space="0" w:color="auto"/>
        <w:bottom w:val="none" w:sz="0" w:space="0" w:color="auto"/>
        <w:right w:val="none" w:sz="0" w:space="0" w:color="auto"/>
      </w:divBdr>
    </w:div>
    <w:div w:id="1683820897">
      <w:bodyDiv w:val="1"/>
      <w:marLeft w:val="0"/>
      <w:marRight w:val="0"/>
      <w:marTop w:val="0"/>
      <w:marBottom w:val="0"/>
      <w:divBdr>
        <w:top w:val="none" w:sz="0" w:space="0" w:color="auto"/>
        <w:left w:val="none" w:sz="0" w:space="0" w:color="auto"/>
        <w:bottom w:val="none" w:sz="0" w:space="0" w:color="auto"/>
        <w:right w:val="none" w:sz="0" w:space="0" w:color="auto"/>
      </w:divBdr>
    </w:div>
    <w:div w:id="2007974099">
      <w:bodyDiv w:val="1"/>
      <w:marLeft w:val="0"/>
      <w:marRight w:val="0"/>
      <w:marTop w:val="0"/>
      <w:marBottom w:val="0"/>
      <w:divBdr>
        <w:top w:val="none" w:sz="0" w:space="0" w:color="auto"/>
        <w:left w:val="none" w:sz="0" w:space="0" w:color="auto"/>
        <w:bottom w:val="none" w:sz="0" w:space="0" w:color="auto"/>
        <w:right w:val="none" w:sz="0" w:space="0" w:color="auto"/>
      </w:divBdr>
    </w:div>
    <w:div w:id="2136093059">
      <w:bodyDiv w:val="1"/>
      <w:marLeft w:val="0"/>
      <w:marRight w:val="0"/>
      <w:marTop w:val="0"/>
      <w:marBottom w:val="0"/>
      <w:divBdr>
        <w:top w:val="none" w:sz="0" w:space="0" w:color="auto"/>
        <w:left w:val="none" w:sz="0" w:space="0" w:color="auto"/>
        <w:bottom w:val="none" w:sz="0" w:space="0" w:color="auto"/>
        <w:right w:val="none" w:sz="0" w:space="0" w:color="auto"/>
      </w:divBdr>
    </w:div>
    <w:div w:id="2145073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02/32/content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egislation.gov.uk/ukpga/2004/31/contents" TargetMode="External"/><Relationship Id="rId12" Type="http://schemas.openxmlformats.org/officeDocument/2006/relationships/hyperlink" Target="https://www.legislation.gov.uk/ukpga/2003/42/conten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egislation.gov.uk/ukpga/1989/41/section/47" TargetMode="External"/><Relationship Id="rId11" Type="http://schemas.openxmlformats.org/officeDocument/2006/relationships/hyperlink" Target="https://www.nspcc.org.uk/what-is-child-abuse/types-of-abuse/" TargetMode="External"/><Relationship Id="rId5" Type="http://schemas.openxmlformats.org/officeDocument/2006/relationships/hyperlink" Target="https://www.legislation.gov.uk/ukpga/2000/14/contents" TargetMode="External"/><Relationship Id="rId10" Type="http://schemas.openxmlformats.org/officeDocument/2006/relationships/hyperlink" Target="https://www.legislation.gov.uk/ukpga/1998/42/contents" TargetMode="External"/><Relationship Id="rId4" Type="http://schemas.openxmlformats.org/officeDocument/2006/relationships/webSettings" Target="webSettings.xml"/><Relationship Id="rId9" Type="http://schemas.openxmlformats.org/officeDocument/2006/relationships/hyperlink" Target="https://gdpr-info.eu"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269</TotalTime>
  <Pages>6</Pages>
  <Words>2713</Words>
  <Characters>15466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 Wiles (2306399)</dc:creator>
  <cp:keywords/>
  <dc:description/>
  <cp:lastModifiedBy>Mia Wiles (2306399)</cp:lastModifiedBy>
  <cp:revision>2</cp:revision>
  <dcterms:created xsi:type="dcterms:W3CDTF">2024-07-14T12:49:00Z</dcterms:created>
  <dcterms:modified xsi:type="dcterms:W3CDTF">2024-07-14T18:58:00Z</dcterms:modified>
</cp:coreProperties>
</file>