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FD8D2" w14:textId="77777777" w:rsidR="002E16AC" w:rsidRPr="007B4C50" w:rsidRDefault="002E16AC" w:rsidP="002E16AC">
      <w:pPr>
        <w:jc w:val="center"/>
        <w:rPr>
          <w:rFonts w:ascii="Arial" w:hAnsi="Arial" w:cs="Arial"/>
          <w:b/>
          <w:bCs/>
          <w:sz w:val="22"/>
          <w:szCs w:val="22"/>
        </w:rPr>
      </w:pPr>
      <w:r w:rsidRPr="007B4C50">
        <w:rPr>
          <w:rFonts w:ascii="Arial" w:hAnsi="Arial" w:cs="Arial"/>
          <w:noProof/>
          <w:sz w:val="22"/>
          <w:szCs w:val="22"/>
        </w:rPr>
        <w:drawing>
          <wp:anchor distT="0" distB="0" distL="114300" distR="114300" simplePos="0" relativeHeight="251659264" behindDoc="1" locked="0" layoutInCell="1" allowOverlap="1" wp14:anchorId="5E54C772" wp14:editId="75745214">
            <wp:simplePos x="0" y="0"/>
            <wp:positionH relativeFrom="page">
              <wp:posOffset>184150</wp:posOffset>
            </wp:positionH>
            <wp:positionV relativeFrom="paragraph">
              <wp:posOffset>-69850</wp:posOffset>
            </wp:positionV>
            <wp:extent cx="1847850" cy="822485"/>
            <wp:effectExtent l="0" t="0" r="0" b="0"/>
            <wp:wrapNone/>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47850" cy="822485"/>
                    </a:xfrm>
                    <a:prstGeom prst="rect">
                      <a:avLst/>
                    </a:prstGeom>
                    <a:noFill/>
                  </pic:spPr>
                </pic:pic>
              </a:graphicData>
            </a:graphic>
            <wp14:sizeRelH relativeFrom="page">
              <wp14:pctWidth>0</wp14:pctWidth>
            </wp14:sizeRelH>
            <wp14:sizeRelV relativeFrom="page">
              <wp14:pctHeight>0</wp14:pctHeight>
            </wp14:sizeRelV>
          </wp:anchor>
        </w:drawing>
      </w:r>
      <w:r w:rsidRPr="007B4C50">
        <w:rPr>
          <w:rFonts w:ascii="Arial" w:hAnsi="Arial" w:cs="Arial"/>
          <w:b/>
          <w:bCs/>
          <w:sz w:val="22"/>
          <w:szCs w:val="22"/>
        </w:rPr>
        <w:t>University of Wales Trinity Saint David Birmingham</w:t>
      </w:r>
    </w:p>
    <w:p w14:paraId="2BDDA56B" w14:textId="77777777" w:rsidR="002E16AC" w:rsidRPr="007B4C50" w:rsidRDefault="002E16AC" w:rsidP="002E16AC">
      <w:pPr>
        <w:jc w:val="center"/>
        <w:rPr>
          <w:rFonts w:ascii="Arial" w:hAnsi="Arial" w:cs="Arial"/>
          <w:b/>
          <w:bCs/>
          <w:sz w:val="22"/>
          <w:szCs w:val="22"/>
        </w:rPr>
      </w:pPr>
    </w:p>
    <w:p w14:paraId="711FBC08" w14:textId="77777777" w:rsidR="002E16AC" w:rsidRPr="007B4C50" w:rsidRDefault="002E16AC" w:rsidP="002E16AC">
      <w:pPr>
        <w:jc w:val="center"/>
        <w:rPr>
          <w:rFonts w:ascii="Arial" w:hAnsi="Arial" w:cs="Arial"/>
          <w:b/>
          <w:bCs/>
          <w:sz w:val="22"/>
          <w:szCs w:val="22"/>
        </w:rPr>
      </w:pPr>
    </w:p>
    <w:p w14:paraId="697D67A7" w14:textId="216BD15D" w:rsidR="002E16AC" w:rsidRPr="007B4C50" w:rsidRDefault="002E16AC" w:rsidP="002E16AC">
      <w:pPr>
        <w:jc w:val="center"/>
        <w:rPr>
          <w:rFonts w:ascii="Arial" w:hAnsi="Arial" w:cs="Arial"/>
          <w:b/>
          <w:bCs/>
          <w:sz w:val="22"/>
          <w:szCs w:val="22"/>
        </w:rPr>
      </w:pPr>
      <w:r w:rsidRPr="007B4C50">
        <w:rPr>
          <w:rFonts w:ascii="Arial" w:hAnsi="Arial" w:cs="Arial"/>
          <w:b/>
          <w:bCs/>
          <w:sz w:val="22"/>
          <w:szCs w:val="22"/>
        </w:rPr>
        <w:t xml:space="preserve">Report title: </w:t>
      </w:r>
    </w:p>
    <w:p w14:paraId="0AFE6F7A" w14:textId="77777777" w:rsidR="002E16AC" w:rsidRPr="007B4C50" w:rsidRDefault="002E16AC" w:rsidP="002E16AC">
      <w:pPr>
        <w:jc w:val="center"/>
        <w:rPr>
          <w:rFonts w:ascii="Arial" w:hAnsi="Arial" w:cs="Arial"/>
          <w:b/>
          <w:bCs/>
          <w:sz w:val="22"/>
          <w:szCs w:val="22"/>
        </w:rPr>
      </w:pPr>
      <w:r w:rsidRPr="007B4C50">
        <w:rPr>
          <w:rFonts w:ascii="Arial" w:hAnsi="Arial" w:cs="Arial"/>
          <w:b/>
          <w:bCs/>
          <w:sz w:val="22"/>
          <w:szCs w:val="22"/>
        </w:rPr>
        <w:t xml:space="preserve">Name of the student: Azra </w:t>
      </w:r>
      <w:proofErr w:type="spellStart"/>
      <w:r w:rsidRPr="007B4C50">
        <w:rPr>
          <w:rFonts w:ascii="Arial" w:hAnsi="Arial" w:cs="Arial"/>
          <w:b/>
          <w:bCs/>
          <w:sz w:val="22"/>
          <w:szCs w:val="22"/>
        </w:rPr>
        <w:t>Munirali</w:t>
      </w:r>
      <w:proofErr w:type="spellEnd"/>
      <w:r w:rsidRPr="007B4C50">
        <w:rPr>
          <w:rFonts w:ascii="Arial" w:hAnsi="Arial" w:cs="Arial"/>
          <w:b/>
          <w:bCs/>
          <w:sz w:val="22"/>
          <w:szCs w:val="22"/>
        </w:rPr>
        <w:t xml:space="preserve"> Habib</w:t>
      </w:r>
    </w:p>
    <w:p w14:paraId="5E074DD2" w14:textId="77777777" w:rsidR="002E16AC" w:rsidRPr="007B4C50" w:rsidRDefault="002E16AC" w:rsidP="002E16AC">
      <w:pPr>
        <w:jc w:val="center"/>
        <w:rPr>
          <w:rFonts w:ascii="Arial" w:hAnsi="Arial" w:cs="Arial"/>
          <w:b/>
          <w:bCs/>
          <w:sz w:val="22"/>
          <w:szCs w:val="22"/>
        </w:rPr>
      </w:pPr>
      <w:r w:rsidRPr="007B4C50">
        <w:rPr>
          <w:rFonts w:ascii="Arial" w:hAnsi="Arial" w:cs="Arial"/>
          <w:b/>
          <w:bCs/>
          <w:sz w:val="22"/>
          <w:szCs w:val="22"/>
        </w:rPr>
        <w:t>Student ID:2507358</w:t>
      </w:r>
    </w:p>
    <w:p w14:paraId="59415B76" w14:textId="189BE46B" w:rsidR="002E16AC" w:rsidRPr="007B4C50" w:rsidRDefault="002E16AC" w:rsidP="002E16AC">
      <w:pPr>
        <w:tabs>
          <w:tab w:val="left" w:pos="2220"/>
        </w:tabs>
        <w:jc w:val="center"/>
        <w:rPr>
          <w:rFonts w:ascii="Arial" w:hAnsi="Arial" w:cs="Arial"/>
          <w:b/>
          <w:bCs/>
          <w:sz w:val="22"/>
          <w:szCs w:val="22"/>
        </w:rPr>
      </w:pPr>
      <w:r w:rsidRPr="007B4C50">
        <w:rPr>
          <w:rFonts w:ascii="Arial" w:hAnsi="Arial" w:cs="Arial"/>
          <w:b/>
          <w:bCs/>
          <w:sz w:val="22"/>
          <w:szCs w:val="22"/>
        </w:rPr>
        <w:t xml:space="preserve">Module title: </w:t>
      </w:r>
      <w:r w:rsidR="00B67FF9">
        <w:rPr>
          <w:rFonts w:ascii="Arial" w:hAnsi="Arial" w:cs="Arial"/>
          <w:b/>
          <w:bCs/>
          <w:sz w:val="22"/>
          <w:szCs w:val="22"/>
        </w:rPr>
        <w:t>Introduction to Physiology BMHP5023_ Birmingham.</w:t>
      </w:r>
    </w:p>
    <w:p w14:paraId="3B5EA678" w14:textId="008D85FE" w:rsidR="002E16AC" w:rsidRPr="007B4C50" w:rsidRDefault="002E16AC" w:rsidP="002E16AC">
      <w:pPr>
        <w:tabs>
          <w:tab w:val="left" w:pos="2220"/>
        </w:tabs>
        <w:jc w:val="center"/>
        <w:rPr>
          <w:rFonts w:ascii="Arial" w:hAnsi="Arial" w:cs="Arial"/>
          <w:b/>
          <w:bCs/>
          <w:sz w:val="22"/>
          <w:szCs w:val="22"/>
        </w:rPr>
      </w:pPr>
      <w:r w:rsidRPr="007B4C50">
        <w:rPr>
          <w:rFonts w:ascii="Arial" w:hAnsi="Arial" w:cs="Arial"/>
          <w:b/>
          <w:bCs/>
          <w:sz w:val="22"/>
          <w:szCs w:val="22"/>
        </w:rPr>
        <w:t xml:space="preserve">Assignment title: </w:t>
      </w:r>
      <w:r w:rsidR="00E37F5C">
        <w:rPr>
          <w:rFonts w:ascii="Arial" w:hAnsi="Arial" w:cs="Arial"/>
          <w:b/>
          <w:bCs/>
          <w:sz w:val="22"/>
          <w:szCs w:val="22"/>
        </w:rPr>
        <w:t xml:space="preserve">Component </w:t>
      </w:r>
      <w:proofErr w:type="gramStart"/>
      <w:r w:rsidR="00E37F5C">
        <w:rPr>
          <w:rFonts w:ascii="Arial" w:hAnsi="Arial" w:cs="Arial"/>
          <w:b/>
          <w:bCs/>
          <w:sz w:val="22"/>
          <w:szCs w:val="22"/>
        </w:rPr>
        <w:t>1:[</w:t>
      </w:r>
      <w:proofErr w:type="gramEnd"/>
      <w:r w:rsidR="00E37F5C">
        <w:rPr>
          <w:rFonts w:ascii="Arial" w:hAnsi="Arial" w:cs="Arial"/>
          <w:b/>
          <w:bCs/>
          <w:sz w:val="22"/>
          <w:szCs w:val="22"/>
        </w:rPr>
        <w:t>CASE STUDY 1]</w:t>
      </w:r>
    </w:p>
    <w:p w14:paraId="44A033DF" w14:textId="53DBB3F3" w:rsidR="008B124C" w:rsidRPr="009248B5" w:rsidRDefault="009248B5" w:rsidP="009248B5">
      <w:pPr>
        <w:jc w:val="center"/>
        <w:rPr>
          <w:rFonts w:ascii="Arial" w:hAnsi="Arial" w:cs="Arial"/>
          <w:b/>
          <w:bCs/>
          <w:sz w:val="22"/>
          <w:szCs w:val="22"/>
        </w:rPr>
      </w:pPr>
      <w:r w:rsidRPr="009248B5">
        <w:rPr>
          <w:rFonts w:ascii="Arial" w:hAnsi="Arial" w:cs="Arial"/>
          <w:b/>
          <w:bCs/>
          <w:sz w:val="22"/>
          <w:szCs w:val="22"/>
        </w:rPr>
        <w:t xml:space="preserve">Lecturer name: </w:t>
      </w:r>
      <w:r w:rsidR="00671A12">
        <w:rPr>
          <w:rFonts w:ascii="Arial" w:hAnsi="Arial" w:cs="Arial"/>
          <w:b/>
          <w:bCs/>
          <w:sz w:val="22"/>
          <w:szCs w:val="22"/>
        </w:rPr>
        <w:t>Robert Nartowski.</w:t>
      </w:r>
    </w:p>
    <w:p w14:paraId="104EFBAB" w14:textId="77777777" w:rsidR="008B124C" w:rsidRDefault="008B124C" w:rsidP="00084697">
      <w:pPr>
        <w:rPr>
          <w:rFonts w:ascii="Arial" w:hAnsi="Arial" w:cs="Arial"/>
          <w:b/>
          <w:bCs/>
          <w:sz w:val="22"/>
          <w:szCs w:val="22"/>
          <w:u w:val="single"/>
        </w:rPr>
      </w:pPr>
    </w:p>
    <w:p w14:paraId="0C15895A" w14:textId="77777777" w:rsidR="008B124C" w:rsidRDefault="008B124C" w:rsidP="00084697">
      <w:pPr>
        <w:rPr>
          <w:rFonts w:ascii="Arial" w:hAnsi="Arial" w:cs="Arial"/>
          <w:b/>
          <w:bCs/>
          <w:sz w:val="22"/>
          <w:szCs w:val="22"/>
          <w:u w:val="single"/>
        </w:rPr>
      </w:pPr>
    </w:p>
    <w:p w14:paraId="6F79D987" w14:textId="47DD9C8B" w:rsidR="008B124C" w:rsidRDefault="008B124C" w:rsidP="00084697">
      <w:pPr>
        <w:rPr>
          <w:rFonts w:ascii="Arial" w:hAnsi="Arial" w:cs="Arial"/>
          <w:b/>
          <w:bCs/>
          <w:sz w:val="22"/>
          <w:szCs w:val="22"/>
          <w:u w:val="single"/>
        </w:rPr>
      </w:pPr>
    </w:p>
    <w:p w14:paraId="44025E4B" w14:textId="77777777" w:rsidR="008B124C" w:rsidRDefault="008B124C" w:rsidP="00084697">
      <w:pPr>
        <w:rPr>
          <w:rFonts w:ascii="Arial" w:hAnsi="Arial" w:cs="Arial"/>
          <w:b/>
          <w:bCs/>
          <w:sz w:val="22"/>
          <w:szCs w:val="22"/>
          <w:u w:val="single"/>
        </w:rPr>
      </w:pPr>
    </w:p>
    <w:p w14:paraId="4AEA0448" w14:textId="77777777" w:rsidR="008B124C" w:rsidRDefault="008B124C" w:rsidP="00084697">
      <w:pPr>
        <w:rPr>
          <w:rFonts w:ascii="Arial" w:hAnsi="Arial" w:cs="Arial"/>
          <w:b/>
          <w:bCs/>
          <w:sz w:val="22"/>
          <w:szCs w:val="22"/>
          <w:u w:val="single"/>
        </w:rPr>
      </w:pPr>
    </w:p>
    <w:p w14:paraId="054DDE9A" w14:textId="77777777" w:rsidR="008B124C" w:rsidRDefault="008B124C" w:rsidP="00084697">
      <w:pPr>
        <w:rPr>
          <w:rFonts w:ascii="Arial" w:hAnsi="Arial" w:cs="Arial"/>
          <w:b/>
          <w:bCs/>
          <w:sz w:val="22"/>
          <w:szCs w:val="22"/>
          <w:u w:val="single"/>
        </w:rPr>
      </w:pPr>
    </w:p>
    <w:p w14:paraId="0DB2D0CD" w14:textId="77777777" w:rsidR="008B124C" w:rsidRDefault="008B124C" w:rsidP="00084697">
      <w:pPr>
        <w:rPr>
          <w:rFonts w:ascii="Arial" w:hAnsi="Arial" w:cs="Arial"/>
          <w:b/>
          <w:bCs/>
          <w:sz w:val="22"/>
          <w:szCs w:val="22"/>
          <w:u w:val="single"/>
        </w:rPr>
      </w:pPr>
    </w:p>
    <w:p w14:paraId="60D14AD1" w14:textId="77777777" w:rsidR="008B124C" w:rsidRDefault="008B124C" w:rsidP="00084697">
      <w:pPr>
        <w:rPr>
          <w:rFonts w:ascii="Arial" w:hAnsi="Arial" w:cs="Arial"/>
          <w:b/>
          <w:bCs/>
          <w:sz w:val="22"/>
          <w:szCs w:val="22"/>
          <w:u w:val="single"/>
        </w:rPr>
      </w:pPr>
    </w:p>
    <w:p w14:paraId="4B9D4F8C" w14:textId="77777777" w:rsidR="008B124C" w:rsidRDefault="008B124C" w:rsidP="00084697">
      <w:pPr>
        <w:rPr>
          <w:rFonts w:ascii="Arial" w:hAnsi="Arial" w:cs="Arial"/>
          <w:b/>
          <w:bCs/>
          <w:sz w:val="22"/>
          <w:szCs w:val="22"/>
          <w:u w:val="single"/>
        </w:rPr>
      </w:pPr>
    </w:p>
    <w:p w14:paraId="71DBEBE0" w14:textId="77777777" w:rsidR="008B124C" w:rsidRDefault="008B124C" w:rsidP="00084697">
      <w:pPr>
        <w:rPr>
          <w:rFonts w:ascii="Arial" w:hAnsi="Arial" w:cs="Arial"/>
          <w:b/>
          <w:bCs/>
          <w:sz w:val="22"/>
          <w:szCs w:val="22"/>
          <w:u w:val="single"/>
        </w:rPr>
      </w:pPr>
    </w:p>
    <w:p w14:paraId="77576235" w14:textId="77777777" w:rsidR="008B124C" w:rsidRDefault="008B124C" w:rsidP="00084697">
      <w:pPr>
        <w:rPr>
          <w:rFonts w:ascii="Arial" w:hAnsi="Arial" w:cs="Arial"/>
          <w:b/>
          <w:bCs/>
          <w:sz w:val="22"/>
          <w:szCs w:val="22"/>
          <w:u w:val="single"/>
        </w:rPr>
      </w:pPr>
    </w:p>
    <w:p w14:paraId="5E51290C" w14:textId="77777777" w:rsidR="008B124C" w:rsidRDefault="008B124C" w:rsidP="00084697">
      <w:pPr>
        <w:rPr>
          <w:rFonts w:ascii="Arial" w:hAnsi="Arial" w:cs="Arial"/>
          <w:b/>
          <w:bCs/>
          <w:sz w:val="22"/>
          <w:szCs w:val="22"/>
          <w:u w:val="single"/>
        </w:rPr>
      </w:pPr>
    </w:p>
    <w:p w14:paraId="2BFD75B8" w14:textId="77777777" w:rsidR="008B124C" w:rsidRDefault="008B124C" w:rsidP="00084697">
      <w:pPr>
        <w:rPr>
          <w:rFonts w:ascii="Arial" w:hAnsi="Arial" w:cs="Arial"/>
          <w:b/>
          <w:bCs/>
          <w:sz w:val="22"/>
          <w:szCs w:val="22"/>
          <w:u w:val="single"/>
        </w:rPr>
      </w:pPr>
    </w:p>
    <w:p w14:paraId="69E78AC8" w14:textId="77777777" w:rsidR="008B124C" w:rsidRDefault="008B124C" w:rsidP="00084697">
      <w:pPr>
        <w:rPr>
          <w:rFonts w:ascii="Arial" w:hAnsi="Arial" w:cs="Arial"/>
          <w:b/>
          <w:bCs/>
          <w:sz w:val="22"/>
          <w:szCs w:val="22"/>
          <w:u w:val="single"/>
        </w:rPr>
      </w:pPr>
    </w:p>
    <w:p w14:paraId="68473B97" w14:textId="77777777" w:rsidR="008B124C" w:rsidRDefault="008B124C" w:rsidP="00084697">
      <w:pPr>
        <w:rPr>
          <w:rFonts w:ascii="Arial" w:hAnsi="Arial" w:cs="Arial"/>
          <w:b/>
          <w:bCs/>
          <w:sz w:val="22"/>
          <w:szCs w:val="22"/>
          <w:u w:val="single"/>
        </w:rPr>
      </w:pPr>
    </w:p>
    <w:p w14:paraId="3C5761A4" w14:textId="77777777" w:rsidR="008B124C" w:rsidRDefault="008B124C" w:rsidP="00084697">
      <w:pPr>
        <w:rPr>
          <w:rFonts w:ascii="Arial" w:hAnsi="Arial" w:cs="Arial"/>
          <w:b/>
          <w:bCs/>
          <w:sz w:val="22"/>
          <w:szCs w:val="22"/>
          <w:u w:val="single"/>
        </w:rPr>
      </w:pPr>
    </w:p>
    <w:p w14:paraId="44C30315" w14:textId="77777777" w:rsidR="008B124C" w:rsidRDefault="008B124C" w:rsidP="00084697">
      <w:pPr>
        <w:rPr>
          <w:rFonts w:ascii="Arial" w:hAnsi="Arial" w:cs="Arial"/>
          <w:b/>
          <w:bCs/>
          <w:sz w:val="22"/>
          <w:szCs w:val="22"/>
          <w:u w:val="single"/>
        </w:rPr>
      </w:pPr>
    </w:p>
    <w:p w14:paraId="031CCB45" w14:textId="77777777" w:rsidR="008B124C" w:rsidRDefault="008B124C" w:rsidP="00084697">
      <w:pPr>
        <w:rPr>
          <w:rFonts w:ascii="Arial" w:hAnsi="Arial" w:cs="Arial"/>
          <w:b/>
          <w:bCs/>
          <w:sz w:val="22"/>
          <w:szCs w:val="22"/>
          <w:u w:val="single"/>
        </w:rPr>
      </w:pPr>
    </w:p>
    <w:p w14:paraId="7E9C1605" w14:textId="77777777" w:rsidR="008B124C" w:rsidRDefault="008B124C" w:rsidP="00084697">
      <w:pPr>
        <w:rPr>
          <w:rFonts w:ascii="Arial" w:hAnsi="Arial" w:cs="Arial"/>
          <w:b/>
          <w:bCs/>
          <w:sz w:val="22"/>
          <w:szCs w:val="22"/>
          <w:u w:val="single"/>
        </w:rPr>
      </w:pPr>
    </w:p>
    <w:p w14:paraId="3D69569B" w14:textId="77777777" w:rsidR="006C6AC8" w:rsidRDefault="006C6AC8" w:rsidP="00084697">
      <w:pPr>
        <w:rPr>
          <w:rFonts w:ascii="Arial" w:hAnsi="Arial" w:cs="Arial"/>
          <w:b/>
          <w:bCs/>
          <w:sz w:val="22"/>
          <w:szCs w:val="22"/>
          <w:u w:val="single"/>
        </w:rPr>
      </w:pPr>
    </w:p>
    <w:p w14:paraId="0571F8EF" w14:textId="77777777" w:rsidR="008B124C" w:rsidRDefault="008B124C" w:rsidP="00084697">
      <w:pPr>
        <w:rPr>
          <w:rFonts w:ascii="Arial" w:hAnsi="Arial" w:cs="Arial"/>
          <w:b/>
          <w:bCs/>
          <w:sz w:val="22"/>
          <w:szCs w:val="22"/>
          <w:u w:val="single"/>
        </w:rPr>
      </w:pPr>
    </w:p>
    <w:p w14:paraId="55C73D2F" w14:textId="77777777" w:rsidR="009248B5" w:rsidRDefault="009248B5" w:rsidP="00084697">
      <w:pPr>
        <w:rPr>
          <w:rFonts w:ascii="Arial" w:hAnsi="Arial" w:cs="Arial"/>
          <w:b/>
          <w:bCs/>
          <w:sz w:val="22"/>
          <w:szCs w:val="22"/>
          <w:u w:val="single"/>
        </w:rPr>
      </w:pPr>
    </w:p>
    <w:sdt>
      <w:sdtPr>
        <w:id w:val="19120098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EC9CB11" w14:textId="16758D24" w:rsidR="00F81A0D" w:rsidRDefault="00F81A0D">
          <w:pPr>
            <w:pStyle w:val="TOCHeading"/>
          </w:pPr>
          <w:r>
            <w:t>Contents</w:t>
          </w:r>
        </w:p>
        <w:p w14:paraId="3043F452" w14:textId="17EF4A25" w:rsidR="00F81A0D" w:rsidRDefault="00F81A0D">
          <w:pPr>
            <w:pStyle w:val="TOC1"/>
            <w:tabs>
              <w:tab w:val="right" w:leader="dot" w:pos="9016"/>
            </w:tabs>
            <w:rPr>
              <w:noProof/>
            </w:rPr>
          </w:pPr>
          <w:r>
            <w:fldChar w:fldCharType="begin"/>
          </w:r>
          <w:r>
            <w:instrText xml:space="preserve"> TOC \o "1-3" \h \z \u </w:instrText>
          </w:r>
          <w:r>
            <w:fldChar w:fldCharType="separate"/>
          </w:r>
          <w:hyperlink w:anchor="_Toc243850195" w:history="1">
            <w:r w:rsidRPr="0086346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_Toc243850195 \h </w:instrText>
            </w:r>
            <w:r>
              <w:rPr>
                <w:noProof/>
                <w:webHidden/>
              </w:rPr>
            </w:r>
            <w:r>
              <w:rPr>
                <w:noProof/>
                <w:webHidden/>
              </w:rPr>
              <w:fldChar w:fldCharType="separate"/>
            </w:r>
            <w:r>
              <w:rPr>
                <w:noProof/>
                <w:webHidden/>
              </w:rPr>
              <w:t>3</w:t>
            </w:r>
            <w:r>
              <w:rPr>
                <w:noProof/>
                <w:webHidden/>
              </w:rPr>
              <w:fldChar w:fldCharType="end"/>
            </w:r>
          </w:hyperlink>
        </w:p>
        <w:p w14:paraId="3A00C156" w14:textId="55057550" w:rsidR="00F81A0D" w:rsidRDefault="00F81A0D">
          <w:pPr>
            <w:pStyle w:val="TOC1"/>
            <w:tabs>
              <w:tab w:val="right" w:leader="dot" w:pos="9016"/>
            </w:tabs>
            <w:rPr>
              <w:noProof/>
            </w:rPr>
          </w:pPr>
          <w:hyperlink w:anchor="_Toc243850196" w:history="1">
            <w:r w:rsidRPr="0086346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_Toc243850196 \h </w:instrText>
            </w:r>
            <w:r>
              <w:rPr>
                <w:noProof/>
                <w:webHidden/>
              </w:rPr>
            </w:r>
            <w:r>
              <w:rPr>
                <w:noProof/>
                <w:webHidden/>
              </w:rPr>
              <w:fldChar w:fldCharType="separate"/>
            </w:r>
            <w:r>
              <w:rPr>
                <w:noProof/>
                <w:webHidden/>
              </w:rPr>
              <w:t>7</w:t>
            </w:r>
            <w:r>
              <w:rPr>
                <w:noProof/>
                <w:webHidden/>
              </w:rPr>
              <w:fldChar w:fldCharType="end"/>
            </w:r>
          </w:hyperlink>
        </w:p>
        <w:p w14:paraId="4A05C806" w14:textId="36BFC94C" w:rsidR="00F81A0D" w:rsidRDefault="00F81A0D">
          <w:pPr>
            <w:pStyle w:val="TOC1"/>
            <w:tabs>
              <w:tab w:val="right" w:leader="dot" w:pos="9016"/>
            </w:tabs>
            <w:rPr>
              <w:noProof/>
            </w:rPr>
          </w:pPr>
          <w:hyperlink w:anchor="_Toc243850197" w:history="1">
            <w:r w:rsidRPr="0086346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_Toc243850197 \h </w:instrText>
            </w:r>
            <w:r>
              <w:rPr>
                <w:noProof/>
                <w:webHidden/>
              </w:rPr>
            </w:r>
            <w:r>
              <w:rPr>
                <w:noProof/>
                <w:webHidden/>
              </w:rPr>
              <w:fldChar w:fldCharType="separate"/>
            </w:r>
            <w:r>
              <w:rPr>
                <w:noProof/>
                <w:webHidden/>
              </w:rPr>
              <w:t>8</w:t>
            </w:r>
            <w:r>
              <w:rPr>
                <w:noProof/>
                <w:webHidden/>
              </w:rPr>
              <w:fldChar w:fldCharType="end"/>
            </w:r>
          </w:hyperlink>
        </w:p>
        <w:p w14:paraId="6E800A56" w14:textId="769A3F26" w:rsidR="00F81A0D" w:rsidRDefault="00F81A0D">
          <w:r>
            <w:rPr>
              <w:b/>
              <w:bCs/>
            </w:rPr>
            <w:fldChar w:fldCharType="end"/>
          </w:r>
        </w:p>
      </w:sdtContent>
    </w:sdt>
    <w:p w14:paraId="5E1A821E" w14:textId="77777777" w:rsidR="008B124C" w:rsidRDefault="008B124C" w:rsidP="00084697">
      <w:pPr>
        <w:rPr>
          <w:rFonts w:ascii="Arial" w:hAnsi="Arial" w:cs="Arial"/>
          <w:b/>
          <w:bCs/>
          <w:sz w:val="22"/>
          <w:szCs w:val="22"/>
          <w:u w:val="single"/>
        </w:rPr>
      </w:pPr>
    </w:p>
    <w:p w14:paraId="7A21825C" w14:textId="77777777" w:rsidR="008B124C" w:rsidRDefault="008B124C" w:rsidP="00084697">
      <w:pPr>
        <w:rPr>
          <w:rFonts w:ascii="Arial" w:hAnsi="Arial" w:cs="Arial"/>
          <w:b/>
          <w:bCs/>
          <w:sz w:val="22"/>
          <w:szCs w:val="22"/>
          <w:u w:val="single"/>
        </w:rPr>
      </w:pPr>
    </w:p>
    <w:p w14:paraId="09EB4650" w14:textId="77777777" w:rsidR="008B124C" w:rsidRDefault="008B124C" w:rsidP="00084697">
      <w:pPr>
        <w:rPr>
          <w:rFonts w:ascii="Arial" w:hAnsi="Arial" w:cs="Arial"/>
          <w:b/>
          <w:bCs/>
          <w:sz w:val="22"/>
          <w:szCs w:val="22"/>
          <w:u w:val="single"/>
        </w:rPr>
      </w:pPr>
    </w:p>
    <w:p w14:paraId="515CBFEE" w14:textId="77777777" w:rsidR="008B124C" w:rsidRDefault="008B124C" w:rsidP="00084697">
      <w:pPr>
        <w:rPr>
          <w:rFonts w:ascii="Arial" w:hAnsi="Arial" w:cs="Arial"/>
          <w:b/>
          <w:bCs/>
          <w:sz w:val="22"/>
          <w:szCs w:val="22"/>
          <w:u w:val="single"/>
        </w:rPr>
      </w:pPr>
    </w:p>
    <w:p w14:paraId="09595B57" w14:textId="77777777" w:rsidR="008B124C" w:rsidRDefault="008B124C" w:rsidP="00084697">
      <w:pPr>
        <w:rPr>
          <w:rFonts w:ascii="Arial" w:hAnsi="Arial" w:cs="Arial"/>
          <w:b/>
          <w:bCs/>
          <w:sz w:val="22"/>
          <w:szCs w:val="22"/>
          <w:u w:val="single"/>
        </w:rPr>
      </w:pPr>
    </w:p>
    <w:p w14:paraId="7AD78766" w14:textId="77777777" w:rsidR="008B124C" w:rsidRDefault="008B124C" w:rsidP="00084697">
      <w:pPr>
        <w:rPr>
          <w:rFonts w:ascii="Arial" w:hAnsi="Arial" w:cs="Arial"/>
          <w:b/>
          <w:bCs/>
          <w:sz w:val="22"/>
          <w:szCs w:val="22"/>
          <w:u w:val="single"/>
        </w:rPr>
      </w:pPr>
    </w:p>
    <w:p w14:paraId="72B272BD" w14:textId="77777777" w:rsidR="008B124C" w:rsidRDefault="008B124C" w:rsidP="00084697">
      <w:pPr>
        <w:rPr>
          <w:rFonts w:ascii="Arial" w:hAnsi="Arial" w:cs="Arial"/>
          <w:b/>
          <w:bCs/>
          <w:sz w:val="22"/>
          <w:szCs w:val="22"/>
          <w:u w:val="single"/>
        </w:rPr>
      </w:pPr>
    </w:p>
    <w:p w14:paraId="7201C5BA" w14:textId="77777777" w:rsidR="008B124C" w:rsidRDefault="008B124C" w:rsidP="00084697">
      <w:pPr>
        <w:rPr>
          <w:rFonts w:ascii="Arial" w:hAnsi="Arial" w:cs="Arial"/>
          <w:b/>
          <w:bCs/>
          <w:sz w:val="22"/>
          <w:szCs w:val="22"/>
          <w:u w:val="single"/>
        </w:rPr>
      </w:pPr>
    </w:p>
    <w:p w14:paraId="55236292" w14:textId="77777777" w:rsidR="008B124C" w:rsidRDefault="008B124C" w:rsidP="00084697">
      <w:pPr>
        <w:rPr>
          <w:rFonts w:ascii="Arial" w:hAnsi="Arial" w:cs="Arial"/>
          <w:b/>
          <w:bCs/>
          <w:sz w:val="22"/>
          <w:szCs w:val="22"/>
          <w:u w:val="single"/>
        </w:rPr>
      </w:pPr>
    </w:p>
    <w:p w14:paraId="3841829B" w14:textId="77777777" w:rsidR="008B124C" w:rsidRDefault="008B124C" w:rsidP="00084697">
      <w:pPr>
        <w:rPr>
          <w:rFonts w:ascii="Arial" w:hAnsi="Arial" w:cs="Arial"/>
          <w:b/>
          <w:bCs/>
          <w:sz w:val="22"/>
          <w:szCs w:val="22"/>
          <w:u w:val="single"/>
        </w:rPr>
      </w:pPr>
    </w:p>
    <w:p w14:paraId="554A5F1C" w14:textId="77777777" w:rsidR="008B124C" w:rsidRDefault="008B124C" w:rsidP="00084697">
      <w:pPr>
        <w:rPr>
          <w:rFonts w:ascii="Arial" w:hAnsi="Arial" w:cs="Arial"/>
          <w:b/>
          <w:bCs/>
          <w:sz w:val="22"/>
          <w:szCs w:val="22"/>
          <w:u w:val="single"/>
        </w:rPr>
      </w:pPr>
    </w:p>
    <w:p w14:paraId="39FB4757" w14:textId="77777777" w:rsidR="008B124C" w:rsidRDefault="008B124C" w:rsidP="00084697">
      <w:pPr>
        <w:rPr>
          <w:rFonts w:ascii="Arial" w:hAnsi="Arial" w:cs="Arial"/>
          <w:b/>
          <w:bCs/>
          <w:sz w:val="22"/>
          <w:szCs w:val="22"/>
          <w:u w:val="single"/>
        </w:rPr>
      </w:pPr>
    </w:p>
    <w:p w14:paraId="4A2A2869" w14:textId="77777777" w:rsidR="008B124C" w:rsidRDefault="008B124C" w:rsidP="00084697">
      <w:pPr>
        <w:rPr>
          <w:rFonts w:ascii="Arial" w:hAnsi="Arial" w:cs="Arial"/>
          <w:b/>
          <w:bCs/>
          <w:sz w:val="22"/>
          <w:szCs w:val="22"/>
          <w:u w:val="single"/>
        </w:rPr>
      </w:pPr>
    </w:p>
    <w:p w14:paraId="65319FC5" w14:textId="77777777" w:rsidR="008B124C" w:rsidRDefault="008B124C" w:rsidP="00084697">
      <w:pPr>
        <w:rPr>
          <w:rFonts w:ascii="Arial" w:hAnsi="Arial" w:cs="Arial"/>
          <w:b/>
          <w:bCs/>
          <w:sz w:val="22"/>
          <w:szCs w:val="22"/>
          <w:u w:val="single"/>
        </w:rPr>
      </w:pPr>
    </w:p>
    <w:p w14:paraId="7C8BEF16" w14:textId="77777777" w:rsidR="008B124C" w:rsidRDefault="008B124C" w:rsidP="00084697">
      <w:pPr>
        <w:rPr>
          <w:rFonts w:ascii="Arial" w:hAnsi="Arial" w:cs="Arial"/>
          <w:b/>
          <w:bCs/>
          <w:sz w:val="22"/>
          <w:szCs w:val="22"/>
          <w:u w:val="single"/>
        </w:rPr>
      </w:pPr>
    </w:p>
    <w:p w14:paraId="4412A480" w14:textId="77777777" w:rsidR="008B124C" w:rsidRDefault="008B124C" w:rsidP="00084697">
      <w:pPr>
        <w:rPr>
          <w:rFonts w:ascii="Arial" w:hAnsi="Arial" w:cs="Arial"/>
          <w:b/>
          <w:bCs/>
          <w:sz w:val="22"/>
          <w:szCs w:val="22"/>
          <w:u w:val="single"/>
        </w:rPr>
      </w:pPr>
    </w:p>
    <w:p w14:paraId="475EB5E4" w14:textId="77777777" w:rsidR="008B124C" w:rsidRDefault="008B124C" w:rsidP="00084697">
      <w:pPr>
        <w:rPr>
          <w:rFonts w:ascii="Arial" w:hAnsi="Arial" w:cs="Arial"/>
          <w:b/>
          <w:bCs/>
          <w:sz w:val="22"/>
          <w:szCs w:val="22"/>
          <w:u w:val="single"/>
        </w:rPr>
      </w:pPr>
    </w:p>
    <w:p w14:paraId="768ADA62" w14:textId="77777777" w:rsidR="008B124C" w:rsidRDefault="008B124C" w:rsidP="00084697">
      <w:pPr>
        <w:rPr>
          <w:rFonts w:ascii="Arial" w:hAnsi="Arial" w:cs="Arial"/>
          <w:b/>
          <w:bCs/>
          <w:sz w:val="22"/>
          <w:szCs w:val="22"/>
          <w:u w:val="single"/>
        </w:rPr>
      </w:pPr>
    </w:p>
    <w:p w14:paraId="4C340D45" w14:textId="77777777" w:rsidR="008B124C" w:rsidRDefault="008B124C" w:rsidP="00084697">
      <w:pPr>
        <w:rPr>
          <w:rFonts w:ascii="Arial" w:hAnsi="Arial" w:cs="Arial"/>
          <w:b/>
          <w:bCs/>
          <w:sz w:val="22"/>
          <w:szCs w:val="22"/>
          <w:u w:val="single"/>
        </w:rPr>
      </w:pPr>
    </w:p>
    <w:p w14:paraId="595E5903" w14:textId="77777777" w:rsidR="008B124C" w:rsidRDefault="008B124C" w:rsidP="00084697">
      <w:pPr>
        <w:rPr>
          <w:rFonts w:ascii="Arial" w:hAnsi="Arial" w:cs="Arial"/>
          <w:b/>
          <w:bCs/>
          <w:sz w:val="22"/>
          <w:szCs w:val="22"/>
          <w:u w:val="single"/>
        </w:rPr>
      </w:pPr>
    </w:p>
    <w:p w14:paraId="2440C02D" w14:textId="77777777" w:rsidR="008B124C" w:rsidRDefault="008B124C" w:rsidP="00084697">
      <w:pPr>
        <w:rPr>
          <w:rFonts w:ascii="Arial" w:hAnsi="Arial" w:cs="Arial"/>
          <w:b/>
          <w:bCs/>
          <w:sz w:val="22"/>
          <w:szCs w:val="22"/>
          <w:u w:val="single"/>
        </w:rPr>
      </w:pPr>
    </w:p>
    <w:p w14:paraId="5A11CC62" w14:textId="77777777" w:rsidR="008B124C" w:rsidRDefault="008B124C" w:rsidP="00084697">
      <w:pPr>
        <w:rPr>
          <w:rFonts w:ascii="Arial" w:hAnsi="Arial" w:cs="Arial"/>
          <w:b/>
          <w:bCs/>
          <w:sz w:val="22"/>
          <w:szCs w:val="22"/>
          <w:u w:val="single"/>
        </w:rPr>
      </w:pPr>
    </w:p>
    <w:p w14:paraId="198E1749" w14:textId="77777777" w:rsidR="008B124C" w:rsidRDefault="008B124C" w:rsidP="00084697">
      <w:pPr>
        <w:rPr>
          <w:rFonts w:ascii="Arial" w:hAnsi="Arial" w:cs="Arial"/>
          <w:b/>
          <w:bCs/>
          <w:sz w:val="22"/>
          <w:szCs w:val="22"/>
          <w:u w:val="single"/>
        </w:rPr>
      </w:pPr>
    </w:p>
    <w:p w14:paraId="77300386" w14:textId="77777777" w:rsidR="008B124C" w:rsidRDefault="008B124C" w:rsidP="00084697">
      <w:pPr>
        <w:rPr>
          <w:rFonts w:ascii="Arial" w:hAnsi="Arial" w:cs="Arial"/>
          <w:b/>
          <w:bCs/>
          <w:sz w:val="22"/>
          <w:szCs w:val="22"/>
          <w:u w:val="single"/>
        </w:rPr>
      </w:pPr>
    </w:p>
    <w:p w14:paraId="22A433D2" w14:textId="77777777" w:rsidR="008B124C" w:rsidRDefault="008B124C" w:rsidP="00084697">
      <w:pPr>
        <w:rPr>
          <w:rFonts w:ascii="Arial" w:hAnsi="Arial" w:cs="Arial"/>
          <w:b/>
          <w:bCs/>
          <w:sz w:val="22"/>
          <w:szCs w:val="22"/>
          <w:u w:val="single"/>
        </w:rPr>
      </w:pPr>
    </w:p>
    <w:p w14:paraId="383C5687" w14:textId="080428F7" w:rsidR="009B461F" w:rsidRPr="006C6AC8" w:rsidRDefault="009B461F" w:rsidP="006C6AC8">
      <w:pPr>
        <w:pStyle w:val="Heading1"/>
        <w:rPr>
          <w:rFonts w:ascii="Arial" w:hAnsi="Arial" w:cs="Arial"/>
          <w:b/>
          <w:bCs/>
          <w:sz w:val="22"/>
          <w:szCs w:val="22"/>
          <w:u w:val="single"/>
        </w:rPr>
      </w:pPr>
      <w:bookmarkStart w:id="0" w:name="_Toc243850195"/>
      <w:r w:rsidRPr="006C6AC8">
        <w:rPr>
          <w:rFonts w:ascii="Arial" w:hAnsi="Arial" w:cs="Arial"/>
          <w:b/>
          <w:bCs/>
          <w:sz w:val="22"/>
          <w:szCs w:val="22"/>
          <w:u w:val="single"/>
        </w:rPr>
        <w:lastRenderedPageBreak/>
        <w:t>Introduction</w:t>
      </w:r>
      <w:bookmarkEnd w:id="0"/>
      <w:r w:rsidRPr="006C6AC8">
        <w:rPr>
          <w:rFonts w:ascii="Arial" w:hAnsi="Arial" w:cs="Arial"/>
          <w:b/>
          <w:bCs/>
          <w:sz w:val="22"/>
          <w:szCs w:val="22"/>
          <w:u w:val="single"/>
        </w:rPr>
        <w:t xml:space="preserve"> </w:t>
      </w:r>
    </w:p>
    <w:p w14:paraId="48E21B18" w14:textId="77777777" w:rsidR="00222471" w:rsidRPr="00222471" w:rsidRDefault="00222471" w:rsidP="00222471">
      <w:pPr>
        <w:rPr>
          <w:rFonts w:ascii="Arial" w:hAnsi="Arial" w:cs="Arial"/>
          <w:sz w:val="22"/>
          <w:szCs w:val="22"/>
        </w:rPr>
      </w:pPr>
      <w:r w:rsidRPr="00222471">
        <w:rPr>
          <w:rFonts w:ascii="Arial" w:hAnsi="Arial" w:cs="Arial"/>
          <w:sz w:val="22"/>
          <w:szCs w:val="22"/>
        </w:rPr>
        <w:t>Diabetes mellitus is a long-term condition in which the level of glucose in the blood becomes too high. Glucose is an important source of energy, helping the body carry out essential functions such as movement, breathing and maintaining body temperature. Insulin, a hormone produced by beta cells in the pancreas, helps regulate blood glucose by enabling cells to take up glucose and encouraging the storage of excess glucose as glycogen. Diabetes develops when the body does not produce enough insulin or cannot use it properly (NHS, 2025).</w:t>
      </w:r>
    </w:p>
    <w:p w14:paraId="670739A8" w14:textId="4A452B71" w:rsidR="00084697" w:rsidRPr="009B461F" w:rsidRDefault="00084697" w:rsidP="00084697">
      <w:pPr>
        <w:rPr>
          <w:rFonts w:ascii="Arial" w:hAnsi="Arial" w:cs="Arial"/>
          <w:sz w:val="22"/>
          <w:szCs w:val="22"/>
        </w:rPr>
      </w:pPr>
      <w:r w:rsidRPr="009B461F">
        <w:rPr>
          <w:rFonts w:ascii="Arial" w:hAnsi="Arial" w:cs="Arial"/>
          <w:sz w:val="22"/>
          <w:szCs w:val="22"/>
        </w:rPr>
        <w:t>There are different types of diabetes, including type 1, type 2 and gestational diabetes. Type 2 diabetes is the most common form in the UK. It usually develops when body cells become resistant to insulin and the pancreas cannot produce enough insulin to compensate. As a result, glucose builds up in the bloodstream, increasing the risk of long-term complications such as cardiovascular disease, kidney damage, eye problems and nerve damage (N</w:t>
      </w:r>
      <w:r w:rsidR="001D6BE3">
        <w:rPr>
          <w:rFonts w:ascii="Arial" w:hAnsi="Arial" w:cs="Arial"/>
          <w:sz w:val="22"/>
          <w:szCs w:val="22"/>
        </w:rPr>
        <w:t xml:space="preserve">ational </w:t>
      </w:r>
      <w:r w:rsidRPr="009B461F">
        <w:rPr>
          <w:rFonts w:ascii="Arial" w:hAnsi="Arial" w:cs="Arial"/>
          <w:sz w:val="22"/>
          <w:szCs w:val="22"/>
        </w:rPr>
        <w:t>I</w:t>
      </w:r>
      <w:r w:rsidR="001D6BE3">
        <w:rPr>
          <w:rFonts w:ascii="Arial" w:hAnsi="Arial" w:cs="Arial"/>
          <w:sz w:val="22"/>
          <w:szCs w:val="22"/>
        </w:rPr>
        <w:t xml:space="preserve">nstitute for Health and </w:t>
      </w:r>
      <w:r w:rsidRPr="009B461F">
        <w:rPr>
          <w:rFonts w:ascii="Arial" w:hAnsi="Arial" w:cs="Arial"/>
          <w:sz w:val="22"/>
          <w:szCs w:val="22"/>
        </w:rPr>
        <w:t>C</w:t>
      </w:r>
      <w:r w:rsidR="001D6BE3">
        <w:rPr>
          <w:rFonts w:ascii="Arial" w:hAnsi="Arial" w:cs="Arial"/>
          <w:sz w:val="22"/>
          <w:szCs w:val="22"/>
        </w:rPr>
        <w:t xml:space="preserve">are </w:t>
      </w:r>
      <w:r w:rsidRPr="009B461F">
        <w:rPr>
          <w:rFonts w:ascii="Arial" w:hAnsi="Arial" w:cs="Arial"/>
          <w:sz w:val="22"/>
          <w:szCs w:val="22"/>
        </w:rPr>
        <w:t>E</w:t>
      </w:r>
      <w:r w:rsidR="001D6BE3">
        <w:rPr>
          <w:rFonts w:ascii="Arial" w:hAnsi="Arial" w:cs="Arial"/>
          <w:sz w:val="22"/>
          <w:szCs w:val="22"/>
        </w:rPr>
        <w:t>xcellence</w:t>
      </w:r>
      <w:r w:rsidRPr="009B461F">
        <w:rPr>
          <w:rFonts w:ascii="Arial" w:hAnsi="Arial" w:cs="Arial"/>
          <w:sz w:val="22"/>
          <w:szCs w:val="22"/>
        </w:rPr>
        <w:t>, 2026a).</w:t>
      </w:r>
    </w:p>
    <w:p w14:paraId="1B3BC04B" w14:textId="182AC15B" w:rsidR="00084697" w:rsidRDefault="00084697" w:rsidP="00084697">
      <w:pPr>
        <w:rPr>
          <w:rFonts w:ascii="Arial" w:hAnsi="Arial" w:cs="Arial"/>
          <w:sz w:val="22"/>
          <w:szCs w:val="22"/>
        </w:rPr>
      </w:pPr>
      <w:r w:rsidRPr="009B461F">
        <w:rPr>
          <w:rFonts w:ascii="Arial" w:hAnsi="Arial" w:cs="Arial"/>
          <w:sz w:val="22"/>
          <w:szCs w:val="22"/>
        </w:rPr>
        <w:t xml:space="preserve">Several factors increase the risk of developing type 2 diabetes. These include being overweight or living with obesity, physical inactivity, having a family history of diabetes, increasing age and belonging to certain ethnic groups. A history of gestational diabetes and socioeconomic circumstances can also influence risk. </w:t>
      </w:r>
      <w:r w:rsidR="0032522C" w:rsidRPr="009B461F">
        <w:rPr>
          <w:rFonts w:ascii="Arial" w:hAnsi="Arial" w:cs="Arial"/>
          <w:sz w:val="22"/>
          <w:szCs w:val="22"/>
        </w:rPr>
        <w:t>Public Health England (2018)</w:t>
      </w:r>
      <w:r w:rsidRPr="009B461F">
        <w:rPr>
          <w:rFonts w:ascii="Arial" w:hAnsi="Arial" w:cs="Arial"/>
          <w:sz w:val="22"/>
          <w:szCs w:val="22"/>
        </w:rPr>
        <w:t xml:space="preserve"> highlights that unhealthy food environments, limited opportunities for physical activity and social deprivation can make prevention more difficult. This demonstrates that type 2 diabetes is influenced by a combination of biological, behavioural and environmental factors rather than personal choices alone.</w:t>
      </w:r>
    </w:p>
    <w:p w14:paraId="0C65082D" w14:textId="1F50DB7A" w:rsidR="006136B4" w:rsidRDefault="006136B4" w:rsidP="00084697">
      <w:pPr>
        <w:rPr>
          <w:rFonts w:ascii="Arial" w:hAnsi="Arial" w:cs="Arial"/>
          <w:sz w:val="22"/>
          <w:szCs w:val="22"/>
        </w:rPr>
      </w:pPr>
      <w:r w:rsidRPr="006136B4">
        <w:rPr>
          <w:rFonts w:ascii="Arial" w:hAnsi="Arial" w:cs="Arial"/>
          <w:sz w:val="22"/>
          <w:szCs w:val="22"/>
        </w:rPr>
        <w:t>The prevalence of diabetes in the UK highlights the growing importance of understanding and managing the condition. Diabetes UK (2026) estimates that almost 6 million people in the UK are living with diabetes, with more than 4.7 million diagnosed and approximately 1.3 million potentially living with undiagnosed type 2 diabetes. Around 90% of people with diagnosed diabetes have type 2 diabetes. These figures demonstrate the substantial public health burden of diabetes and the importance of early diagnosis, effective management and prevention strategies.</w:t>
      </w:r>
    </w:p>
    <w:p w14:paraId="5E4CC40D" w14:textId="7CA369BA" w:rsidR="00084697" w:rsidRPr="009B461F" w:rsidRDefault="00084697" w:rsidP="00084697">
      <w:pPr>
        <w:rPr>
          <w:rFonts w:ascii="Arial" w:hAnsi="Arial" w:cs="Arial"/>
          <w:sz w:val="22"/>
          <w:szCs w:val="22"/>
        </w:rPr>
      </w:pPr>
      <w:r w:rsidRPr="009B461F">
        <w:rPr>
          <w:rFonts w:ascii="Arial" w:hAnsi="Arial" w:cs="Arial"/>
          <w:sz w:val="22"/>
          <w:szCs w:val="22"/>
        </w:rPr>
        <w:t>Understanding how blood glucose is regulated and how cells use glucose to produce energy is essential for understanding diabetes management. This report examines blood glucose regulation, cellular metabolism, the importance of monitoring blood glucose and evidence-based lifestyle changes that can improve health and reduce the risk of complications.</w:t>
      </w:r>
    </w:p>
    <w:p w14:paraId="18819AEC" w14:textId="77777777" w:rsidR="00084697" w:rsidRPr="009B461F" w:rsidRDefault="00084697" w:rsidP="00084697">
      <w:pPr>
        <w:rPr>
          <w:rFonts w:ascii="Arial" w:hAnsi="Arial" w:cs="Arial"/>
          <w:sz w:val="22"/>
          <w:szCs w:val="22"/>
        </w:rPr>
      </w:pPr>
      <w:r w:rsidRPr="009B461F">
        <w:rPr>
          <w:rFonts w:ascii="Arial" w:hAnsi="Arial" w:cs="Arial"/>
          <w:sz w:val="22"/>
          <w:szCs w:val="22"/>
        </w:rPr>
        <w:t>The body maintains blood glucose through the coordinated actions of the pancreas, liver, muscles and hormones. After a meal, carbohydrates are digested into simpler sugars, including glucose, which enters the bloodstream. The pancreas responds by releasing insulin. Insulin helps muscle and fat cells take up glucose and encourages the liver to store excess glucose as glycogen. These actions lower blood glucose towards its usual level (Hall and Hall, 2021).</w:t>
      </w:r>
    </w:p>
    <w:p w14:paraId="3F210B87" w14:textId="77777777" w:rsidR="00084697" w:rsidRPr="009B461F" w:rsidRDefault="00084697" w:rsidP="00084697">
      <w:pPr>
        <w:rPr>
          <w:rFonts w:ascii="Arial" w:hAnsi="Arial" w:cs="Arial"/>
          <w:sz w:val="22"/>
          <w:szCs w:val="22"/>
        </w:rPr>
      </w:pPr>
      <w:r w:rsidRPr="009B461F">
        <w:rPr>
          <w:rFonts w:ascii="Arial" w:hAnsi="Arial" w:cs="Arial"/>
          <w:sz w:val="22"/>
          <w:szCs w:val="22"/>
        </w:rPr>
        <w:t>Between meals, blood glucose levels begin to fall. In response, pancreatic alpha cells release glucagon, which signals the liver to break down stored glycogen and produce more glucose. The liver then releases glucose into the bloodstream, helping provide a continuous energy supply, particularly to the brain and other organs.</w:t>
      </w:r>
    </w:p>
    <w:p w14:paraId="71C411EE" w14:textId="77777777" w:rsidR="00084697" w:rsidRPr="009B461F" w:rsidRDefault="00084697" w:rsidP="00084697">
      <w:pPr>
        <w:rPr>
          <w:rFonts w:ascii="Arial" w:hAnsi="Arial" w:cs="Arial"/>
          <w:sz w:val="22"/>
          <w:szCs w:val="22"/>
        </w:rPr>
      </w:pPr>
      <w:r w:rsidRPr="009B461F">
        <w:rPr>
          <w:rFonts w:ascii="Arial" w:hAnsi="Arial" w:cs="Arial"/>
          <w:sz w:val="22"/>
          <w:szCs w:val="22"/>
        </w:rPr>
        <w:lastRenderedPageBreak/>
        <w:t>In people with type 2 diabetes, this regulatory system becomes less effective. Insulin resistance means that cells do not respond adequately to insulin. The liver may continue releasing glucose when it should reduce production, while pancreatic beta cells gradually become unable to meet the body's increased insulin requirements. Consequently, glucose levels remain elevated, particularly after meals and sometimes during fasting (NICE, 2026a).</w:t>
      </w:r>
    </w:p>
    <w:p w14:paraId="09F0DA24" w14:textId="77777777" w:rsidR="00084697" w:rsidRPr="009B461F" w:rsidRDefault="00084697" w:rsidP="00084697">
      <w:pPr>
        <w:rPr>
          <w:rFonts w:ascii="Arial" w:hAnsi="Arial" w:cs="Arial"/>
          <w:sz w:val="22"/>
          <w:szCs w:val="22"/>
        </w:rPr>
      </w:pPr>
      <w:r w:rsidRPr="009B461F">
        <w:rPr>
          <w:rFonts w:ascii="Arial" w:hAnsi="Arial" w:cs="Arial"/>
          <w:sz w:val="22"/>
          <w:szCs w:val="22"/>
        </w:rPr>
        <w:t>Maintaining glucose within an appropriate range is important because prolonged hyperglycaemia can damage blood vessels and nerves. Conversely, hypoglycaemia, generally defined in UK clinical practice as blood glucose below 4.0 mmol/L, can cause sweating, trembling, dizziness and confusion. Severe hypoglycaemia may lead to unconsciousness and requires urgent treatment.</w:t>
      </w:r>
    </w:p>
    <w:p w14:paraId="6677D9BA" w14:textId="77777777" w:rsidR="00B53F4E" w:rsidRPr="00B53F4E" w:rsidRDefault="00B53F4E" w:rsidP="00B53F4E">
      <w:pPr>
        <w:rPr>
          <w:rFonts w:ascii="Arial" w:hAnsi="Arial" w:cs="Arial"/>
          <w:sz w:val="22"/>
          <w:szCs w:val="22"/>
        </w:rPr>
      </w:pPr>
      <w:r w:rsidRPr="00B53F4E">
        <w:rPr>
          <w:rFonts w:ascii="Arial" w:hAnsi="Arial" w:cs="Arial"/>
          <w:sz w:val="22"/>
          <w:szCs w:val="22"/>
        </w:rPr>
        <w:t>Maintaining blood glucose within an appropriate range is important for reducing the risk of diabetes-related complications while avoiding hypoglycaemia. NICE (2026a) recommends an HbA1c target of 48 mmol/mol (6.5%) for adults with type 2 diabetes taking medicines that are not associated with hypoglycaemia, and 53 mmol/mol (7.0%) for those taking medicines that may cause hypoglycaemia. However, these targets should be individualised according to the person's circumstances, treatment and risk of adverse effects. HbA1c reflects average blood glucose levels over approximately two to three months and is used to assess longer-term glucose control alongside other clinical information.</w:t>
      </w:r>
    </w:p>
    <w:p w14:paraId="641009BE" w14:textId="77777777" w:rsidR="00084697" w:rsidRPr="009B461F" w:rsidRDefault="00084697" w:rsidP="00084697">
      <w:pPr>
        <w:rPr>
          <w:rFonts w:ascii="Arial" w:hAnsi="Arial" w:cs="Arial"/>
          <w:sz w:val="22"/>
          <w:szCs w:val="22"/>
        </w:rPr>
      </w:pPr>
      <w:r w:rsidRPr="009B461F">
        <w:rPr>
          <w:rFonts w:ascii="Arial" w:hAnsi="Arial" w:cs="Arial"/>
          <w:sz w:val="22"/>
          <w:szCs w:val="22"/>
        </w:rPr>
        <w:t>The aim is therefore to maintain safe and effective glucose levels without causing frequent hypoglycaemia or placing an unreasonable burden on the individual.</w:t>
      </w:r>
    </w:p>
    <w:p w14:paraId="39BB4968" w14:textId="77777777" w:rsidR="00084697" w:rsidRPr="009B461F" w:rsidRDefault="00084697" w:rsidP="00084697">
      <w:pPr>
        <w:rPr>
          <w:rFonts w:ascii="Arial" w:hAnsi="Arial" w:cs="Arial"/>
          <w:sz w:val="22"/>
          <w:szCs w:val="22"/>
        </w:rPr>
      </w:pPr>
      <w:r w:rsidRPr="009B461F">
        <w:rPr>
          <w:rFonts w:ascii="Arial" w:hAnsi="Arial" w:cs="Arial"/>
          <w:sz w:val="22"/>
          <w:szCs w:val="22"/>
        </w:rPr>
        <w:t>The body needs energy continuously to support movement, growth, tissue repair and the functioning of organs. This energy is supplied largely by adenosine triphosphate (ATP), a molecule that transfers usable energy within cells. Glucose is an important fuel for ATP production, while oxygen enables cells to extract energy efficiently through aerobic respiration.</w:t>
      </w:r>
    </w:p>
    <w:p w14:paraId="60FBE914" w14:textId="77777777" w:rsidR="00084697" w:rsidRPr="009B461F" w:rsidRDefault="00084697" w:rsidP="00084697">
      <w:pPr>
        <w:rPr>
          <w:rFonts w:ascii="Arial" w:hAnsi="Arial" w:cs="Arial"/>
          <w:sz w:val="22"/>
          <w:szCs w:val="22"/>
        </w:rPr>
      </w:pPr>
      <w:r w:rsidRPr="009B461F">
        <w:rPr>
          <w:rFonts w:ascii="Arial" w:hAnsi="Arial" w:cs="Arial"/>
          <w:sz w:val="22"/>
          <w:szCs w:val="22"/>
        </w:rPr>
        <w:t>The first stage of glucose breakdown is glycolysis, which takes place in the cytoplasm. During this process, one glucose molecule is converted into two molecules of pyruvate, producing a small amount of ATP and NADH, an electron-carrying molecule. Glycolysis does not directly require oxygen.</w:t>
      </w:r>
    </w:p>
    <w:p w14:paraId="3B299D5A" w14:textId="77777777" w:rsidR="00084697" w:rsidRPr="009B461F" w:rsidRDefault="00084697" w:rsidP="00084697">
      <w:pPr>
        <w:rPr>
          <w:rFonts w:ascii="Arial" w:hAnsi="Arial" w:cs="Arial"/>
          <w:sz w:val="22"/>
          <w:szCs w:val="22"/>
        </w:rPr>
      </w:pPr>
      <w:r w:rsidRPr="009B461F">
        <w:rPr>
          <w:rFonts w:ascii="Arial" w:hAnsi="Arial" w:cs="Arial"/>
          <w:sz w:val="22"/>
          <w:szCs w:val="22"/>
        </w:rPr>
        <w:t>When oxygen is available, pyruvate enters the mitochondria and is converted into acetyl coenzyme A. This enters the citric acid cycle, also known as the Krebs cycle. During the cycle, carbon dioxide is released and additional electron carriers, including NADH and FADH</w:t>
      </w:r>
      <w:r w:rsidRPr="009B461F">
        <w:rPr>
          <w:rFonts w:ascii="Cambria Math" w:hAnsi="Cambria Math" w:cs="Cambria Math"/>
          <w:sz w:val="22"/>
          <w:szCs w:val="22"/>
        </w:rPr>
        <w:t>₂</w:t>
      </w:r>
      <w:r w:rsidRPr="009B461F">
        <w:rPr>
          <w:rFonts w:ascii="Arial" w:hAnsi="Arial" w:cs="Arial"/>
          <w:sz w:val="22"/>
          <w:szCs w:val="22"/>
        </w:rPr>
        <w:t>, are produced.</w:t>
      </w:r>
    </w:p>
    <w:p w14:paraId="46864D8D" w14:textId="77777777" w:rsidR="00084697" w:rsidRPr="009B461F" w:rsidRDefault="00084697" w:rsidP="00084697">
      <w:pPr>
        <w:rPr>
          <w:rFonts w:ascii="Arial" w:hAnsi="Arial" w:cs="Arial"/>
          <w:sz w:val="22"/>
          <w:szCs w:val="22"/>
        </w:rPr>
      </w:pPr>
      <w:r w:rsidRPr="009B461F">
        <w:rPr>
          <w:rFonts w:ascii="Arial" w:hAnsi="Arial" w:cs="Arial"/>
          <w:sz w:val="22"/>
          <w:szCs w:val="22"/>
        </w:rPr>
        <w:t>These electron carriers transfer electrons to the electron transport chain in the inner mitochondrial membrane. Energy released as electrons move through the chain is used to create a proton gradient. ATP synthase then uses this gradient to produce ATP through oxidative phosphorylation. Oxygen acts as the final electron acceptor and combines with electrons and protons to form water (Nelson and Cox, 2021).</w:t>
      </w:r>
    </w:p>
    <w:p w14:paraId="2959FB7B" w14:textId="77777777" w:rsidR="00084697" w:rsidRPr="009B461F" w:rsidRDefault="00084697" w:rsidP="00084697">
      <w:pPr>
        <w:rPr>
          <w:rFonts w:ascii="Arial" w:hAnsi="Arial" w:cs="Arial"/>
          <w:sz w:val="22"/>
          <w:szCs w:val="22"/>
        </w:rPr>
      </w:pPr>
      <w:r w:rsidRPr="009B461F">
        <w:rPr>
          <w:rFonts w:ascii="Arial" w:hAnsi="Arial" w:cs="Arial"/>
          <w:sz w:val="22"/>
          <w:szCs w:val="22"/>
        </w:rPr>
        <w:t>Overall, aerobic respiration allows a cell to produce approximately 30–32 ATP molecules per glucose molecule, although the precise yield varies with cellular conditions.</w:t>
      </w:r>
    </w:p>
    <w:p w14:paraId="5C24EB77" w14:textId="77777777" w:rsidR="00732C49" w:rsidRPr="00732C49" w:rsidRDefault="00732C49" w:rsidP="00732C49">
      <w:pPr>
        <w:rPr>
          <w:rFonts w:ascii="Arial" w:hAnsi="Arial" w:cs="Arial"/>
          <w:sz w:val="22"/>
          <w:szCs w:val="22"/>
        </w:rPr>
      </w:pPr>
      <w:r w:rsidRPr="00732C49">
        <w:rPr>
          <w:rFonts w:ascii="Arial" w:hAnsi="Arial" w:cs="Arial"/>
          <w:sz w:val="22"/>
          <w:szCs w:val="22"/>
        </w:rPr>
        <w:t xml:space="preserve">In type 2 diabetes, glucose can be abundant in the bloodstream while insulin-sensitive tissues do not respond adequately to insulin. Muscle cells may consequently take up less </w:t>
      </w:r>
      <w:r w:rsidRPr="00732C49">
        <w:rPr>
          <w:rFonts w:ascii="Arial" w:hAnsi="Arial" w:cs="Arial"/>
          <w:sz w:val="22"/>
          <w:szCs w:val="22"/>
        </w:rPr>
        <w:lastRenderedPageBreak/>
        <w:t>glucose after meals, while the liver continues releasing too much glucose. However, this does not mean that all cells lose their ability to use glucose. Rather, the normal regulation and distribution of fuel become disrupted. Several factors may contribute to this disruption, including excess fat accumulation, which can interfere with insulin signalling in muscle and liver cells; dietary factors and long-term excess calorie intake, which can contribute to visceral fat accumulation and reduced insulin sensitivity; and genetic susceptibility and chronic inflammation, which may impair the cellular signalling pathways involved in glucose regulation.</w:t>
      </w:r>
    </w:p>
    <w:p w14:paraId="43CFF09D" w14:textId="77777777" w:rsidR="00084697" w:rsidRPr="009B461F" w:rsidRDefault="00084697" w:rsidP="00084697">
      <w:pPr>
        <w:rPr>
          <w:rFonts w:ascii="Arial" w:hAnsi="Arial" w:cs="Arial"/>
          <w:sz w:val="22"/>
          <w:szCs w:val="22"/>
        </w:rPr>
      </w:pPr>
      <w:r w:rsidRPr="009B461F">
        <w:rPr>
          <w:rFonts w:ascii="Arial" w:hAnsi="Arial" w:cs="Arial"/>
          <w:sz w:val="22"/>
          <w:szCs w:val="22"/>
        </w:rPr>
        <w:t>Physical activity can help address this problem because contracting muscles increase glucose uptake, partly through mechanisms that do not depend directly on insulin. Improving insulin sensitivity through regular movement and appropriate treatment can therefore support better glucose regulation and normal cellular energy metabolism.</w:t>
      </w:r>
    </w:p>
    <w:p w14:paraId="2E2A494B" w14:textId="77777777" w:rsidR="00084697" w:rsidRPr="009B461F" w:rsidRDefault="00084697" w:rsidP="00084697">
      <w:pPr>
        <w:rPr>
          <w:rFonts w:ascii="Arial" w:hAnsi="Arial" w:cs="Arial"/>
          <w:sz w:val="22"/>
          <w:szCs w:val="22"/>
        </w:rPr>
      </w:pPr>
      <w:r w:rsidRPr="009B461F">
        <w:rPr>
          <w:rFonts w:ascii="Arial" w:hAnsi="Arial" w:cs="Arial"/>
          <w:sz w:val="22"/>
          <w:szCs w:val="22"/>
        </w:rPr>
        <w:t>Recording blood glucose can help people with type 2 diabetes understand how food, physical activity, medication and illness affect their condition. Blood glucose meters measure glucose from a small blood sample, while continuous glucose monitoring (CGM) devices use a sensor to track glucose in the fluid beneath the skin. HbA1c testing provides a longer-term picture of glucose control.</w:t>
      </w:r>
    </w:p>
    <w:p w14:paraId="274A878E" w14:textId="77777777" w:rsidR="00084697" w:rsidRPr="009B461F" w:rsidRDefault="00084697" w:rsidP="00084697">
      <w:pPr>
        <w:rPr>
          <w:rFonts w:ascii="Arial" w:hAnsi="Arial" w:cs="Arial"/>
          <w:sz w:val="22"/>
          <w:szCs w:val="22"/>
        </w:rPr>
      </w:pPr>
      <w:r w:rsidRPr="009B461F">
        <w:rPr>
          <w:rFonts w:ascii="Arial" w:hAnsi="Arial" w:cs="Arial"/>
          <w:sz w:val="22"/>
          <w:szCs w:val="22"/>
        </w:rPr>
        <w:t>Keeping a record of readings can help identify patterns. For example, a person may notice that their glucose rises after a large meal or that walking after eating helps reduce the increase. Recording symptoms, meals and medication alongside readings can help individuals and healthcare professionals identify whether changes to a management plan are needed.</w:t>
      </w:r>
    </w:p>
    <w:p w14:paraId="713F2D19" w14:textId="77777777" w:rsidR="00084697" w:rsidRDefault="00084697" w:rsidP="00084697">
      <w:pPr>
        <w:rPr>
          <w:rFonts w:ascii="Arial" w:hAnsi="Arial" w:cs="Arial"/>
          <w:sz w:val="22"/>
          <w:szCs w:val="22"/>
        </w:rPr>
      </w:pPr>
      <w:r w:rsidRPr="009B461F">
        <w:rPr>
          <w:rFonts w:ascii="Arial" w:hAnsi="Arial" w:cs="Arial"/>
          <w:sz w:val="22"/>
          <w:szCs w:val="22"/>
        </w:rPr>
        <w:t>However, monitoring is not necessary for everyone at the same frequency. NICE (2026a) advises against routinely offering finger-prick blood glucose monitoring to adults with type 2 diabetes unless there is a specific clinical reason, such as insulin treatment or a risk of hypoglycaemia. Monitoring should be useful, understandable and linked to appropriate action rather than becoming an unnecessary source of anxiety.</w:t>
      </w:r>
    </w:p>
    <w:p w14:paraId="1372BEE7" w14:textId="796CF13C" w:rsidR="00092F17" w:rsidRPr="009B461F" w:rsidRDefault="00092F17" w:rsidP="00084697">
      <w:pPr>
        <w:rPr>
          <w:rFonts w:ascii="Arial" w:hAnsi="Arial" w:cs="Arial"/>
          <w:sz w:val="22"/>
          <w:szCs w:val="22"/>
        </w:rPr>
      </w:pPr>
      <w:r w:rsidRPr="00092F17">
        <w:rPr>
          <w:rFonts w:ascii="Arial" w:hAnsi="Arial" w:cs="Arial"/>
          <w:sz w:val="22"/>
          <w:szCs w:val="22"/>
        </w:rPr>
        <w:t>Monitoring is therefore important not merely for collecting data, but also for informing clinical decisions, identifying potential complications and promoting safer diabetes management.</w:t>
      </w:r>
    </w:p>
    <w:p w14:paraId="3EA6F36D" w14:textId="77777777" w:rsidR="00084697" w:rsidRPr="009B461F" w:rsidRDefault="00084697" w:rsidP="00084697">
      <w:pPr>
        <w:rPr>
          <w:rFonts w:ascii="Arial" w:hAnsi="Arial" w:cs="Arial"/>
          <w:sz w:val="22"/>
          <w:szCs w:val="22"/>
        </w:rPr>
      </w:pPr>
      <w:r w:rsidRPr="009B461F">
        <w:rPr>
          <w:rFonts w:ascii="Arial" w:hAnsi="Arial" w:cs="Arial"/>
          <w:sz w:val="22"/>
          <w:szCs w:val="22"/>
        </w:rPr>
        <w:t>Lifestyle changes can improve glucose control, support cardiovascular health and reduce the risk of complications. They should be realistic, sustainable and adapted to individual needs. They may also be needed alongside prescribed medication rather than replacing it.</w:t>
      </w:r>
    </w:p>
    <w:p w14:paraId="0772CC48" w14:textId="1B135858" w:rsidR="00084697" w:rsidRPr="009B461F" w:rsidRDefault="00084697" w:rsidP="00084697">
      <w:pPr>
        <w:rPr>
          <w:rFonts w:ascii="Arial" w:hAnsi="Arial" w:cs="Arial"/>
          <w:sz w:val="22"/>
          <w:szCs w:val="22"/>
        </w:rPr>
      </w:pPr>
      <w:r w:rsidRPr="009B461F">
        <w:rPr>
          <w:rFonts w:ascii="Arial" w:hAnsi="Arial" w:cs="Arial"/>
          <w:sz w:val="22"/>
          <w:szCs w:val="22"/>
        </w:rPr>
        <w:t xml:space="preserve">A balanced diet containing vegetables, fruit, wholegrains, pulses and other fibre-rich foods can support blood glucose management. Choosing wholegrain bread, oats and brown rice more often, while reducing sugary drinks and highly processed foods, may help improve overall diet quality. Carbohydrate intake is particularly important because carbohydrates are broken down into glucose during digestion (Diabetes UK, </w:t>
      </w:r>
      <w:r w:rsidR="00483B89" w:rsidRPr="009B461F">
        <w:rPr>
          <w:rFonts w:ascii="Arial" w:hAnsi="Arial" w:cs="Arial"/>
          <w:sz w:val="22"/>
          <w:szCs w:val="22"/>
        </w:rPr>
        <w:t>2026</w:t>
      </w:r>
      <w:r w:rsidRPr="009B461F">
        <w:rPr>
          <w:rFonts w:ascii="Arial" w:hAnsi="Arial" w:cs="Arial"/>
          <w:sz w:val="22"/>
          <w:szCs w:val="22"/>
        </w:rPr>
        <w:t>).</w:t>
      </w:r>
    </w:p>
    <w:p w14:paraId="5A1387A6" w14:textId="102A70A4" w:rsidR="00084697" w:rsidRPr="009B461F" w:rsidRDefault="00084697" w:rsidP="00084697">
      <w:pPr>
        <w:rPr>
          <w:rFonts w:ascii="Arial" w:hAnsi="Arial" w:cs="Arial"/>
          <w:sz w:val="22"/>
          <w:szCs w:val="22"/>
        </w:rPr>
      </w:pPr>
      <w:r w:rsidRPr="009B461F">
        <w:rPr>
          <w:rFonts w:ascii="Arial" w:hAnsi="Arial" w:cs="Arial"/>
          <w:sz w:val="22"/>
          <w:szCs w:val="22"/>
        </w:rPr>
        <w:t>There is no single diet that suits everyone with type 2 diabetes. Diabetes UK (</w:t>
      </w:r>
      <w:r w:rsidR="00483B89" w:rsidRPr="009B461F">
        <w:rPr>
          <w:rFonts w:ascii="Arial" w:hAnsi="Arial" w:cs="Arial"/>
          <w:sz w:val="22"/>
          <w:szCs w:val="22"/>
        </w:rPr>
        <w:t>2025</w:t>
      </w:r>
      <w:r w:rsidRPr="009B461F">
        <w:rPr>
          <w:rFonts w:ascii="Arial" w:hAnsi="Arial" w:cs="Arial"/>
          <w:sz w:val="22"/>
          <w:szCs w:val="22"/>
        </w:rPr>
        <w:t>) recommends making healthier choices that are realistic and achievable. For example, someone who regularly eats rice or potatoes does not necessarily need to avoid them completely. Adjusting portion sizes, including more vegetables and choosing higher-fibre alternatives where appropriate may be more practical.</w:t>
      </w:r>
    </w:p>
    <w:p w14:paraId="3A47CC90" w14:textId="77777777" w:rsidR="00084697" w:rsidRPr="009B461F" w:rsidRDefault="00084697" w:rsidP="00084697">
      <w:pPr>
        <w:rPr>
          <w:rFonts w:ascii="Arial" w:hAnsi="Arial" w:cs="Arial"/>
          <w:sz w:val="22"/>
          <w:szCs w:val="22"/>
        </w:rPr>
      </w:pPr>
      <w:r w:rsidRPr="009B461F">
        <w:rPr>
          <w:rFonts w:ascii="Arial" w:hAnsi="Arial" w:cs="Arial"/>
          <w:sz w:val="22"/>
          <w:szCs w:val="22"/>
        </w:rPr>
        <w:lastRenderedPageBreak/>
        <w:t>Dietary advice should also consider cultural preferences, financial circumstances and existing health conditions. A registered dietitian can provide individualised support, particularly for people who take medication that can cause hypoglycaemia or who are considering a restrictive diet.</w:t>
      </w:r>
    </w:p>
    <w:p w14:paraId="09909B1B" w14:textId="461F0255" w:rsidR="00084697" w:rsidRPr="009B461F" w:rsidRDefault="00084697" w:rsidP="00084697">
      <w:pPr>
        <w:rPr>
          <w:rFonts w:ascii="Arial" w:hAnsi="Arial" w:cs="Arial"/>
          <w:sz w:val="22"/>
          <w:szCs w:val="22"/>
        </w:rPr>
      </w:pPr>
      <w:r w:rsidRPr="009B461F">
        <w:rPr>
          <w:rFonts w:ascii="Arial" w:hAnsi="Arial" w:cs="Arial"/>
          <w:sz w:val="22"/>
          <w:szCs w:val="22"/>
        </w:rPr>
        <w:t xml:space="preserve">Regular physical activity helps improve insulin sensitivity and increases glucose uptake by working muscles. This can help lower blood glucose and improve cardiovascular fitness. The NHS recommends that adults aim for at least 150 minutes of moderate-intensity activity each week, alongside muscle-strengthening activities on two or more days (NHS, </w:t>
      </w:r>
      <w:r w:rsidR="00483B89" w:rsidRPr="009B461F">
        <w:rPr>
          <w:rFonts w:ascii="Arial" w:hAnsi="Arial" w:cs="Arial"/>
          <w:sz w:val="22"/>
          <w:szCs w:val="22"/>
        </w:rPr>
        <w:t>2024</w:t>
      </w:r>
      <w:r w:rsidRPr="009B461F">
        <w:rPr>
          <w:rFonts w:ascii="Arial" w:hAnsi="Arial" w:cs="Arial"/>
          <w:sz w:val="22"/>
          <w:szCs w:val="22"/>
        </w:rPr>
        <w:t>).</w:t>
      </w:r>
    </w:p>
    <w:p w14:paraId="0B9B0166" w14:textId="77777777" w:rsidR="00084697" w:rsidRPr="009B461F" w:rsidRDefault="00084697" w:rsidP="00084697">
      <w:pPr>
        <w:rPr>
          <w:rFonts w:ascii="Arial" w:hAnsi="Arial" w:cs="Arial"/>
          <w:sz w:val="22"/>
          <w:szCs w:val="22"/>
        </w:rPr>
      </w:pPr>
      <w:r w:rsidRPr="009B461F">
        <w:rPr>
          <w:rFonts w:ascii="Arial" w:hAnsi="Arial" w:cs="Arial"/>
          <w:sz w:val="22"/>
          <w:szCs w:val="22"/>
        </w:rPr>
        <w:t>Activities such as brisk walking, cycling, swimming or dancing can contribute towards this target. People who find exercise difficult can begin with shorter periods of movement and gradually increase their activity. For example, a 10-minute walk after a meal may be a manageable starting point.</w:t>
      </w:r>
    </w:p>
    <w:p w14:paraId="54916E6F" w14:textId="77777777" w:rsidR="00084697" w:rsidRPr="009B461F" w:rsidRDefault="00084697" w:rsidP="00084697">
      <w:pPr>
        <w:rPr>
          <w:rFonts w:ascii="Arial" w:hAnsi="Arial" w:cs="Arial"/>
          <w:sz w:val="22"/>
          <w:szCs w:val="22"/>
        </w:rPr>
      </w:pPr>
      <w:r w:rsidRPr="009B461F">
        <w:rPr>
          <w:rFonts w:ascii="Arial" w:hAnsi="Arial" w:cs="Arial"/>
          <w:sz w:val="22"/>
          <w:szCs w:val="22"/>
        </w:rPr>
        <w:t xml:space="preserve">Colberg </w:t>
      </w:r>
      <w:r w:rsidRPr="002A2CC4">
        <w:rPr>
          <w:rFonts w:ascii="Arial" w:hAnsi="Arial" w:cs="Arial"/>
          <w:i/>
          <w:iCs/>
          <w:sz w:val="22"/>
          <w:szCs w:val="22"/>
        </w:rPr>
        <w:t>et al.</w:t>
      </w:r>
      <w:r w:rsidRPr="009B461F">
        <w:rPr>
          <w:rFonts w:ascii="Arial" w:hAnsi="Arial" w:cs="Arial"/>
          <w:sz w:val="22"/>
          <w:szCs w:val="22"/>
        </w:rPr>
        <w:t xml:space="preserve"> (2016) explain that aerobic exercise and resistance training both have important roles in diabetes management. However, individuals using insulin or certain glucose-lowering medicines may need advice about preventing hypoglycaemia during and after exercise. Activity should be adapted to a person's mobility, fitness and any diabetes-related complications.</w:t>
      </w:r>
    </w:p>
    <w:p w14:paraId="2E42A827" w14:textId="77777777" w:rsidR="00084697" w:rsidRPr="009B461F" w:rsidRDefault="00084697" w:rsidP="00084697">
      <w:pPr>
        <w:rPr>
          <w:rFonts w:ascii="Arial" w:hAnsi="Arial" w:cs="Arial"/>
          <w:sz w:val="22"/>
          <w:szCs w:val="22"/>
        </w:rPr>
      </w:pPr>
      <w:r w:rsidRPr="009B461F">
        <w:rPr>
          <w:rFonts w:ascii="Arial" w:hAnsi="Arial" w:cs="Arial"/>
          <w:sz w:val="22"/>
          <w:szCs w:val="22"/>
        </w:rPr>
        <w:t>For people living with overweight or obesity, sustained weight loss can improve insulin sensitivity and glucose control. However, weight management should be approached sensitively because body weight is influenced by biological, psychological and social factors.</w:t>
      </w:r>
    </w:p>
    <w:p w14:paraId="4E39A3D4" w14:textId="77777777" w:rsidR="00084697" w:rsidRPr="009B461F" w:rsidRDefault="00084697" w:rsidP="00084697">
      <w:pPr>
        <w:rPr>
          <w:rFonts w:ascii="Arial" w:hAnsi="Arial" w:cs="Arial"/>
          <w:sz w:val="22"/>
          <w:szCs w:val="22"/>
        </w:rPr>
      </w:pPr>
      <w:r w:rsidRPr="009B461F">
        <w:rPr>
          <w:rFonts w:ascii="Arial" w:hAnsi="Arial" w:cs="Arial"/>
          <w:sz w:val="22"/>
          <w:szCs w:val="22"/>
        </w:rPr>
        <w:t>Evidence from the UK Diabetes Remission Clinical Trial (</w:t>
      </w:r>
      <w:proofErr w:type="spellStart"/>
      <w:r w:rsidRPr="009B461F">
        <w:rPr>
          <w:rFonts w:ascii="Arial" w:hAnsi="Arial" w:cs="Arial"/>
          <w:sz w:val="22"/>
          <w:szCs w:val="22"/>
        </w:rPr>
        <w:t>DiRECT</w:t>
      </w:r>
      <w:proofErr w:type="spellEnd"/>
      <w:r w:rsidRPr="009B461F">
        <w:rPr>
          <w:rFonts w:ascii="Arial" w:hAnsi="Arial" w:cs="Arial"/>
          <w:sz w:val="22"/>
          <w:szCs w:val="22"/>
        </w:rPr>
        <w:t xml:space="preserve">) demonstrated that substantial weight loss can lead to remission in some people with relatively recently diagnosed type 2 diabetes. At one year, 46% of participants in the intervention group were in remission, compared with 4% in the control group (Lean </w:t>
      </w:r>
      <w:r w:rsidRPr="008B124C">
        <w:rPr>
          <w:rFonts w:ascii="Arial" w:hAnsi="Arial" w:cs="Arial"/>
          <w:i/>
          <w:iCs/>
          <w:sz w:val="22"/>
          <w:szCs w:val="22"/>
        </w:rPr>
        <w:t>et al</w:t>
      </w:r>
      <w:r w:rsidRPr="009B461F">
        <w:rPr>
          <w:rFonts w:ascii="Arial" w:hAnsi="Arial" w:cs="Arial"/>
          <w:sz w:val="22"/>
          <w:szCs w:val="22"/>
        </w:rPr>
        <w:t>., 2018). The results highlight the potential benefits of structured weight-management support, although remission is not guaranteed and relapse can occur.</w:t>
      </w:r>
    </w:p>
    <w:p w14:paraId="144ED6AF" w14:textId="69ED34A6" w:rsidR="00084697" w:rsidRPr="009B461F" w:rsidRDefault="00084697" w:rsidP="00084697">
      <w:pPr>
        <w:rPr>
          <w:rFonts w:ascii="Arial" w:hAnsi="Arial" w:cs="Arial"/>
          <w:sz w:val="22"/>
          <w:szCs w:val="22"/>
        </w:rPr>
      </w:pPr>
      <w:r w:rsidRPr="009B461F">
        <w:rPr>
          <w:rFonts w:ascii="Arial" w:hAnsi="Arial" w:cs="Arial"/>
          <w:sz w:val="22"/>
          <w:szCs w:val="22"/>
        </w:rPr>
        <w:t xml:space="preserve">In England, the NHS Type 2 Diabetes Path to Remission Programme provides eligible individuals with a supported low-calorie, total diet replacement programme followed by help with maintaining weight loss. Participants receive clinical monitoring, and medication may need to be adjusted during treatment (NHS England, </w:t>
      </w:r>
      <w:r w:rsidR="00362FF0" w:rsidRPr="009B461F">
        <w:rPr>
          <w:rFonts w:ascii="Arial" w:hAnsi="Arial" w:cs="Arial"/>
          <w:sz w:val="22"/>
          <w:szCs w:val="22"/>
        </w:rPr>
        <w:t>2023</w:t>
      </w:r>
      <w:r w:rsidRPr="009B461F">
        <w:rPr>
          <w:rFonts w:ascii="Arial" w:hAnsi="Arial" w:cs="Arial"/>
          <w:sz w:val="22"/>
          <w:szCs w:val="22"/>
        </w:rPr>
        <w:t>). Such programmes should be undertaken with appropriate professional supervision rather than through unsupervised restrictive dieting.</w:t>
      </w:r>
    </w:p>
    <w:p w14:paraId="0E08B1A0" w14:textId="77777777" w:rsidR="00084697" w:rsidRPr="009B461F" w:rsidRDefault="00084697" w:rsidP="00084697">
      <w:pPr>
        <w:rPr>
          <w:rFonts w:ascii="Arial" w:hAnsi="Arial" w:cs="Arial"/>
          <w:sz w:val="22"/>
          <w:szCs w:val="22"/>
        </w:rPr>
      </w:pPr>
      <w:r w:rsidRPr="009B461F">
        <w:rPr>
          <w:rFonts w:ascii="Arial" w:hAnsi="Arial" w:cs="Arial"/>
          <w:sz w:val="22"/>
          <w:szCs w:val="22"/>
        </w:rPr>
        <w:t>Stopping smoking is important because smoking increases cardiovascular risk, which is already higher among people with diabetes. Support from healthcare professionals and NHS stop-smoking services can make quitting more achievable.</w:t>
      </w:r>
    </w:p>
    <w:p w14:paraId="7E92F31B" w14:textId="77777777" w:rsidR="00084697" w:rsidRPr="009B461F" w:rsidRDefault="00084697" w:rsidP="00084697">
      <w:pPr>
        <w:rPr>
          <w:rFonts w:ascii="Arial" w:hAnsi="Arial" w:cs="Arial"/>
          <w:sz w:val="22"/>
          <w:szCs w:val="22"/>
        </w:rPr>
      </w:pPr>
      <w:r w:rsidRPr="009B461F">
        <w:rPr>
          <w:rFonts w:ascii="Arial" w:hAnsi="Arial" w:cs="Arial"/>
          <w:sz w:val="22"/>
          <w:szCs w:val="22"/>
        </w:rPr>
        <w:t>Alcohol can affect blood glucose, particularly in people taking insulin or medicines associated with hypoglycaemia. Individuals should therefore follow appropriate advice about alcohol and their medication.</w:t>
      </w:r>
    </w:p>
    <w:p w14:paraId="6685448C" w14:textId="5E28001D" w:rsidR="00084697" w:rsidRPr="009B461F" w:rsidRDefault="00084697" w:rsidP="00084697">
      <w:pPr>
        <w:rPr>
          <w:rFonts w:ascii="Arial" w:hAnsi="Arial" w:cs="Arial"/>
          <w:sz w:val="22"/>
          <w:szCs w:val="22"/>
        </w:rPr>
      </w:pPr>
      <w:r w:rsidRPr="009B461F">
        <w:rPr>
          <w:rFonts w:ascii="Arial" w:hAnsi="Arial" w:cs="Arial"/>
          <w:sz w:val="22"/>
          <w:szCs w:val="22"/>
        </w:rPr>
        <w:t xml:space="preserve">Sleep and emotional wellbeing also matter. Poor sleep and prolonged stress can affect appetite, physical activity and the ability to follow a diabetes management plan. Establishing regular sleep routines </w:t>
      </w:r>
      <w:r w:rsidR="008B124C">
        <w:rPr>
          <w:rFonts w:ascii="Arial" w:hAnsi="Arial" w:cs="Arial"/>
          <w:sz w:val="22"/>
          <w:szCs w:val="22"/>
        </w:rPr>
        <w:t xml:space="preserve">(sleep hygiene) </w:t>
      </w:r>
      <w:r w:rsidRPr="009B461F">
        <w:rPr>
          <w:rFonts w:ascii="Arial" w:hAnsi="Arial" w:cs="Arial"/>
          <w:sz w:val="22"/>
          <w:szCs w:val="22"/>
        </w:rPr>
        <w:t>and seeking support for stress or low mood may help people maintain healthier habits.</w:t>
      </w:r>
      <w:r w:rsidR="007A51AC" w:rsidRPr="009B461F">
        <w:rPr>
          <w:rFonts w:ascii="Arial" w:hAnsi="Arial" w:cs="Arial"/>
          <w:sz w:val="22"/>
          <w:szCs w:val="22"/>
        </w:rPr>
        <w:t xml:space="preserve"> Lifestyle changes should be combined with prescribed </w:t>
      </w:r>
      <w:r w:rsidR="007A51AC" w:rsidRPr="009B461F">
        <w:rPr>
          <w:rFonts w:ascii="Arial" w:hAnsi="Arial" w:cs="Arial"/>
          <w:sz w:val="22"/>
          <w:szCs w:val="22"/>
        </w:rPr>
        <w:lastRenderedPageBreak/>
        <w:t>treatment where necessary, as some people with type 2 diabetes need medication to help manage their blood glucose levels. Treatment should be reviewed regularly by a healthcare professional to ensure it remains appropriate (NHS, 2025).</w:t>
      </w:r>
    </w:p>
    <w:p w14:paraId="6651570C" w14:textId="6E0E777C" w:rsidR="007E2E51" w:rsidRDefault="00084697" w:rsidP="00084697">
      <w:pPr>
        <w:rPr>
          <w:rFonts w:ascii="Arial" w:hAnsi="Arial" w:cs="Arial"/>
          <w:sz w:val="22"/>
          <w:szCs w:val="22"/>
        </w:rPr>
      </w:pPr>
      <w:r w:rsidRPr="009B461F">
        <w:rPr>
          <w:rFonts w:ascii="Arial" w:hAnsi="Arial" w:cs="Arial"/>
          <w:sz w:val="22"/>
          <w:szCs w:val="22"/>
        </w:rPr>
        <w:t>Finally, lifestyle changes should complement regular diabetes reviews, HbA1c testing and appropriate checks of blood pressure, cholesterol, kidney function, eyes and feet. NICE (2026b) emphasises the importance of personalised care that considers the person's preferences, circumstances and other health conditions.</w:t>
      </w:r>
    </w:p>
    <w:p w14:paraId="6B398FA2" w14:textId="61982203" w:rsidR="007E2E51" w:rsidRPr="006C6AC8" w:rsidRDefault="007E2E51" w:rsidP="006C6AC8">
      <w:pPr>
        <w:pStyle w:val="Heading1"/>
        <w:rPr>
          <w:rFonts w:ascii="Arial" w:hAnsi="Arial" w:cs="Arial"/>
          <w:b/>
          <w:bCs/>
          <w:sz w:val="22"/>
          <w:szCs w:val="22"/>
          <w:u w:val="single"/>
        </w:rPr>
      </w:pPr>
      <w:bookmarkStart w:id="1" w:name="_Toc243850196"/>
      <w:r w:rsidRPr="006C6AC8">
        <w:rPr>
          <w:rFonts w:ascii="Arial" w:hAnsi="Arial" w:cs="Arial"/>
          <w:b/>
          <w:bCs/>
          <w:sz w:val="22"/>
          <w:szCs w:val="22"/>
          <w:u w:val="single"/>
        </w:rPr>
        <w:t>Conclusion</w:t>
      </w:r>
      <w:bookmarkEnd w:id="1"/>
      <w:r w:rsidRPr="006C6AC8">
        <w:rPr>
          <w:rFonts w:ascii="Arial" w:hAnsi="Arial" w:cs="Arial"/>
          <w:b/>
          <w:bCs/>
          <w:sz w:val="22"/>
          <w:szCs w:val="22"/>
          <w:u w:val="single"/>
        </w:rPr>
        <w:t xml:space="preserve"> </w:t>
      </w:r>
    </w:p>
    <w:p w14:paraId="6F1F8F4E" w14:textId="77777777" w:rsidR="00084697" w:rsidRPr="009B461F" w:rsidRDefault="00084697" w:rsidP="00084697">
      <w:pPr>
        <w:rPr>
          <w:rFonts w:ascii="Arial" w:hAnsi="Arial" w:cs="Arial"/>
          <w:sz w:val="22"/>
          <w:szCs w:val="22"/>
        </w:rPr>
      </w:pPr>
      <w:r w:rsidRPr="009B461F">
        <w:rPr>
          <w:rFonts w:ascii="Arial" w:hAnsi="Arial" w:cs="Arial"/>
          <w:sz w:val="22"/>
          <w:szCs w:val="22"/>
        </w:rPr>
        <w:t>Type 2 diabetes is a complex condition in which insulin resistance and reduced insulin production disrupt the body's ability to regulate blood glucose. Understanding the roles of insulin and glucagon, together with the use of glucose and oxygen in cellular respiration, helps explain why persistent high blood glucose can damage different organs over time.</w:t>
      </w:r>
    </w:p>
    <w:p w14:paraId="28C98B57" w14:textId="2443385B" w:rsidR="00084697" w:rsidRPr="009B461F" w:rsidRDefault="00084697" w:rsidP="00084697">
      <w:pPr>
        <w:rPr>
          <w:rFonts w:ascii="Arial" w:hAnsi="Arial" w:cs="Arial"/>
          <w:sz w:val="22"/>
          <w:szCs w:val="22"/>
        </w:rPr>
      </w:pPr>
      <w:r w:rsidRPr="009B461F">
        <w:rPr>
          <w:rFonts w:ascii="Arial" w:hAnsi="Arial" w:cs="Arial"/>
          <w:sz w:val="22"/>
          <w:szCs w:val="22"/>
        </w:rPr>
        <w:t xml:space="preserve">Recording glucose levels can support safer management when monitoring is appropriate and results are used to guide decisions. </w:t>
      </w:r>
      <w:r w:rsidR="009B10E7" w:rsidRPr="009B10E7">
        <w:rPr>
          <w:rFonts w:ascii="Arial" w:hAnsi="Arial" w:cs="Arial"/>
          <w:sz w:val="22"/>
          <w:szCs w:val="22"/>
        </w:rPr>
        <w:t>However, the frequency and necessity of monitoring vary between individuals depending on their treatment regimen and clinical needs.</w:t>
      </w:r>
    </w:p>
    <w:p w14:paraId="56F34093" w14:textId="77777777" w:rsidR="00084697" w:rsidRPr="009B461F" w:rsidRDefault="00084697" w:rsidP="00084697">
      <w:pPr>
        <w:rPr>
          <w:rFonts w:ascii="Arial" w:hAnsi="Arial" w:cs="Arial"/>
          <w:sz w:val="22"/>
          <w:szCs w:val="22"/>
        </w:rPr>
      </w:pPr>
      <w:r w:rsidRPr="009B461F">
        <w:rPr>
          <w:rFonts w:ascii="Arial" w:hAnsi="Arial" w:cs="Arial"/>
          <w:sz w:val="22"/>
          <w:szCs w:val="22"/>
        </w:rPr>
        <w:t>Evidence supports a combination of balanced eating, regular physical activity, sustainable weight management, smoking cessation and attention to emotional wellbeing. These measures can improve glucose control and overall health, while structured weight-loss programmes may help some people achieve remission. Ultimately, successful diabetes management depends on individualised support, appropriate treatment and practical lifestyle changes that people can maintain over the long term.</w:t>
      </w:r>
    </w:p>
    <w:p w14:paraId="1622282A" w14:textId="77777777" w:rsidR="00EA0DCD" w:rsidRPr="009B461F" w:rsidRDefault="00EA0DCD" w:rsidP="00084697">
      <w:pPr>
        <w:rPr>
          <w:rFonts w:ascii="Arial" w:hAnsi="Arial" w:cs="Arial"/>
          <w:b/>
          <w:bCs/>
          <w:sz w:val="22"/>
          <w:szCs w:val="22"/>
        </w:rPr>
      </w:pPr>
    </w:p>
    <w:p w14:paraId="77D5ECB4" w14:textId="77777777" w:rsidR="00EA0DCD" w:rsidRDefault="00EA0DCD" w:rsidP="00084697">
      <w:pPr>
        <w:rPr>
          <w:rFonts w:ascii="Arial" w:hAnsi="Arial" w:cs="Arial"/>
          <w:b/>
          <w:bCs/>
          <w:sz w:val="22"/>
          <w:szCs w:val="22"/>
        </w:rPr>
      </w:pPr>
    </w:p>
    <w:p w14:paraId="74266F60" w14:textId="77777777" w:rsidR="009B461F" w:rsidRDefault="009B461F" w:rsidP="00084697">
      <w:pPr>
        <w:rPr>
          <w:rFonts w:ascii="Arial" w:hAnsi="Arial" w:cs="Arial"/>
          <w:b/>
          <w:bCs/>
          <w:sz w:val="22"/>
          <w:szCs w:val="22"/>
        </w:rPr>
      </w:pPr>
    </w:p>
    <w:p w14:paraId="657F09E9" w14:textId="77777777" w:rsidR="009B461F" w:rsidRDefault="009B461F" w:rsidP="00084697">
      <w:pPr>
        <w:rPr>
          <w:rFonts w:ascii="Arial" w:hAnsi="Arial" w:cs="Arial"/>
          <w:b/>
          <w:bCs/>
          <w:sz w:val="22"/>
          <w:szCs w:val="22"/>
        </w:rPr>
      </w:pPr>
    </w:p>
    <w:p w14:paraId="46E8B52C" w14:textId="77777777" w:rsidR="009B461F" w:rsidRDefault="009B461F" w:rsidP="00084697">
      <w:pPr>
        <w:rPr>
          <w:rFonts w:ascii="Arial" w:hAnsi="Arial" w:cs="Arial"/>
          <w:b/>
          <w:bCs/>
          <w:sz w:val="22"/>
          <w:szCs w:val="22"/>
        </w:rPr>
      </w:pPr>
    </w:p>
    <w:p w14:paraId="56A1F99F" w14:textId="77777777" w:rsidR="009B461F" w:rsidRDefault="009B461F" w:rsidP="00084697">
      <w:pPr>
        <w:rPr>
          <w:rFonts w:ascii="Arial" w:hAnsi="Arial" w:cs="Arial"/>
          <w:b/>
          <w:bCs/>
          <w:sz w:val="22"/>
          <w:szCs w:val="22"/>
        </w:rPr>
      </w:pPr>
    </w:p>
    <w:p w14:paraId="4A0F40A7" w14:textId="77777777" w:rsidR="009B461F" w:rsidRDefault="009B461F" w:rsidP="00084697">
      <w:pPr>
        <w:rPr>
          <w:rFonts w:ascii="Arial" w:hAnsi="Arial" w:cs="Arial"/>
          <w:b/>
          <w:bCs/>
          <w:sz w:val="22"/>
          <w:szCs w:val="22"/>
        </w:rPr>
      </w:pPr>
    </w:p>
    <w:p w14:paraId="3E7BB6FC" w14:textId="77777777" w:rsidR="009B461F" w:rsidRDefault="009B461F" w:rsidP="00084697">
      <w:pPr>
        <w:rPr>
          <w:rFonts w:ascii="Arial" w:hAnsi="Arial" w:cs="Arial"/>
          <w:b/>
          <w:bCs/>
          <w:sz w:val="22"/>
          <w:szCs w:val="22"/>
        </w:rPr>
      </w:pPr>
    </w:p>
    <w:p w14:paraId="02B0BDEF" w14:textId="77777777" w:rsidR="000C09B4" w:rsidRDefault="000C09B4" w:rsidP="00084697">
      <w:pPr>
        <w:rPr>
          <w:rFonts w:ascii="Arial" w:hAnsi="Arial" w:cs="Arial"/>
          <w:b/>
          <w:bCs/>
          <w:sz w:val="22"/>
          <w:szCs w:val="22"/>
        </w:rPr>
      </w:pPr>
    </w:p>
    <w:p w14:paraId="708AF118" w14:textId="77777777" w:rsidR="00222471" w:rsidRDefault="00222471" w:rsidP="00084697">
      <w:pPr>
        <w:rPr>
          <w:rFonts w:ascii="Arial" w:hAnsi="Arial" w:cs="Arial"/>
          <w:b/>
          <w:bCs/>
          <w:sz w:val="22"/>
          <w:szCs w:val="22"/>
        </w:rPr>
      </w:pPr>
    </w:p>
    <w:p w14:paraId="2738DB92" w14:textId="77777777" w:rsidR="00222471" w:rsidRDefault="00222471" w:rsidP="00084697">
      <w:pPr>
        <w:rPr>
          <w:rFonts w:ascii="Arial" w:hAnsi="Arial" w:cs="Arial"/>
          <w:b/>
          <w:bCs/>
          <w:sz w:val="22"/>
          <w:szCs w:val="22"/>
        </w:rPr>
      </w:pPr>
    </w:p>
    <w:p w14:paraId="6D9C830F" w14:textId="77777777" w:rsidR="00222471" w:rsidRPr="009B461F" w:rsidRDefault="00222471" w:rsidP="00084697">
      <w:pPr>
        <w:rPr>
          <w:rFonts w:ascii="Arial" w:hAnsi="Arial" w:cs="Arial"/>
          <w:b/>
          <w:bCs/>
          <w:sz w:val="22"/>
          <w:szCs w:val="22"/>
        </w:rPr>
      </w:pPr>
    </w:p>
    <w:p w14:paraId="4D013B8A" w14:textId="496D0E99" w:rsidR="00084697" w:rsidRPr="006136B4" w:rsidRDefault="00084697" w:rsidP="006136B4">
      <w:pPr>
        <w:pStyle w:val="Heading1"/>
        <w:rPr>
          <w:rFonts w:ascii="Arial" w:hAnsi="Arial" w:cs="Arial"/>
          <w:b/>
          <w:bCs/>
          <w:sz w:val="22"/>
          <w:szCs w:val="22"/>
          <w:u w:val="single"/>
        </w:rPr>
      </w:pPr>
      <w:bookmarkStart w:id="2" w:name="_Toc243850197"/>
      <w:r w:rsidRPr="006136B4">
        <w:rPr>
          <w:rFonts w:ascii="Arial" w:hAnsi="Arial" w:cs="Arial"/>
          <w:b/>
          <w:bCs/>
          <w:sz w:val="22"/>
          <w:szCs w:val="22"/>
          <w:u w:val="single"/>
        </w:rPr>
        <w:lastRenderedPageBreak/>
        <w:t>Reference list</w:t>
      </w:r>
      <w:bookmarkEnd w:id="2"/>
    </w:p>
    <w:p w14:paraId="570F9C2D" w14:textId="6C025DF9" w:rsidR="00084697" w:rsidRPr="009B461F" w:rsidRDefault="00084697" w:rsidP="00084697">
      <w:pPr>
        <w:rPr>
          <w:rFonts w:ascii="Arial" w:hAnsi="Arial" w:cs="Arial"/>
          <w:sz w:val="22"/>
          <w:szCs w:val="22"/>
        </w:rPr>
      </w:pPr>
      <w:r w:rsidRPr="009B461F">
        <w:rPr>
          <w:rFonts w:ascii="Arial" w:hAnsi="Arial" w:cs="Arial"/>
          <w:sz w:val="22"/>
          <w:szCs w:val="22"/>
        </w:rPr>
        <w:t xml:space="preserve">Colberg, S.R. et al. (2016) ‘Physical activity/exercise and diabetes: A position statement of the American Diabetes Association’, </w:t>
      </w:r>
      <w:r w:rsidRPr="008B124C">
        <w:rPr>
          <w:rFonts w:ascii="Arial" w:hAnsi="Arial" w:cs="Arial"/>
          <w:i/>
          <w:iCs/>
          <w:sz w:val="22"/>
          <w:szCs w:val="22"/>
        </w:rPr>
        <w:t>Diabetes Care</w:t>
      </w:r>
      <w:r w:rsidRPr="009B461F">
        <w:rPr>
          <w:rFonts w:ascii="Arial" w:hAnsi="Arial" w:cs="Arial"/>
          <w:sz w:val="22"/>
          <w:szCs w:val="22"/>
        </w:rPr>
        <w:t xml:space="preserve">, 39(11), pp. 2065–2079. Available at: </w:t>
      </w:r>
      <w:hyperlink r:id="rId8" w:history="1">
        <w:r w:rsidRPr="009B461F">
          <w:rPr>
            <w:rStyle w:val="Hyperlink"/>
            <w:rFonts w:ascii="Arial" w:hAnsi="Arial" w:cs="Arial"/>
            <w:sz w:val="22"/>
            <w:szCs w:val="22"/>
          </w:rPr>
          <w:t>https://doi.org/10</w:t>
        </w:r>
        <w:r w:rsidRPr="009B461F">
          <w:rPr>
            <w:rStyle w:val="Hyperlink"/>
            <w:rFonts w:ascii="Arial" w:hAnsi="Arial" w:cs="Arial"/>
            <w:sz w:val="22"/>
            <w:szCs w:val="22"/>
          </w:rPr>
          <w:t>.</w:t>
        </w:r>
        <w:r w:rsidRPr="009B461F">
          <w:rPr>
            <w:rStyle w:val="Hyperlink"/>
            <w:rFonts w:ascii="Arial" w:hAnsi="Arial" w:cs="Arial"/>
            <w:sz w:val="22"/>
            <w:szCs w:val="22"/>
          </w:rPr>
          <w:t>2337/dc16-1728 </w:t>
        </w:r>
      </w:hyperlink>
    </w:p>
    <w:p w14:paraId="0CE748FC" w14:textId="1C650026" w:rsidR="00084697" w:rsidRDefault="00084697" w:rsidP="00084697">
      <w:pPr>
        <w:rPr>
          <w:rFonts w:ascii="Arial" w:hAnsi="Arial" w:cs="Arial"/>
          <w:sz w:val="22"/>
          <w:szCs w:val="22"/>
        </w:rPr>
      </w:pPr>
      <w:r w:rsidRPr="009B461F">
        <w:rPr>
          <w:rFonts w:ascii="Arial" w:hAnsi="Arial" w:cs="Arial"/>
          <w:sz w:val="22"/>
          <w:szCs w:val="22"/>
        </w:rPr>
        <w:t>Diabetes UK (</w:t>
      </w:r>
      <w:r w:rsidR="00483B89" w:rsidRPr="009B461F">
        <w:rPr>
          <w:rFonts w:ascii="Arial" w:hAnsi="Arial" w:cs="Arial"/>
          <w:sz w:val="22"/>
          <w:szCs w:val="22"/>
        </w:rPr>
        <w:t>2026</w:t>
      </w:r>
      <w:r w:rsidRPr="009B461F">
        <w:rPr>
          <w:rFonts w:ascii="Arial" w:hAnsi="Arial" w:cs="Arial"/>
          <w:sz w:val="22"/>
          <w:szCs w:val="22"/>
        </w:rPr>
        <w:t xml:space="preserve">) </w:t>
      </w:r>
      <w:r w:rsidRPr="008813C1">
        <w:rPr>
          <w:rFonts w:ascii="Arial" w:hAnsi="Arial" w:cs="Arial"/>
          <w:i/>
          <w:iCs/>
          <w:sz w:val="22"/>
          <w:szCs w:val="22"/>
        </w:rPr>
        <w:t>I have type 2 diabetes – what can I eat?</w:t>
      </w:r>
      <w:r w:rsidRPr="009B461F">
        <w:rPr>
          <w:rFonts w:ascii="Arial" w:hAnsi="Arial" w:cs="Arial"/>
          <w:sz w:val="22"/>
          <w:szCs w:val="22"/>
        </w:rPr>
        <w:t xml:space="preserve"> Available at: </w:t>
      </w:r>
      <w:hyperlink r:id="rId9" w:history="1">
        <w:r w:rsidRPr="009B461F">
          <w:rPr>
            <w:rStyle w:val="Hyperlink"/>
            <w:rFonts w:ascii="Arial" w:hAnsi="Arial" w:cs="Arial"/>
            <w:sz w:val="22"/>
            <w:szCs w:val="22"/>
          </w:rPr>
          <w:t>https://www.diabetes.org.uk/living-with-diabetes/eating/i-have-type-2-diabetes </w:t>
        </w:r>
      </w:hyperlink>
      <w:r w:rsidRPr="009B461F">
        <w:rPr>
          <w:rFonts w:ascii="Arial" w:hAnsi="Arial" w:cs="Arial"/>
          <w:sz w:val="22"/>
          <w:szCs w:val="22"/>
        </w:rPr>
        <w:t xml:space="preserve"> (Accessed: 18 October 2026).</w:t>
      </w:r>
    </w:p>
    <w:p w14:paraId="4B4FDCA8" w14:textId="0864F1C7" w:rsidR="006136B4" w:rsidRPr="009B461F" w:rsidRDefault="006136B4" w:rsidP="00084697">
      <w:pPr>
        <w:rPr>
          <w:rFonts w:ascii="Arial" w:hAnsi="Arial" w:cs="Arial"/>
          <w:sz w:val="22"/>
          <w:szCs w:val="22"/>
        </w:rPr>
      </w:pPr>
      <w:r w:rsidRPr="006136B4">
        <w:rPr>
          <w:rFonts w:ascii="Arial" w:hAnsi="Arial" w:cs="Arial"/>
          <w:sz w:val="22"/>
          <w:szCs w:val="22"/>
        </w:rPr>
        <w:t xml:space="preserve">Diabetes UK (2026) </w:t>
      </w:r>
      <w:r w:rsidRPr="006136B4">
        <w:rPr>
          <w:rFonts w:ascii="Arial" w:hAnsi="Arial" w:cs="Arial"/>
          <w:i/>
          <w:iCs/>
          <w:sz w:val="22"/>
          <w:szCs w:val="22"/>
        </w:rPr>
        <w:t>How many people in the UK have diabetes?</w:t>
      </w:r>
      <w:r w:rsidRPr="006136B4">
        <w:rPr>
          <w:rFonts w:ascii="Arial" w:hAnsi="Arial" w:cs="Arial"/>
          <w:sz w:val="22"/>
          <w:szCs w:val="22"/>
        </w:rPr>
        <w:t xml:space="preserve"> Available at: </w:t>
      </w:r>
      <w:hyperlink r:id="rId10" w:tgtFrame="_blank" w:history="1">
        <w:r w:rsidRPr="006136B4">
          <w:rPr>
            <w:rStyle w:val="Hyperlink"/>
            <w:rFonts w:ascii="Arial" w:hAnsi="Arial" w:cs="Arial"/>
            <w:sz w:val="22"/>
            <w:szCs w:val="22"/>
          </w:rPr>
          <w:t>https://www.diabetes.org.uk/about-us/about-the-charity/our-strategy/statistics </w:t>
        </w:r>
      </w:hyperlink>
      <w:r w:rsidRPr="006136B4">
        <w:rPr>
          <w:rFonts w:ascii="Arial" w:hAnsi="Arial" w:cs="Arial"/>
          <w:sz w:val="22"/>
          <w:szCs w:val="22"/>
        </w:rPr>
        <w:t xml:space="preserve"> (Accessed: 2</w:t>
      </w:r>
      <w:r>
        <w:rPr>
          <w:rFonts w:ascii="Arial" w:hAnsi="Arial" w:cs="Arial"/>
          <w:sz w:val="22"/>
          <w:szCs w:val="22"/>
        </w:rPr>
        <w:t>0th</w:t>
      </w:r>
      <w:r w:rsidRPr="006136B4">
        <w:rPr>
          <w:rFonts w:ascii="Arial" w:hAnsi="Arial" w:cs="Arial"/>
          <w:sz w:val="22"/>
          <w:szCs w:val="22"/>
        </w:rPr>
        <w:t xml:space="preserve"> October 2026).</w:t>
      </w:r>
    </w:p>
    <w:p w14:paraId="1FE7AED6" w14:textId="77BDF9B4" w:rsidR="00084697" w:rsidRPr="009B461F" w:rsidRDefault="00084697" w:rsidP="00084697">
      <w:pPr>
        <w:rPr>
          <w:rFonts w:ascii="Arial" w:hAnsi="Arial" w:cs="Arial"/>
          <w:sz w:val="22"/>
          <w:szCs w:val="22"/>
        </w:rPr>
      </w:pPr>
      <w:r w:rsidRPr="009B461F">
        <w:rPr>
          <w:rFonts w:ascii="Arial" w:hAnsi="Arial" w:cs="Arial"/>
          <w:sz w:val="22"/>
          <w:szCs w:val="22"/>
        </w:rPr>
        <w:t>Diabetes UK (</w:t>
      </w:r>
      <w:r w:rsidR="00483B89" w:rsidRPr="009B461F">
        <w:rPr>
          <w:rFonts w:ascii="Arial" w:hAnsi="Arial" w:cs="Arial"/>
          <w:sz w:val="22"/>
          <w:szCs w:val="22"/>
        </w:rPr>
        <w:t>2025</w:t>
      </w:r>
      <w:r w:rsidRPr="009B461F">
        <w:rPr>
          <w:rFonts w:ascii="Arial" w:hAnsi="Arial" w:cs="Arial"/>
          <w:sz w:val="22"/>
          <w:szCs w:val="22"/>
        </w:rPr>
        <w:t xml:space="preserve">) </w:t>
      </w:r>
      <w:r w:rsidRPr="008813C1">
        <w:rPr>
          <w:rFonts w:ascii="Arial" w:hAnsi="Arial" w:cs="Arial"/>
          <w:i/>
          <w:iCs/>
          <w:sz w:val="22"/>
          <w:szCs w:val="22"/>
        </w:rPr>
        <w:t>Diabetes diet: a healthy, balanced diet for diabetes</w:t>
      </w:r>
      <w:r w:rsidRPr="009B461F">
        <w:rPr>
          <w:rFonts w:ascii="Arial" w:hAnsi="Arial" w:cs="Arial"/>
          <w:sz w:val="22"/>
          <w:szCs w:val="22"/>
        </w:rPr>
        <w:t xml:space="preserve">. Available at: </w:t>
      </w:r>
      <w:hyperlink r:id="rId11" w:history="1">
        <w:r w:rsidRPr="009B461F">
          <w:rPr>
            <w:rStyle w:val="Hyperlink"/>
            <w:rFonts w:ascii="Arial" w:hAnsi="Arial" w:cs="Arial"/>
            <w:sz w:val="22"/>
            <w:szCs w:val="22"/>
          </w:rPr>
          <w:t>https://www.diabetes.org.uk/living-with-diabetes/eating/what-is-a-healthy-balanced-diet </w:t>
        </w:r>
      </w:hyperlink>
      <w:r w:rsidRPr="009B461F">
        <w:rPr>
          <w:rFonts w:ascii="Arial" w:hAnsi="Arial" w:cs="Arial"/>
          <w:sz w:val="22"/>
          <w:szCs w:val="22"/>
        </w:rPr>
        <w:t xml:space="preserve"> (Accessed: 18 October 2026).</w:t>
      </w:r>
    </w:p>
    <w:p w14:paraId="162AFF91" w14:textId="209F54BA" w:rsidR="00084697" w:rsidRPr="009B461F" w:rsidRDefault="00084697" w:rsidP="00084697">
      <w:pPr>
        <w:rPr>
          <w:rFonts w:ascii="Arial" w:hAnsi="Arial" w:cs="Arial"/>
          <w:sz w:val="22"/>
          <w:szCs w:val="22"/>
        </w:rPr>
      </w:pPr>
      <w:r w:rsidRPr="009B461F">
        <w:rPr>
          <w:rFonts w:ascii="Arial" w:hAnsi="Arial" w:cs="Arial"/>
          <w:sz w:val="22"/>
          <w:szCs w:val="22"/>
        </w:rPr>
        <w:t xml:space="preserve">Hall, J.E. and Hall, M.E. (2021) </w:t>
      </w:r>
      <w:r w:rsidRPr="008813C1">
        <w:rPr>
          <w:rFonts w:ascii="Arial" w:hAnsi="Arial" w:cs="Arial"/>
          <w:i/>
          <w:iCs/>
          <w:sz w:val="22"/>
          <w:szCs w:val="22"/>
        </w:rPr>
        <w:t>Guyton and Hall Textbook of Medical Physiology</w:t>
      </w:r>
      <w:r w:rsidRPr="009B461F">
        <w:rPr>
          <w:rFonts w:ascii="Arial" w:hAnsi="Arial" w:cs="Arial"/>
          <w:sz w:val="22"/>
          <w:szCs w:val="22"/>
        </w:rPr>
        <w:t xml:space="preserve">. 14th </w:t>
      </w:r>
      <w:proofErr w:type="spellStart"/>
      <w:r w:rsidRPr="009B461F">
        <w:rPr>
          <w:rFonts w:ascii="Arial" w:hAnsi="Arial" w:cs="Arial"/>
          <w:sz w:val="22"/>
          <w:szCs w:val="22"/>
        </w:rPr>
        <w:t>edn</w:t>
      </w:r>
      <w:proofErr w:type="spellEnd"/>
      <w:r w:rsidRPr="009B461F">
        <w:rPr>
          <w:rFonts w:ascii="Arial" w:hAnsi="Arial" w:cs="Arial"/>
          <w:sz w:val="22"/>
          <w:szCs w:val="22"/>
        </w:rPr>
        <w:t>. Philadelphia: Elsevier.</w:t>
      </w:r>
    </w:p>
    <w:p w14:paraId="0A9B1D85" w14:textId="7784F920" w:rsidR="00084697" w:rsidRPr="009B461F" w:rsidRDefault="00084697" w:rsidP="00084697">
      <w:pPr>
        <w:rPr>
          <w:rFonts w:ascii="Arial" w:hAnsi="Arial" w:cs="Arial"/>
          <w:sz w:val="22"/>
          <w:szCs w:val="22"/>
        </w:rPr>
      </w:pPr>
      <w:r w:rsidRPr="009B461F">
        <w:rPr>
          <w:rFonts w:ascii="Arial" w:hAnsi="Arial" w:cs="Arial"/>
          <w:sz w:val="22"/>
          <w:szCs w:val="22"/>
        </w:rPr>
        <w:t>Lean, M.E.J. et al. (2018) ‘Primary care-led weight management for remission of type 2 diabetes (</w:t>
      </w:r>
      <w:proofErr w:type="spellStart"/>
      <w:r w:rsidRPr="009B461F">
        <w:rPr>
          <w:rFonts w:ascii="Arial" w:hAnsi="Arial" w:cs="Arial"/>
          <w:sz w:val="22"/>
          <w:szCs w:val="22"/>
        </w:rPr>
        <w:t>DiRECT</w:t>
      </w:r>
      <w:proofErr w:type="spellEnd"/>
      <w:r w:rsidRPr="009B461F">
        <w:rPr>
          <w:rFonts w:ascii="Arial" w:hAnsi="Arial" w:cs="Arial"/>
          <w:sz w:val="22"/>
          <w:szCs w:val="22"/>
        </w:rPr>
        <w:t xml:space="preserve">): an open-label, cluster-randomised trial’, </w:t>
      </w:r>
      <w:r w:rsidRPr="008B124C">
        <w:rPr>
          <w:rFonts w:ascii="Arial" w:hAnsi="Arial" w:cs="Arial"/>
          <w:i/>
          <w:iCs/>
          <w:sz w:val="22"/>
          <w:szCs w:val="22"/>
        </w:rPr>
        <w:t>The Lancet</w:t>
      </w:r>
      <w:r w:rsidRPr="009B461F">
        <w:rPr>
          <w:rFonts w:ascii="Arial" w:hAnsi="Arial" w:cs="Arial"/>
          <w:sz w:val="22"/>
          <w:szCs w:val="22"/>
        </w:rPr>
        <w:t xml:space="preserve">, 391(10120), pp. 541–551. Available at: </w:t>
      </w:r>
      <w:hyperlink r:id="rId12" w:history="1">
        <w:r w:rsidRPr="009B461F">
          <w:rPr>
            <w:rStyle w:val="Hyperlink"/>
            <w:rFonts w:ascii="Arial" w:hAnsi="Arial" w:cs="Arial"/>
            <w:sz w:val="22"/>
            <w:szCs w:val="22"/>
          </w:rPr>
          <w:t>https://doi.org/10.1016/S0140-6736(17)33102-1 </w:t>
        </w:r>
      </w:hyperlink>
    </w:p>
    <w:p w14:paraId="7BC8217F" w14:textId="1754F0AC" w:rsidR="00084697" w:rsidRPr="009B461F" w:rsidRDefault="00084697" w:rsidP="00084697">
      <w:pPr>
        <w:rPr>
          <w:rFonts w:ascii="Arial" w:hAnsi="Arial" w:cs="Arial"/>
          <w:sz w:val="22"/>
          <w:szCs w:val="22"/>
        </w:rPr>
      </w:pPr>
      <w:r w:rsidRPr="009B461F">
        <w:rPr>
          <w:rFonts w:ascii="Arial" w:hAnsi="Arial" w:cs="Arial"/>
          <w:sz w:val="22"/>
          <w:szCs w:val="22"/>
        </w:rPr>
        <w:t xml:space="preserve">National Institute for Health and Care Excellence (NICE) (2026a) </w:t>
      </w:r>
      <w:r w:rsidRPr="008813C1">
        <w:rPr>
          <w:rFonts w:ascii="Arial" w:hAnsi="Arial" w:cs="Arial"/>
          <w:i/>
          <w:iCs/>
          <w:sz w:val="22"/>
          <w:szCs w:val="22"/>
        </w:rPr>
        <w:t>Type 2 diabetes in adults: management. NICE guideline NG28</w:t>
      </w:r>
      <w:r w:rsidRPr="009B461F">
        <w:rPr>
          <w:rFonts w:ascii="Arial" w:hAnsi="Arial" w:cs="Arial"/>
          <w:sz w:val="22"/>
          <w:szCs w:val="22"/>
        </w:rPr>
        <w:t xml:space="preserve">. Available at: </w:t>
      </w:r>
      <w:hyperlink r:id="rId13" w:history="1">
        <w:r w:rsidRPr="009B461F">
          <w:rPr>
            <w:rStyle w:val="Hyperlink"/>
            <w:rFonts w:ascii="Arial" w:hAnsi="Arial" w:cs="Arial"/>
            <w:sz w:val="22"/>
            <w:szCs w:val="22"/>
          </w:rPr>
          <w:t>https://www.nice.org.uk/guidance/ng28 </w:t>
        </w:r>
      </w:hyperlink>
      <w:r w:rsidRPr="009B461F">
        <w:rPr>
          <w:rFonts w:ascii="Arial" w:hAnsi="Arial" w:cs="Arial"/>
          <w:sz w:val="22"/>
          <w:szCs w:val="22"/>
        </w:rPr>
        <w:t xml:space="preserve"> (Accessed: 18 October 2026).</w:t>
      </w:r>
    </w:p>
    <w:p w14:paraId="47BA0F74" w14:textId="05A768AB" w:rsidR="00084697" w:rsidRPr="009B461F" w:rsidRDefault="00084697" w:rsidP="00084697">
      <w:pPr>
        <w:rPr>
          <w:rFonts w:ascii="Arial" w:hAnsi="Arial" w:cs="Arial"/>
          <w:sz w:val="22"/>
          <w:szCs w:val="22"/>
        </w:rPr>
      </w:pPr>
      <w:r w:rsidRPr="009B461F">
        <w:rPr>
          <w:rFonts w:ascii="Arial" w:hAnsi="Arial" w:cs="Arial"/>
          <w:sz w:val="22"/>
          <w:szCs w:val="22"/>
        </w:rPr>
        <w:t xml:space="preserve">National Institute for Health and Care Excellence (NICE) (2026b) </w:t>
      </w:r>
      <w:r w:rsidRPr="008813C1">
        <w:rPr>
          <w:rFonts w:ascii="Arial" w:hAnsi="Arial" w:cs="Arial"/>
          <w:i/>
          <w:iCs/>
          <w:sz w:val="22"/>
          <w:szCs w:val="22"/>
        </w:rPr>
        <w:t>Type 2 diabetes in adults: management – Person-centred medicine.</w:t>
      </w:r>
      <w:r w:rsidRPr="009B461F">
        <w:rPr>
          <w:rFonts w:ascii="Arial" w:hAnsi="Arial" w:cs="Arial"/>
          <w:sz w:val="22"/>
          <w:szCs w:val="22"/>
        </w:rPr>
        <w:t xml:space="preserve"> Available at: </w:t>
      </w:r>
      <w:hyperlink r:id="rId14" w:history="1">
        <w:r w:rsidRPr="009B461F">
          <w:rPr>
            <w:rStyle w:val="Hyperlink"/>
            <w:rFonts w:ascii="Arial" w:hAnsi="Arial" w:cs="Arial"/>
            <w:sz w:val="22"/>
            <w:szCs w:val="22"/>
          </w:rPr>
          <w:t>https://www.nice.org.uk/guidance/ng28/chapter/person-centred-medicine </w:t>
        </w:r>
      </w:hyperlink>
      <w:r w:rsidRPr="009B461F">
        <w:rPr>
          <w:rFonts w:ascii="Arial" w:hAnsi="Arial" w:cs="Arial"/>
          <w:sz w:val="22"/>
          <w:szCs w:val="22"/>
        </w:rPr>
        <w:t xml:space="preserve"> (Accessed: 18 October 2026).</w:t>
      </w:r>
    </w:p>
    <w:p w14:paraId="47EFBAF8" w14:textId="590D0A27" w:rsidR="00084697" w:rsidRPr="009B461F" w:rsidRDefault="00084697" w:rsidP="00084697">
      <w:pPr>
        <w:rPr>
          <w:rFonts w:ascii="Arial" w:hAnsi="Arial" w:cs="Arial"/>
          <w:sz w:val="22"/>
          <w:szCs w:val="22"/>
        </w:rPr>
      </w:pPr>
      <w:r w:rsidRPr="009B461F">
        <w:rPr>
          <w:rFonts w:ascii="Arial" w:hAnsi="Arial" w:cs="Arial"/>
          <w:sz w:val="22"/>
          <w:szCs w:val="22"/>
        </w:rPr>
        <w:t>NHS (</w:t>
      </w:r>
      <w:r w:rsidR="00483B89" w:rsidRPr="009B461F">
        <w:rPr>
          <w:rFonts w:ascii="Arial" w:hAnsi="Arial" w:cs="Arial"/>
          <w:sz w:val="22"/>
          <w:szCs w:val="22"/>
        </w:rPr>
        <w:t>2025</w:t>
      </w:r>
      <w:r w:rsidRPr="009B461F">
        <w:rPr>
          <w:rFonts w:ascii="Arial" w:hAnsi="Arial" w:cs="Arial"/>
          <w:sz w:val="22"/>
          <w:szCs w:val="22"/>
        </w:rPr>
        <w:t xml:space="preserve">) </w:t>
      </w:r>
      <w:r w:rsidRPr="008813C1">
        <w:rPr>
          <w:rFonts w:ascii="Arial" w:hAnsi="Arial" w:cs="Arial"/>
          <w:i/>
          <w:iCs/>
          <w:sz w:val="22"/>
          <w:szCs w:val="22"/>
        </w:rPr>
        <w:t>Type 2 diabetes</w:t>
      </w:r>
      <w:r w:rsidRPr="009B461F">
        <w:rPr>
          <w:rFonts w:ascii="Arial" w:hAnsi="Arial" w:cs="Arial"/>
          <w:sz w:val="22"/>
          <w:szCs w:val="22"/>
        </w:rPr>
        <w:t xml:space="preserve">. Available at: </w:t>
      </w:r>
      <w:hyperlink r:id="rId15" w:history="1">
        <w:r w:rsidRPr="009B461F">
          <w:rPr>
            <w:rStyle w:val="Hyperlink"/>
            <w:rFonts w:ascii="Arial" w:hAnsi="Arial" w:cs="Arial"/>
            <w:sz w:val="22"/>
            <w:szCs w:val="22"/>
          </w:rPr>
          <w:t>https://www.nhs.uk/conditions/type-2-diabetes/ </w:t>
        </w:r>
      </w:hyperlink>
      <w:r w:rsidRPr="009B461F">
        <w:rPr>
          <w:rFonts w:ascii="Arial" w:hAnsi="Arial" w:cs="Arial"/>
          <w:sz w:val="22"/>
          <w:szCs w:val="22"/>
        </w:rPr>
        <w:t xml:space="preserve"> (Accessed: 18 October 2026).</w:t>
      </w:r>
    </w:p>
    <w:p w14:paraId="52E4902A" w14:textId="1CA3BD9B" w:rsidR="00084697" w:rsidRPr="009B461F" w:rsidRDefault="00084697" w:rsidP="00084697">
      <w:pPr>
        <w:rPr>
          <w:rFonts w:ascii="Arial" w:hAnsi="Arial" w:cs="Arial"/>
          <w:sz w:val="22"/>
          <w:szCs w:val="22"/>
        </w:rPr>
      </w:pPr>
      <w:r w:rsidRPr="009B461F">
        <w:rPr>
          <w:rFonts w:ascii="Arial" w:hAnsi="Arial" w:cs="Arial"/>
          <w:sz w:val="22"/>
          <w:szCs w:val="22"/>
        </w:rPr>
        <w:t>NHS (</w:t>
      </w:r>
      <w:r w:rsidR="00483B89" w:rsidRPr="009B461F">
        <w:rPr>
          <w:rFonts w:ascii="Arial" w:hAnsi="Arial" w:cs="Arial"/>
          <w:sz w:val="22"/>
          <w:szCs w:val="22"/>
        </w:rPr>
        <w:t>2024</w:t>
      </w:r>
      <w:r w:rsidRPr="009B461F">
        <w:rPr>
          <w:rFonts w:ascii="Arial" w:hAnsi="Arial" w:cs="Arial"/>
          <w:sz w:val="22"/>
          <w:szCs w:val="22"/>
        </w:rPr>
        <w:t xml:space="preserve">) </w:t>
      </w:r>
      <w:r w:rsidRPr="008813C1">
        <w:rPr>
          <w:rFonts w:ascii="Arial" w:hAnsi="Arial" w:cs="Arial"/>
          <w:i/>
          <w:iCs/>
          <w:sz w:val="22"/>
          <w:szCs w:val="22"/>
        </w:rPr>
        <w:t>Physical activity guidelines for adults aged 19 to 64.</w:t>
      </w:r>
      <w:r w:rsidRPr="009B461F">
        <w:rPr>
          <w:rFonts w:ascii="Arial" w:hAnsi="Arial" w:cs="Arial"/>
          <w:sz w:val="22"/>
          <w:szCs w:val="22"/>
        </w:rPr>
        <w:t xml:space="preserve"> Available at: </w:t>
      </w:r>
      <w:hyperlink r:id="rId16" w:history="1">
        <w:r w:rsidRPr="009B461F">
          <w:rPr>
            <w:rStyle w:val="Hyperlink"/>
            <w:rFonts w:ascii="Arial" w:hAnsi="Arial" w:cs="Arial"/>
            <w:sz w:val="22"/>
            <w:szCs w:val="22"/>
          </w:rPr>
          <w:t>https://www.nhs.uk/live-well/exercise/physical-activity-guidelines-for-adults-aged-19-to-64/ </w:t>
        </w:r>
      </w:hyperlink>
      <w:r w:rsidRPr="009B461F">
        <w:rPr>
          <w:rFonts w:ascii="Arial" w:hAnsi="Arial" w:cs="Arial"/>
          <w:sz w:val="22"/>
          <w:szCs w:val="22"/>
        </w:rPr>
        <w:t xml:space="preserve"> (Accessed: 18 October 2026).</w:t>
      </w:r>
    </w:p>
    <w:p w14:paraId="257B6D75" w14:textId="68956074" w:rsidR="00084697" w:rsidRPr="009B461F" w:rsidRDefault="00084697" w:rsidP="00084697">
      <w:pPr>
        <w:rPr>
          <w:rFonts w:ascii="Arial" w:hAnsi="Arial" w:cs="Arial"/>
          <w:sz w:val="22"/>
          <w:szCs w:val="22"/>
        </w:rPr>
      </w:pPr>
      <w:r w:rsidRPr="009B461F">
        <w:rPr>
          <w:rFonts w:ascii="Arial" w:hAnsi="Arial" w:cs="Arial"/>
          <w:sz w:val="22"/>
          <w:szCs w:val="22"/>
        </w:rPr>
        <w:t>NHS (</w:t>
      </w:r>
      <w:r w:rsidR="007A51AC" w:rsidRPr="009B461F">
        <w:rPr>
          <w:rFonts w:ascii="Arial" w:hAnsi="Arial" w:cs="Arial"/>
          <w:sz w:val="22"/>
          <w:szCs w:val="22"/>
        </w:rPr>
        <w:t>2025</w:t>
      </w:r>
      <w:r w:rsidRPr="009B461F">
        <w:rPr>
          <w:rFonts w:ascii="Arial" w:hAnsi="Arial" w:cs="Arial"/>
          <w:sz w:val="22"/>
          <w:szCs w:val="22"/>
        </w:rPr>
        <w:t xml:space="preserve">) </w:t>
      </w:r>
      <w:r w:rsidRPr="008813C1">
        <w:rPr>
          <w:rFonts w:ascii="Arial" w:hAnsi="Arial" w:cs="Arial"/>
          <w:i/>
          <w:iCs/>
          <w:sz w:val="22"/>
          <w:szCs w:val="22"/>
        </w:rPr>
        <w:t>Treatment for type 2 diabetes.</w:t>
      </w:r>
      <w:r w:rsidRPr="009B461F">
        <w:rPr>
          <w:rFonts w:ascii="Arial" w:hAnsi="Arial" w:cs="Arial"/>
          <w:sz w:val="22"/>
          <w:szCs w:val="22"/>
        </w:rPr>
        <w:t xml:space="preserve"> Available at: </w:t>
      </w:r>
      <w:hyperlink r:id="rId17" w:history="1">
        <w:r w:rsidRPr="009B461F">
          <w:rPr>
            <w:rStyle w:val="Hyperlink"/>
            <w:rFonts w:ascii="Arial" w:hAnsi="Arial" w:cs="Arial"/>
            <w:sz w:val="22"/>
            <w:szCs w:val="22"/>
          </w:rPr>
          <w:t>https://www.nhs.uk/conditions/type-2-diabetes/treatment/ </w:t>
        </w:r>
      </w:hyperlink>
      <w:r w:rsidRPr="009B461F">
        <w:rPr>
          <w:rFonts w:ascii="Arial" w:hAnsi="Arial" w:cs="Arial"/>
          <w:sz w:val="22"/>
          <w:szCs w:val="22"/>
        </w:rPr>
        <w:t xml:space="preserve"> (Accessed: 18 October 2026).</w:t>
      </w:r>
    </w:p>
    <w:p w14:paraId="0B22DEF3" w14:textId="4DFA0018" w:rsidR="00084697" w:rsidRPr="009B461F" w:rsidRDefault="00084697" w:rsidP="00084697">
      <w:pPr>
        <w:rPr>
          <w:rFonts w:ascii="Arial" w:hAnsi="Arial" w:cs="Arial"/>
          <w:sz w:val="22"/>
          <w:szCs w:val="22"/>
        </w:rPr>
      </w:pPr>
      <w:r w:rsidRPr="009B461F">
        <w:rPr>
          <w:rFonts w:ascii="Arial" w:hAnsi="Arial" w:cs="Arial"/>
          <w:sz w:val="22"/>
          <w:szCs w:val="22"/>
        </w:rPr>
        <w:t>NHS England (</w:t>
      </w:r>
      <w:r w:rsidR="00362FF0" w:rsidRPr="009B461F">
        <w:rPr>
          <w:rFonts w:ascii="Arial" w:hAnsi="Arial" w:cs="Arial"/>
          <w:sz w:val="22"/>
          <w:szCs w:val="22"/>
        </w:rPr>
        <w:t>2023</w:t>
      </w:r>
      <w:r w:rsidRPr="009B461F">
        <w:rPr>
          <w:rFonts w:ascii="Arial" w:hAnsi="Arial" w:cs="Arial"/>
          <w:sz w:val="22"/>
          <w:szCs w:val="22"/>
        </w:rPr>
        <w:t xml:space="preserve">) </w:t>
      </w:r>
      <w:r w:rsidRPr="008813C1">
        <w:rPr>
          <w:rFonts w:ascii="Arial" w:hAnsi="Arial" w:cs="Arial"/>
          <w:i/>
          <w:iCs/>
          <w:sz w:val="22"/>
          <w:szCs w:val="22"/>
        </w:rPr>
        <w:t>NHS Type 2 Diabetes Path to Remission Programme.</w:t>
      </w:r>
      <w:r w:rsidRPr="009B461F">
        <w:rPr>
          <w:rFonts w:ascii="Arial" w:hAnsi="Arial" w:cs="Arial"/>
          <w:sz w:val="22"/>
          <w:szCs w:val="22"/>
        </w:rPr>
        <w:t xml:space="preserve"> Available at: </w:t>
      </w:r>
      <w:hyperlink r:id="rId18" w:history="1">
        <w:r w:rsidRPr="009B461F">
          <w:rPr>
            <w:rStyle w:val="Hyperlink"/>
            <w:rFonts w:ascii="Arial" w:hAnsi="Arial" w:cs="Arial"/>
            <w:sz w:val="22"/>
            <w:szCs w:val="22"/>
          </w:rPr>
          <w:t>https://www.england.nhs.uk/diabetes/treatment-care/diabetes-remission/ </w:t>
        </w:r>
      </w:hyperlink>
      <w:r w:rsidRPr="009B461F">
        <w:rPr>
          <w:rFonts w:ascii="Arial" w:hAnsi="Arial" w:cs="Arial"/>
          <w:sz w:val="22"/>
          <w:szCs w:val="22"/>
        </w:rPr>
        <w:t xml:space="preserve"> (Accessed: 18 October 2026).</w:t>
      </w:r>
    </w:p>
    <w:p w14:paraId="53CFC1A7" w14:textId="1D964933" w:rsidR="00084697" w:rsidRPr="009B461F" w:rsidRDefault="00084697" w:rsidP="00084697">
      <w:pPr>
        <w:rPr>
          <w:rFonts w:ascii="Arial" w:hAnsi="Arial" w:cs="Arial"/>
          <w:sz w:val="22"/>
          <w:szCs w:val="22"/>
        </w:rPr>
      </w:pPr>
      <w:r w:rsidRPr="009B461F">
        <w:rPr>
          <w:rFonts w:ascii="Arial" w:hAnsi="Arial" w:cs="Arial"/>
          <w:sz w:val="22"/>
          <w:szCs w:val="22"/>
        </w:rPr>
        <w:t xml:space="preserve">Nelson, D.L. and Cox, M.M. (2021) </w:t>
      </w:r>
      <w:proofErr w:type="spellStart"/>
      <w:r w:rsidRPr="008813C1">
        <w:rPr>
          <w:rFonts w:ascii="Arial" w:hAnsi="Arial" w:cs="Arial"/>
          <w:i/>
          <w:iCs/>
          <w:sz w:val="22"/>
          <w:szCs w:val="22"/>
        </w:rPr>
        <w:t>Lehninger</w:t>
      </w:r>
      <w:proofErr w:type="spellEnd"/>
      <w:r w:rsidRPr="008813C1">
        <w:rPr>
          <w:rFonts w:ascii="Arial" w:hAnsi="Arial" w:cs="Arial"/>
          <w:i/>
          <w:iCs/>
          <w:sz w:val="22"/>
          <w:szCs w:val="22"/>
        </w:rPr>
        <w:t xml:space="preserve"> Principles of Biochemistry</w:t>
      </w:r>
      <w:r w:rsidRPr="009B461F">
        <w:rPr>
          <w:rFonts w:ascii="Arial" w:hAnsi="Arial" w:cs="Arial"/>
          <w:sz w:val="22"/>
          <w:szCs w:val="22"/>
        </w:rPr>
        <w:t xml:space="preserve">. 8th </w:t>
      </w:r>
      <w:proofErr w:type="spellStart"/>
      <w:r w:rsidRPr="009B461F">
        <w:rPr>
          <w:rFonts w:ascii="Arial" w:hAnsi="Arial" w:cs="Arial"/>
          <w:sz w:val="22"/>
          <w:szCs w:val="22"/>
        </w:rPr>
        <w:t>edn</w:t>
      </w:r>
      <w:proofErr w:type="spellEnd"/>
      <w:r w:rsidRPr="009B461F">
        <w:rPr>
          <w:rFonts w:ascii="Arial" w:hAnsi="Arial" w:cs="Arial"/>
          <w:sz w:val="22"/>
          <w:szCs w:val="22"/>
        </w:rPr>
        <w:t>. New York: W.H. Freeman.</w:t>
      </w:r>
    </w:p>
    <w:p w14:paraId="64451868" w14:textId="4AFC57DD" w:rsidR="00084697" w:rsidRPr="009B461F" w:rsidRDefault="00084697" w:rsidP="00084697">
      <w:pPr>
        <w:rPr>
          <w:rFonts w:ascii="Arial" w:hAnsi="Arial" w:cs="Arial"/>
          <w:sz w:val="22"/>
          <w:szCs w:val="22"/>
        </w:rPr>
      </w:pPr>
      <w:r w:rsidRPr="009B461F">
        <w:rPr>
          <w:rFonts w:ascii="Arial" w:hAnsi="Arial" w:cs="Arial"/>
          <w:sz w:val="22"/>
          <w:szCs w:val="22"/>
        </w:rPr>
        <w:t xml:space="preserve">Public Health England (2018) </w:t>
      </w:r>
      <w:r w:rsidRPr="008813C1">
        <w:rPr>
          <w:rFonts w:ascii="Arial" w:hAnsi="Arial" w:cs="Arial"/>
          <w:i/>
          <w:iCs/>
          <w:sz w:val="22"/>
          <w:szCs w:val="22"/>
        </w:rPr>
        <w:t>Health matters: preventing type 2 diabetes</w:t>
      </w:r>
      <w:r w:rsidRPr="009B461F">
        <w:rPr>
          <w:rFonts w:ascii="Arial" w:hAnsi="Arial" w:cs="Arial"/>
          <w:sz w:val="22"/>
          <w:szCs w:val="22"/>
        </w:rPr>
        <w:t xml:space="preserve">. Available at: </w:t>
      </w:r>
      <w:hyperlink r:id="rId19" w:history="1">
        <w:r w:rsidRPr="009B461F">
          <w:rPr>
            <w:rStyle w:val="Hyperlink"/>
            <w:rFonts w:ascii="Arial" w:hAnsi="Arial" w:cs="Arial"/>
            <w:sz w:val="22"/>
            <w:szCs w:val="22"/>
          </w:rPr>
          <w:t>https://www.gov.uk/government/publications/health-matters-preventing-type-2-diabetes/health-matters-preventing-type-2-diabetes </w:t>
        </w:r>
      </w:hyperlink>
      <w:r w:rsidRPr="009B461F">
        <w:rPr>
          <w:rFonts w:ascii="Arial" w:hAnsi="Arial" w:cs="Arial"/>
          <w:sz w:val="22"/>
          <w:szCs w:val="22"/>
        </w:rPr>
        <w:t xml:space="preserve"> (Accessed: 18 October 2026).</w:t>
      </w:r>
    </w:p>
    <w:p w14:paraId="49C62778" w14:textId="7E5A6C41" w:rsidR="00084697" w:rsidRPr="009B461F" w:rsidRDefault="00084697" w:rsidP="00084697">
      <w:pPr>
        <w:rPr>
          <w:rFonts w:ascii="Arial" w:hAnsi="Arial" w:cs="Arial"/>
          <w:sz w:val="22"/>
          <w:szCs w:val="22"/>
        </w:rPr>
      </w:pPr>
      <w:r w:rsidRPr="009B461F">
        <w:rPr>
          <w:rFonts w:ascii="Arial" w:hAnsi="Arial" w:cs="Arial"/>
          <w:sz w:val="22"/>
          <w:szCs w:val="22"/>
        </w:rPr>
        <w:lastRenderedPageBreak/>
        <w:t xml:space="preserve">Taylor, R. et al. (2018) ‘Remission of human type 2 diabetes requires decrease in liver and pancreas fat content but is dependent upon capacity for β cell recovery’, </w:t>
      </w:r>
      <w:r w:rsidRPr="00E53555">
        <w:rPr>
          <w:rFonts w:ascii="Arial" w:hAnsi="Arial" w:cs="Arial"/>
          <w:i/>
          <w:iCs/>
          <w:sz w:val="22"/>
          <w:szCs w:val="22"/>
        </w:rPr>
        <w:t>Cell Metabolism, 28(4),</w:t>
      </w:r>
      <w:r w:rsidRPr="009B461F">
        <w:rPr>
          <w:rFonts w:ascii="Arial" w:hAnsi="Arial" w:cs="Arial"/>
          <w:sz w:val="22"/>
          <w:szCs w:val="22"/>
        </w:rPr>
        <w:t xml:space="preserve"> pp. 547–556.e3. Available at: </w:t>
      </w:r>
      <w:hyperlink r:id="rId20" w:history="1">
        <w:r w:rsidRPr="009B461F">
          <w:rPr>
            <w:rStyle w:val="Hyperlink"/>
            <w:rFonts w:ascii="Arial" w:hAnsi="Arial" w:cs="Arial"/>
            <w:sz w:val="22"/>
            <w:szCs w:val="22"/>
          </w:rPr>
          <w:t>https://doi.org/10.1016/j.cmet.2018.07.003 </w:t>
        </w:r>
      </w:hyperlink>
    </w:p>
    <w:p w14:paraId="51E510B1" w14:textId="54D02655" w:rsidR="00084697" w:rsidRPr="009B461F" w:rsidRDefault="00084697" w:rsidP="00084697">
      <w:pPr>
        <w:rPr>
          <w:rFonts w:ascii="Arial" w:hAnsi="Arial" w:cs="Arial"/>
          <w:sz w:val="22"/>
          <w:szCs w:val="22"/>
        </w:rPr>
      </w:pPr>
      <w:r w:rsidRPr="009B461F">
        <w:rPr>
          <w:rFonts w:ascii="Arial" w:hAnsi="Arial" w:cs="Arial"/>
          <w:sz w:val="22"/>
          <w:szCs w:val="22"/>
        </w:rPr>
        <w:t xml:space="preserve">The Look AHEAD Research Group (2013) ‘Cardiovascular effects of intensive lifestyle intervention in type 2 diabetes’, </w:t>
      </w:r>
      <w:r w:rsidRPr="008B124C">
        <w:rPr>
          <w:rFonts w:ascii="Arial" w:hAnsi="Arial" w:cs="Arial"/>
          <w:i/>
          <w:iCs/>
          <w:sz w:val="22"/>
          <w:szCs w:val="22"/>
        </w:rPr>
        <w:t>New England Journal of Medicine</w:t>
      </w:r>
      <w:r w:rsidRPr="009B461F">
        <w:rPr>
          <w:rFonts w:ascii="Arial" w:hAnsi="Arial" w:cs="Arial"/>
          <w:sz w:val="22"/>
          <w:szCs w:val="22"/>
        </w:rPr>
        <w:t xml:space="preserve">, 369(2), pp. 145–154. Available at: </w:t>
      </w:r>
      <w:hyperlink r:id="rId21" w:history="1">
        <w:r w:rsidRPr="009B461F">
          <w:rPr>
            <w:rStyle w:val="Hyperlink"/>
            <w:rFonts w:ascii="Arial" w:hAnsi="Arial" w:cs="Arial"/>
            <w:sz w:val="22"/>
            <w:szCs w:val="22"/>
          </w:rPr>
          <w:t>https://doi.org/10.1056/NEJMoa1212914 </w:t>
        </w:r>
      </w:hyperlink>
    </w:p>
    <w:sectPr w:rsidR="00084697" w:rsidRPr="009B461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518C2" w14:textId="77777777" w:rsidR="00D3522B" w:rsidRDefault="00D3522B" w:rsidP="009B461F">
      <w:pPr>
        <w:spacing w:after="0" w:line="240" w:lineRule="auto"/>
      </w:pPr>
      <w:r>
        <w:separator/>
      </w:r>
    </w:p>
  </w:endnote>
  <w:endnote w:type="continuationSeparator" w:id="0">
    <w:p w14:paraId="23340BA1" w14:textId="77777777" w:rsidR="00D3522B" w:rsidRDefault="00D3522B" w:rsidP="009B4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250151"/>
      <w:docPartObj>
        <w:docPartGallery w:val="Page Numbers (Bottom of Page)"/>
        <w:docPartUnique/>
      </w:docPartObj>
    </w:sdtPr>
    <w:sdtContent>
      <w:p w14:paraId="4F03ECB7" w14:textId="75AB5E41" w:rsidR="009B461F" w:rsidRDefault="009B461F">
        <w:pPr>
          <w:pStyle w:val="Footer"/>
          <w:jc w:val="right"/>
        </w:pPr>
        <w:r>
          <w:fldChar w:fldCharType="begin"/>
        </w:r>
        <w:r>
          <w:instrText>PAGE   \* MERGEFORMAT</w:instrText>
        </w:r>
        <w:r>
          <w:fldChar w:fldCharType="separate"/>
        </w:r>
        <w:r>
          <w:t>2</w:t>
        </w:r>
        <w:r>
          <w:fldChar w:fldCharType="end"/>
        </w:r>
      </w:p>
    </w:sdtContent>
  </w:sdt>
  <w:p w14:paraId="1D518FA4" w14:textId="77777777" w:rsidR="009B461F" w:rsidRDefault="009B4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8E3DD" w14:textId="77777777" w:rsidR="00D3522B" w:rsidRDefault="00D3522B" w:rsidP="009B461F">
      <w:pPr>
        <w:spacing w:after="0" w:line="240" w:lineRule="auto"/>
      </w:pPr>
      <w:r>
        <w:separator/>
      </w:r>
    </w:p>
  </w:footnote>
  <w:footnote w:type="continuationSeparator" w:id="0">
    <w:p w14:paraId="446C9217" w14:textId="77777777" w:rsidR="00D3522B" w:rsidRDefault="00D3522B" w:rsidP="009B4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5D7DCA"/>
    <w:multiLevelType w:val="multilevel"/>
    <w:tmpl w:val="00F2B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5840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408"/>
    <w:rsid w:val="00084697"/>
    <w:rsid w:val="00092F17"/>
    <w:rsid w:val="000C09B4"/>
    <w:rsid w:val="00146351"/>
    <w:rsid w:val="001D6BE3"/>
    <w:rsid w:val="0021285C"/>
    <w:rsid w:val="00222471"/>
    <w:rsid w:val="0022531F"/>
    <w:rsid w:val="00244E90"/>
    <w:rsid w:val="00256B1D"/>
    <w:rsid w:val="002A2CC4"/>
    <w:rsid w:val="002B0A57"/>
    <w:rsid w:val="002E16AC"/>
    <w:rsid w:val="0032522C"/>
    <w:rsid w:val="00362FF0"/>
    <w:rsid w:val="00483B89"/>
    <w:rsid w:val="00486506"/>
    <w:rsid w:val="005B2C2E"/>
    <w:rsid w:val="005E2151"/>
    <w:rsid w:val="006136B4"/>
    <w:rsid w:val="00671A12"/>
    <w:rsid w:val="0067496D"/>
    <w:rsid w:val="006C6AC8"/>
    <w:rsid w:val="00732C49"/>
    <w:rsid w:val="007A51AC"/>
    <w:rsid w:val="007E2E51"/>
    <w:rsid w:val="00870261"/>
    <w:rsid w:val="0087718F"/>
    <w:rsid w:val="008813C1"/>
    <w:rsid w:val="008B124C"/>
    <w:rsid w:val="00922C1A"/>
    <w:rsid w:val="009248B5"/>
    <w:rsid w:val="009708E6"/>
    <w:rsid w:val="009B10E7"/>
    <w:rsid w:val="009B461F"/>
    <w:rsid w:val="009F330D"/>
    <w:rsid w:val="00A81408"/>
    <w:rsid w:val="00B53F4E"/>
    <w:rsid w:val="00B67FF9"/>
    <w:rsid w:val="00C15E91"/>
    <w:rsid w:val="00C6541D"/>
    <w:rsid w:val="00CA0329"/>
    <w:rsid w:val="00D3522B"/>
    <w:rsid w:val="00DA4D52"/>
    <w:rsid w:val="00E1445D"/>
    <w:rsid w:val="00E37F5C"/>
    <w:rsid w:val="00E50A06"/>
    <w:rsid w:val="00E53555"/>
    <w:rsid w:val="00E607D2"/>
    <w:rsid w:val="00E705DB"/>
    <w:rsid w:val="00EA0DCD"/>
    <w:rsid w:val="00EE247F"/>
    <w:rsid w:val="00EF5C10"/>
    <w:rsid w:val="00F81A0D"/>
    <w:rsid w:val="00FE2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79523"/>
  <w15:chartTrackingRefBased/>
  <w15:docId w15:val="{F9661784-1E52-48DD-B9A4-01A54ED00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4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4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4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4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4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4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4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4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4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4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4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4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4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408"/>
    <w:rPr>
      <w:rFonts w:eastAsiaTheme="majorEastAsia" w:cstheme="majorBidi"/>
      <w:color w:val="272727" w:themeColor="text1" w:themeTint="D8"/>
    </w:rPr>
  </w:style>
  <w:style w:type="paragraph" w:styleId="Title">
    <w:name w:val="Title"/>
    <w:basedOn w:val="Normal"/>
    <w:next w:val="Normal"/>
    <w:link w:val="TitleChar"/>
    <w:uiPriority w:val="10"/>
    <w:qFormat/>
    <w:rsid w:val="00A81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4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4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4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408"/>
    <w:pPr>
      <w:spacing w:before="160"/>
      <w:jc w:val="center"/>
    </w:pPr>
    <w:rPr>
      <w:i/>
      <w:iCs/>
      <w:color w:val="404040" w:themeColor="text1" w:themeTint="BF"/>
    </w:rPr>
  </w:style>
  <w:style w:type="character" w:customStyle="1" w:styleId="QuoteChar">
    <w:name w:val="Quote Char"/>
    <w:basedOn w:val="DefaultParagraphFont"/>
    <w:link w:val="Quote"/>
    <w:uiPriority w:val="29"/>
    <w:rsid w:val="00A81408"/>
    <w:rPr>
      <w:i/>
      <w:iCs/>
      <w:color w:val="404040" w:themeColor="text1" w:themeTint="BF"/>
    </w:rPr>
  </w:style>
  <w:style w:type="paragraph" w:styleId="ListParagraph">
    <w:name w:val="List Paragraph"/>
    <w:basedOn w:val="Normal"/>
    <w:uiPriority w:val="34"/>
    <w:qFormat/>
    <w:rsid w:val="00A81408"/>
    <w:pPr>
      <w:ind w:left="720"/>
      <w:contextualSpacing/>
    </w:pPr>
  </w:style>
  <w:style w:type="character" w:styleId="IntenseEmphasis">
    <w:name w:val="Intense Emphasis"/>
    <w:basedOn w:val="DefaultParagraphFont"/>
    <w:uiPriority w:val="21"/>
    <w:qFormat/>
    <w:rsid w:val="00A81408"/>
    <w:rPr>
      <w:i/>
      <w:iCs/>
      <w:color w:val="0F4761" w:themeColor="accent1" w:themeShade="BF"/>
    </w:rPr>
  </w:style>
  <w:style w:type="paragraph" w:styleId="IntenseQuote">
    <w:name w:val="Intense Quote"/>
    <w:basedOn w:val="Normal"/>
    <w:next w:val="Normal"/>
    <w:link w:val="IntenseQuoteChar"/>
    <w:uiPriority w:val="30"/>
    <w:qFormat/>
    <w:rsid w:val="00A814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408"/>
    <w:rPr>
      <w:i/>
      <w:iCs/>
      <w:color w:val="0F4761" w:themeColor="accent1" w:themeShade="BF"/>
    </w:rPr>
  </w:style>
  <w:style w:type="character" w:styleId="IntenseReference">
    <w:name w:val="Intense Reference"/>
    <w:basedOn w:val="DefaultParagraphFont"/>
    <w:uiPriority w:val="32"/>
    <w:qFormat/>
    <w:rsid w:val="00A81408"/>
    <w:rPr>
      <w:b/>
      <w:bCs/>
      <w:smallCaps/>
      <w:color w:val="0F4761" w:themeColor="accent1" w:themeShade="BF"/>
      <w:spacing w:val="5"/>
    </w:rPr>
  </w:style>
  <w:style w:type="character" w:styleId="Hyperlink">
    <w:name w:val="Hyperlink"/>
    <w:basedOn w:val="DefaultParagraphFont"/>
    <w:uiPriority w:val="99"/>
    <w:unhideWhenUsed/>
    <w:rsid w:val="00084697"/>
    <w:rPr>
      <w:color w:val="467886" w:themeColor="hyperlink"/>
      <w:u w:val="single"/>
    </w:rPr>
  </w:style>
  <w:style w:type="character" w:styleId="UnresolvedMention">
    <w:name w:val="Unresolved Mention"/>
    <w:basedOn w:val="DefaultParagraphFont"/>
    <w:uiPriority w:val="99"/>
    <w:semiHidden/>
    <w:unhideWhenUsed/>
    <w:rsid w:val="00084697"/>
    <w:rPr>
      <w:color w:val="605E5C"/>
      <w:shd w:val="clear" w:color="auto" w:fill="E1DFDD"/>
    </w:rPr>
  </w:style>
  <w:style w:type="character" w:styleId="FollowedHyperlink">
    <w:name w:val="FollowedHyperlink"/>
    <w:basedOn w:val="DefaultParagraphFont"/>
    <w:uiPriority w:val="99"/>
    <w:semiHidden/>
    <w:unhideWhenUsed/>
    <w:rsid w:val="0087718F"/>
    <w:rPr>
      <w:color w:val="96607D" w:themeColor="followedHyperlink"/>
      <w:u w:val="single"/>
    </w:rPr>
  </w:style>
  <w:style w:type="paragraph" w:styleId="Header">
    <w:name w:val="header"/>
    <w:basedOn w:val="Normal"/>
    <w:link w:val="HeaderChar"/>
    <w:uiPriority w:val="99"/>
    <w:unhideWhenUsed/>
    <w:rsid w:val="009B4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61F"/>
  </w:style>
  <w:style w:type="paragraph" w:styleId="Footer">
    <w:name w:val="footer"/>
    <w:basedOn w:val="Normal"/>
    <w:link w:val="FooterChar"/>
    <w:uiPriority w:val="99"/>
    <w:unhideWhenUsed/>
    <w:rsid w:val="009B4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61F"/>
  </w:style>
  <w:style w:type="paragraph" w:styleId="TOCHeading">
    <w:name w:val="TOC Heading"/>
    <w:basedOn w:val="Heading1"/>
    <w:next w:val="Normal"/>
    <w:uiPriority w:val="39"/>
    <w:unhideWhenUsed/>
    <w:qFormat/>
    <w:rsid w:val="00F81A0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81A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16-1728?utm_source=chatgpt.com" TargetMode="External"/><Relationship Id="rId13" Type="http://schemas.openxmlformats.org/officeDocument/2006/relationships/hyperlink" Target="https://www.nice.org.uk/guidance/ng28" TargetMode="External"/><Relationship Id="rId18" Type="http://schemas.openxmlformats.org/officeDocument/2006/relationships/hyperlink" Target="https://www.england.nhs.uk/diabetes/treatment-care/diabetes-remission/?utm_source=chatgpt.com" TargetMode="External"/><Relationship Id="rId3" Type="http://schemas.openxmlformats.org/officeDocument/2006/relationships/settings" Target="settings.xml"/><Relationship Id="rId21" Type="http://schemas.openxmlformats.org/officeDocument/2006/relationships/hyperlink" Target="https://doi.org/10.1056/NEJMoa1212914?utm_source=chatgpt.com" TargetMode="External"/><Relationship Id="rId7" Type="http://schemas.openxmlformats.org/officeDocument/2006/relationships/image" Target="media/image1.png"/><Relationship Id="rId12" Type="http://schemas.openxmlformats.org/officeDocument/2006/relationships/hyperlink" Target="https://doi.org/10.1016/S0140-6736(17)33102-1?utm_source=chatgpt.com" TargetMode="External"/><Relationship Id="rId17" Type="http://schemas.openxmlformats.org/officeDocument/2006/relationships/hyperlink" Target="https://www.nhs.uk/conditions/type-2-diabetes/treatment/?utm_source=chatgpt.com" TargetMode="External"/><Relationship Id="rId2" Type="http://schemas.openxmlformats.org/officeDocument/2006/relationships/styles" Target="styles.xml"/><Relationship Id="rId16" Type="http://schemas.openxmlformats.org/officeDocument/2006/relationships/hyperlink" Target="https://www.nhs.uk/live-well/exercise/physical-activity-guidelines-for-adults-aged-19-to-64/?utm_source=chatgpt.com" TargetMode="External"/><Relationship Id="rId20" Type="http://schemas.openxmlformats.org/officeDocument/2006/relationships/hyperlink" Target="https://doi.org/10.1016/j.cmet.2018.07.003?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living-with-diabetes/eating/what-is-a-healthy-balanced-diet?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hs.uk/conditions/type-2-diabetes/?utm_source=chatgpt.com" TargetMode="External"/><Relationship Id="rId23" Type="http://schemas.openxmlformats.org/officeDocument/2006/relationships/fontTable" Target="fontTable.xml"/><Relationship Id="rId10" Type="http://schemas.openxmlformats.org/officeDocument/2006/relationships/hyperlink" Target="https://www.diabetes.org.uk/about-us/about-the-charity/our-strategy/statistics?utm_source=chatgpt.com" TargetMode="External"/><Relationship Id="rId19" Type="http://schemas.openxmlformats.org/officeDocument/2006/relationships/hyperlink" Target="https://www.gov.uk/government/publications/health-matters-preventing-type-2-diabetes/health-matters-preventing-type-2-diabetes?utm_source=chatgpt.com" TargetMode="External"/><Relationship Id="rId4" Type="http://schemas.openxmlformats.org/officeDocument/2006/relationships/webSettings" Target="webSettings.xml"/><Relationship Id="rId9" Type="http://schemas.openxmlformats.org/officeDocument/2006/relationships/hyperlink" Target="https://www.diabetes.org.uk/living-with-diabetes/eating/i-have-type-2-diabetes?utm_source=chatgpt.com" TargetMode="External"/><Relationship Id="rId14" Type="http://schemas.openxmlformats.org/officeDocument/2006/relationships/hyperlink" Target="https://www.nice.org.uk/guidance/ng28/chapter/person-centred-medicin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404</TotalTime>
  <Pages>9</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34</cp:revision>
  <dcterms:created xsi:type="dcterms:W3CDTF">2026-10-18T13:43:00Z</dcterms:created>
  <dcterms:modified xsi:type="dcterms:W3CDTF">2026-10-25T20:56:00Z</dcterms:modified>
</cp:coreProperties>
</file>