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92E6AC7">
      <w:pPr>
        <w:jc w:val="center"/>
        <w:rPr>
          <w:b/>
          <w:bCs/>
          <w:sz w:val="32"/>
          <w:szCs w:val="32"/>
        </w:rPr>
      </w:pPr>
      <w:r>
        <w:rPr>
          <w:b/>
          <w:bCs/>
          <w:sz w:val="32"/>
          <w:szCs w:val="32"/>
          <w:lang w:eastAsia="en-GB"/>
        </w:rPr>
        <w:drawing>
          <wp:inline distT="0" distB="0" distL="0" distR="0">
            <wp:extent cx="2120900" cy="863600"/>
            <wp:effectExtent l="0" t="0" r="0" b="0"/>
            <wp:docPr id="2144647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647534" name="Picture 1"/>
                    <pic:cNvPicPr>
                      <a:picLocks noChangeAspect="1"/>
                    </pic:cNvPicPr>
                  </pic:nvPicPr>
                  <pic:blipFill>
                    <a:blip r:embed="rId7"/>
                    <a:stretch>
                      <a:fillRect/>
                    </a:stretch>
                  </pic:blipFill>
                  <pic:spPr>
                    <a:xfrm>
                      <a:off x="0" y="0"/>
                      <a:ext cx="2121009" cy="863644"/>
                    </a:xfrm>
                    <a:prstGeom prst="rect">
                      <a:avLst/>
                    </a:prstGeom>
                  </pic:spPr>
                </pic:pic>
              </a:graphicData>
            </a:graphic>
          </wp:inline>
        </w:drawing>
      </w:r>
    </w:p>
    <w:p w14:paraId="392E6AC8">
      <w:pPr>
        <w:jc w:val="center"/>
        <w:rPr>
          <w:sz w:val="32"/>
          <w:szCs w:val="32"/>
        </w:rPr>
      </w:pPr>
      <w:r>
        <w:rPr>
          <w:b/>
          <w:bCs/>
          <w:sz w:val="32"/>
          <w:szCs w:val="32"/>
        </w:rPr>
        <w:t>PROGRAMME: MSC PUBLIC HEALTH AND SOCIAL CARE IN PRACTICE</w:t>
      </w:r>
    </w:p>
    <w:p w14:paraId="392E6AC9">
      <w:pPr>
        <w:jc w:val="center"/>
        <w:rPr>
          <w:sz w:val="32"/>
          <w:szCs w:val="32"/>
        </w:rPr>
      </w:pPr>
      <w:r>
        <w:rPr>
          <w:b/>
          <w:bCs/>
          <w:sz w:val="32"/>
          <w:szCs w:val="32"/>
        </w:rPr>
        <w:t>MODULE: HEALTH CARE SYSTEM ORGANISATION AND LEADERSHIP</w:t>
      </w:r>
    </w:p>
    <w:p w14:paraId="392E6ACA">
      <w:pPr>
        <w:jc w:val="center"/>
        <w:rPr>
          <w:b/>
          <w:bCs/>
          <w:sz w:val="32"/>
          <w:szCs w:val="32"/>
        </w:rPr>
      </w:pPr>
      <w:r>
        <w:rPr>
          <w:b/>
          <w:bCs/>
          <w:sz w:val="32"/>
          <w:szCs w:val="32"/>
        </w:rPr>
        <w:t>MODULE CODE: LCHS7002</w:t>
      </w:r>
    </w:p>
    <w:p w14:paraId="04FBC066">
      <w:pPr>
        <w:jc w:val="center"/>
        <w:rPr>
          <w:rFonts w:hint="default"/>
          <w:sz w:val="32"/>
          <w:szCs w:val="32"/>
          <w:lang w:val="en-IN"/>
        </w:rPr>
      </w:pPr>
      <w:r>
        <w:rPr>
          <w:b/>
          <w:bCs/>
          <w:sz w:val="32"/>
          <w:szCs w:val="32"/>
        </w:rPr>
        <w:t>LECTURER NAME:</w:t>
      </w:r>
      <w:r>
        <w:rPr>
          <w:rFonts w:hint="default"/>
          <w:b/>
          <w:bCs/>
          <w:sz w:val="32"/>
          <w:szCs w:val="32"/>
          <w:lang w:val="en-IN"/>
        </w:rPr>
        <w:t xml:space="preserve"> Dr Pascal Navelle</w:t>
      </w:r>
    </w:p>
    <w:p w14:paraId="392E6ACB">
      <w:pPr>
        <w:jc w:val="center"/>
        <w:rPr>
          <w:sz w:val="32"/>
          <w:szCs w:val="32"/>
        </w:rPr>
      </w:pPr>
      <w:r>
        <w:rPr>
          <w:b/>
          <w:bCs/>
          <w:sz w:val="32"/>
          <w:szCs w:val="32"/>
        </w:rPr>
        <w:t>LECTURER: INTERNAL VERIFIER: DR HAMDI HUSSAIN</w:t>
      </w:r>
    </w:p>
    <w:p w14:paraId="392E6ACC">
      <w:pPr>
        <w:jc w:val="center"/>
        <w:rPr>
          <w:b/>
          <w:bCs/>
          <w:sz w:val="32"/>
          <w:szCs w:val="32"/>
        </w:rPr>
      </w:pPr>
      <w:r>
        <w:rPr>
          <w:b/>
          <w:bCs/>
          <w:sz w:val="32"/>
          <w:szCs w:val="32"/>
        </w:rPr>
        <w:t>ASSIGNMENT TITLE: CASE STUDY ANALYSIS REPORT</w:t>
      </w:r>
    </w:p>
    <w:p w14:paraId="392E6ACD">
      <w:pPr>
        <w:jc w:val="center"/>
        <w:rPr>
          <w:sz w:val="32"/>
          <w:szCs w:val="32"/>
        </w:rPr>
      </w:pPr>
      <w:r>
        <w:rPr>
          <w:b/>
          <w:bCs/>
          <w:sz w:val="32"/>
          <w:szCs w:val="32"/>
        </w:rPr>
        <w:t>CASE STUDY 2</w:t>
      </w:r>
    </w:p>
    <w:p w14:paraId="392E6ACE">
      <w:pPr>
        <w:jc w:val="center"/>
        <w:rPr>
          <w:rFonts w:hint="default"/>
          <w:sz w:val="32"/>
          <w:szCs w:val="32"/>
          <w:lang w:val="en-IN"/>
        </w:rPr>
      </w:pPr>
      <w:r>
        <w:rPr>
          <w:b/>
          <w:bCs/>
          <w:sz w:val="32"/>
          <w:szCs w:val="32"/>
        </w:rPr>
        <w:t>STUDENT NAME:</w:t>
      </w:r>
      <w:r>
        <w:rPr>
          <w:rFonts w:hint="default"/>
          <w:b/>
          <w:bCs/>
          <w:sz w:val="32"/>
          <w:szCs w:val="32"/>
          <w:lang w:val="en-IN"/>
        </w:rPr>
        <w:t xml:space="preserve"> Rajput kajalsingh Rajendra</w:t>
      </w:r>
    </w:p>
    <w:p w14:paraId="392E6ACF">
      <w:pPr>
        <w:jc w:val="center"/>
        <w:rPr>
          <w:rFonts w:hint="default"/>
          <w:b/>
          <w:bCs/>
          <w:sz w:val="24"/>
          <w:szCs w:val="24"/>
          <w:lang w:val="en-IN"/>
        </w:rPr>
      </w:pPr>
      <w:r>
        <w:rPr>
          <w:b/>
          <w:bCs/>
          <w:sz w:val="32"/>
          <w:szCs w:val="32"/>
        </w:rPr>
        <w:t>STUDENT ID NUMBER:</w:t>
      </w:r>
      <w:r>
        <w:rPr>
          <w:rFonts w:hint="default"/>
          <w:b/>
          <w:bCs/>
          <w:sz w:val="32"/>
          <w:szCs w:val="32"/>
          <w:lang w:val="en-IN"/>
        </w:rPr>
        <w:t xml:space="preserve"> 2534452 </w:t>
      </w:r>
      <w:bookmarkStart w:id="28" w:name="_GoBack"/>
      <w:bookmarkEnd w:id="28"/>
    </w:p>
    <w:p w14:paraId="392E6AD0">
      <w:pPr>
        <w:spacing w:line="259" w:lineRule="auto"/>
        <w:jc w:val="left"/>
        <w:rPr>
          <w:b/>
          <w:bCs/>
          <w:sz w:val="24"/>
          <w:szCs w:val="24"/>
        </w:rPr>
      </w:pPr>
      <w:r>
        <w:rPr>
          <w:b/>
          <w:bCs/>
          <w:sz w:val="24"/>
          <w:szCs w:val="24"/>
        </w:rPr>
        <w:br w:type="page"/>
      </w:r>
    </w:p>
    <w:p w14:paraId="392E6AD1">
      <w:pPr>
        <w:jc w:val="center"/>
        <w:rPr>
          <w:b/>
        </w:rPr>
      </w:pPr>
      <w:r>
        <w:rPr>
          <w:b/>
        </w:rPr>
        <w:t>Executive Summary</w:t>
      </w:r>
    </w:p>
    <w:p w14:paraId="392E6AD2">
      <w:pPr>
        <w:rPr>
          <w:rFonts w:cs="Arial"/>
        </w:rPr>
      </w:pPr>
      <w:r>
        <w:t xml:space="preserve">The case study analysis report has highlighted the benefits of system factors and leadership role in managing the issues of emergency medical care to the patient X case. </w:t>
      </w:r>
      <w:r>
        <w:rPr>
          <w:rFonts w:cs="Arial"/>
        </w:rPr>
        <w:t xml:space="preserve">The medication administration delay and errors have been found to be the key central issues and problems that led to the fatal stroke of Patient X in the given case study. The statistics on the national, local and global levels have been gathered and analysed. This has reflected that poor medication administration is linked with inefficient resource allocation, staff shortage, along with ineffective leadership for team coordination. </w:t>
      </w:r>
      <w:r>
        <w:t>A multidisciplinary team can provide benefits for proper collaboration and interaction to the case. Additionally, the inefficient interaction between leadership decisions and governance structure led to the outcome of Patient X's death. In order to address the identified issues, the trust is recommended to name clear leadership accountability and use system-level safeguards to prevent future harm.</w:t>
      </w:r>
    </w:p>
    <w:p w14:paraId="392E6AD3">
      <w:pPr>
        <w:spacing w:line="259" w:lineRule="auto"/>
        <w:jc w:val="left"/>
        <w:rPr>
          <w:sz w:val="32"/>
          <w:szCs w:val="32"/>
        </w:rPr>
      </w:pPr>
      <w:r>
        <w:rPr>
          <w:sz w:val="32"/>
          <w:szCs w:val="32"/>
        </w:rPr>
        <w:br w:type="page"/>
      </w:r>
    </w:p>
    <w:sdt>
      <w:sdtPr>
        <w:rPr>
          <w:rFonts w:ascii="Times New Roman" w:hAnsi="Times New Roman" w:eastAsiaTheme="minorHAnsi" w:cstheme="minorBidi"/>
          <w:color w:val="000000" w:themeColor="text1"/>
          <w:kern w:val="2"/>
          <w:sz w:val="22"/>
          <w:szCs w:val="22"/>
          <w:lang w:val="en-GB"/>
        </w:rPr>
        <w:id w:val="154036596"/>
        <w:docPartObj>
          <w:docPartGallery w:val="Table of Contents"/>
          <w:docPartUnique/>
        </w:docPartObj>
      </w:sdtPr>
      <w:sdtEndPr>
        <w:rPr>
          <w:rFonts w:ascii="Arial" w:hAnsi="Arial" w:eastAsiaTheme="minorHAnsi" w:cstheme="minorBidi"/>
          <w:b/>
          <w:bCs/>
          <w:color w:val="auto"/>
          <w:kern w:val="2"/>
          <w:sz w:val="22"/>
          <w:szCs w:val="22"/>
          <w:lang w:val="en-GB"/>
        </w:rPr>
      </w:sdtEndPr>
      <w:sdtContent>
        <w:p w14:paraId="392E6AD4">
          <w:pPr>
            <w:pStyle w:val="45"/>
            <w:spacing w:line="360" w:lineRule="auto"/>
            <w:jc w:val="center"/>
            <w:rPr>
              <w:rFonts w:ascii="Times New Roman" w:hAnsi="Times New Roman" w:cs="Times New Roman"/>
              <w:color w:val="000000" w:themeColor="text1"/>
              <w:sz w:val="22"/>
              <w:szCs w:val="22"/>
              <w:lang w:val="en-GB"/>
            </w:rPr>
          </w:pPr>
          <w:r>
            <w:rPr>
              <w:rFonts w:ascii="Arial" w:hAnsi="Arial" w:cs="Arial"/>
              <w:b/>
              <w:color w:val="000000" w:themeColor="text1"/>
              <w:sz w:val="22"/>
              <w:szCs w:val="22"/>
              <w:lang w:val="en-GB"/>
            </w:rPr>
            <w:t>Table of Contents</w:t>
          </w:r>
        </w:p>
        <w:p w14:paraId="0FA25192">
          <w:pPr>
            <w:pStyle w:val="20"/>
            <w:tabs>
              <w:tab w:val="right" w:leader="dot" w:pos="9016"/>
            </w:tabs>
            <w:spacing w:after="0"/>
            <w:rPr>
              <w:rFonts w:asciiTheme="minorHAnsi" w:hAnsiTheme="minorHAnsi" w:eastAsiaTheme="minorEastAsia"/>
              <w:sz w:val="24"/>
              <w:szCs w:val="24"/>
              <w:lang w:val="en-IN" w:eastAsia="en-IN"/>
              <w14:ligatures w14:val="standardContextual"/>
            </w:rPr>
          </w:pPr>
          <w:r>
            <w:rPr>
              <w:color w:val="000000" w:themeColor="text1"/>
            </w:rPr>
            <w:fldChar w:fldCharType="begin"/>
          </w:r>
          <w:r>
            <w:rPr>
              <w:color w:val="000000" w:themeColor="text1"/>
            </w:rPr>
            <w:instrText xml:space="preserve"> TOC \o "1-3" \h \z \u </w:instrText>
          </w:r>
          <w:r>
            <w:rPr>
              <w:color w:val="000000" w:themeColor="text1"/>
            </w:rPr>
            <w:fldChar w:fldCharType="separate"/>
          </w:r>
          <w:r>
            <w:fldChar w:fldCharType="begin"/>
          </w:r>
          <w:r>
            <w:instrText xml:space="preserve"> HYPERLINK \l "_Toc235890760" </w:instrText>
          </w:r>
          <w:r>
            <w:fldChar w:fldCharType="separate"/>
          </w:r>
          <w:r>
            <w:rPr>
              <w:rStyle w:val="16"/>
              <w:rFonts w:cs="Arial"/>
            </w:rPr>
            <w:t>Introduction</w:t>
          </w:r>
          <w:r>
            <w:tab/>
          </w:r>
          <w:r>
            <w:fldChar w:fldCharType="begin"/>
          </w:r>
          <w:r>
            <w:instrText xml:space="preserve"> PAGEREF _Toc235890760 \h </w:instrText>
          </w:r>
          <w:r>
            <w:fldChar w:fldCharType="separate"/>
          </w:r>
          <w:r>
            <w:t>4</w:t>
          </w:r>
          <w:r>
            <w:fldChar w:fldCharType="end"/>
          </w:r>
          <w:r>
            <w:fldChar w:fldCharType="end"/>
          </w:r>
        </w:p>
        <w:p w14:paraId="611FF8E5">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"_Toc235890761" </w:instrText>
          </w:r>
          <w:r>
            <w:fldChar w:fldCharType="separate"/>
          </w:r>
          <w:r>
            <w:rPr>
              <w:rStyle w:val="16"/>
              <w:rFonts w:cs="Arial"/>
            </w:rPr>
            <w:t>Background and purpose of the case study</w:t>
          </w:r>
          <w:r>
            <w:tab/>
          </w:r>
          <w:r>
            <w:fldChar w:fldCharType="begin"/>
          </w:r>
          <w:r>
            <w:instrText xml:space="preserve"> PAGEREF _Toc235890761 \h </w:instrText>
          </w:r>
          <w:r>
            <w:fldChar w:fldCharType="separate"/>
          </w:r>
          <w:r>
            <w:t>4</w:t>
          </w:r>
          <w:r>
            <w:fldChar w:fldCharType="end"/>
          </w:r>
          <w:r>
            <w:fldChar w:fldCharType="end"/>
          </w:r>
        </w:p>
        <w:p w14:paraId="229C6580">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"_Toc235890762" </w:instrText>
          </w:r>
          <w:r>
            <w:fldChar w:fldCharType="separate"/>
          </w:r>
          <w:r>
            <w:rPr>
              <w:rStyle w:val="16"/>
              <w:rFonts w:cs="Arial"/>
            </w:rPr>
            <w:t>Explaining leadership in healthcare</w:t>
          </w:r>
          <w:r>
            <w:tab/>
          </w:r>
          <w:r>
            <w:fldChar w:fldCharType="begin"/>
          </w:r>
          <w:r>
            <w:instrText xml:space="preserve"> PAGEREF _Toc235890762 \h </w:instrText>
          </w:r>
          <w:r>
            <w:fldChar w:fldCharType="separate"/>
          </w:r>
          <w:r>
            <w:t>4</w:t>
          </w:r>
          <w:r>
            <w:fldChar w:fldCharType="end"/>
          </w:r>
          <w:r>
            <w:fldChar w:fldCharType="end"/>
          </w:r>
        </w:p>
        <w:p w14:paraId="64EEA016">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"_Toc235890763" </w:instrText>
          </w:r>
          <w:r>
            <w:fldChar w:fldCharType="separate"/>
          </w:r>
          <w:r>
            <w:rPr>
              <w:rStyle w:val="16"/>
              <w:rFonts w:cs="Arial"/>
            </w:rPr>
            <w:t>Describing centralization and decentralization and key leadership theories</w:t>
          </w:r>
          <w:r>
            <w:tab/>
          </w:r>
          <w:r>
            <w:fldChar w:fldCharType="begin"/>
          </w:r>
          <w:r>
            <w:instrText xml:space="preserve"> PAGEREF _Toc235890763 \h </w:instrText>
          </w:r>
          <w:r>
            <w:fldChar w:fldCharType="separate"/>
          </w:r>
          <w:r>
            <w:t>4</w:t>
          </w:r>
          <w:r>
            <w:fldChar w:fldCharType="end"/>
          </w:r>
          <w:r>
            <w:fldChar w:fldCharType="end"/>
          </w:r>
        </w:p>
        <w:p w14:paraId="31805BDD">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"_Toc235890764" </w:instrText>
          </w:r>
          <w:r>
            <w:fldChar w:fldCharType="separate"/>
          </w:r>
          <w:r>
            <w:rPr>
              <w:rStyle w:val="16"/>
              <w:rFonts w:cs="Arial"/>
            </w:rPr>
            <w:t>Importance of Leadership</w:t>
          </w:r>
          <w:r>
            <w:tab/>
          </w:r>
          <w:r>
            <w:fldChar w:fldCharType="begin"/>
          </w:r>
          <w:r>
            <w:instrText xml:space="preserve"> PAGEREF _Toc235890764 \h </w:instrText>
          </w:r>
          <w:r>
            <w:fldChar w:fldCharType="separate"/>
          </w:r>
          <w:r>
            <w:t>4</w:t>
          </w:r>
          <w:r>
            <w:fldChar w:fldCharType="end"/>
          </w:r>
          <w:r>
            <w:fldChar w:fldCharType="end"/>
          </w:r>
        </w:p>
        <w:p w14:paraId="2450E808">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"_Toc235890765" </w:instrText>
          </w:r>
          <w:r>
            <w:fldChar w:fldCharType="separate"/>
          </w:r>
          <w:r>
            <w:rPr>
              <w:rStyle w:val="16"/>
              <w:rFonts w:cs="Arial"/>
            </w:rPr>
            <w:t>Report content</w:t>
          </w:r>
          <w:r>
            <w:tab/>
          </w:r>
          <w:r>
            <w:fldChar w:fldCharType="begin"/>
          </w:r>
          <w:r>
            <w:instrText xml:space="preserve"> PAGEREF _Toc235890765 \h </w:instrText>
          </w:r>
          <w:r>
            <w:fldChar w:fldCharType="separate"/>
          </w:r>
          <w:r>
            <w:t>5</w:t>
          </w:r>
          <w:r>
            <w:fldChar w:fldCharType="end"/>
          </w:r>
          <w:r>
            <w:fldChar w:fldCharType="end"/>
          </w:r>
        </w:p>
        <w:p w14:paraId="4EE23DF7">
          <w:pPr>
            <w:pStyle w:val="20"/>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"_Toc235890766" </w:instrText>
          </w:r>
          <w:r>
            <w:fldChar w:fldCharType="separate"/>
          </w:r>
          <w:r>
            <w:rPr>
              <w:rStyle w:val="16"/>
            </w:rPr>
            <w:t>Main Body</w:t>
          </w:r>
          <w:r>
            <w:tab/>
          </w:r>
          <w:r>
            <w:fldChar w:fldCharType="begin"/>
          </w:r>
          <w:r>
            <w:instrText xml:space="preserve"> PAGEREF _Toc235890766 \h </w:instrText>
          </w:r>
          <w:r>
            <w:fldChar w:fldCharType="separate"/>
          </w:r>
          <w:r>
            <w:t>5</w:t>
          </w:r>
          <w:r>
            <w:fldChar w:fldCharType="end"/>
          </w:r>
          <w:r>
            <w:fldChar w:fldCharType="end"/>
          </w:r>
        </w:p>
        <w:p w14:paraId="58701C5F">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"_Toc235890767" </w:instrText>
          </w:r>
          <w:r>
            <w:fldChar w:fldCharType="separate"/>
          </w:r>
          <w:r>
            <w:rPr>
              <w:rStyle w:val="16"/>
              <w:rFonts w:cs="Arial"/>
            </w:rPr>
            <w:t>a. Identifying the Problem and Setting the System Context- Applying Systems Thinking and the Rich Picture</w:t>
          </w:r>
          <w:r>
            <w:tab/>
          </w:r>
          <w:r>
            <w:fldChar w:fldCharType="begin"/>
          </w:r>
          <w:r>
            <w:instrText xml:space="preserve"> PAGEREF _Toc235890767 \h </w:instrText>
          </w:r>
          <w:r>
            <w:fldChar w:fldCharType="separate"/>
          </w:r>
          <w:r>
            <w:t>5</w:t>
          </w:r>
          <w:r>
            <w:fldChar w:fldCharType="end"/>
          </w:r>
          <w:r>
            <w:fldChar w:fldCharType="end"/>
          </w:r>
        </w:p>
        <w:p w14:paraId="5FFD5B13">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"_Toc235890768" </w:instrText>
          </w:r>
          <w:r>
            <w:fldChar w:fldCharType="separate"/>
          </w:r>
          <w:r>
            <w:rPr>
              <w:rStyle w:val="16"/>
            </w:rPr>
            <w:t>b. Centralisation or Decentralisation within the Case Study</w:t>
          </w:r>
          <w:r>
            <w:tab/>
          </w:r>
          <w:r>
            <w:fldChar w:fldCharType="begin"/>
          </w:r>
          <w:r>
            <w:instrText xml:space="preserve"> PAGEREF _Toc235890768 \h </w:instrText>
          </w:r>
          <w:r>
            <w:fldChar w:fldCharType="separate"/>
          </w:r>
          <w:r>
            <w:t>9</w:t>
          </w:r>
          <w:r>
            <w:fldChar w:fldCharType="end"/>
          </w:r>
          <w:r>
            <w:fldChar w:fldCharType="end"/>
          </w:r>
        </w:p>
        <w:p w14:paraId="159BDDB1">
          <w:pPr>
            <w:pStyle w:val="22"/>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"_Toc235890769" </w:instrText>
          </w:r>
          <w:r>
            <w:fldChar w:fldCharType="separate"/>
          </w:r>
          <w:r>
            <w:rPr>
              <w:rStyle w:val="16"/>
              <w:rFonts w:cs="Arial"/>
            </w:rPr>
            <w:t>Centralised Systems in Healthcare Governance</w:t>
          </w:r>
          <w:r>
            <w:tab/>
          </w:r>
          <w:r>
            <w:fldChar w:fldCharType="begin"/>
          </w:r>
          <w:r>
            <w:instrText xml:space="preserve"> PAGEREF _Toc235890769 \h </w:instrText>
          </w:r>
          <w:r>
            <w:fldChar w:fldCharType="separate"/>
          </w:r>
          <w:r>
            <w:t>9</w:t>
          </w:r>
          <w:r>
            <w:fldChar w:fldCharType="end"/>
          </w:r>
          <w:r>
            <w:fldChar w:fldCharType="end"/>
          </w:r>
        </w:p>
        <w:p w14:paraId="17949776">
          <w:pPr>
            <w:pStyle w:val="22"/>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"_Toc235890770" </w:instrText>
          </w:r>
          <w:r>
            <w:fldChar w:fldCharType="separate"/>
          </w:r>
          <w:r>
            <w:rPr>
              <w:rStyle w:val="16"/>
            </w:rPr>
            <w:t>Decentralised Systems Analysis</w:t>
          </w:r>
          <w:r>
            <w:tab/>
          </w:r>
          <w:r>
            <w:fldChar w:fldCharType="begin"/>
          </w:r>
          <w:r>
            <w:instrText xml:space="preserve"> PAGEREF _Toc235890770 \h </w:instrText>
          </w:r>
          <w:r>
            <w:fldChar w:fldCharType="separate"/>
          </w:r>
          <w:r>
            <w:t>9</w:t>
          </w:r>
          <w:r>
            <w:fldChar w:fldCharType="end"/>
          </w:r>
          <w:r>
            <w:fldChar w:fldCharType="end"/>
          </w:r>
        </w:p>
        <w:p w14:paraId="3A833A46">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"_Toc235890771" </w:instrText>
          </w:r>
          <w:r>
            <w:fldChar w:fldCharType="separate"/>
          </w:r>
          <w:r>
            <w:rPr>
              <w:rStyle w:val="16"/>
            </w:rPr>
            <w:t>c. Leadership Theories and Application to the Case Study</w:t>
          </w:r>
          <w:r>
            <w:tab/>
          </w:r>
          <w:r>
            <w:fldChar w:fldCharType="begin"/>
          </w:r>
          <w:r>
            <w:instrText xml:space="preserve"> PAGEREF _Toc235890771 \h </w:instrText>
          </w:r>
          <w:r>
            <w:fldChar w:fldCharType="separate"/>
          </w:r>
          <w:r>
            <w:t>12</w:t>
          </w:r>
          <w:r>
            <w:fldChar w:fldCharType="end"/>
          </w:r>
          <w:r>
            <w:fldChar w:fldCharType="end"/>
          </w:r>
        </w:p>
        <w:p w14:paraId="575F4FF1">
          <w:pPr>
            <w:pStyle w:val="22"/>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"_Toc235890772" </w:instrText>
          </w:r>
          <w:r>
            <w:fldChar w:fldCharType="separate"/>
          </w:r>
          <w:r>
            <w:rPr>
              <w:rStyle w:val="16"/>
            </w:rPr>
            <w:t>Transformational Leadership and Patient Safety</w:t>
          </w:r>
          <w:r>
            <w:tab/>
          </w:r>
          <w:r>
            <w:fldChar w:fldCharType="begin"/>
          </w:r>
          <w:r>
            <w:instrText xml:space="preserve"> PAGEREF _Toc235890772 \h </w:instrText>
          </w:r>
          <w:r>
            <w:fldChar w:fldCharType="separate"/>
          </w:r>
          <w:r>
            <w:t>12</w:t>
          </w:r>
          <w:r>
            <w:fldChar w:fldCharType="end"/>
          </w:r>
          <w:r>
            <w:fldChar w:fldCharType="end"/>
          </w:r>
        </w:p>
        <w:p w14:paraId="7E8AB972">
          <w:pPr>
            <w:pStyle w:val="22"/>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"_Toc235890773" </w:instrText>
          </w:r>
          <w:r>
            <w:fldChar w:fldCharType="separate"/>
          </w:r>
          <w:r>
            <w:rPr>
              <w:rStyle w:val="16"/>
            </w:rPr>
            <w:t>Transactional Leadership and Governance Failures</w:t>
          </w:r>
          <w:r>
            <w:tab/>
          </w:r>
          <w:r>
            <w:fldChar w:fldCharType="begin"/>
          </w:r>
          <w:r>
            <w:instrText xml:space="preserve"> PAGEREF _Toc235890773 \h </w:instrText>
          </w:r>
          <w:r>
            <w:fldChar w:fldCharType="separate"/>
          </w:r>
          <w:r>
            <w:t>13</w:t>
          </w:r>
          <w:r>
            <w:fldChar w:fldCharType="end"/>
          </w:r>
          <w:r>
            <w:fldChar w:fldCharType="end"/>
          </w:r>
        </w:p>
        <w:p w14:paraId="2AF95602">
          <w:pPr>
            <w:pStyle w:val="22"/>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"_Toc235890774" </w:instrText>
          </w:r>
          <w:r>
            <w:fldChar w:fldCharType="separate"/>
          </w:r>
          <w:r>
            <w:rPr>
              <w:rStyle w:val="16"/>
            </w:rPr>
            <w:t>Situational Leadership and Adaptive Decision</w:t>
          </w:r>
          <w:r>
            <w:rPr>
              <w:rStyle w:val="16"/>
            </w:rPr>
            <w:noBreakHyphen/>
          </w:r>
          <w:r>
            <w:rPr>
              <w:rStyle w:val="16"/>
            </w:rPr>
            <w:t>Making</w:t>
          </w:r>
          <w:r>
            <w:tab/>
          </w:r>
          <w:r>
            <w:fldChar w:fldCharType="begin"/>
          </w:r>
          <w:r>
            <w:instrText xml:space="preserve"> PAGEREF _Toc235890774 \h </w:instrText>
          </w:r>
          <w:r>
            <w:fldChar w:fldCharType="separate"/>
          </w:r>
          <w:r>
            <w:t>15</w:t>
          </w:r>
          <w:r>
            <w:fldChar w:fldCharType="end"/>
          </w:r>
          <w:r>
            <w:fldChar w:fldCharType="end"/>
          </w:r>
        </w:p>
        <w:p w14:paraId="3A654D7D">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"_Toc235890775" </w:instrText>
          </w:r>
          <w:r>
            <w:fldChar w:fldCharType="separate"/>
          </w:r>
          <w:r>
            <w:rPr>
              <w:rStyle w:val="16"/>
            </w:rPr>
            <w:t>d. Improvement and Lessons Learned</w:t>
          </w:r>
          <w:r>
            <w:tab/>
          </w:r>
          <w:r>
            <w:fldChar w:fldCharType="begin"/>
          </w:r>
          <w:r>
            <w:instrText xml:space="preserve"> PAGEREF _Toc235890775 \h </w:instrText>
          </w:r>
          <w:r>
            <w:fldChar w:fldCharType="separate"/>
          </w:r>
          <w:r>
            <w:t>16</w:t>
          </w:r>
          <w:r>
            <w:fldChar w:fldCharType="end"/>
          </w:r>
          <w:r>
            <w:fldChar w:fldCharType="end"/>
          </w:r>
        </w:p>
        <w:p w14:paraId="5B5A882E">
          <w:pPr>
            <w:pStyle w:val="22"/>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"_Toc235890776" </w:instrText>
          </w:r>
          <w:r>
            <w:fldChar w:fldCharType="separate"/>
          </w:r>
          <w:r>
            <w:rPr>
              <w:rStyle w:val="16"/>
            </w:rPr>
            <w:t>Lessons Learned</w:t>
          </w:r>
          <w:r>
            <w:tab/>
          </w:r>
          <w:r>
            <w:fldChar w:fldCharType="begin"/>
          </w:r>
          <w:r>
            <w:instrText xml:space="preserve"> PAGEREF _Toc235890776 \h </w:instrText>
          </w:r>
          <w:r>
            <w:fldChar w:fldCharType="separate"/>
          </w:r>
          <w:r>
            <w:t>19</w:t>
          </w:r>
          <w:r>
            <w:fldChar w:fldCharType="end"/>
          </w:r>
          <w:r>
            <w:fldChar w:fldCharType="end"/>
          </w:r>
        </w:p>
        <w:p w14:paraId="3B272966">
          <w:pPr>
            <w:pStyle w:val="20"/>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"_Toc235890777" </w:instrText>
          </w:r>
          <w:r>
            <w:fldChar w:fldCharType="separate"/>
          </w:r>
          <w:r>
            <w:rPr>
              <w:rStyle w:val="16"/>
            </w:rPr>
            <w:t>Recommendation</w:t>
          </w:r>
          <w:r>
            <w:tab/>
          </w:r>
          <w:r>
            <w:fldChar w:fldCharType="begin"/>
          </w:r>
          <w:r>
            <w:instrText xml:space="preserve"> PAGEREF _Toc235890777 \h </w:instrText>
          </w:r>
          <w:r>
            <w:fldChar w:fldCharType="separate"/>
          </w:r>
          <w:r>
            <w:t>19</w:t>
          </w:r>
          <w:r>
            <w:fldChar w:fldCharType="end"/>
          </w:r>
          <w:r>
            <w:fldChar w:fldCharType="end"/>
          </w:r>
        </w:p>
        <w:p w14:paraId="686BFBFA">
          <w:pPr>
            <w:pStyle w:val="20"/>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"_Toc235890778" </w:instrText>
          </w:r>
          <w:r>
            <w:fldChar w:fldCharType="separate"/>
          </w:r>
          <w:r>
            <w:rPr>
              <w:rStyle w:val="16"/>
            </w:rPr>
            <w:t>Conclusion</w:t>
          </w:r>
          <w:r>
            <w:tab/>
          </w:r>
          <w:r>
            <w:fldChar w:fldCharType="begin"/>
          </w:r>
          <w:r>
            <w:instrText xml:space="preserve"> PAGEREF _Toc235890778 \h </w:instrText>
          </w:r>
          <w:r>
            <w:fldChar w:fldCharType="separate"/>
          </w:r>
          <w:r>
            <w:t>20</w:t>
          </w:r>
          <w:r>
            <w:fldChar w:fldCharType="end"/>
          </w:r>
          <w:r>
            <w:fldChar w:fldCharType="end"/>
          </w:r>
        </w:p>
        <w:p w14:paraId="11AEA26E">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"_Toc235890779" </w:instrText>
          </w:r>
          <w:r>
            <w:fldChar w:fldCharType="separate"/>
          </w:r>
          <w:r>
            <w:rPr>
              <w:rStyle w:val="16"/>
            </w:rPr>
            <w:t>Summary of the main finding</w:t>
          </w:r>
          <w:r>
            <w:tab/>
          </w:r>
          <w:r>
            <w:fldChar w:fldCharType="begin"/>
          </w:r>
          <w:r>
            <w:instrText xml:space="preserve"> PAGEREF _Toc235890779 \h </w:instrText>
          </w:r>
          <w:r>
            <w:fldChar w:fldCharType="separate"/>
          </w:r>
          <w:r>
            <w:t>20</w:t>
          </w:r>
          <w:r>
            <w:fldChar w:fldCharType="end"/>
          </w:r>
          <w:r>
            <w:fldChar w:fldCharType="end"/>
          </w:r>
        </w:p>
        <w:p w14:paraId="739A0C0E">
          <w:pPr>
            <w:pStyle w:val="21"/>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"_Toc235890780" </w:instrText>
          </w:r>
          <w:r>
            <w:fldChar w:fldCharType="separate"/>
          </w:r>
          <w:r>
            <w:rPr>
              <w:rStyle w:val="16"/>
            </w:rPr>
            <w:t>Importance of leadership, governance and system thinking in driving change</w:t>
          </w:r>
          <w:r>
            <w:tab/>
          </w:r>
          <w:r>
            <w:fldChar w:fldCharType="begin"/>
          </w:r>
          <w:r>
            <w:instrText xml:space="preserve"> PAGEREF _Toc235890780 \h </w:instrText>
          </w:r>
          <w:r>
            <w:fldChar w:fldCharType="separate"/>
          </w:r>
          <w:r>
            <w:t>21</w:t>
          </w:r>
          <w:r>
            <w:fldChar w:fldCharType="end"/>
          </w:r>
          <w:r>
            <w:fldChar w:fldCharType="end"/>
          </w:r>
        </w:p>
        <w:p w14:paraId="77CD7AD4">
          <w:pPr>
            <w:pStyle w:val="20"/>
            <w:tabs>
              <w:tab w:val="right" w:leader="dot" w:pos="9016"/>
            </w:tabs>
            <w:spacing w:after="0"/>
            <w:rPr>
              <w:rFonts w:asciiTheme="minorHAnsi" w:hAnsiTheme="minorHAnsi" w:eastAsiaTheme="minorEastAsia"/>
              <w:sz w:val="24"/>
              <w:szCs w:val="24"/>
              <w:lang w:val="en-IN" w:eastAsia="en-IN"/>
              <w14:ligatures w14:val="standardContextual"/>
            </w:rPr>
          </w:pPr>
          <w:r>
            <w:fldChar w:fldCharType="begin"/>
          </w:r>
          <w:r>
            <w:instrText xml:space="preserve"> HYPERLINK \l "_Toc235890781" </w:instrText>
          </w:r>
          <w:r>
            <w:fldChar w:fldCharType="separate"/>
          </w:r>
          <w:r>
            <w:rPr>
              <w:rStyle w:val="16"/>
            </w:rPr>
            <w:t>References</w:t>
          </w:r>
          <w:r>
            <w:tab/>
          </w:r>
          <w:r>
            <w:fldChar w:fldCharType="begin"/>
          </w:r>
          <w:r>
            <w:instrText xml:space="preserve"> PAGEREF _Toc235890781 \h </w:instrText>
          </w:r>
          <w:r>
            <w:fldChar w:fldCharType="separate"/>
          </w:r>
          <w:r>
            <w:t>22</w:t>
          </w:r>
          <w:r>
            <w:fldChar w:fldCharType="end"/>
          </w:r>
          <w:r>
            <w:fldChar w:fldCharType="end"/>
          </w:r>
        </w:p>
        <w:p w14:paraId="392E6AE9">
          <w:r>
            <w:rPr>
              <w:b/>
              <w:bCs/>
              <w:color w:val="000000" w:themeColor="text1"/>
            </w:rPr>
            <w:fldChar w:fldCharType="end"/>
          </w:r>
        </w:p>
      </w:sdtContent>
    </w:sdt>
    <w:p w14:paraId="392E6AEA">
      <w:pPr>
        <w:spacing w:line="259" w:lineRule="auto"/>
        <w:jc w:val="left"/>
        <w:rPr>
          <w:rFonts w:eastAsiaTheme="majorEastAsia" w:cstheme="majorBidi"/>
          <w:b/>
          <w:szCs w:val="32"/>
        </w:rPr>
      </w:pPr>
      <w:r>
        <w:br w:type="page"/>
      </w:r>
    </w:p>
    <w:p w14:paraId="392E6AEB">
      <w:pPr>
        <w:pStyle w:val="2"/>
        <w:spacing w:before="0"/>
        <w:rPr>
          <w:rFonts w:cs="Arial"/>
        </w:rPr>
      </w:pPr>
      <w:bookmarkStart w:id="0" w:name="_Toc235890760"/>
      <w:r>
        <w:rPr>
          <w:rFonts w:cs="Arial"/>
        </w:rPr>
        <w:t>Introduction</w:t>
      </w:r>
      <w:bookmarkEnd w:id="0"/>
    </w:p>
    <w:p w14:paraId="392E6AEC">
      <w:pPr>
        <w:pStyle w:val="3"/>
        <w:spacing w:before="0"/>
        <w:rPr>
          <w:rFonts w:cs="Arial"/>
        </w:rPr>
      </w:pPr>
      <w:bookmarkStart w:id="1" w:name="_rima0967kgwd" w:colFirst="0" w:colLast="0"/>
      <w:bookmarkEnd w:id="1"/>
      <w:bookmarkStart w:id="2" w:name="_Toc235890761"/>
      <w:r>
        <w:rPr>
          <w:rFonts w:cs="Arial"/>
        </w:rPr>
        <w:t>Background and purpose of the case study</w:t>
      </w:r>
      <w:bookmarkEnd w:id="2"/>
    </w:p>
    <w:p w14:paraId="392E6AED">
      <w:pPr>
        <w:rPr>
          <w:rFonts w:cs="Arial"/>
        </w:rPr>
      </w:pPr>
      <w:r>
        <w:rPr>
          <w:rFonts w:cs="Arial"/>
        </w:rPr>
        <w:t>The report discusses the case study of Patient X that experienced an emergency and was admitted to the hospital due to the shortness of breath and nose bleed, leading to fatal stroke. Patient X experienced a fatal stroke issue due to issues in managing his anticoagulant medication apixaban that was stopped because of his nose bleeds. The purpose of the report is to discuss the significant challenges of the case study including decision-making, communication, poor coordination and risk management between healthcare professionals.</w:t>
      </w:r>
    </w:p>
    <w:p w14:paraId="392E6AEE">
      <w:pPr>
        <w:pStyle w:val="3"/>
        <w:spacing w:before="0"/>
        <w:rPr>
          <w:rFonts w:cs="Arial"/>
        </w:rPr>
      </w:pPr>
      <w:bookmarkStart w:id="3" w:name="_dlfqsbhv6bj9" w:colFirst="0" w:colLast="0"/>
      <w:bookmarkEnd w:id="3"/>
      <w:bookmarkStart w:id="4" w:name="_Toc235890762"/>
      <w:r>
        <w:rPr>
          <w:rFonts w:cs="Arial"/>
        </w:rPr>
        <w:t>Explaining leadership in healthcare</w:t>
      </w:r>
      <w:bookmarkEnd w:id="4"/>
    </w:p>
    <w:p w14:paraId="392E6AEF">
      <w:pPr>
        <w:rPr>
          <w:rFonts w:cs="Arial"/>
        </w:rPr>
      </w:pPr>
      <w:r>
        <w:rPr>
          <w:rFonts w:cs="Arial"/>
        </w:rPr>
        <w:t xml:space="preserve">The leadership in healthcare is a significant factor that is associated with the ability to motivate, influence and guide individuals and healthcare professional teams for achieving shared decision-making. Demeke </w:t>
      </w:r>
      <w:r>
        <w:rPr>
          <w:rFonts w:cs="Arial"/>
          <w:i/>
          <w:iCs/>
        </w:rPr>
        <w:t>et al.</w:t>
      </w:r>
      <w:r>
        <w:rPr>
          <w:rFonts w:cs="Arial"/>
        </w:rPr>
        <w:t xml:space="preserve"> (2024) have outlined that leadership in healthcare encourages collaboration, supports evidence-based decision making and promotes accountability to create an environment of open communication and collaboration. In Patient X’s case study, effective leadership could have been effective for ensuring collaboration between different teams including doctors, nurses, and procedural teams for addressing the issues in time. </w:t>
      </w:r>
    </w:p>
    <w:p w14:paraId="392E6AF0">
      <w:pPr>
        <w:pStyle w:val="3"/>
        <w:spacing w:before="0"/>
        <w:rPr>
          <w:rFonts w:cs="Arial"/>
        </w:rPr>
      </w:pPr>
      <w:bookmarkStart w:id="5" w:name="_u15ejto4202m" w:colFirst="0" w:colLast="0"/>
      <w:bookmarkEnd w:id="5"/>
      <w:bookmarkStart w:id="6" w:name="_Toc235890763"/>
      <w:r>
        <w:rPr>
          <w:rFonts w:cs="Arial"/>
        </w:rPr>
        <w:t>Describing centralization and decentralization and key leadership theories</w:t>
      </w:r>
      <w:bookmarkEnd w:id="6"/>
    </w:p>
    <w:p w14:paraId="392E6AF1">
      <w:pPr>
        <w:rPr>
          <w:rFonts w:cs="Arial"/>
        </w:rPr>
      </w:pPr>
      <w:r>
        <w:rPr>
          <w:rFonts w:cs="Arial"/>
        </w:rPr>
        <w:t>Centralisation is defined as a leadership structure where decision-making capabilities are concentrated among senior manager and organizational leadership for offering clear policies, consistency and standardization. However, Shishkin</w:t>
      </w:r>
      <w:r>
        <w:rPr>
          <w:rFonts w:cs="Arial"/>
          <w:i/>
          <w:iCs/>
        </w:rPr>
        <w:t xml:space="preserve"> et al.</w:t>
      </w:r>
      <w:r>
        <w:rPr>
          <w:rFonts w:cs="Arial"/>
        </w:rPr>
        <w:t xml:space="preserve"> (2025) argued that the healthcare system has moved from centralized to decentralised structure for improving healthcare systems performance, moving from national government to its subnational government. The leadership theirs including transformational, transactional, situational leadership are effective and significant for healthcare cruises management by combining strategic to oversight with clinical flexibility. </w:t>
      </w:r>
    </w:p>
    <w:p w14:paraId="392E6AF2">
      <w:pPr>
        <w:pStyle w:val="3"/>
        <w:spacing w:before="0"/>
        <w:rPr>
          <w:rFonts w:cs="Arial"/>
        </w:rPr>
      </w:pPr>
      <w:bookmarkStart w:id="7" w:name="_c491wy7en8q1" w:colFirst="0" w:colLast="0"/>
      <w:bookmarkEnd w:id="7"/>
      <w:bookmarkStart w:id="8" w:name="_Toc235890764"/>
      <w:r>
        <w:rPr>
          <w:rFonts w:cs="Arial"/>
        </w:rPr>
        <w:t>Importance of Leadership</w:t>
      </w:r>
      <w:bookmarkEnd w:id="8"/>
      <w:r>
        <w:rPr>
          <w:rFonts w:cs="Arial"/>
        </w:rPr>
        <w:t xml:space="preserve"> </w:t>
      </w:r>
    </w:p>
    <w:p w14:paraId="392E6AF3">
      <w:pPr>
        <w:rPr>
          <w:rFonts w:cs="Arial"/>
        </w:rPr>
      </w:pPr>
      <w:r>
        <w:rPr>
          <w:rFonts w:cs="Arial"/>
        </w:rPr>
        <w:t xml:space="preserve">Choosing a right healthcare leadership is significant as it impacts healthcare systems performance by inducing key indicators including patient safety, financial sustainability and staff engagement (Ramdas </w:t>
      </w:r>
      <w:r>
        <w:rPr>
          <w:rFonts w:cs="Arial"/>
          <w:i/>
          <w:iCs/>
        </w:rPr>
        <w:t>et al.,</w:t>
      </w:r>
      <w:r>
        <w:rPr>
          <w:rFonts w:cs="Arial"/>
        </w:rPr>
        <w:t xml:space="preserve"> 2024). However, the case study of Patient X reflects the risks of uncertain leadership ownership that limited effective collaboration between teams that leads to treatment delays and fatal strokes to the patient. Thus, in case of Patient X, the decentralized structured and leadership approach could have been effective for enabling the medical teams to respond to the nosebleeds quickly and timely use of apixaban. </w:t>
      </w:r>
    </w:p>
    <w:p w14:paraId="392E6AF4">
      <w:pPr>
        <w:pStyle w:val="3"/>
        <w:spacing w:before="0"/>
        <w:rPr>
          <w:rFonts w:cs="Arial"/>
        </w:rPr>
      </w:pPr>
      <w:bookmarkStart w:id="9" w:name="_d4v84snrmj8n" w:colFirst="0" w:colLast="0"/>
      <w:bookmarkEnd w:id="9"/>
      <w:bookmarkStart w:id="10" w:name="_Toc235890765"/>
      <w:r>
        <w:rPr>
          <w:rFonts w:cs="Arial"/>
        </w:rPr>
        <w:t>Report content</w:t>
      </w:r>
      <w:bookmarkEnd w:id="10"/>
    </w:p>
    <w:p w14:paraId="392E6AF5">
      <w:r>
        <w:t>The report consists of analysing the leadership challenges in patient X’s case, evaluating relevant theories of leadership including transformational, transactional, situational leadership for outlining the implications. The centralized and decentralised leadership approaches are also discussed and strategic recommendations for improving leadership practice in healthcare is also provided for addressing the identified issues.</w:t>
      </w:r>
    </w:p>
    <w:p w14:paraId="392E6AF6">
      <w:pPr>
        <w:pStyle w:val="2"/>
        <w:spacing w:before="0"/>
      </w:pPr>
      <w:bookmarkStart w:id="11" w:name="_Toc235890766"/>
      <w:r>
        <w:t>Main Body</w:t>
      </w:r>
      <w:bookmarkEnd w:id="11"/>
    </w:p>
    <w:p w14:paraId="392E6AF7">
      <w:pPr>
        <w:pStyle w:val="3"/>
        <w:spacing w:before="0"/>
        <w:rPr>
          <w:rFonts w:cs="Arial"/>
        </w:rPr>
      </w:pPr>
      <w:bookmarkStart w:id="12" w:name="_Toc235890767"/>
      <w:r>
        <w:rPr>
          <w:rFonts w:cs="Arial"/>
        </w:rPr>
        <w:t>a. Identifying the Problem and Setting the System Context- Applying Systems Thinking and the Rich Picture</w:t>
      </w:r>
      <w:bookmarkEnd w:id="12"/>
    </w:p>
    <w:p w14:paraId="392E6AF8">
      <w:pPr>
        <w:numPr>
          <w:ilvl w:val="0"/>
          <w:numId w:val="1"/>
        </w:numPr>
        <w:spacing w:after="0"/>
        <w:rPr>
          <w:rFonts w:cs="Arial"/>
          <w:b/>
          <w:bCs/>
          <w:i/>
          <w:iCs/>
        </w:rPr>
      </w:pPr>
      <w:r>
        <w:rPr>
          <w:rFonts w:cs="Arial"/>
          <w:b/>
          <w:bCs/>
          <w:i/>
          <w:iCs/>
        </w:rPr>
        <w:t xml:space="preserve">Describing Central problem of the issues </w:t>
      </w:r>
    </w:p>
    <w:p w14:paraId="392E6AF9">
      <w:pPr>
        <w:rPr>
          <w:rFonts w:cs="Arial"/>
        </w:rPr>
      </w:pPr>
      <w:r>
        <w:rPr>
          <w:rFonts w:cs="Arial"/>
        </w:rPr>
        <w:t>The central issue in Patient X’s case was the failure to safely manage anticoagulation therapy (apixaban) caused by medication delays and poor communication reading regarding the accountability across multidisciplinary teams. The report of RCEM (Royal College of Emergency Medicine) has outlined that even 30 minutes of delay in medications such as apixaban, levodopa and insulin may lead to the fatal health implications (RCEM, 2025). In case of Patient X, although the medication was paused due to nose bleed, continuation of the process led to 10 days delays, demonstrating a breakdown in clinical decision-making. Thus, clinical breakdown was a central factor that was caused by poor communication and oversight of Patient’s X condition, leading to fatality.</w:t>
      </w:r>
    </w:p>
    <w:p w14:paraId="392E6AFA">
      <w:pPr>
        <w:numPr>
          <w:ilvl w:val="0"/>
          <w:numId w:val="2"/>
        </w:numPr>
        <w:spacing w:after="0"/>
        <w:rPr>
          <w:rFonts w:cs="Arial"/>
          <w:b/>
          <w:bCs/>
        </w:rPr>
      </w:pPr>
      <w:r>
        <w:rPr>
          <w:rFonts w:cs="Arial"/>
          <w:b/>
          <w:bCs/>
        </w:rPr>
        <w:t>Global statistical information about the problem</w:t>
      </w:r>
    </w:p>
    <w:p w14:paraId="392E6AFB">
      <w:pPr>
        <w:rPr>
          <w:rFonts w:cs="Arial"/>
        </w:rPr>
      </w:pPr>
      <w:r>
        <w:rPr>
          <w:rFonts w:cs="Arial"/>
        </w:rPr>
        <w:t xml:space="preserve">Medication delays is one of the major concerns that is often experienced in the global healthcare setting due to poor collaboration and communication between teams and lack of accountability. The study of Chen </w:t>
      </w:r>
      <w:r>
        <w:rPr>
          <w:rFonts w:cs="Arial"/>
          <w:i/>
          <w:iCs/>
        </w:rPr>
        <w:t xml:space="preserve">et al. </w:t>
      </w:r>
      <w:r>
        <w:rPr>
          <w:rFonts w:cs="Arial"/>
        </w:rPr>
        <w:t xml:space="preserve">(2025) outlined that out of 11,429 patients, around 9.9% people experience medication delays and delays in order-to-administration (OTA) time in global healthcare. Moreover, as per the report of WHO, around 1 in 10 patients is harmed in healthcare settings and 3 million deaths occur due to unsafe care and delays (WHO, 2023). Thus, medication errors and delays in global healthcare are a major concern that is addressed through enhancing internal team engagement and communication from patient oversight and in medication administration. </w:t>
      </w:r>
    </w:p>
    <w:p w14:paraId="392E6AFC">
      <w:pPr>
        <w:numPr>
          <w:ilvl w:val="0"/>
          <w:numId w:val="3"/>
        </w:numPr>
        <w:spacing w:after="0"/>
        <w:rPr>
          <w:rFonts w:cs="Arial"/>
          <w:b/>
          <w:bCs/>
        </w:rPr>
      </w:pPr>
      <w:r>
        <w:rPr>
          <w:rFonts w:cs="Arial"/>
          <w:b/>
          <w:bCs/>
        </w:rPr>
        <w:t>National statistical information the problem</w:t>
      </w:r>
    </w:p>
    <w:p w14:paraId="392E6AFD">
      <w:pPr>
        <w:rPr>
          <w:rFonts w:cs="Arial"/>
        </w:rPr>
      </w:pPr>
      <w:r>
        <w:rPr>
          <w:rFonts w:cs="Arial"/>
        </w:rPr>
        <w:t xml:space="preserve">The delay in treatment and medication has become a significant concern that is causing significant fatal incidents among patients. As per the NHS reports, 23,000 excess patient deaths were recorded in England associated with 122 hours delays in A&amp;Es (LISTER, 2023). The NHS and RCEM has outlined staff shortage and poor communication as a major concern affecting patient safety and causing medication delays. </w:t>
      </w:r>
    </w:p>
    <w:p w14:paraId="392E6AFE">
      <w:pPr>
        <w:spacing w:after="0"/>
        <w:jc w:val="center"/>
        <w:rPr>
          <w:rFonts w:cs="Arial"/>
        </w:rPr>
      </w:pPr>
      <w:r>
        <w:rPr>
          <w:rFonts w:cs="Arial"/>
        </w:rPr>
        <w:drawing>
          <wp:inline distT="114300" distB="114300" distL="114300" distR="114300">
            <wp:extent cx="4838700" cy="3675380"/>
            <wp:effectExtent l="57150" t="57150" r="114300" b="11557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referRelativeResize="0"/>
                  </pic:nvPicPr>
                  <pic:blipFill>
                    <a:blip r:embed="rId8"/>
                    <a:srcRect b="11645"/>
                    <a:stretch>
                      <a:fillRect/>
                    </a:stretch>
                  </pic:blipFill>
                  <pic:spPr>
                    <a:xfrm>
                      <a:off x="0" y="0"/>
                      <a:ext cx="4839201" cy="3675932"/>
                    </a:xfrm>
                    <a:prstGeom prst="rect">
                      <a:avLst/>
                    </a:prstGeom>
                    <a:ln w="3175"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92E6AFF">
      <w:pPr>
        <w:spacing w:after="0"/>
        <w:jc w:val="center"/>
        <w:rPr>
          <w:rFonts w:cs="Arial"/>
          <w:b/>
          <w:bCs/>
        </w:rPr>
      </w:pPr>
      <w:r>
        <w:rPr>
          <w:rFonts w:cs="Arial"/>
          <w:b/>
          <w:bCs/>
        </w:rPr>
        <w:t xml:space="preserve">Figure 1: Death of patient from treatable condition in UK </w:t>
      </w:r>
    </w:p>
    <w:p w14:paraId="392E6B00">
      <w:pPr>
        <w:spacing w:after="0"/>
        <w:jc w:val="center"/>
        <w:rPr>
          <w:rFonts w:cs="Arial"/>
        </w:rPr>
      </w:pPr>
      <w:r>
        <w:rPr>
          <w:rFonts w:cs="Arial"/>
        </w:rPr>
        <w:t>(Source: Triggle, 2023)</w:t>
      </w:r>
    </w:p>
    <w:p w14:paraId="392E6B01">
      <w:pPr>
        <w:numPr>
          <w:ilvl w:val="0"/>
          <w:numId w:val="3"/>
        </w:numPr>
        <w:spacing w:after="0"/>
        <w:rPr>
          <w:rFonts w:cs="Arial"/>
          <w:b/>
          <w:bCs/>
        </w:rPr>
      </w:pPr>
      <w:r>
        <w:rPr>
          <w:rFonts w:cs="Arial"/>
          <w:b/>
          <w:bCs/>
        </w:rPr>
        <w:t>National organisations revelation on the problem in connection to worldwide presentation</w:t>
      </w:r>
    </w:p>
    <w:p w14:paraId="392E6B02">
      <w:pPr>
        <w:rPr>
          <w:rFonts w:cs="Arial"/>
          <w:b/>
          <w:bCs/>
        </w:rPr>
      </w:pPr>
      <w:r>
        <w:rPr>
          <w:rFonts w:cs="Arial"/>
        </w:rPr>
        <w:t xml:space="preserve">The report of Institute for Healthcare Improvement (IHI) has outlined that patient harm is a major healthcare concern that is driven by negligence and poor governance approaches in healthcare settings. The IHI report outlined that 10% to 20% of errors and delays are reported and out of that 90% to 95% harm to patients are preventable (IHI, 2026). The IHI has developed an IHI Global Trigger Tool for monitoring adverse rolls and track safety rates in global healthcare settings for enhancing care outcomes. The IHI have also outlined that comparatively, poor communication across teams, lack of clear accountability and delay in care processes are the key risks associated with patient safety such as in the case of Patient X. </w:t>
      </w:r>
    </w:p>
    <w:p w14:paraId="392E6B03">
      <w:pPr>
        <w:numPr>
          <w:ilvl w:val="0"/>
          <w:numId w:val="3"/>
        </w:numPr>
        <w:spacing w:after="0"/>
        <w:rPr>
          <w:rFonts w:cs="Arial"/>
          <w:b/>
          <w:bCs/>
        </w:rPr>
      </w:pPr>
      <w:r>
        <w:rPr>
          <w:rFonts w:cs="Arial"/>
          <w:b/>
          <w:bCs/>
        </w:rPr>
        <w:t xml:space="preserve">Explaining the systemic weaknesses due to the issues </w:t>
      </w:r>
    </w:p>
    <w:p w14:paraId="392E6B04">
      <w:pPr>
        <w:rPr>
          <w:rFonts w:cs="Arial"/>
        </w:rPr>
      </w:pPr>
      <w:r>
        <w:rPr>
          <w:rFonts w:cs="Arial"/>
        </w:rPr>
        <w:t xml:space="preserve"> The systematic weaknesses are being reflected by the increasing issues regarding medication delays and poor treatment administration among patients such as Patient X in the UK and global healthcare sector. Alenizi </w:t>
      </w:r>
      <w:r>
        <w:rPr>
          <w:rFonts w:cs="Arial"/>
          <w:i/>
          <w:iCs/>
        </w:rPr>
        <w:t>et al.</w:t>
      </w:r>
      <w:r>
        <w:rPr>
          <w:rFonts w:cs="Arial"/>
        </w:rPr>
        <w:t xml:space="preserve"> (2024) also emphasized that failure in communication at any point of medication administration is at one of the major sources of preventable diagnostic errors and patient harms. Leadership limitations are found to be a major concern associated with treatment delays in healthcare due to lack of proactive measures to identify inefficiencies and improve care outcome such as in the case of Patient X. </w:t>
      </w:r>
    </w:p>
    <w:p w14:paraId="392E6B05">
      <w:pPr>
        <w:spacing w:after="0"/>
        <w:jc w:val="center"/>
        <w:rPr>
          <w:rFonts w:cs="Arial"/>
        </w:rPr>
      </w:pPr>
      <w:r>
        <w:rPr>
          <w:rFonts w:cs="Arial"/>
        </w:rPr>
        <w:drawing>
          <wp:inline distT="114300" distB="114300" distL="114300" distR="114300">
            <wp:extent cx="5530850" cy="4316095"/>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9"/>
                    <a:srcRect/>
                    <a:stretch>
                      <a:fillRect/>
                    </a:stretch>
                  </pic:blipFill>
                  <pic:spPr>
                    <a:xfrm>
                      <a:off x="0" y="0"/>
                      <a:ext cx="5531017" cy="4316675"/>
                    </a:xfrm>
                    <a:prstGeom prst="rect">
                      <a:avLst/>
                    </a:prstGeom>
                    <a:ln w="12700">
                      <a:solidFill>
                        <a:srgbClr val="000000"/>
                      </a:solidFill>
                      <a:prstDash val="solid"/>
                    </a:ln>
                  </pic:spPr>
                </pic:pic>
              </a:graphicData>
            </a:graphic>
          </wp:inline>
        </w:drawing>
      </w:r>
    </w:p>
    <w:p w14:paraId="392E6B06">
      <w:pPr>
        <w:spacing w:after="0"/>
        <w:jc w:val="center"/>
        <w:rPr>
          <w:rFonts w:cs="Arial"/>
          <w:b/>
          <w:bCs/>
        </w:rPr>
      </w:pPr>
      <w:r>
        <w:rPr>
          <w:rFonts w:cs="Arial"/>
          <w:b/>
          <w:bCs/>
        </w:rPr>
        <w:t xml:space="preserve">Figure 2: Rich Diagram related to Close Loop Communication for patient safety </w:t>
      </w:r>
    </w:p>
    <w:p w14:paraId="392E6B07">
      <w:pPr>
        <w:spacing w:after="0"/>
        <w:jc w:val="center"/>
        <w:rPr>
          <w:rFonts w:cs="Arial"/>
        </w:rPr>
      </w:pPr>
      <w:r>
        <w:rPr>
          <w:rFonts w:cs="Arial"/>
        </w:rPr>
        <w:t xml:space="preserve">(Source: Alenizi </w:t>
      </w:r>
      <w:r>
        <w:rPr>
          <w:rFonts w:cs="Arial"/>
          <w:i/>
          <w:iCs/>
        </w:rPr>
        <w:t>et al.,</w:t>
      </w:r>
      <w:r>
        <w:rPr>
          <w:rFonts w:cs="Arial"/>
        </w:rPr>
        <w:t xml:space="preserve"> 2024)</w:t>
      </w:r>
    </w:p>
    <w:p w14:paraId="392E6B08">
      <w:pPr>
        <w:numPr>
          <w:ilvl w:val="0"/>
          <w:numId w:val="3"/>
        </w:numPr>
        <w:spacing w:after="0"/>
        <w:rPr>
          <w:rFonts w:cs="Arial"/>
          <w:b/>
          <w:bCs/>
        </w:rPr>
      </w:pPr>
      <w:r>
        <w:rPr>
          <w:rFonts w:cs="Arial"/>
          <w:b/>
          <w:bCs/>
        </w:rPr>
        <w:t>Identifying the level of governance influencing the problem</w:t>
      </w:r>
    </w:p>
    <w:p w14:paraId="392E6B09">
      <w:pPr>
        <w:rPr>
          <w:rFonts w:cs="Arial"/>
          <w:b/>
          <w:bCs/>
        </w:rPr>
      </w:pPr>
      <w:r>
        <w:rPr>
          <w:rFonts w:cs="Arial"/>
        </w:rPr>
        <w:t xml:space="preserve">The delay in patient medication and administration is associated with poor governance and leadership approaches that causes lack in governance, oversight and poor patient administration. On a national level, around 30,000 of people in the UK died due to delays in the medication and treatment caused by shortage in staff (Medlicott, 2023). Moreover, on the global level, the treatment and medication administration delays are caused by the insufficient resources, from the material to equipment and human resources along with shortage of staff (Malematja </w:t>
      </w:r>
      <w:r>
        <w:rPr>
          <w:rFonts w:cs="Arial"/>
          <w:i/>
          <w:iCs/>
        </w:rPr>
        <w:t xml:space="preserve">et al., </w:t>
      </w:r>
      <w:r>
        <w:rPr>
          <w:rFonts w:cs="Arial"/>
        </w:rPr>
        <w:t xml:space="preserve">2025). Thus, the statistics have outlined that the medication delays on the global and national level in the UK are comparatively high due to poor resource management, staff shortage and poor systematic communication between multidisciplinary teams. </w:t>
      </w:r>
    </w:p>
    <w:p w14:paraId="392E6B0A">
      <w:pPr>
        <w:numPr>
          <w:ilvl w:val="0"/>
          <w:numId w:val="3"/>
        </w:numPr>
        <w:spacing w:after="0"/>
        <w:rPr>
          <w:rFonts w:cs="Arial"/>
          <w:b/>
          <w:bCs/>
        </w:rPr>
      </w:pPr>
      <w:r>
        <w:rPr>
          <w:rFonts w:cs="Arial"/>
          <w:b/>
          <w:bCs/>
        </w:rPr>
        <w:t>Data on underlying challenges to illustrate underlying challenges and providing the statistic to position the problem as both locally significant and globally relevant</w:t>
      </w:r>
    </w:p>
    <w:p w14:paraId="392E6B0B">
      <w:pPr>
        <w:spacing w:after="0"/>
        <w:jc w:val="center"/>
        <w:rPr>
          <w:rFonts w:cs="Arial"/>
          <w:b/>
          <w:bCs/>
        </w:rPr>
      </w:pPr>
      <w:r>
        <w:rPr>
          <w:rFonts w:cs="Arial"/>
          <w:b/>
          <w:bCs/>
        </w:rPr>
        <w:drawing>
          <wp:inline distT="114300" distB="114300" distL="114300" distR="114300">
            <wp:extent cx="5724525" cy="4857750"/>
            <wp:effectExtent l="19050" t="19050" r="28575" b="1905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referRelativeResize="0"/>
                  </pic:nvPicPr>
                  <pic:blipFill>
                    <a:blip r:embed="rId10"/>
                    <a:srcRect/>
                    <a:stretch>
                      <a:fillRect/>
                    </a:stretch>
                  </pic:blipFill>
                  <pic:spPr>
                    <a:xfrm>
                      <a:off x="0" y="0"/>
                      <a:ext cx="5724525" cy="4857750"/>
                    </a:xfrm>
                    <a:prstGeom prst="rect">
                      <a:avLst/>
                    </a:prstGeom>
                    <a:ln w="3175">
                      <a:solidFill>
                        <a:schemeClr val="tx1"/>
                      </a:solidFill>
                    </a:ln>
                  </pic:spPr>
                </pic:pic>
              </a:graphicData>
            </a:graphic>
          </wp:inline>
        </w:drawing>
      </w:r>
    </w:p>
    <w:p w14:paraId="392E6B0C">
      <w:pPr>
        <w:spacing w:after="0"/>
        <w:jc w:val="center"/>
        <w:rPr>
          <w:rFonts w:cs="Arial"/>
          <w:b/>
          <w:bCs/>
        </w:rPr>
      </w:pPr>
      <w:r>
        <w:rPr>
          <w:rFonts w:cs="Arial"/>
          <w:b/>
          <w:bCs/>
        </w:rPr>
        <w:t xml:space="preserve">Figure 3: Long waiting time led death in UK </w:t>
      </w:r>
    </w:p>
    <w:p w14:paraId="392E6B0D">
      <w:pPr>
        <w:spacing w:after="0"/>
        <w:jc w:val="center"/>
        <w:rPr>
          <w:rFonts w:cs="Arial"/>
        </w:rPr>
      </w:pPr>
      <w:r>
        <w:rPr>
          <w:rFonts w:cs="Arial"/>
        </w:rPr>
        <w:t>(Source: Cumiskey, 2026)</w:t>
      </w:r>
    </w:p>
    <w:p w14:paraId="392E6B0E">
      <w:pPr>
        <w:rPr>
          <w:rFonts w:cs="Arial"/>
        </w:rPr>
      </w:pPr>
      <w:r>
        <w:rPr>
          <w:rFonts w:cs="Arial"/>
        </w:rPr>
        <w:t xml:space="preserve">On the national level in the UK, the rising death of patients due to the long-waiting time reflects the poor administrative and management approach that has impacted the efficiency of healthcare and patients' outcomes. The national reports in the UK outlined that 12,000 excess deaths were recorded in the UK and England that were linked with 12 hours plus waits among patients in the emergency department (LISTER, 2023). On the global level, WHO has outlined that around 50% deaths are due to medical trauma and delays are preventable and outlined that the harm is attributed to medication (WHO, 2023). It has been outlined by Adewale </w:t>
      </w:r>
      <w:r>
        <w:rPr>
          <w:rFonts w:cs="Arial"/>
          <w:i/>
          <w:iCs/>
        </w:rPr>
        <w:t xml:space="preserve">et al. </w:t>
      </w:r>
      <w:r>
        <w:rPr>
          <w:rFonts w:cs="Arial"/>
        </w:rPr>
        <w:t xml:space="preserve">(2023) that process inefficiencies represent the delays and non-value adding activities within the patient care pathways that includes inefficient routing, delays in medication and administration. Thus, the delay in patient medication and treatment are driven by inefficiencies in the processes, leadership approached along with poor coordination between teams. </w:t>
      </w:r>
    </w:p>
    <w:p w14:paraId="392E6B0F">
      <w:pPr>
        <w:pStyle w:val="3"/>
        <w:spacing w:before="0"/>
      </w:pPr>
      <w:bookmarkStart w:id="13" w:name="_Toc235890768"/>
      <w:r>
        <w:t>b. Centralisation or Decentralisation within the Case Study</w:t>
      </w:r>
      <w:bookmarkEnd w:id="13"/>
    </w:p>
    <w:p w14:paraId="5FE8B28B">
      <w:pPr>
        <w:pStyle w:val="4"/>
        <w:spacing w:before="0"/>
        <w:rPr>
          <w:rFonts w:ascii="Times New Roman" w:hAnsi="Times New Roman"/>
          <w:szCs w:val="22"/>
          <w:u w:val="none"/>
        </w:rPr>
      </w:pPr>
      <w:bookmarkStart w:id="14" w:name="_Toc235890769"/>
      <w:r>
        <w:rPr>
          <w:rFonts w:cs="Arial"/>
          <w:color w:val="000000"/>
          <w:szCs w:val="22"/>
          <w:u w:val="none"/>
        </w:rPr>
        <w:t>Centralised Systems in Healthcare Governance</w:t>
      </w:r>
      <w:bookmarkEnd w:id="14"/>
    </w:p>
    <w:p w14:paraId="4DF8D651">
      <w:pPr>
        <w:pStyle w:val="17"/>
        <w:spacing w:before="0" w:beforeAutospacing="0" w:after="240" w:afterAutospacing="0" w:line="360" w:lineRule="auto"/>
        <w:jc w:val="both"/>
        <w:rPr>
          <w:sz w:val="22"/>
          <w:szCs w:val="22"/>
          <w:lang w:val="en-GB"/>
        </w:rPr>
      </w:pPr>
      <w:r>
        <w:rPr>
          <w:rFonts w:ascii="Arial" w:hAnsi="Arial" w:cs="Arial"/>
          <w:color w:val="000000"/>
          <w:sz w:val="22"/>
          <w:szCs w:val="22"/>
          <w:lang w:val="en-GB"/>
        </w:rPr>
        <w:t>It has been recognised that in a centralised healthcare system, the decision-making authority, clinical policies, and electronic system configurations such as ePMA and EPR protocols are associated with a central leadership and governance (</w:t>
      </w:r>
      <w:r>
        <w:rPr>
          <w:rFonts w:ascii="Arial" w:hAnsi="Arial" w:cs="Arial"/>
          <w:color w:val="222222"/>
          <w:sz w:val="22"/>
          <w:szCs w:val="22"/>
          <w:shd w:val="clear" w:color="auto" w:fill="FFFFFF"/>
          <w:lang w:val="en-GB"/>
        </w:rPr>
        <w:t xml:space="preserve">Smith </w:t>
      </w:r>
      <w:r>
        <w:rPr>
          <w:rFonts w:ascii="Arial" w:hAnsi="Arial" w:cs="Arial"/>
          <w:i/>
          <w:iCs/>
          <w:color w:val="222222"/>
          <w:sz w:val="22"/>
          <w:szCs w:val="22"/>
          <w:shd w:val="clear" w:color="auto" w:fill="FFFFFF"/>
          <w:lang w:val="en-GB"/>
        </w:rPr>
        <w:t>et al.</w:t>
      </w:r>
      <w:r>
        <w:rPr>
          <w:rFonts w:ascii="Arial" w:hAnsi="Arial" w:cs="Arial"/>
          <w:color w:val="222222"/>
          <w:sz w:val="22"/>
          <w:szCs w:val="22"/>
          <w:shd w:val="clear" w:color="auto" w:fill="FFFFFF"/>
          <w:lang w:val="en-GB"/>
        </w:rPr>
        <w:t xml:space="preserve"> 2023</w:t>
      </w:r>
      <w:r>
        <w:rPr>
          <w:rFonts w:ascii="Arial" w:hAnsi="Arial" w:cs="Arial"/>
          <w:color w:val="000000"/>
          <w:sz w:val="22"/>
          <w:szCs w:val="22"/>
          <w:lang w:val="en-GB"/>
        </w:rPr>
        <w:t>). For instance, the executive clinical governance sets standardised hospital-wide guidelines for pausing high-risk anticoagulants before invasive procedures. Advantages of a centralised system include ensuring uniform clinical standards, standardised risk-assessment protocols, and also centralising digital safety alerts across all hospital wards. On the other hand, disadvantages include rigid central protocols failing to accommodate dynamic ward-level delays, and preventing frontline staff from being agile. Thus, the need for individualised clinical reassessments arises when procedure timelines slip.</w:t>
      </w:r>
    </w:p>
    <w:p w14:paraId="392E6B10">
      <w:pPr>
        <w:pStyle w:val="4"/>
        <w:spacing w:before="0"/>
      </w:pPr>
      <w:bookmarkStart w:id="15" w:name="_Toc235890770"/>
      <w:r>
        <w:t>Decentralised Systems Analysis</w:t>
      </w:r>
      <w:bookmarkEnd w:id="15"/>
    </w:p>
    <w:p w14:paraId="392E6B11">
      <w:pPr>
        <w:pStyle w:val="5"/>
        <w:spacing w:before="0"/>
        <w:rPr>
          <w:u w:val="none"/>
        </w:rPr>
      </w:pPr>
      <w:r>
        <w:rPr>
          <w:u w:val="none"/>
        </w:rPr>
        <w:t xml:space="preserve">Centralised and decentralised systems </w:t>
      </w:r>
    </w:p>
    <w:p w14:paraId="392E6B12">
      <w:r>
        <w:t xml:space="preserve">A centralised system primarily concentrates on decision-making authority at senior management, where major operational and clinical decisions are </w:t>
      </w:r>
      <w:r>
        <w:rPr>
          <w:b/>
          <w:bCs/>
          <w:i/>
          <w:iCs/>
        </w:rPr>
        <w:t>controlled by a central body</w:t>
      </w:r>
      <w:r>
        <w:t xml:space="preserve">. In contrast, decentralised systems distribute authority among </w:t>
      </w:r>
      <w:r>
        <w:rPr>
          <w:b/>
          <w:bCs/>
          <w:i/>
          <w:iCs/>
        </w:rPr>
        <w:t>different healthcare professionals</w:t>
      </w:r>
      <w:r>
        <w:t xml:space="preserve"> and departments, enabling frontline staff to make decisions within their areas of responsibility (NHS England, 2022). The chosen case study operates within a </w:t>
      </w:r>
      <w:r>
        <w:rPr>
          <w:b/>
          <w:bCs/>
          <w:i/>
          <w:iCs/>
        </w:rPr>
        <w:t>decentralised system.</w:t>
      </w:r>
      <w:r>
        <w:t xml:space="preserve"> The decision to stop, continue withholding and restart patient X’s apixaban was shared between the </w:t>
      </w:r>
      <w:r>
        <w:rPr>
          <w:b/>
          <w:bCs/>
          <w:i/>
          <w:iCs/>
        </w:rPr>
        <w:t xml:space="preserve">medical ward, emergency department, pharmacy service and procedural team </w:t>
      </w:r>
      <w:r>
        <w:t xml:space="preserve">(HSSIB, 2024). No single clinician maintained continuous responsibility to review anticoagulation throughout admission of the patient. It demonstrates </w:t>
      </w:r>
      <w:r>
        <w:rPr>
          <w:b/>
          <w:bCs/>
          <w:i/>
          <w:iCs/>
        </w:rPr>
        <w:t xml:space="preserve">distributed decision-making </w:t>
      </w:r>
      <w:r>
        <w:t>across multiple teams.</w:t>
      </w:r>
    </w:p>
    <w:p w14:paraId="392E6B13">
      <w:pPr>
        <w:pStyle w:val="5"/>
        <w:spacing w:before="0"/>
        <w:rPr>
          <w:u w:val="none"/>
        </w:rPr>
      </w:pPr>
      <w:r>
        <w:rPr>
          <w:u w:val="none"/>
        </w:rPr>
        <w:t xml:space="preserve">Authority distribution in a decentralised system </w:t>
      </w:r>
    </w:p>
    <w:p w14:paraId="392E6B14">
      <w:r>
        <w:t>In a decentralised NHS hospital, the authority is shared among a</w:t>
      </w:r>
      <w:r>
        <w:rPr>
          <w:b/>
          <w:bCs/>
          <w:i/>
          <w:iCs/>
        </w:rPr>
        <w:t xml:space="preserve"> multidisciplinary team</w:t>
      </w:r>
      <w:r>
        <w:t xml:space="preserve"> rather than completely controlled by a senior decision maker. During the admission of patient X, the emergency clinician stopped apixaban because of an active nosebleed, and the ward clinician continued with holding the medicine while waiting for the procedure. The NHS workforce supports the decentralised approach. The NHS in England, as of September 2024, employed 1.52 million staff, including 195,000 doctors and 390,000 qualified nursing, health visiting staff and midwifery, requiring clinical authority to be distributed across numerous professionals rather than concentrated centrally (NHS England, 2024). The responsibility to restart the treatment after the procedure was expected to transfer back to the medical team (HSSIB, 2024). The transfer of responsibility, however, was not clear, resulting in apixaban remaining omitted for </w:t>
      </w:r>
      <w:r>
        <w:rPr>
          <w:b/>
          <w:bCs/>
          <w:i/>
          <w:iCs/>
        </w:rPr>
        <w:t>10 consecutive days</w:t>
      </w:r>
      <w:r>
        <w:t xml:space="preserve"> and ultimately contributing to </w:t>
      </w:r>
      <w:r>
        <w:rPr>
          <w:b/>
          <w:bCs/>
          <w:i/>
          <w:iCs/>
        </w:rPr>
        <w:t>fatal stroke</w:t>
      </w:r>
      <w:r>
        <w:t xml:space="preserve"> of the patient. </w:t>
      </w:r>
    </w:p>
    <w:p w14:paraId="392E6B15">
      <w:pPr>
        <w:spacing w:after="0"/>
        <w:jc w:val="center"/>
      </w:pPr>
      <w:r>
        <w:rPr>
          <w:lang w:eastAsia="en-GB"/>
        </w:rPr>
        <w:drawing>
          <wp:inline distT="114300" distB="114300" distL="114300" distR="114300">
            <wp:extent cx="4686300" cy="3329940"/>
            <wp:effectExtent l="76200" t="76200" r="133350" b="13716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1"/>
                    <a:srcRect/>
                    <a:stretch>
                      <a:fillRect/>
                    </a:stretch>
                  </pic:blipFill>
                  <pic:spPr>
                    <a:xfrm>
                      <a:off x="0" y="0"/>
                      <a:ext cx="4686300" cy="332994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92E6B16">
      <w:pPr>
        <w:spacing w:after="0"/>
        <w:jc w:val="center"/>
        <w:rPr>
          <w:b/>
          <w:bCs/>
        </w:rPr>
      </w:pPr>
      <w:r>
        <w:rPr>
          <w:b/>
          <w:bCs/>
        </w:rPr>
        <w:t>Figure 4: NHS workforce distribution</w:t>
      </w:r>
    </w:p>
    <w:p w14:paraId="392E6B17">
      <w:pPr>
        <w:spacing w:after="0"/>
        <w:jc w:val="center"/>
      </w:pPr>
      <w:r>
        <w:t>(Source: NHS England, 2024)</w:t>
      </w:r>
    </w:p>
    <w:p w14:paraId="392E6B18">
      <w:pPr>
        <w:pStyle w:val="5"/>
        <w:spacing w:before="0"/>
        <w:rPr>
          <w:u w:val="none"/>
        </w:rPr>
      </w:pPr>
      <w:r>
        <w:rPr>
          <w:u w:val="none"/>
        </w:rPr>
        <w:t xml:space="preserve">Advantages and disadvantages of decentralised structure </w:t>
      </w:r>
    </w:p>
    <w:p w14:paraId="392E6B19">
      <w:r>
        <w:t xml:space="preserve">A significant advantage of decentralisation is </w:t>
      </w:r>
      <w:r>
        <w:rPr>
          <w:b/>
          <w:bCs/>
          <w:i/>
          <w:iCs/>
        </w:rPr>
        <w:t>fast clinical decision-making</w:t>
      </w:r>
      <w:r>
        <w:t xml:space="preserve"> because the frontline clinician can immediately respond to the changing condition of the patient. This was also evidenced when the clinician promptly stopped apixaban after patient X developed nose bleeding, reducing the immediate bleeding risk without waiting for senior administrative approval (HSSIB, 2024). Thus, the </w:t>
      </w:r>
      <w:r>
        <w:rPr>
          <w:b/>
          <w:bCs/>
          <w:i/>
          <w:iCs/>
        </w:rPr>
        <w:t xml:space="preserve">flexibility </w:t>
      </w:r>
      <w:r>
        <w:t>in the provision of support and responsive patient-centred care (Healthcare Safety Investigation Branch, 2019). The decentralisation can</w:t>
      </w:r>
      <w:r>
        <w:rPr>
          <w:b/>
          <w:bCs/>
          <w:i/>
          <w:iCs/>
        </w:rPr>
        <w:t xml:space="preserve"> reduce accountability</w:t>
      </w:r>
      <w:r>
        <w:t xml:space="preserve"> when responsibility is not clearly assigned (HSSIB, 2024). In this case, repeated procedural delay meant several teams became involved in anticoagulation management, but none assumed overall responsibility to again analyse the prolonged interpretation or ensure treatment resumed after the procedure. </w:t>
      </w:r>
    </w:p>
    <w:p w14:paraId="392E6B1A">
      <w:r>
        <w:t xml:space="preserve">National evidence demonstrates the scale of medication safety challenges. The NHS during 2023 and 2024 reported approximately </w:t>
      </w:r>
      <w:r>
        <w:rPr>
          <w:b/>
          <w:bCs/>
          <w:i/>
          <w:iCs/>
        </w:rPr>
        <w:t xml:space="preserve">2.1 million </w:t>
      </w:r>
      <w:r>
        <w:t xml:space="preserve">patient safety events (NHS England, 2024). In these events, around </w:t>
      </w:r>
      <w:r>
        <w:rPr>
          <w:b/>
          <w:bCs/>
          <w:i/>
          <w:iCs/>
        </w:rPr>
        <w:t>9% involved medicatio</w:t>
      </w:r>
      <w:r>
        <w:t xml:space="preserve">n, which made medicine one of the largest categories of reported safety incidents (NHS England, 2024). Globally, it is estimated that </w:t>
      </w:r>
      <w:r>
        <w:rPr>
          <w:b/>
          <w:bCs/>
          <w:i/>
          <w:iCs/>
        </w:rPr>
        <w:t>medication errors cause 42 billion US dollars</w:t>
      </w:r>
      <w:r>
        <w:t xml:space="preserve"> in health care costs every year (WHO, 2022). It highlights the importance of an effective medicine management system, as the figures demonstrate that decentralised clinical autonomy needs to be supported by communication processes and robust governance.</w:t>
      </w:r>
    </w:p>
    <w:p w14:paraId="392E6B1B">
      <w:pPr>
        <w:spacing w:after="0"/>
        <w:jc w:val="center"/>
      </w:pPr>
      <w:r>
        <w:rPr>
          <w:lang w:eastAsia="en-GB"/>
        </w:rPr>
        <w:drawing>
          <wp:inline distT="114300" distB="114300" distL="114300" distR="114300">
            <wp:extent cx="3928745" cy="3928745"/>
            <wp:effectExtent l="76200" t="76200" r="128905" b="12890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2"/>
                    <a:srcRect/>
                    <a:stretch>
                      <a:fillRect/>
                    </a:stretch>
                  </pic:blipFill>
                  <pic:spPr>
                    <a:xfrm>
                      <a:off x="0" y="0"/>
                      <a:ext cx="3929063" cy="3929063"/>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92E6B1C">
      <w:pPr>
        <w:spacing w:after="0"/>
        <w:jc w:val="center"/>
        <w:rPr>
          <w:b/>
          <w:bCs/>
        </w:rPr>
      </w:pPr>
      <w:r>
        <w:rPr>
          <w:b/>
          <w:bCs/>
        </w:rPr>
        <w:t>Figure 5: Effective medicine management system</w:t>
      </w:r>
    </w:p>
    <w:p w14:paraId="392E6B1D">
      <w:pPr>
        <w:spacing w:after="0"/>
        <w:jc w:val="center"/>
      </w:pPr>
      <w:r>
        <w:t>(Source: WHO, 2022)</w:t>
      </w:r>
    </w:p>
    <w:p w14:paraId="392E6B1E">
      <w:pPr>
        <w:pStyle w:val="5"/>
        <w:spacing w:before="0"/>
        <w:rPr>
          <w:u w:val="none"/>
        </w:rPr>
      </w:pPr>
      <w:r>
        <w:rPr>
          <w:u w:val="none"/>
        </w:rPr>
        <w:t>Critical analysis: impact on crisis management, decision making and accountability</w:t>
      </w:r>
    </w:p>
    <w:p w14:paraId="392E6B1F">
      <w:r>
        <w:t xml:space="preserve">The decentralised system both </w:t>
      </w:r>
      <w:r>
        <w:rPr>
          <w:b/>
          <w:bCs/>
          <w:i/>
          <w:iCs/>
        </w:rPr>
        <w:t xml:space="preserve">hindered </w:t>
      </w:r>
      <w:r>
        <w:t xml:space="preserve">and </w:t>
      </w:r>
      <w:r>
        <w:rPr>
          <w:b/>
          <w:bCs/>
          <w:i/>
          <w:iCs/>
        </w:rPr>
        <w:t xml:space="preserve">supported </w:t>
      </w:r>
      <w:r>
        <w:t xml:space="preserve">the care of patient X. Initially, the clinical authority was distributed, which enabled rapid management of the bleeding in the patient by stopping anticoagulation (HSSIB, 2024). Repeated </w:t>
      </w:r>
      <w:r>
        <w:rPr>
          <w:b/>
          <w:bCs/>
          <w:i/>
          <w:iCs/>
        </w:rPr>
        <w:t>procedure postponement</w:t>
      </w:r>
      <w:r>
        <w:t xml:space="preserve"> required ongoing reassessment of the bleeding risk and thromboembolic risk of the patient, yet no clinician retained clear ownership and accountability of the responsibility.</w:t>
      </w:r>
    </w:p>
    <w:p w14:paraId="392E6B20">
      <w:r>
        <w:t xml:space="preserve">The investigation concluded that incidents result from interacting organisation and system factors rather than isolated prescribing mistakes. It demonstrates the ways in which a decentralised system can make accountability weak when communication between the departments is not effective </w:t>
      </w:r>
      <w:r>
        <w:rPr>
          <w:sz w:val="20"/>
          <w:szCs w:val="20"/>
        </w:rPr>
        <w:t>(</w:t>
      </w:r>
      <w:r>
        <w:t>General Medical Council, 2024</w:t>
      </w:r>
      <w:r>
        <w:rPr>
          <w:sz w:val="20"/>
          <w:szCs w:val="20"/>
        </w:rPr>
        <w:t xml:space="preserve">). </w:t>
      </w:r>
      <w:r>
        <w:t xml:space="preserve">Even though decentralisation improves responsiveness, it requires </w:t>
      </w:r>
      <w:r>
        <w:rPr>
          <w:b/>
          <w:bCs/>
          <w:i/>
          <w:iCs/>
        </w:rPr>
        <w:t>structured governance</w:t>
      </w:r>
      <w:r>
        <w:t xml:space="preserve"> for ensuring continuity of care (Health Services Safety Investigations Body, 2023). The policy compliance data further supports the conclusion, as the staff survey of 2024 reported that only </w:t>
      </w:r>
      <w:r>
        <w:rPr>
          <w:b/>
          <w:bCs/>
          <w:i/>
          <w:iCs/>
        </w:rPr>
        <w:t>68% of NHS staff felt safe</w:t>
      </w:r>
      <w:r>
        <w:t xml:space="preserve"> to speak about the concern, while </w:t>
      </w:r>
      <w:r>
        <w:rPr>
          <w:b/>
          <w:bCs/>
          <w:i/>
          <w:iCs/>
        </w:rPr>
        <w:t>61%</w:t>
      </w:r>
      <w:r>
        <w:t xml:space="preserve"> believed that the </w:t>
      </w:r>
      <w:r>
        <w:rPr>
          <w:b/>
          <w:bCs/>
          <w:i/>
          <w:iCs/>
        </w:rPr>
        <w:t>organisation would address</w:t>
      </w:r>
      <w:r>
        <w:t xml:space="preserve"> the concern appropriately (NHS England, 2024). Thus, while this centralisation enabled timely initial clinical decisions, weaknesses in accountability and coordination ultimately contributed to the fatal outcome in the case of Patient X.</w:t>
      </w:r>
    </w:p>
    <w:p w14:paraId="392E6B21">
      <w:pPr>
        <w:pStyle w:val="3"/>
        <w:spacing w:before="0"/>
      </w:pPr>
      <w:bookmarkStart w:id="16" w:name="_Toc235890771"/>
      <w:r>
        <w:t>c. Leadership Theories and Application to the Case Study</w:t>
      </w:r>
      <w:bookmarkEnd w:id="16"/>
    </w:p>
    <w:p w14:paraId="392E6B22">
      <w:pPr>
        <w:pStyle w:val="4"/>
        <w:spacing w:before="0"/>
        <w:rPr>
          <w:u w:val="none"/>
        </w:rPr>
      </w:pPr>
      <w:bookmarkStart w:id="17" w:name="_Toc235890772"/>
      <w:r>
        <w:rPr>
          <w:u w:val="none"/>
        </w:rPr>
        <w:t>Transformational Leadership and Patient Safety</w:t>
      </w:r>
      <w:bookmarkEnd w:id="17"/>
      <w:r>
        <w:rPr>
          <w:u w:val="none"/>
        </w:rPr>
        <w:t> </w:t>
      </w:r>
    </w:p>
    <w:p w14:paraId="392E6B23">
      <w:pPr>
        <w:rPr>
          <w:szCs w:val="24"/>
        </w:rPr>
      </w:pPr>
      <w:r>
        <w:rPr>
          <w:b/>
          <w:bCs/>
          <w:szCs w:val="24"/>
        </w:rPr>
        <w:t>Transformational leadership:</w:t>
      </w:r>
      <w:r>
        <w:rPr>
          <w:szCs w:val="24"/>
        </w:rPr>
        <w:t xml:space="preserve"> The transformational leadership focuses upon vision, empowerment as well as systemic changes. These leaders inspire the staff so that they can go beyond the routine compliance, create a culture in which safety and continuous improvements are properly integrated in the day-to-day practices of the organisation (Tsapnidou </w:t>
      </w:r>
      <w:r>
        <w:rPr>
          <w:i/>
          <w:iCs/>
          <w:szCs w:val="24"/>
        </w:rPr>
        <w:t xml:space="preserve">et al. </w:t>
      </w:r>
      <w:r>
        <w:rPr>
          <w:szCs w:val="24"/>
        </w:rPr>
        <w:t>2024). In healthcare, this leadership style is linked to the high engagement of the staff, strong safety of the patients and reduced risky events</w:t>
      </w:r>
    </w:p>
    <w:p w14:paraId="392E6B24">
      <w:pPr>
        <w:rPr>
          <w:szCs w:val="24"/>
        </w:rPr>
      </w:pPr>
      <w:r>
        <w:rPr>
          <w:b/>
          <w:bCs/>
          <w:szCs w:val="24"/>
        </w:rPr>
        <w:t>Application to the case:</w:t>
      </w:r>
      <w:r>
        <w:rPr>
          <w:szCs w:val="24"/>
        </w:rPr>
        <w:t xml:space="preserve"> In the case of patient X, apixaban was stopped for 10 days and not restarted after the procedure that led to the serious stroke. The HSSIB investigation demonstrated that there was no reassessment of the ongoing decision in order to pause the apixaban when the procedure did not happen as per the expectations. This was the clear indication of the absent transformational leadership.</w:t>
      </w:r>
    </w:p>
    <w:p w14:paraId="392E6B25">
      <w:pPr>
        <w:rPr>
          <w:szCs w:val="24"/>
        </w:rPr>
      </w:pPr>
      <w:r>
        <w:rPr>
          <w:szCs w:val="24"/>
        </w:rPr>
        <w:t>The NHS staff survey 2025 indicated that only 67.3% of the staff reported that their organisation takes action after the errors are reported and just 61% said that they receive feedback on the changes that were made (NHS Staff Survey, 2026). These figures showcase a concerning gap in the Learning culture as well as responsiveness of the leadership. Moreover, the patient safety report by global WHO, 2024 showcased that the unsafe medication practices accounts for nearly 50% of the preventable harms in the healthcare system (World Health Organization, 2024). WHO showcases that the leadership vision and staff empowerment plays a very important role in reducing medication errors.</w:t>
      </w:r>
    </w:p>
    <w:p w14:paraId="392E6B26">
      <w:pPr>
        <w:jc w:val="center"/>
        <w:rPr>
          <w:szCs w:val="24"/>
        </w:rPr>
      </w:pPr>
    </w:p>
    <w:p w14:paraId="392E6B27">
      <w:pPr>
        <w:spacing w:after="0"/>
        <w:jc w:val="center"/>
        <w:rPr>
          <w:szCs w:val="24"/>
        </w:rPr>
      </w:pPr>
      <w:r>
        <w:rPr>
          <w:szCs w:val="24"/>
          <w:lang w:eastAsia="en-GB"/>
        </w:rPr>
        <w:drawing>
          <wp:inline distT="0" distB="0" distL="0" distR="0">
            <wp:extent cx="4006850" cy="4501515"/>
            <wp:effectExtent l="19050" t="0" r="0" b="0"/>
            <wp:docPr id="824750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5044"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b="11837"/>
                    <a:stretch>
                      <a:fillRect/>
                    </a:stretch>
                  </pic:blipFill>
                  <pic:spPr>
                    <a:xfrm>
                      <a:off x="0" y="0"/>
                      <a:ext cx="4006850" cy="4501844"/>
                    </a:xfrm>
                    <a:prstGeom prst="rect">
                      <a:avLst/>
                    </a:prstGeom>
                    <a:noFill/>
                    <a:ln>
                      <a:noFill/>
                    </a:ln>
                  </pic:spPr>
                </pic:pic>
              </a:graphicData>
            </a:graphic>
          </wp:inline>
        </w:drawing>
      </w:r>
    </w:p>
    <w:p w14:paraId="392E6B28">
      <w:pPr>
        <w:spacing w:after="0"/>
        <w:jc w:val="center"/>
        <w:rPr>
          <w:b/>
          <w:bCs/>
          <w:szCs w:val="24"/>
        </w:rPr>
      </w:pPr>
      <w:r>
        <w:rPr>
          <w:b/>
          <w:bCs/>
          <w:szCs w:val="24"/>
        </w:rPr>
        <w:t>Figure 6: Healthcare Errors Presented by NHS</w:t>
      </w:r>
    </w:p>
    <w:p w14:paraId="392E6B29">
      <w:pPr>
        <w:spacing w:after="0"/>
        <w:jc w:val="center"/>
        <w:rPr>
          <w:szCs w:val="24"/>
        </w:rPr>
      </w:pPr>
      <w:r>
        <w:rPr>
          <w:szCs w:val="24"/>
        </w:rPr>
        <w:t>(Source: Statista, 2024)</w:t>
      </w:r>
    </w:p>
    <w:p w14:paraId="392E6B2A">
      <w:pPr>
        <w:rPr>
          <w:szCs w:val="24"/>
        </w:rPr>
      </w:pPr>
      <w:r>
        <w:rPr>
          <w:b/>
          <w:bCs/>
          <w:szCs w:val="24"/>
        </w:rPr>
        <w:t>Critique</w:t>
      </w:r>
      <w:r>
        <w:rPr>
          <w:szCs w:val="24"/>
        </w:rPr>
        <w:t xml:space="preserve">: The leaders in this case were very reactive that showcased their command driven approach, and there was very limited focus on the immediate bleeding risk rather than the proactive purpose driven embedment of the vision into the continuous anticoagulation assessment. As per the view of Ystaas </w:t>
      </w:r>
      <w:r>
        <w:rPr>
          <w:i/>
          <w:iCs/>
          <w:szCs w:val="24"/>
        </w:rPr>
        <w:t>et al.</w:t>
      </w:r>
      <w:r>
        <w:rPr>
          <w:szCs w:val="24"/>
        </w:rPr>
        <w:t xml:space="preserve"> (2023) the absence of transformational leadership was clearly evident because the staff also lacked psychological safety in order to question the decisions made by the higher authorities and the governor structures also failed to ensure overall accountability.</w:t>
      </w:r>
    </w:p>
    <w:p w14:paraId="392E6B2B">
      <w:pPr>
        <w:pStyle w:val="4"/>
        <w:spacing w:before="0"/>
        <w:rPr>
          <w:u w:val="none"/>
        </w:rPr>
      </w:pPr>
      <w:bookmarkStart w:id="18" w:name="_Toc235890773"/>
      <w:r>
        <w:rPr>
          <w:u w:val="none"/>
        </w:rPr>
        <w:t>Transactional Leadership and Governance Failures</w:t>
      </w:r>
      <w:bookmarkEnd w:id="18"/>
    </w:p>
    <w:p w14:paraId="392E6B2C">
      <w:pPr>
        <w:rPr>
          <w:szCs w:val="24"/>
        </w:rPr>
      </w:pPr>
      <w:r>
        <w:rPr>
          <w:b/>
          <w:bCs/>
          <w:szCs w:val="24"/>
        </w:rPr>
        <w:t>Transactional leadership</w:t>
      </w:r>
      <w:r>
        <w:rPr>
          <w:szCs w:val="24"/>
        </w:rPr>
        <w:t>: Transactional leadership is built upon the compliance, rules as well as completion of the tasks. It focuses upon the clear instructions, monitoring as well as following of the established protocols (Mekonnen and Bayissa, 2023). While this style can help in ensuring consistency, it generally lacks the flexibility that is needed in the complex healthcare situation in which the patient conditions can change quickly.</w:t>
      </w:r>
    </w:p>
    <w:p w14:paraId="392E6B2D">
      <w:pPr>
        <w:rPr>
          <w:szCs w:val="24"/>
        </w:rPr>
      </w:pPr>
      <w:r>
        <w:rPr>
          <w:b/>
          <w:bCs/>
          <w:szCs w:val="24"/>
        </w:rPr>
        <w:t>Application to the case</w:t>
      </w:r>
      <w:r>
        <w:rPr>
          <w:szCs w:val="24"/>
        </w:rPr>
        <w:t xml:space="preserve">: In the case of patient, X, the anticoagulation was paused because of the risk of bleeding and this decision was made as per the protocol. The staff continued to hold apixaban without questioning the longer pause that showcased a command driven and transactional approach at the hospital. This type of rigidity shows that the changing risk for the health of patients was not addressed, which ultimately led to the fatal stroke (Al-Rjoub </w:t>
      </w:r>
      <w:r>
        <w:rPr>
          <w:i/>
          <w:iCs/>
          <w:szCs w:val="24"/>
        </w:rPr>
        <w:t xml:space="preserve">et al. </w:t>
      </w:r>
      <w:r>
        <w:rPr>
          <w:szCs w:val="24"/>
        </w:rPr>
        <w:t>2024).</w:t>
      </w:r>
    </w:p>
    <w:p w14:paraId="392E6B2E">
      <w:pPr>
        <w:rPr>
          <w:szCs w:val="24"/>
        </w:rPr>
      </w:pPr>
      <w:r>
        <w:rPr>
          <w:szCs w:val="24"/>
        </w:rPr>
        <w:t>The Department of Health and Social Care (DHSC) reveals that an estimated 237 million medication errors occur each year in England alone (BMJ, 2026). The OECD health system efficiency reports also showcase that the transactional leadership generally helps with procedural compliance, but it can be ineffective during the time when the adaptability is required. </w:t>
      </w:r>
    </w:p>
    <w:p w14:paraId="392E6B2F">
      <w:pPr>
        <w:spacing w:after="0"/>
        <w:jc w:val="center"/>
        <w:rPr>
          <w:szCs w:val="24"/>
        </w:rPr>
      </w:pPr>
      <w:r>
        <w:rPr>
          <w:szCs w:val="24"/>
          <w:lang w:eastAsia="en-GB"/>
        </w:rPr>
        <w:drawing>
          <wp:inline distT="0" distB="0" distL="0" distR="0">
            <wp:extent cx="4762500" cy="3810000"/>
            <wp:effectExtent l="0" t="0" r="0" b="0"/>
            <wp:docPr id="598878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78433"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4762500" cy="3810000"/>
                    </a:xfrm>
                    <a:prstGeom prst="rect">
                      <a:avLst/>
                    </a:prstGeom>
                    <a:noFill/>
                    <a:ln>
                      <a:noFill/>
                    </a:ln>
                  </pic:spPr>
                </pic:pic>
              </a:graphicData>
            </a:graphic>
          </wp:inline>
        </w:drawing>
      </w:r>
    </w:p>
    <w:p w14:paraId="392E6B30">
      <w:pPr>
        <w:spacing w:after="0"/>
        <w:jc w:val="center"/>
        <w:rPr>
          <w:b/>
          <w:bCs/>
          <w:szCs w:val="24"/>
        </w:rPr>
      </w:pPr>
      <w:r>
        <w:rPr>
          <w:b/>
          <w:bCs/>
          <w:szCs w:val="24"/>
        </w:rPr>
        <w:t>Figure 7: Medical Errors Prevalence in England</w:t>
      </w:r>
    </w:p>
    <w:p w14:paraId="392E6B31">
      <w:pPr>
        <w:spacing w:after="0"/>
        <w:jc w:val="center"/>
        <w:rPr>
          <w:szCs w:val="24"/>
        </w:rPr>
      </w:pPr>
      <w:r>
        <w:rPr>
          <w:szCs w:val="24"/>
        </w:rPr>
        <w:t>(Source: Caring for Care, 2026)</w:t>
      </w:r>
    </w:p>
    <w:p w14:paraId="392E6B32">
      <w:pPr>
        <w:rPr>
          <w:szCs w:val="24"/>
        </w:rPr>
      </w:pPr>
      <w:r>
        <w:rPr>
          <w:b/>
          <w:bCs/>
          <w:szCs w:val="24"/>
        </w:rPr>
        <w:t>Critique</w:t>
      </w:r>
      <w:r>
        <w:rPr>
          <w:szCs w:val="24"/>
        </w:rPr>
        <w:t>: The transaction leadership in this case created a very reactive environment. The staff followed the instructions, but somehow lacked the aspect of autonomy to reassess the risk associated with anticoagulation. Sott and Bender, (2025) states that without having a flexible and empowering approach, the governance can directly fail to prevent the harm and that is why, a more adaptive or distributed leadership style would have helped in timely review and would have led to better outcomes</w:t>
      </w:r>
    </w:p>
    <w:p w14:paraId="392E6B33">
      <w:pPr>
        <w:pStyle w:val="4"/>
        <w:spacing w:before="0"/>
        <w:rPr>
          <w:u w:val="none"/>
        </w:rPr>
      </w:pPr>
      <w:bookmarkStart w:id="19" w:name="_Toc235890774"/>
      <w:r>
        <w:rPr>
          <w:u w:val="none"/>
        </w:rPr>
        <w:t>Situational Leadership and Adaptive Decision</w:t>
      </w:r>
      <w:r>
        <w:rPr>
          <w:u w:val="none"/>
        </w:rPr>
        <w:noBreakHyphen/>
      </w:r>
      <w:r>
        <w:rPr>
          <w:u w:val="none"/>
        </w:rPr>
        <w:t>Making</w:t>
      </w:r>
      <w:bookmarkEnd w:id="19"/>
    </w:p>
    <w:p w14:paraId="392E6B34">
      <w:pPr>
        <w:rPr>
          <w:szCs w:val="24"/>
        </w:rPr>
      </w:pPr>
      <w:r>
        <w:rPr>
          <w:b/>
          <w:bCs/>
          <w:szCs w:val="24"/>
        </w:rPr>
        <w:t>Situational leadership</w:t>
      </w:r>
      <w:r>
        <w:rPr>
          <w:szCs w:val="24"/>
        </w:rPr>
        <w:t xml:space="preserve">: The situational leadership focuses upon the aspect of flexibility, adapting the style as per the requirements (Wang </w:t>
      </w:r>
      <w:r>
        <w:rPr>
          <w:i/>
          <w:iCs/>
          <w:szCs w:val="24"/>
        </w:rPr>
        <w:t xml:space="preserve">et al. </w:t>
      </w:r>
      <w:r>
        <w:rPr>
          <w:szCs w:val="24"/>
        </w:rPr>
        <w:t>2024). The leaders might adopt a directive approach in which the urgent actions are required, but can again shift to the supporting style when the circumstances get resolved. In healthcare, such adapt abilities very important because the conditions of the patients remain changes very rapidly</w:t>
      </w:r>
    </w:p>
    <w:p w14:paraId="392E6B35">
      <w:pPr>
        <w:rPr>
          <w:szCs w:val="24"/>
        </w:rPr>
      </w:pPr>
      <w:r>
        <w:rPr>
          <w:b/>
          <w:bCs/>
          <w:szCs w:val="24"/>
        </w:rPr>
        <w:t>Application to the case</w:t>
      </w:r>
      <w:r>
        <w:rPr>
          <w:szCs w:val="24"/>
        </w:rPr>
        <w:t>: In the case of patient X, the leadership remained very static in which the initial directive decision to pause the apixaban was appropriate as per the risk of bleeding. However, when the procedure was delayed, the situation leadership would have required to shift the support accordingly. This would have been done by doing the daily risk reviews, multidisciplinary input as well as staff empowerment in order to assess the anticoagulants. Instead, the pause continued and remained unchanged for about 10 days, which led to a big stroke. </w:t>
      </w:r>
    </w:p>
    <w:p w14:paraId="392E6B36">
      <w:pPr>
        <w:rPr>
          <w:szCs w:val="24"/>
        </w:rPr>
      </w:pPr>
      <w:r>
        <w:rPr>
          <w:szCs w:val="24"/>
        </w:rPr>
        <w:t xml:space="preserve">Singh </w:t>
      </w:r>
      <w:r>
        <w:rPr>
          <w:i/>
          <w:iCs/>
          <w:szCs w:val="24"/>
        </w:rPr>
        <w:t xml:space="preserve">et al. </w:t>
      </w:r>
      <w:r>
        <w:rPr>
          <w:szCs w:val="24"/>
        </w:rPr>
        <w:t>(2024) reported that adaptive leadership practices are directly linked to the positive reduction in the adverse drug events. As the leaders encourage the staff to quickly escalate the concerns and adjust the decisions in the real time. Moreover, WHO system thinking framework focuses on the aspect that adaptive leadership is very important in the complex environment of hospitals. In this the dynamic feedback loops as well as ever-changing risk demand very, flexible responses play a vital role in overall operations (World Health Organization, 2026). Moreover, the investigation of HSSIB highlighted that “workforce challenges limited the resources to follow up on the medication status of the patient” showcasing how the leadership failed to manage responsibilities.</w:t>
      </w:r>
    </w:p>
    <w:p w14:paraId="392E6B37">
      <w:pPr>
        <w:rPr>
          <w:szCs w:val="24"/>
        </w:rPr>
      </w:pPr>
      <w:r>
        <w:rPr>
          <w:b/>
          <w:bCs/>
          <w:szCs w:val="24"/>
        </w:rPr>
        <w:t>Critique</w:t>
      </w:r>
      <w:r>
        <w:rPr>
          <w:szCs w:val="24"/>
        </w:rPr>
        <w:t>: The leadership in this case was very reactive and rigid, and there was no distribution of decision-making or emotional intelligence that was properly applied. This left the staff without any guidance for the adaptation as per the delay. Jerab (2023) states that situational leadership in this situation could have helped in ensuring a timely reassessment that would have prevented harm through a proactive, and context, sensitive decision-making.</w:t>
      </w:r>
    </w:p>
    <w:p w14:paraId="392E6B38">
      <w:pPr>
        <w:rPr>
          <w:szCs w:val="24"/>
        </w:rPr>
      </w:pPr>
      <w:r>
        <w:rPr>
          <w:szCs w:val="24"/>
        </w:rPr>
        <w:t>Ultimately, the Transformational, Transactional and Situational Leadership each highlight essential shortcomings within the context of Patient X. The leaders showcased reactiveness, rigidity as well as inability to adapt to changing risks. The use of proactivity, delegation and emotional intelligence would have led to re-assessment and thus avoided any possible fatality.</w:t>
      </w:r>
    </w:p>
    <w:p w14:paraId="61AE6DD4">
      <w:pPr>
        <w:pStyle w:val="3"/>
        <w:spacing w:before="0"/>
      </w:pPr>
      <w:bookmarkStart w:id="20" w:name="_Toc235890775"/>
      <w:r>
        <w:t>d. Improvement and Lessons Learned</w:t>
      </w:r>
      <w:bookmarkEnd w:id="20"/>
      <w:r>
        <w:t xml:space="preserve"> </w:t>
      </w:r>
    </w:p>
    <w:p w14:paraId="7BB83827">
      <w:r>
        <w:t xml:space="preserve">The inefficient interaction between leadership decisions and governance structure led to the outcome of Patient X's death. The outcome was not the result of a single clinical mistake; rather, it was caused by a series of disconnected decisions across the different teams, which caused a serious risk to remain unmanaged for ten days. </w:t>
      </w:r>
    </w:p>
    <w:p w14:paraId="654F1DB6">
      <w:pPr>
        <w:rPr>
          <w:b/>
          <w:bCs/>
          <w:i/>
          <w:iCs/>
        </w:rPr>
      </w:pPr>
      <w:r>
        <w:rPr>
          <w:b/>
          <w:bCs/>
          <w:i/>
          <w:iCs/>
        </w:rPr>
        <w:t>How Leadership and Governance Interacted</w:t>
      </w:r>
    </w:p>
    <w:p w14:paraId="2733BE8A">
      <w:r>
        <w:t xml:space="preserve">The case scenario shows that the clinical responsibility for Patient X was across the emergency department, the acute medical unit, the acute general medical ward, and finally the respiratory services. However, not a single leader took ongoing responsibility and accountability for his anticoagulation. Each of the team functioned within its own span of responsibility. Even after the referral was accepted, the accepting facility had no formal duty to review the patient until the bed became available (HSSIB, 2025). From this, it can be said that the leadership between the pathways was mainly reactive rather than anticipatory, with decisions being reconsidered only after the patient suffered a stroke.  According to Negrini </w:t>
      </w:r>
      <w:r>
        <w:rPr>
          <w:i/>
          <w:iCs/>
        </w:rPr>
        <w:t>et al.</w:t>
      </w:r>
      <w:r>
        <w:t xml:space="preserve"> (2024), effective healthcare leadership needed proactive risk identification and timely intervention to prevent avoidable patient harm. Governance processes also depended heavily on individual staff remembering to review medications instead of being supported by effective system controls. For instance, the electronic prescribing system at the focused NHS hospital did not provide reminders for reviewing the paused anticoagulant medication or prompts to consider restarting it after the procedure (HSSIB, 2025). Overall, it can be said that, in this case, leadership and governance interacted in a way where weak leadership failed to ensure clear accountability, while ineffective governance lacked system control for supporting safe medication management, which ultimately led to the outcome of Patient X's death.</w:t>
      </w:r>
    </w:p>
    <w:p w14:paraId="07216B6F">
      <w:pPr>
        <w:rPr>
          <w:b/>
          <w:bCs/>
        </w:rPr>
      </w:pPr>
      <w:r>
        <w:rPr>
          <w:b/>
          <w:bCs/>
        </w:rPr>
        <w:t>Application of CATWOE to Leadership and Governance Failure</w:t>
      </w:r>
    </w:p>
    <w:tbl>
      <w:tblPr>
        <w:tblStyle w:val="12"/>
        <w:tblpPr w:leftFromText="180" w:rightFromText="180" w:topFromText="180" w:bottomFromText="180" w:vertAnchor="text" w:tblpX="45"/>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2376"/>
        <w:gridCol w:w="6984"/>
      </w:tblGrid>
      <w:tr w14:paraId="708E1BF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2376" w:type="dxa"/>
          </w:tcPr>
          <w:p w14:paraId="282336C0">
            <w:pPr>
              <w:widowControl w:val="0"/>
              <w:jc w:val="center"/>
              <w:rPr>
                <w:b/>
                <w:bCs/>
                <w:i/>
                <w:iCs/>
              </w:rPr>
            </w:pPr>
            <w:r>
              <w:rPr>
                <w:b/>
                <w:bCs/>
                <w:i/>
                <w:iCs/>
              </w:rPr>
              <w:t>CATOWE Element</w:t>
            </w:r>
          </w:p>
        </w:tc>
        <w:tc>
          <w:tcPr>
            <w:tcW w:w="6984" w:type="dxa"/>
          </w:tcPr>
          <w:p w14:paraId="69F82AC8">
            <w:pPr>
              <w:widowControl w:val="0"/>
              <w:jc w:val="center"/>
              <w:rPr>
                <w:b/>
                <w:bCs/>
                <w:i/>
                <w:iCs/>
              </w:rPr>
            </w:pPr>
            <w:r>
              <w:rPr>
                <w:b/>
                <w:bCs/>
                <w:i/>
                <w:iCs/>
              </w:rPr>
              <w:t>Application of Patient X’s Case</w:t>
            </w:r>
          </w:p>
        </w:tc>
      </w:tr>
      <w:tr w14:paraId="5953183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2376" w:type="dxa"/>
          </w:tcPr>
          <w:p w14:paraId="16D490E1">
            <w:pPr>
              <w:widowControl w:val="0"/>
              <w:jc w:val="left"/>
            </w:pPr>
            <w:r>
              <w:t>Customer (C)</w:t>
            </w:r>
          </w:p>
        </w:tc>
        <w:tc>
          <w:tcPr>
            <w:tcW w:w="6984" w:type="dxa"/>
          </w:tcPr>
          <w:p w14:paraId="73C6C4CD">
            <w:pPr>
              <w:widowControl w:val="0"/>
              <w:numPr>
                <w:ilvl w:val="0"/>
                <w:numId w:val="4"/>
              </w:numPr>
              <w:spacing w:after="0"/>
              <w:jc w:val="left"/>
            </w:pPr>
            <w:r>
              <w:t xml:space="preserve">Patient X and his family </w:t>
            </w:r>
          </w:p>
          <w:p w14:paraId="2B78EE1A">
            <w:pPr>
              <w:widowControl w:val="0"/>
              <w:numPr>
                <w:ilvl w:val="0"/>
                <w:numId w:val="4"/>
              </w:numPr>
              <w:spacing w:after="0"/>
              <w:jc w:val="left"/>
            </w:pPr>
            <w:r>
              <w:t xml:space="preserve">Other patients on anticoagulants across the trust </w:t>
            </w:r>
          </w:p>
        </w:tc>
      </w:tr>
      <w:tr w14:paraId="5B39671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2376" w:type="dxa"/>
          </w:tcPr>
          <w:p w14:paraId="63D4B55E">
            <w:pPr>
              <w:widowControl w:val="0"/>
              <w:jc w:val="left"/>
            </w:pPr>
            <w:r>
              <w:t>Actors (A)</w:t>
            </w:r>
          </w:p>
        </w:tc>
        <w:tc>
          <w:tcPr>
            <w:tcW w:w="6984" w:type="dxa"/>
          </w:tcPr>
          <w:p w14:paraId="723ECA9C">
            <w:pPr>
              <w:widowControl w:val="0"/>
              <w:numPr>
                <w:ilvl w:val="0"/>
                <w:numId w:val="5"/>
              </w:numPr>
              <w:spacing w:after="0"/>
              <w:jc w:val="left"/>
            </w:pPr>
            <w:r>
              <w:t>Emergency department staff</w:t>
            </w:r>
          </w:p>
          <w:p w14:paraId="6DEFBF5A">
            <w:pPr>
              <w:widowControl w:val="0"/>
              <w:numPr>
                <w:ilvl w:val="0"/>
                <w:numId w:val="5"/>
              </w:numPr>
              <w:spacing w:after="0"/>
              <w:jc w:val="left"/>
            </w:pPr>
            <w:r>
              <w:t>Acute Medical Unit doctors and nurses</w:t>
            </w:r>
          </w:p>
          <w:p w14:paraId="218CC321">
            <w:pPr>
              <w:widowControl w:val="0"/>
              <w:numPr>
                <w:ilvl w:val="0"/>
                <w:numId w:val="5"/>
              </w:numPr>
              <w:spacing w:after="0"/>
              <w:jc w:val="left"/>
            </w:pPr>
            <w:r>
              <w:t>Acute general medical team</w:t>
            </w:r>
          </w:p>
          <w:p w14:paraId="30267DF7">
            <w:pPr>
              <w:widowControl w:val="0"/>
              <w:numPr>
                <w:ilvl w:val="0"/>
                <w:numId w:val="5"/>
              </w:numPr>
              <w:spacing w:after="0"/>
              <w:jc w:val="left"/>
            </w:pPr>
            <w:r>
              <w:t xml:space="preserve">Respiratory specialist </w:t>
            </w:r>
          </w:p>
          <w:p w14:paraId="4FBB3051">
            <w:pPr>
              <w:widowControl w:val="0"/>
              <w:numPr>
                <w:ilvl w:val="0"/>
                <w:numId w:val="5"/>
              </w:numPr>
              <w:spacing w:after="0"/>
              <w:jc w:val="left"/>
            </w:pPr>
            <w:r>
              <w:t>Pharmacy staff</w:t>
            </w:r>
          </w:p>
        </w:tc>
      </w:tr>
      <w:tr w14:paraId="553A9EA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2376" w:type="dxa"/>
          </w:tcPr>
          <w:p w14:paraId="4435E5FB">
            <w:pPr>
              <w:widowControl w:val="0"/>
              <w:jc w:val="left"/>
            </w:pPr>
            <w:r>
              <w:t>Transformation (T)</w:t>
            </w:r>
          </w:p>
        </w:tc>
        <w:tc>
          <w:tcPr>
            <w:tcW w:w="6984" w:type="dxa"/>
          </w:tcPr>
          <w:p w14:paraId="62C4A03A">
            <w:pPr>
              <w:widowControl w:val="0"/>
              <w:numPr>
                <w:ilvl w:val="0"/>
                <w:numId w:val="6"/>
              </w:numPr>
              <w:spacing w:after="0"/>
              <w:jc w:val="left"/>
            </w:pPr>
            <w:r>
              <w:t xml:space="preserve">Input: An anticoagulated patient (Patient X) was admitted with bleeding and a pending procedure </w:t>
            </w:r>
          </w:p>
          <w:p w14:paraId="2C43CD4E">
            <w:pPr>
              <w:widowControl w:val="0"/>
              <w:numPr>
                <w:ilvl w:val="0"/>
                <w:numId w:val="6"/>
              </w:numPr>
              <w:spacing w:after="0"/>
              <w:jc w:val="left"/>
            </w:pPr>
            <w:r>
              <w:t xml:space="preserve">Intended output: transformed into a patient safely paused, monitored, and treated. </w:t>
            </w:r>
          </w:p>
          <w:p w14:paraId="4027E2F5">
            <w:pPr>
              <w:widowControl w:val="0"/>
              <w:numPr>
                <w:ilvl w:val="0"/>
                <w:numId w:val="6"/>
              </w:numPr>
              <w:spacing w:after="0"/>
              <w:jc w:val="left"/>
            </w:pPr>
            <w:r>
              <w:t xml:space="preserve">The transformation failed </w:t>
            </w:r>
          </w:p>
        </w:tc>
      </w:tr>
      <w:tr w14:paraId="1E8D8FE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2376" w:type="dxa"/>
          </w:tcPr>
          <w:p w14:paraId="44E46739">
            <w:pPr>
              <w:widowControl w:val="0"/>
              <w:jc w:val="left"/>
            </w:pPr>
            <w:r>
              <w:t>Worldwide (W)</w:t>
            </w:r>
          </w:p>
        </w:tc>
        <w:tc>
          <w:tcPr>
            <w:tcW w:w="6984" w:type="dxa"/>
          </w:tcPr>
          <w:p w14:paraId="0958BC4B">
            <w:pPr>
              <w:widowControl w:val="0"/>
              <w:jc w:val="left"/>
            </w:pPr>
            <w:r>
              <w:t>The implicit assumption among the staff is</w:t>
            </w:r>
          </w:p>
          <w:p w14:paraId="2C3C40C5">
            <w:pPr>
              <w:widowControl w:val="0"/>
              <w:numPr>
                <w:ilvl w:val="0"/>
                <w:numId w:val="7"/>
              </w:numPr>
              <w:spacing w:after="0"/>
              <w:jc w:val="left"/>
            </w:pPr>
            <w:r>
              <w:t xml:space="preserve">Anticoagulation review was someone else's responsibility once a patient moved to a new team </w:t>
            </w:r>
          </w:p>
        </w:tc>
      </w:tr>
      <w:tr w14:paraId="1208253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2376" w:type="dxa"/>
          </w:tcPr>
          <w:p w14:paraId="37D62539">
            <w:pPr>
              <w:widowControl w:val="0"/>
              <w:jc w:val="left"/>
            </w:pPr>
            <w:r>
              <w:t>Owner (O)</w:t>
            </w:r>
          </w:p>
        </w:tc>
        <w:tc>
          <w:tcPr>
            <w:tcW w:w="6984" w:type="dxa"/>
          </w:tcPr>
          <w:p w14:paraId="2D5EDE2A">
            <w:pPr>
              <w:widowControl w:val="0"/>
              <w:numPr>
                <w:ilvl w:val="0"/>
                <w:numId w:val="8"/>
              </w:numPr>
              <w:spacing w:after="0"/>
              <w:jc w:val="left"/>
            </w:pPr>
            <w:r>
              <w:t>No individual or team takes ownership and accountability</w:t>
            </w:r>
          </w:p>
          <w:p w14:paraId="2B7DBEA9">
            <w:pPr>
              <w:widowControl w:val="0"/>
              <w:numPr>
                <w:ilvl w:val="0"/>
                <w:numId w:val="8"/>
              </w:numPr>
              <w:spacing w:after="0"/>
              <w:jc w:val="left"/>
            </w:pPr>
            <w:r>
              <w:t xml:space="preserve">Ownership was diffuse and never formally assigned to a named clinical lead. </w:t>
            </w:r>
          </w:p>
        </w:tc>
      </w:tr>
      <w:tr w14:paraId="40A8940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2376" w:type="dxa"/>
          </w:tcPr>
          <w:p w14:paraId="5D88CEA7">
            <w:pPr>
              <w:widowControl w:val="0"/>
              <w:jc w:val="left"/>
            </w:pPr>
            <w:r>
              <w:t>Environmental Constraints</w:t>
            </w:r>
          </w:p>
        </w:tc>
        <w:tc>
          <w:tcPr>
            <w:tcW w:w="6984" w:type="dxa"/>
          </w:tcPr>
          <w:p w14:paraId="646CB96D">
            <w:pPr>
              <w:widowControl w:val="0"/>
              <w:numPr>
                <w:ilvl w:val="0"/>
                <w:numId w:val="9"/>
              </w:numPr>
              <w:spacing w:after="0"/>
              <w:jc w:val="left"/>
            </w:pPr>
            <w:r>
              <w:t>An anticoagulation guideline unreviewed for over seven years with contradictory entries</w:t>
            </w:r>
          </w:p>
          <w:p w14:paraId="3A1285DB">
            <w:pPr>
              <w:widowControl w:val="0"/>
              <w:numPr>
                <w:ilvl w:val="0"/>
                <w:numId w:val="9"/>
              </w:numPr>
              <w:spacing w:after="0"/>
              <w:jc w:val="left"/>
            </w:pPr>
            <w:r>
              <w:t>Respiratory bed shortage</w:t>
            </w:r>
          </w:p>
          <w:p w14:paraId="73A5F4AD">
            <w:pPr>
              <w:widowControl w:val="0"/>
              <w:numPr>
                <w:ilvl w:val="0"/>
                <w:numId w:val="9"/>
              </w:numPr>
              <w:spacing w:after="0"/>
              <w:jc w:val="left"/>
            </w:pPr>
            <w:r>
              <w:t>An ePMA system with no automated prompt</w:t>
            </w:r>
          </w:p>
        </w:tc>
      </w:tr>
    </w:tbl>
    <w:p w14:paraId="1E446C4C">
      <w:pPr>
        <w:jc w:val="center"/>
        <w:rPr>
          <w:b/>
          <w:bCs/>
        </w:rPr>
      </w:pPr>
      <w:r>
        <w:rPr>
          <w:b/>
          <w:bCs/>
        </w:rPr>
        <w:t>Table 1: CATWOE Table</w:t>
      </w:r>
    </w:p>
    <w:p w14:paraId="41FB7494">
      <w:pPr>
        <w:jc w:val="center"/>
      </w:pPr>
      <w:r>
        <w:t>(Source: Self-developed)</w:t>
      </w:r>
    </w:p>
    <w:p w14:paraId="66B42ADA">
      <w:r>
        <w:t xml:space="preserve">The CATWOE table shows that no single person or team carried out the accountability required to restart Patient X’s apixaban after he had transferred from the emergency department to the acute medical unit, then to the general medicine ward and eventually to the respiratory department (HSSIB, 2025). In all cases where there was a transfer to another department, review was seen as somebody else’s job, which meant that the Transformation, restarting the anticoagulant therapy safely, could never happen. This is linked to the Weltanschauung column above. Staff felt that the process to restart Patient X’s apixaban should have been picked automatically by the other department. It could be assumed easily because of the environmental constraints outlined above. There is an outdated guideline from seven years ago and the ePMA with no prompts for review. </w:t>
      </w:r>
    </w:p>
    <w:p w14:paraId="28DCEC47">
      <w:pPr>
        <w:rPr>
          <w:b/>
          <w:bCs/>
          <w:i/>
          <w:iCs/>
        </w:rPr>
      </w:pPr>
      <w:r>
        <w:rPr>
          <w:b/>
          <w:bCs/>
          <w:i/>
          <w:iCs/>
        </w:rPr>
        <w:t>Missed Opportunities and Evidence-Based Solutions</w:t>
      </w:r>
    </w:p>
    <w:p w14:paraId="3E6115AB">
      <w:pPr>
        <w:rPr>
          <w:i/>
          <w:iCs/>
          <w:u w:val="single"/>
        </w:rPr>
      </w:pPr>
      <w:r>
        <w:rPr>
          <w:i/>
          <w:iCs/>
          <w:u w:val="single"/>
        </w:rPr>
        <w:t>Identified Problem 1 (Owner and Environment Rows)</w:t>
      </w:r>
    </w:p>
    <w:p w14:paraId="2D890B9A">
      <w:r>
        <w:rPr>
          <w:b/>
          <w:bCs/>
        </w:rPr>
        <w:t>Problem:</w:t>
      </w:r>
      <w:r>
        <w:t xml:space="preserve"> From the case scenario, it has been identified that the local anticoagulation was outdated, contradictory, and also hard to assess. The Health Service Safety Investigation Report revealed that the Apinaban was listed in the trust’s guidance table with different pause periods for each entry. Moreover, the specific interim guideline for apixaban had not been reviewed for over 7 years (HSSIB, 2025). Thus, the problem was the absence of clear, consistent, and up-to-date anticoagulation guidance, which led to confusion and unsafe clinical decision-making.</w:t>
      </w:r>
    </w:p>
    <w:p w14:paraId="7D8EDB8C">
      <w:r>
        <w:rPr>
          <w:b/>
          <w:bCs/>
        </w:rPr>
        <w:t>Data:</w:t>
      </w:r>
      <w:r>
        <w:t xml:space="preserve"> A study conducted by Rowily </w:t>
      </w:r>
      <w:r>
        <w:rPr>
          <w:i/>
          <w:iCs/>
        </w:rPr>
        <w:t>et al</w:t>
      </w:r>
      <w:r>
        <w:t>. (2023) 15730 NHS incident reports associated with direct oral anticoagulants revealed that 25 deaths and 270 severe harms resulted from poor guidance and system failure.</w:t>
      </w:r>
    </w:p>
    <w:p w14:paraId="6C898A6F">
      <w:r>
        <w:rPr>
          <w:b/>
          <w:bCs/>
        </w:rPr>
        <w:t xml:space="preserve">Improvement: </w:t>
      </w:r>
      <w:r>
        <w:t xml:space="preserve">The anticoagulation guidance needs to be managed by a designated clinical governance lead. Along with that, it needs to be reviewed every year with the input from pharmacy and haematology teams (Silvari </w:t>
      </w:r>
      <w:r>
        <w:rPr>
          <w:i/>
          <w:iCs/>
        </w:rPr>
        <w:t>et al</w:t>
      </w:r>
      <w:r>
        <w:t xml:space="preserve">., 2024). Additionally, it needs to be stored in one easily accessible digital location to ensure easy access at the time of need. </w:t>
      </w:r>
    </w:p>
    <w:p w14:paraId="7390B8D6">
      <w:pPr>
        <w:rPr>
          <w:i/>
          <w:iCs/>
          <w:u w:val="single"/>
        </w:rPr>
      </w:pPr>
      <w:r>
        <w:rPr>
          <w:i/>
          <w:iCs/>
          <w:u w:val="single"/>
        </w:rPr>
        <w:t>Identified Problem 2 (transformation row)</w:t>
      </w:r>
    </w:p>
    <w:p w14:paraId="120FD4F8">
      <w:r>
        <w:rPr>
          <w:b/>
          <w:bCs/>
        </w:rPr>
        <w:t>Problem:</w:t>
      </w:r>
      <w:r>
        <w:t xml:space="preserve"> The ePMA system provided no active safeguard once the apixaban was paused. </w:t>
      </w:r>
    </w:p>
    <w:p w14:paraId="0469DEE0">
      <w:r>
        <w:rPr>
          <w:b/>
          <w:bCs/>
        </w:rPr>
        <w:t>Data:</w:t>
      </w:r>
      <w:r>
        <w:t xml:space="preserve"> As per the report of WHO, about 50% of the preventable harm in medical care arises due to poor medication systems rather than individual behaviour (WHO, 2026).</w:t>
      </w:r>
    </w:p>
    <w:p w14:paraId="6C97F45D">
      <w:r>
        <w:rPr>
          <w:b/>
          <w:bCs/>
        </w:rPr>
        <w:t>Improvement:</w:t>
      </w:r>
      <w:r>
        <w:t xml:space="preserve"> The ePMA system needs to be improved, followed by the NHS England system-based approach to improve patient safety (NHS England, 2024). The ePMA should automatically alert staff to review any paused high-risk medication effectively. </w:t>
      </w:r>
    </w:p>
    <w:p w14:paraId="1C868E72">
      <w:pPr>
        <w:rPr>
          <w:i/>
          <w:iCs/>
          <w:u w:val="single"/>
        </w:rPr>
      </w:pPr>
      <w:r>
        <w:rPr>
          <w:i/>
          <w:iCs/>
          <w:u w:val="single"/>
        </w:rPr>
        <w:t>Identified Problem 3 (Actor and Environment rows)</w:t>
      </w:r>
    </w:p>
    <w:p w14:paraId="71136C39">
      <w:r>
        <w:rPr>
          <w:b/>
          <w:bCs/>
        </w:rPr>
        <w:t>Problem:</w:t>
      </w:r>
      <w:r>
        <w:t xml:space="preserve"> The respiratory bed shortage indicates Patient X remained without the required respiratory oversight while waiting for the bed. In addition, the trust had removed its dedicated pleural nurse post due to financial constraints impacting the care quality (HSSIB, 2025).</w:t>
      </w:r>
    </w:p>
    <w:p w14:paraId="112BCB7C">
      <w:r>
        <w:rPr>
          <w:b/>
          <w:bCs/>
        </w:rPr>
        <w:t>Data:</w:t>
      </w:r>
      <w:r>
        <w:t xml:space="preserve"> The study conducted by Stanton </w:t>
      </w:r>
      <w:r>
        <w:rPr>
          <w:i/>
          <w:iCs/>
        </w:rPr>
        <w:t>et al</w:t>
      </w:r>
      <w:r>
        <w:t>. (2025) found that 70% of hospitals in the UK have no pleural specialist nurses and 62% of the hospitals reported at least 1 patient safety incident. Moreover, the NHS vacancy rate increased to 8.4%, which is about 121,00 infilled posts (The Kings Fund, 2024).</w:t>
      </w:r>
    </w:p>
    <w:p w14:paraId="582A026D">
      <w:r>
        <w:rPr>
          <w:b/>
          <w:bCs/>
        </w:rPr>
        <w:t>Improvement:</w:t>
      </w:r>
      <w:r>
        <w:t xml:space="preserve"> The trust needs to restore the specialist pleural nursing capacity and ensure both the receiving and referring teams share responsibility for patients waiting to transfer. </w:t>
      </w:r>
    </w:p>
    <w:p w14:paraId="5EABFA25">
      <w:pPr>
        <w:rPr>
          <w:b/>
          <w:bCs/>
        </w:rPr>
      </w:pPr>
      <w:r>
        <w:rPr>
          <w:b/>
          <w:bCs/>
        </w:rPr>
        <w:t>Relationships Between Systems Structure, Leadership Style, and Feedback</w:t>
      </w:r>
    </w:p>
    <w:p w14:paraId="3344639E">
      <w:r>
        <w:t>The structure of this trust included a centrally defined legacy guide and single record process, but ward-based decision-making did not have corresponding structures in place (HSSIB, 2025). The structure mismatch is related to environmental factors that were centrally controlled and actor accountability that was locally fragmented. Leadership style was mainly transactional, with more concern about short-term pressures on wards than the risk to the Customer. There were no feedback loops, meaning the flawed transformation could not correct itself before the damage was done.</w:t>
      </w:r>
    </w:p>
    <w:p w14:paraId="392E6B3A">
      <w:pPr>
        <w:pStyle w:val="4"/>
        <w:spacing w:before="0"/>
        <w:rPr>
          <w:rStyle w:val="44"/>
          <w:i/>
          <w:iCs w:val="0"/>
          <w:color w:val="000000" w:themeColor="text1"/>
          <w:u w:val="none"/>
        </w:rPr>
      </w:pPr>
      <w:bookmarkStart w:id="21" w:name="_Toc235890776"/>
      <w:r>
        <w:rPr>
          <w:rStyle w:val="44"/>
          <w:i/>
          <w:iCs w:val="0"/>
          <w:color w:val="000000" w:themeColor="text1"/>
          <w:u w:val="none"/>
        </w:rPr>
        <w:t>Lessons Learned</w:t>
      </w:r>
      <w:bookmarkEnd w:id="21"/>
    </w:p>
    <w:p w14:paraId="392E6B3B">
      <w:pPr>
        <w:rPr>
          <w:szCs w:val="24"/>
        </w:rPr>
      </w:pPr>
      <w:r>
        <w:rPr>
          <w:szCs w:val="24"/>
        </w:rPr>
        <w:t xml:space="preserve">The other healthcare organisation can learn very important lessons from the case of patient X. The rigid adherence to the protocols without having any adaptive leadership can lead to very fatal oversights. The organisations must use a proactive system for the daily reassessment in order to ensure that the positive medications are reviewed constantly (Meyer-Massetti </w:t>
      </w:r>
      <w:r>
        <w:rPr>
          <w:i/>
          <w:iCs/>
          <w:szCs w:val="24"/>
        </w:rPr>
        <w:t xml:space="preserve">et al. </w:t>
      </w:r>
      <w:r>
        <w:rPr>
          <w:szCs w:val="24"/>
        </w:rPr>
        <w:t xml:space="preserve">2025). The emotional intelligence along with the distributed leadership further be implemented to empower the staff so that the concerns can be escalated and the static decisions can be challenged (Powell </w:t>
      </w:r>
      <w:r>
        <w:rPr>
          <w:i/>
          <w:iCs/>
          <w:szCs w:val="24"/>
        </w:rPr>
        <w:t xml:space="preserve">et al. </w:t>
      </w:r>
      <w:r>
        <w:rPr>
          <w:szCs w:val="24"/>
        </w:rPr>
        <w:t>2025). The clear governance structures supported by electronic prescribing prompts are very important so as to prevent the gaps in the communication. Creating a culture of accountability, adaptability, as well as staff engagement, the health system can strengthen the safety of patient, reduce medication errors and avoid preventable harm. This is especially useful in the complex, as well as dynamic care environments of the hospitals.</w:t>
      </w:r>
    </w:p>
    <w:p w14:paraId="49872797">
      <w:pPr>
        <w:rPr>
          <w:b/>
          <w:bCs/>
        </w:rPr>
      </w:pPr>
      <w:r>
        <w:rPr>
          <w:b/>
          <w:bCs/>
        </w:rPr>
        <w:t>The Use of Evidence and Data to Ensure Continuous Improvement</w:t>
      </w:r>
    </w:p>
    <w:p w14:paraId="59821324">
      <w:r>
        <w:t xml:space="preserve">Data on routine incidents, available through NHS England’s Learn from Patient Safety Events service, should be assessed at board level according to the NHS England guideline (NHS England, 2024). Non-punitive reporting will promote a just culture in which staff members are comfortable reporting issues (Kumah, 2025). Continued improvement needs both leadership and data to work together so the frontline evidence consistently informs governance rather than being collected without consequence. </w:t>
      </w:r>
    </w:p>
    <w:p w14:paraId="6E253BCB">
      <w:pPr>
        <w:pStyle w:val="2"/>
        <w:spacing w:before="0"/>
      </w:pPr>
      <w:bookmarkStart w:id="22" w:name="_kpjhw7jxhikf" w:colFirst="0" w:colLast="0"/>
      <w:bookmarkEnd w:id="22"/>
      <w:bookmarkStart w:id="23" w:name="_Toc235890777"/>
      <w:r>
        <w:t>Recommendation</w:t>
      </w:r>
      <w:bookmarkEnd w:id="23"/>
      <w:r>
        <w:t xml:space="preserve"> </w:t>
      </w:r>
    </w:p>
    <w:p w14:paraId="7FE9631A">
      <w:pPr>
        <w:rPr>
          <w:b/>
          <w:bCs/>
          <w:i/>
          <w:iCs/>
        </w:rPr>
      </w:pPr>
      <w:r>
        <w:rPr>
          <w:b/>
          <w:bCs/>
          <w:i/>
          <w:iCs/>
        </w:rPr>
        <w:t xml:space="preserve">Recommendation 1: Establishing Distributed Clinical Leadership with Named Accountability for High-Risk Medication </w:t>
      </w:r>
    </w:p>
    <w:p w14:paraId="67A3999B">
      <w:r>
        <w:t xml:space="preserve">The trust needs to shift from task-oriented transactional leadership style. Rather, it needs to embrace a distributed and shared leadership style. With this approach, accountability for high-stakes decisions will remain shared yet well-defined. The anticoagulation review process would require a dedicated clinical governance lead on whom it can be placed permanently (Kholmukhamedov </w:t>
      </w:r>
      <w:r>
        <w:rPr>
          <w:i/>
          <w:iCs/>
        </w:rPr>
        <w:t>et al</w:t>
      </w:r>
      <w:r>
        <w:t xml:space="preserve">., 2025). It will get pharmacy and haematology support at each point of transferring care. Thus, the lack found in the CATWOE analysis will be addressed. Namely, the Owner component of the CATWOE analysis was vague and never allocated. Distributed and shared leadership works best for maintaining change (Curșeu </w:t>
      </w:r>
      <w:r>
        <w:rPr>
          <w:i/>
          <w:iCs/>
        </w:rPr>
        <w:t>et al</w:t>
      </w:r>
      <w:r>
        <w:t>., 2025). This will ensure a responsive approach to urgent bleeding and a structured process for delayed ones. Also, it will address the transactional nature of the Patient X case. According to the Soft Systems Methodology (SSM), the root definition should be changed and explicitly identify which team transforms the "paused" treatment into the "reviewed" one (Goto and Miura, 2022). This will remove an unspoken expectation of another team performing this action. This accountability should be reinforced in departmental handover communications via the standardised SBAR approach to bring more governance integration within teams.</w:t>
      </w:r>
    </w:p>
    <w:p w14:paraId="25CC4C15">
      <w:pPr>
        <w:rPr>
          <w:b/>
          <w:bCs/>
          <w:i/>
          <w:iCs/>
        </w:rPr>
      </w:pPr>
      <w:r>
        <w:rPr>
          <w:b/>
          <w:bCs/>
          <w:i/>
          <w:iCs/>
        </w:rPr>
        <w:t>Recommendation 2: Reinforcing system integration in terms of technology, efficiency and co-production.</w:t>
      </w:r>
    </w:p>
    <w:p w14:paraId="78AEE3AA">
      <w:r>
        <w:t xml:space="preserve">The trust should have an automated ePMA prompt for paused high-risk medication, built into the system. This prompts the medication and needs daily review of the same (NHS England, 2024). The obsolete anticoagulation guideline should be brought together in one digital document to be reviewed annually to avoid any conflicting information. Technical efficiency could be improved by consolidating duplicate guidance. Allocative efficiency could be improved by putting effort where it is most needed. The pleural specialist nurse post in the trust should be revived. Continuous learning will be fostered using NHS England's Learn from Patient Safety Events data (NHS England, 2026). This data should be analysed regularly by the board. The non-punitive culture will also facilitate frontline staff to raise their concerns. Patients, relatives, and ward staff should help co-produce the revised pathway. In this way, the new pathway will reflect what is really happening in practice and not what is expected. In SSM, this relates to the comparison stage where findings of the conceptual model of safe anticoagulation will be compared to practice (Goto and Miura, 2022). Thus, the recommendation will enhance the efficiency of trust to ensure effective care delivery. </w:t>
      </w:r>
    </w:p>
    <w:p w14:paraId="392E6B3C">
      <w:pPr>
        <w:pStyle w:val="2"/>
      </w:pPr>
      <w:bookmarkStart w:id="24" w:name="_Toc235890778"/>
      <w:r>
        <w:t>Conclusion</w:t>
      </w:r>
      <w:bookmarkEnd w:id="24"/>
    </w:p>
    <w:p w14:paraId="392E6B3D">
      <w:pPr>
        <w:pStyle w:val="3"/>
        <w:spacing w:before="0"/>
      </w:pPr>
      <w:bookmarkStart w:id="25" w:name="_Toc235890779"/>
      <w:r>
        <w:t>Summary of the main finding</w:t>
      </w:r>
      <w:bookmarkEnd w:id="25"/>
    </w:p>
    <w:p w14:paraId="392E6B3E">
      <w:r>
        <w:t xml:space="preserve">The analysis of Patient X’s case demonstrates that the </w:t>
      </w:r>
      <w:r>
        <w:rPr>
          <w:b/>
          <w:bCs/>
          <w:i/>
          <w:iCs/>
        </w:rPr>
        <w:t>fatal outcome</w:t>
      </w:r>
      <w:r>
        <w:t xml:space="preserve"> resulted from multiple </w:t>
      </w:r>
      <w:r>
        <w:rPr>
          <w:b/>
          <w:bCs/>
          <w:i/>
          <w:iCs/>
        </w:rPr>
        <w:t>interconnected system failures</w:t>
      </w:r>
      <w:r>
        <w:t xml:space="preserve"> rather than a single clinical error. Even though withholding apixaban was initially the appropriate response to the nose bleed of the patient but, lack of adequate reassessment, repeated procedural delay, failure to restart antique coagulation after the procedure, and poor communication </w:t>
      </w:r>
      <w:r>
        <w:rPr>
          <w:b/>
          <w:bCs/>
          <w:i/>
          <w:iCs/>
        </w:rPr>
        <w:t xml:space="preserve">collectively </w:t>
      </w:r>
      <w:r>
        <w:t xml:space="preserve">resulted in the fatal stroke. The structure of the system promotes timely patient-centred decision-making and clinical autonomy, but the absence of coordinated communication and clear accountability </w:t>
      </w:r>
      <w:r>
        <w:rPr>
          <w:b/>
          <w:bCs/>
          <w:i/>
          <w:iCs/>
        </w:rPr>
        <w:t xml:space="preserve">hinders </w:t>
      </w:r>
      <w:r>
        <w:t xml:space="preserve">the continuity of care. Further, the application of </w:t>
      </w:r>
      <w:r>
        <w:rPr>
          <w:b/>
          <w:bCs/>
          <w:i/>
          <w:iCs/>
        </w:rPr>
        <w:t xml:space="preserve">transactional </w:t>
      </w:r>
      <w:r>
        <w:t xml:space="preserve">and </w:t>
      </w:r>
      <w:r>
        <w:rPr>
          <w:b/>
          <w:bCs/>
          <w:i/>
          <w:iCs/>
        </w:rPr>
        <w:t xml:space="preserve">transformational leadership theory </w:t>
      </w:r>
      <w:r>
        <w:t xml:space="preserve">highlighted deficiencies in staff empowerment, leadership oversight and governance processes that contributed to medication-related harm and fragmented decision-making. The findings also demonstrated that regular </w:t>
      </w:r>
      <w:r>
        <w:rPr>
          <w:b/>
          <w:bCs/>
          <w:i/>
          <w:iCs/>
        </w:rPr>
        <w:t xml:space="preserve">medication review, evidence-based governance and effective system feedback </w:t>
      </w:r>
      <w:r>
        <w:t>are essential to reduce preventable patient safety incidents.</w:t>
      </w:r>
    </w:p>
    <w:p w14:paraId="392E6B3F">
      <w:pPr>
        <w:pStyle w:val="3"/>
        <w:spacing w:before="0"/>
      </w:pPr>
      <w:bookmarkStart w:id="26" w:name="_Toc235890780"/>
      <w:r>
        <w:t>Importance of leadership, governance and system thinking in driving change</w:t>
      </w:r>
      <w:bookmarkEnd w:id="26"/>
    </w:p>
    <w:p w14:paraId="392E6B40">
      <w:r>
        <w:t xml:space="preserve">The case highlights that improving patient safety requires integration of robust governance, </w:t>
      </w:r>
      <w:r>
        <w:rPr>
          <w:b/>
          <w:bCs/>
          <w:i/>
          <w:iCs/>
        </w:rPr>
        <w:t xml:space="preserve">effective leadership and system thinking </w:t>
      </w:r>
      <w:r>
        <w:t xml:space="preserve">rather than completely focusing on individual performance. Transformational leadership can encourage a culture of continuous learning, collaboration and proactive risk management, while governance frameworks establish standardised procedures, clear accountability and effective oversight of high-risk medication. Applying systems thinking enables healthcare organisations to recognise the ways in which leadership, communication and organisational structure, along with clinical processes, interact to influence overall patient outcomes. Continuous use of medication safety audits, </w:t>
      </w:r>
      <w:r>
        <w:rPr>
          <w:b/>
          <w:bCs/>
          <w:i/>
          <w:iCs/>
        </w:rPr>
        <w:t xml:space="preserve">performance data and patient safety reporting </w:t>
      </w:r>
      <w:r>
        <w:t xml:space="preserve">can support evidence-based improvement, promote organisational learning and improve accountability. </w:t>
      </w:r>
      <w:r>
        <w:rPr>
          <w:b/>
          <w:bCs/>
          <w:i/>
          <w:iCs/>
        </w:rPr>
        <w:t>Collectively</w:t>
      </w:r>
      <w:r>
        <w:t xml:space="preserve">, the approaches enable healthcare organisations to improve multidisciplinary coordination, a resilient health care system and </w:t>
      </w:r>
      <w:r>
        <w:rPr>
          <w:b/>
          <w:bCs/>
          <w:i/>
          <w:iCs/>
        </w:rPr>
        <w:t>minimise medication-related harm</w:t>
      </w:r>
      <w:r>
        <w:t>, which makes the organisation capable of preventing similar incidents and delivering high-quality safe patient care.</w:t>
      </w:r>
    </w:p>
    <w:p w14:paraId="392E6B41">
      <w:pPr>
        <w:spacing w:line="259" w:lineRule="auto"/>
        <w:jc w:val="left"/>
        <w:rPr>
          <w:rFonts w:eastAsiaTheme="majorEastAsia" w:cstheme="majorBidi"/>
          <w:b/>
          <w:szCs w:val="32"/>
        </w:rPr>
      </w:pPr>
      <w:r>
        <w:br w:type="page"/>
      </w:r>
    </w:p>
    <w:p w14:paraId="717016BB">
      <w:pPr>
        <w:pStyle w:val="2"/>
      </w:pPr>
      <w:bookmarkStart w:id="27" w:name="_Toc235890781"/>
      <w:r>
        <w:t>References</w:t>
      </w:r>
      <w:bookmarkEnd w:id="27"/>
    </w:p>
    <w:p w14:paraId="75E06785">
      <w:pPr>
        <w:spacing w:before="240" w:after="240"/>
        <w:rPr>
          <w:rFonts w:cs="Arial"/>
        </w:rPr>
      </w:pPr>
      <w:r>
        <w:rPr>
          <w:rFonts w:eastAsia="Arial" w:cs="Arial"/>
          <w:color w:val="222222"/>
          <w:highlight w:val="white"/>
        </w:rPr>
        <w:t xml:space="preserve">Adewale, Y.O., Obi, C.O., Bolaji-Fayehun, A. and Onasanya, Z.F., (2023). ‘EMERGENCY DEPARTMENT WAIT TIMES AS A SYSTEM-LEVEL CHALLENGE: DRIVERS, PROCESS INEFFICIENCIES, AND LEAN SIX SIGMA SOLUTIONS.’ </w:t>
      </w:r>
      <w:r>
        <w:rPr>
          <w:rFonts w:eastAsia="Arial" w:cs="Arial"/>
          <w:i/>
          <w:iCs/>
          <w:color w:val="222222"/>
          <w:highlight w:val="white"/>
        </w:rPr>
        <w:t>World</w:t>
      </w:r>
      <w:r>
        <w:rPr>
          <w:rFonts w:eastAsia="Arial" w:cs="Arial"/>
          <w:color w:val="222222"/>
          <w:highlight w:val="white"/>
        </w:rPr>
        <w:t xml:space="preserve">, </w:t>
      </w:r>
      <w:r>
        <w:rPr>
          <w:rFonts w:eastAsia="Arial" w:cs="Arial"/>
          <w:i/>
          <w:iCs/>
          <w:color w:val="222222"/>
          <w:highlight w:val="white"/>
        </w:rPr>
        <w:t>2</w:t>
      </w:r>
      <w:r>
        <w:rPr>
          <w:rFonts w:eastAsia="Arial" w:cs="Arial"/>
          <w:color w:val="222222"/>
          <w:highlight w:val="white"/>
        </w:rPr>
        <w:t>(3).</w:t>
      </w:r>
      <w:r>
        <w:rPr>
          <w:rFonts w:cs="Arial"/>
        </w:rPr>
        <w:t xml:space="preserve"> Available at: </w:t>
      </w:r>
      <w:r>
        <w:fldChar w:fldCharType="begin"/>
      </w:r>
      <w:r>
        <w:instrText xml:space="preserve"> HYPERLINK "https://wjpsronline.com/images/0192759cf6c8fe5eba2d688d1739e549.pdf" \h </w:instrText>
      </w:r>
      <w:r>
        <w:fldChar w:fldCharType="separate"/>
      </w:r>
      <w:r>
        <w:rPr>
          <w:rFonts w:cs="Arial"/>
          <w:color w:val="1155CC"/>
          <w:u w:val="single"/>
        </w:rPr>
        <w:t>https://wjpsronline.com/images/0192759cf6c8fe5eba2d688d1739e549.pdf</w:t>
      </w:r>
      <w:r>
        <w:rPr>
          <w:rFonts w:cs="Arial"/>
          <w:color w:val="1155CC"/>
          <w:u w:val="single"/>
        </w:rPr>
        <w:fldChar w:fldCharType="end"/>
      </w:r>
      <w:r>
        <w:rPr>
          <w:rFonts w:cs="Arial"/>
        </w:rPr>
        <w:t xml:space="preserve"> </w:t>
      </w:r>
    </w:p>
    <w:p w14:paraId="3CF061E9">
      <w:pPr>
        <w:spacing w:before="240" w:after="240"/>
        <w:rPr>
          <w:rFonts w:cs="Arial"/>
        </w:rPr>
      </w:pPr>
      <w:r>
        <w:rPr>
          <w:rFonts w:eastAsia="Arial" w:cs="Arial"/>
          <w:color w:val="222222"/>
          <w:highlight w:val="white"/>
        </w:rPr>
        <w:t xml:space="preserve">Alenizi, S.F., Al-Mutairi, F.Z.E., Alabsi, A.A.O., Alotaibi, Y.S.W., Almarzoghi, A.G., Shehatah, A.A., Aldossari, J.B.A., Zaylaee, N.Y.A., Alotaibi, R.A.T., Alruweaili, T.R.M. and Aljohani, N.H., (2024). ‘The Fragile Chain: A Narrative Review of Communication Breakdown in Time-Sensitive Diagnoses Across the ED-Radiology-Inpatient Continuum.’ </w:t>
      </w:r>
      <w:r>
        <w:rPr>
          <w:rFonts w:eastAsia="Arial" w:cs="Arial"/>
          <w:i/>
          <w:iCs/>
          <w:color w:val="222222"/>
          <w:highlight w:val="white"/>
        </w:rPr>
        <w:t>Saudi Journal of Medicine and Public Health</w:t>
      </w:r>
      <w:r>
        <w:rPr>
          <w:rFonts w:eastAsia="Arial" w:cs="Arial"/>
          <w:color w:val="222222"/>
          <w:highlight w:val="white"/>
        </w:rPr>
        <w:t xml:space="preserve">, </w:t>
      </w:r>
      <w:r>
        <w:rPr>
          <w:rFonts w:eastAsia="Arial" w:cs="Arial"/>
          <w:i/>
          <w:iCs/>
          <w:color w:val="222222"/>
          <w:highlight w:val="white"/>
        </w:rPr>
        <w:t>1</w:t>
      </w:r>
      <w:r>
        <w:rPr>
          <w:rFonts w:eastAsia="Arial" w:cs="Arial"/>
          <w:color w:val="222222"/>
          <w:highlight w:val="white"/>
        </w:rPr>
        <w:t>(2), pp.2021-2027.</w:t>
      </w:r>
      <w:r>
        <w:rPr>
          <w:rFonts w:cs="Arial"/>
        </w:rPr>
        <w:t xml:space="preserve"> Available at: </w:t>
      </w:r>
      <w:r>
        <w:fldChar w:fldCharType="begin"/>
      </w:r>
      <w:r>
        <w:instrText xml:space="preserve"> HYPERLINK "https://www.saudijmph.com/index.php/pub/article/download/566/527" \h </w:instrText>
      </w:r>
      <w:r>
        <w:fldChar w:fldCharType="separate"/>
      </w:r>
      <w:r>
        <w:rPr>
          <w:rFonts w:cs="Arial"/>
          <w:color w:val="1155CC"/>
          <w:u w:val="single"/>
        </w:rPr>
        <w:t>https://www.saudijmph.com/index.php/pub/article/download/566/527</w:t>
      </w:r>
      <w:r>
        <w:rPr>
          <w:rFonts w:cs="Arial"/>
          <w:color w:val="1155CC"/>
          <w:u w:val="single"/>
        </w:rPr>
        <w:fldChar w:fldCharType="end"/>
      </w:r>
      <w:r>
        <w:rPr>
          <w:rFonts w:cs="Arial"/>
        </w:rPr>
        <w:t xml:space="preserve"> </w:t>
      </w:r>
    </w:p>
    <w:p w14:paraId="6CE90694">
      <w:pPr>
        <w:spacing w:before="240"/>
        <w:rPr>
          <w:rStyle w:val="16"/>
          <w:rFonts w:cs="Arial"/>
        </w:rPr>
      </w:pPr>
      <w:r>
        <w:rPr>
          <w:rFonts w:cs="Arial"/>
        </w:rPr>
        <w:t>Al</w:t>
      </w:r>
      <w:r>
        <w:rPr>
          <w:rFonts w:cs="Arial"/>
        </w:rPr>
        <w:noBreakHyphen/>
      </w:r>
      <w:r>
        <w:rPr>
          <w:rFonts w:cs="Arial"/>
        </w:rPr>
        <w:t xml:space="preserve">Rjoub, S., Alsharawneh, A., Alhawajreh, M.J. and Othman, E.H. (2024) ‘Exploring the impact of transformational and transactional style of leadership on nursing care performance and patient outcomes’, </w:t>
      </w:r>
      <w:r>
        <w:rPr>
          <w:rFonts w:cs="Arial"/>
          <w:i/>
          <w:iCs/>
        </w:rPr>
        <w:t>Journal of Healthcare Leadership</w:t>
      </w:r>
      <w:r>
        <w:rPr>
          <w:rFonts w:cs="Arial"/>
        </w:rPr>
        <w:t>, pp. 557–568. Available at:</w:t>
      </w:r>
      <w:r>
        <w:fldChar w:fldCharType="begin"/>
      </w:r>
      <w:r>
        <w:instrText xml:space="preserve"> HYPERLINK "https://doi.org/10.2147/JHL.S496266?utm_source=copilot.com" </w:instrText>
      </w:r>
      <w:r>
        <w:fldChar w:fldCharType="separate"/>
      </w:r>
      <w:r>
        <w:rPr>
          <w:rStyle w:val="16"/>
          <w:rFonts w:cs="Arial"/>
        </w:rPr>
        <w:t xml:space="preserve"> https://doi.org/10.2147/JHL.S496266</w:t>
      </w:r>
      <w:r>
        <w:rPr>
          <w:rStyle w:val="16"/>
          <w:rFonts w:cs="Arial"/>
        </w:rPr>
        <w:fldChar w:fldCharType="end"/>
      </w:r>
    </w:p>
    <w:p w14:paraId="42AE3AED">
      <w:pPr>
        <w:spacing w:before="240"/>
        <w:rPr>
          <w:rFonts w:cs="Arial"/>
        </w:rPr>
      </w:pPr>
      <w:r>
        <w:rPr>
          <w:rFonts w:cs="Arial"/>
        </w:rPr>
        <w:t xml:space="preserve">BMJ (2026) </w:t>
      </w:r>
      <w:r>
        <w:rPr>
          <w:rFonts w:cs="Arial"/>
          <w:i/>
          <w:iCs/>
        </w:rPr>
        <w:t>237 million medication errors made every year in England</w:t>
      </w:r>
      <w:r>
        <w:rPr>
          <w:rFonts w:cs="Arial"/>
        </w:rPr>
        <w:t>. Available at: https://www.bmj.com/company/newsroom/237-million-medication-errors-made-every-year-in-england/</w:t>
      </w:r>
      <w:r>
        <w:fldChar w:fldCharType="begin"/>
      </w:r>
      <w:r>
        <w:instrText xml:space="preserve"> HYPERLINK "https://www.bing.com/search?q=%22https%3A%2F%2Fwww.bmj.com%2Fcompany%2Fnewsroom%2F237-million-medication-errors-made-every-year-in-england%2F%22&amp;utm_source=copilot.com" </w:instrText>
      </w:r>
      <w:r>
        <w:fldChar w:fldCharType="separate"/>
      </w:r>
      <w:r>
        <w:rPr>
          <w:rStyle w:val="16"/>
          <w:rFonts w:cs="Arial"/>
        </w:rPr>
        <w:t xml:space="preserve"> (bmj.com in Bing)</w:t>
      </w:r>
      <w:r>
        <w:rPr>
          <w:rStyle w:val="16"/>
          <w:rFonts w:cs="Arial"/>
        </w:rPr>
        <w:fldChar w:fldCharType="end"/>
      </w:r>
      <w:r>
        <w:rPr>
          <w:rFonts w:cs="Arial"/>
        </w:rPr>
        <w:t xml:space="preserve"> (Accessed: 25 July 2026).</w:t>
      </w:r>
    </w:p>
    <w:p w14:paraId="311763F3">
      <w:pPr>
        <w:spacing w:before="240"/>
        <w:rPr>
          <w:rFonts w:cs="Arial"/>
        </w:rPr>
      </w:pPr>
      <w:r>
        <w:rPr>
          <w:rFonts w:cs="Arial"/>
        </w:rPr>
        <w:t xml:space="preserve">Caring for Care (2026) </w:t>
      </w:r>
      <w:r>
        <w:rPr>
          <w:rFonts w:cs="Arial"/>
          <w:i/>
          <w:iCs/>
        </w:rPr>
        <w:t>What are medication errors?</w:t>
      </w:r>
      <w:r>
        <w:rPr>
          <w:rFonts w:cs="Arial"/>
        </w:rPr>
        <w:t xml:space="preserve"> Available at:</w:t>
      </w:r>
      <w:r>
        <w:fldChar w:fldCharType="begin"/>
      </w:r>
      <w:r>
        <w:instrText xml:space="preserve"> HYPERLINK "https://caringforcare.co.uk/what-are-medication-errors/?utm_source=copilot.com" </w:instrText>
      </w:r>
      <w:r>
        <w:fldChar w:fldCharType="separate"/>
      </w:r>
      <w:r>
        <w:rPr>
          <w:rStyle w:val="16"/>
          <w:rFonts w:cs="Arial"/>
        </w:rPr>
        <w:t xml:space="preserve"> https://caringforcare.co.uk/what-are-medication-errors/</w:t>
      </w:r>
      <w:r>
        <w:rPr>
          <w:rStyle w:val="16"/>
          <w:rFonts w:cs="Arial"/>
        </w:rPr>
        <w:fldChar w:fldCharType="end"/>
      </w:r>
      <w:r>
        <w:rPr>
          <w:rFonts w:cs="Arial"/>
        </w:rPr>
        <w:t xml:space="preserve"> (Accessed: 25 July 2026).</w:t>
      </w:r>
    </w:p>
    <w:p w14:paraId="6962308D">
      <w:pPr>
        <w:spacing w:before="240" w:after="240"/>
        <w:rPr>
          <w:rFonts w:cs="Arial"/>
        </w:rPr>
      </w:pPr>
      <w:r>
        <w:rPr>
          <w:rFonts w:eastAsia="Arial" w:cs="Arial"/>
          <w:color w:val="222222"/>
          <w:highlight w:val="white"/>
        </w:rPr>
        <w:t xml:space="preserve">Chen, Y.W., Lee, J.H., Chiang, C.Y., Yeh, Y.N., Lin, J.C. and Tsai, M.J., (2025). ‘Factors associated with delayed order-to-administration time in the emergency department: a retrospective analysis.’ </w:t>
      </w:r>
      <w:r>
        <w:rPr>
          <w:rFonts w:eastAsia="Arial" w:cs="Arial"/>
          <w:i/>
          <w:iCs/>
          <w:color w:val="222222"/>
          <w:highlight w:val="white"/>
        </w:rPr>
        <w:t>BMC Emergency Medicine</w:t>
      </w:r>
      <w:r>
        <w:rPr>
          <w:rFonts w:eastAsia="Arial" w:cs="Arial"/>
          <w:color w:val="222222"/>
          <w:highlight w:val="white"/>
        </w:rPr>
        <w:t xml:space="preserve">, </w:t>
      </w:r>
      <w:r>
        <w:rPr>
          <w:rFonts w:eastAsia="Arial" w:cs="Arial"/>
          <w:i/>
          <w:iCs/>
          <w:color w:val="222222"/>
          <w:highlight w:val="white"/>
        </w:rPr>
        <w:t>25</w:t>
      </w:r>
      <w:r>
        <w:rPr>
          <w:rFonts w:eastAsia="Arial" w:cs="Arial"/>
          <w:color w:val="222222"/>
          <w:highlight w:val="white"/>
        </w:rPr>
        <w:t>(1), p.74.</w:t>
      </w:r>
      <w:r>
        <w:rPr>
          <w:rFonts w:cs="Arial"/>
        </w:rPr>
        <w:t xml:space="preserve"> Available at: </w:t>
      </w:r>
      <w:r>
        <w:fldChar w:fldCharType="begin"/>
      </w:r>
      <w:r>
        <w:instrText xml:space="preserve"> HYPERLINK "https://link.springer.com/content/pdf/10.1186/s12873-025-01229-5.pdf" \h </w:instrText>
      </w:r>
      <w:r>
        <w:fldChar w:fldCharType="separate"/>
      </w:r>
      <w:r>
        <w:rPr>
          <w:rFonts w:cs="Arial"/>
          <w:color w:val="1155CC"/>
          <w:u w:val="single"/>
        </w:rPr>
        <w:t>https://link.springer.com/content/pdf/10.1186/s12873-025-01229-5.pdf</w:t>
      </w:r>
      <w:r>
        <w:rPr>
          <w:rFonts w:cs="Arial"/>
          <w:color w:val="1155CC"/>
          <w:u w:val="single"/>
        </w:rPr>
        <w:fldChar w:fldCharType="end"/>
      </w:r>
      <w:r>
        <w:rPr>
          <w:rFonts w:cs="Arial"/>
        </w:rPr>
        <w:t xml:space="preserve"> </w:t>
      </w:r>
    </w:p>
    <w:p w14:paraId="76ED71CD">
      <w:pPr>
        <w:spacing w:before="240" w:after="240"/>
        <w:rPr>
          <w:rFonts w:cs="Arial"/>
        </w:rPr>
      </w:pPr>
      <w:r>
        <w:rPr>
          <w:rFonts w:cs="Arial"/>
        </w:rPr>
        <w:t xml:space="preserve">Cumiskey, L. (2026). </w:t>
      </w:r>
      <w:r>
        <w:rPr>
          <w:rFonts w:cs="Arial"/>
          <w:i/>
          <w:iCs/>
        </w:rPr>
        <w:t>Tens of thousands of people die each year after waiting too long for NHS care.</w:t>
      </w:r>
      <w:r>
        <w:rPr>
          <w:rFonts w:cs="Arial"/>
        </w:rPr>
        <w:t xml:space="preserve"> Available at: </w:t>
      </w:r>
      <w:r>
        <w:fldChar w:fldCharType="begin"/>
      </w:r>
      <w:r>
        <w:instrText xml:space="preserve"> HYPERLINK "https://hyphenonline.com/2026/02/23/nhs-waiting-list-deaths/" \h </w:instrText>
      </w:r>
      <w:r>
        <w:fldChar w:fldCharType="separate"/>
      </w:r>
      <w:r>
        <w:rPr>
          <w:rFonts w:cs="Arial"/>
          <w:color w:val="1155CC"/>
          <w:u w:val="single"/>
        </w:rPr>
        <w:t>https://hyphenonline.com/2026/02/23/nhs-waiting-list-deaths/</w:t>
      </w:r>
      <w:r>
        <w:rPr>
          <w:rFonts w:cs="Arial"/>
          <w:color w:val="1155CC"/>
          <w:u w:val="single"/>
        </w:rPr>
        <w:fldChar w:fldCharType="end"/>
      </w:r>
      <w:r>
        <w:rPr>
          <w:rFonts w:cs="Arial"/>
        </w:rPr>
        <w:t xml:space="preserve"> (Accessed: 25 July 2026). </w:t>
      </w:r>
    </w:p>
    <w:p w14:paraId="0E33CAD9">
      <w:pPr>
        <w:spacing w:before="240"/>
        <w:rPr>
          <w:rFonts w:cs="Arial"/>
          <w:color w:val="1155CC"/>
          <w:u w:val="single"/>
        </w:rPr>
      </w:pPr>
      <w:r>
        <w:rPr>
          <w:rFonts w:cs="Arial"/>
        </w:rPr>
        <w:t xml:space="preserve">Curșeu, P.L., van Rijswijk, J. and Schruijer, S.G. (2025). ‘Collaborative and Shared Leadership Dynamics in Healthcare Action Teams: A Systematic Literature Review’. </w:t>
      </w:r>
      <w:r>
        <w:rPr>
          <w:rFonts w:cs="Arial"/>
          <w:i/>
          <w:iCs/>
        </w:rPr>
        <w:t>Journal of Healthcare Leadership</w:t>
      </w:r>
      <w:r>
        <w:rPr>
          <w:rFonts w:cs="Arial"/>
        </w:rPr>
        <w:t>, pp.877-899. Available at:</w:t>
      </w:r>
      <w:r>
        <w:fldChar w:fldCharType="begin"/>
      </w:r>
      <w:r>
        <w:instrText xml:space="preserve"> HYPERLINK "https://www.tandfonline.com/doi/pdf/10.2147/JHL.S520534" \h </w:instrText>
      </w:r>
      <w:r>
        <w:fldChar w:fldCharType="separate"/>
      </w:r>
      <w:r>
        <w:rPr>
          <w:rFonts w:cs="Arial"/>
        </w:rPr>
        <w:t xml:space="preserve"> </w:t>
      </w:r>
      <w:r>
        <w:rPr>
          <w:rFonts w:cs="Arial"/>
        </w:rPr>
        <w:fldChar w:fldCharType="end"/>
      </w:r>
      <w:r>
        <w:fldChar w:fldCharType="begin"/>
      </w:r>
      <w:r>
        <w:instrText xml:space="preserve"> HYPERLINK "https://www.tandfonline.com/doi/pdf/10.2147/JHL.S520534" \h </w:instrText>
      </w:r>
      <w:r>
        <w:fldChar w:fldCharType="separate"/>
      </w:r>
      <w:r>
        <w:rPr>
          <w:rFonts w:cs="Arial"/>
          <w:color w:val="1155CC"/>
          <w:u w:val="single"/>
        </w:rPr>
        <w:t>https://www.tandfonline.com/doi/pdf/10.2147/JHL.S520534</w:t>
      </w:r>
      <w:r>
        <w:rPr>
          <w:rFonts w:cs="Arial"/>
          <w:color w:val="1155CC"/>
          <w:u w:val="single"/>
        </w:rPr>
        <w:fldChar w:fldCharType="end"/>
      </w:r>
    </w:p>
    <w:p w14:paraId="73F9A698">
      <w:pPr>
        <w:spacing w:before="240" w:after="240"/>
        <w:rPr>
          <w:rFonts w:cs="Arial"/>
        </w:rPr>
      </w:pPr>
      <w:r>
        <w:rPr>
          <w:rFonts w:eastAsia="Arial" w:cs="Arial"/>
          <w:color w:val="222222"/>
          <w:highlight w:val="white"/>
        </w:rPr>
        <w:t xml:space="preserve">Demeke, G.W., van Engen, M.L. and Markos, S., (2024). ‘Servant leadership in the healthcare literature: A systematic review.’ </w:t>
      </w:r>
      <w:r>
        <w:rPr>
          <w:rFonts w:eastAsia="Arial" w:cs="Arial"/>
          <w:i/>
          <w:iCs/>
          <w:color w:val="222222"/>
          <w:highlight w:val="white"/>
        </w:rPr>
        <w:t>Journal of healthcare leadership</w:t>
      </w:r>
      <w:r>
        <w:rPr>
          <w:rFonts w:eastAsia="Arial" w:cs="Arial"/>
          <w:color w:val="222222"/>
          <w:highlight w:val="white"/>
        </w:rPr>
        <w:t>, pp.1-14.</w:t>
      </w:r>
      <w:r>
        <w:rPr>
          <w:rFonts w:cs="Arial"/>
        </w:rPr>
        <w:t xml:space="preserve"> Available at: </w:t>
      </w:r>
      <w:r>
        <w:fldChar w:fldCharType="begin"/>
      </w:r>
      <w:r>
        <w:instrText xml:space="preserve"> HYPERLINK "https://doi.org/10.3390/ijerph20020908" \h </w:instrText>
      </w:r>
      <w:r>
        <w:fldChar w:fldCharType="separate"/>
      </w:r>
      <w:r>
        <w:rPr>
          <w:rFonts w:cs="Arial"/>
          <w:color w:val="1155CC"/>
          <w:u w:val="single"/>
        </w:rPr>
        <w:t>https://doi.org/10.3390/ijerph20020908</w:t>
      </w:r>
      <w:r>
        <w:rPr>
          <w:rFonts w:cs="Arial"/>
          <w:color w:val="1155CC"/>
          <w:u w:val="single"/>
        </w:rPr>
        <w:fldChar w:fldCharType="end"/>
      </w:r>
      <w:r>
        <w:rPr>
          <w:rFonts w:cs="Arial"/>
        </w:rPr>
        <w:t xml:space="preserve"> </w:t>
      </w:r>
    </w:p>
    <w:p w14:paraId="4B790529">
      <w:pPr>
        <w:spacing w:before="240" w:after="240"/>
        <w:rPr>
          <w:rFonts w:cs="Arial"/>
        </w:rPr>
      </w:pPr>
      <w:r>
        <w:rPr>
          <w:rFonts w:cs="Arial"/>
        </w:rPr>
        <w:t xml:space="preserve">General Medical Council (2024) </w:t>
      </w:r>
      <w:r>
        <w:rPr>
          <w:rFonts w:cs="Arial"/>
          <w:i/>
          <w:iCs/>
        </w:rPr>
        <w:t>Good medical practice</w:t>
      </w:r>
      <w:r>
        <w:rPr>
          <w:rFonts w:cs="Arial"/>
        </w:rPr>
        <w:t>. Available at:</w:t>
      </w:r>
      <w:r>
        <w:fldChar w:fldCharType="begin"/>
      </w:r>
      <w:r>
        <w:instrText xml:space="preserve"> HYPERLINK "https://www.gmc-uk.org/cdn/documents/good-medical-practice---english-20200128_pdf-51527435.pdf" \h </w:instrText>
      </w:r>
      <w:r>
        <w:fldChar w:fldCharType="separate"/>
      </w:r>
      <w:r>
        <w:fldChar w:fldCharType="end"/>
      </w:r>
      <w:r>
        <w:fldChar w:fldCharType="begin"/>
      </w:r>
      <w:r>
        <w:instrText xml:space="preserve"> HYPERLINK "https://www.gmc-uk.org/cdn/documents/good-medical-practice---english-20200128_pdf-51527435.pdf" \h </w:instrText>
      </w:r>
      <w:r>
        <w:fldChar w:fldCharType="separate"/>
      </w:r>
      <w:r>
        <w:rPr>
          <w:rFonts w:cs="Arial"/>
          <w:color w:val="1155CC"/>
          <w:u w:val="single"/>
        </w:rPr>
        <w:t>https://www.gmc-uk.org/cdn/documents/good-medical-practice---english-20200128_pdf-51527435.pdf</w:t>
      </w:r>
      <w:r>
        <w:rPr>
          <w:rFonts w:cs="Arial"/>
          <w:color w:val="1155CC"/>
          <w:u w:val="single"/>
        </w:rPr>
        <w:fldChar w:fldCharType="end"/>
      </w:r>
      <w:r>
        <w:rPr>
          <w:rFonts w:cs="Arial"/>
        </w:rPr>
        <w:t xml:space="preserve"> (Accessed: 25 July 2026).</w:t>
      </w:r>
    </w:p>
    <w:p w14:paraId="7CC7DE1E">
      <w:pPr>
        <w:spacing w:before="240"/>
        <w:rPr>
          <w:rFonts w:cs="Arial"/>
          <w:color w:val="1155CC"/>
          <w:u w:val="single"/>
        </w:rPr>
      </w:pPr>
      <w:r>
        <w:rPr>
          <w:rFonts w:cs="Arial"/>
        </w:rPr>
        <w:t xml:space="preserve">Goto, Y. and Miura, H. (2022). ‘Using the soft systems methodology to link healthcare and long-term care delivery systems: A case study of community policy coordinator activities in Japan’. </w:t>
      </w:r>
      <w:r>
        <w:rPr>
          <w:rFonts w:cs="Arial"/>
          <w:i/>
          <w:iCs/>
        </w:rPr>
        <w:t>International Journal of Environmental Research and Public Health</w:t>
      </w:r>
      <w:r>
        <w:rPr>
          <w:rFonts w:cs="Arial"/>
        </w:rPr>
        <w:t xml:space="preserve">, </w:t>
      </w:r>
      <w:r>
        <w:rPr>
          <w:rFonts w:cs="Arial"/>
          <w:i/>
          <w:iCs/>
        </w:rPr>
        <w:t>19</w:t>
      </w:r>
      <w:r>
        <w:rPr>
          <w:rFonts w:cs="Arial"/>
        </w:rPr>
        <w:t>(14), p.8462. Available at:</w:t>
      </w:r>
      <w:r>
        <w:fldChar w:fldCharType="begin"/>
      </w:r>
      <w:r>
        <w:instrText xml:space="preserve"> HYPERLINK "https://www.mdpi.com/1660-4601/19/14/8462" \h </w:instrText>
      </w:r>
      <w:r>
        <w:fldChar w:fldCharType="separate"/>
      </w:r>
      <w:r>
        <w:rPr>
          <w:rFonts w:cs="Arial"/>
        </w:rPr>
        <w:t xml:space="preserve"> </w:t>
      </w:r>
      <w:r>
        <w:rPr>
          <w:rFonts w:cs="Arial"/>
        </w:rPr>
        <w:fldChar w:fldCharType="end"/>
      </w:r>
      <w:r>
        <w:fldChar w:fldCharType="begin"/>
      </w:r>
      <w:r>
        <w:instrText xml:space="preserve"> HYPERLINK "https://www.mdpi.com/1660-4601/19/14/8462" \h </w:instrText>
      </w:r>
      <w:r>
        <w:fldChar w:fldCharType="separate"/>
      </w:r>
      <w:r>
        <w:rPr>
          <w:rFonts w:cs="Arial"/>
          <w:color w:val="1155CC"/>
          <w:u w:val="single"/>
        </w:rPr>
        <w:t>https://www.mdpi.com/1660-4601/19/14/8462</w:t>
      </w:r>
      <w:r>
        <w:rPr>
          <w:rFonts w:cs="Arial"/>
          <w:color w:val="1155CC"/>
          <w:u w:val="single"/>
        </w:rPr>
        <w:fldChar w:fldCharType="end"/>
      </w:r>
    </w:p>
    <w:p w14:paraId="1AA11824">
      <w:pPr>
        <w:spacing w:before="240" w:after="240"/>
        <w:rPr>
          <w:rFonts w:cs="Arial"/>
        </w:rPr>
      </w:pPr>
      <w:r>
        <w:rPr>
          <w:rFonts w:cs="Arial"/>
        </w:rPr>
        <w:t xml:space="preserve">Health Services Safety Investigations Body (2023) </w:t>
      </w:r>
      <w:r>
        <w:rPr>
          <w:rFonts w:cs="Arial"/>
          <w:i/>
          <w:iCs/>
        </w:rPr>
        <w:t>Continuity of care: delayed diagnosis in GP practices.</w:t>
      </w:r>
      <w:r>
        <w:rPr>
          <w:rFonts w:cs="Arial"/>
        </w:rPr>
        <w:t xml:space="preserve"> Available at</w:t>
      </w:r>
      <w:r>
        <w:fldChar w:fldCharType="begin"/>
      </w:r>
      <w:r>
        <w:instrText xml:space="preserve"> HYPERLINK "https://www.hssib.org.uk/patient-safetyinvestigations/continuity-of-care-delayed-diagnosis-in-gp-practices/" \h </w:instrText>
      </w:r>
      <w:r>
        <w:fldChar w:fldCharType="separate"/>
      </w:r>
      <w:r>
        <w:fldChar w:fldCharType="end"/>
      </w:r>
      <w:r>
        <w:fldChar w:fldCharType="begin"/>
      </w:r>
      <w:r>
        <w:instrText xml:space="preserve"> HYPERLINK "https://www.hssib.org.uk/patient-safetyinvestigations/continuity-of-care-delayed-diagnosis-in-gp-practices/" \h </w:instrText>
      </w:r>
      <w:r>
        <w:fldChar w:fldCharType="separate"/>
      </w:r>
      <w:r>
        <w:rPr>
          <w:rFonts w:cs="Arial"/>
          <w:color w:val="1155CC"/>
          <w:u w:val="single"/>
        </w:rPr>
        <w:t>https://www.hssib.org.uk/patient-safetyinvestigations/continuity-of-care-delayed-diagnosis-in-gp-practices/</w:t>
      </w:r>
      <w:r>
        <w:rPr>
          <w:rFonts w:cs="Arial"/>
          <w:color w:val="1155CC"/>
          <w:u w:val="single"/>
        </w:rPr>
        <w:fldChar w:fldCharType="end"/>
      </w:r>
      <w:r>
        <w:rPr>
          <w:rFonts w:cs="Arial"/>
        </w:rPr>
        <w:t xml:space="preserve"> (Accessed: 25 July 2026).</w:t>
      </w:r>
    </w:p>
    <w:p w14:paraId="3127DEA4">
      <w:pPr>
        <w:spacing w:before="240" w:after="240"/>
        <w:rPr>
          <w:rFonts w:cs="Arial"/>
        </w:rPr>
      </w:pPr>
      <w:r>
        <w:rPr>
          <w:rFonts w:cs="Arial"/>
        </w:rPr>
        <w:t xml:space="preserve">Healthcare Safety Investigation Branch (2019) </w:t>
      </w:r>
      <w:r>
        <w:rPr>
          <w:rFonts w:cs="Arial"/>
          <w:i/>
          <w:iCs/>
        </w:rPr>
        <w:t>Electronic prescribing and medicines administration systems and safe discharge.</w:t>
      </w:r>
      <w:r>
        <w:rPr>
          <w:rFonts w:cs="Arial"/>
        </w:rPr>
        <w:t xml:space="preserve"> Available at:</w:t>
      </w:r>
      <w:r>
        <w:fldChar w:fldCharType="begin"/>
      </w:r>
      <w:r>
        <w:instrText xml:space="preserve"> HYPERLINK "https://www.hssib.org.uk/patient-safety-investigations/medication-related-harm/second-investigation-report/pdf/" \h </w:instrText>
      </w:r>
      <w:r>
        <w:fldChar w:fldCharType="separate"/>
      </w:r>
      <w:r>
        <w:fldChar w:fldCharType="end"/>
      </w:r>
      <w:r>
        <w:fldChar w:fldCharType="begin"/>
      </w:r>
      <w:r>
        <w:instrText xml:space="preserve"> HYPERLINK "https://www.hssib.org.uk/patient-safety-investigations/medication-related-harm/second-investigation-report/pdf/" \h </w:instrText>
      </w:r>
      <w:r>
        <w:fldChar w:fldCharType="separate"/>
      </w:r>
      <w:r>
        <w:rPr>
          <w:rFonts w:cs="Arial"/>
          <w:color w:val="1155CC"/>
          <w:u w:val="single"/>
        </w:rPr>
        <w:t>https://www.hssib.org.uk/patient-safety-investigations/medication-related-harm/second-investigation-report/pdf/</w:t>
      </w:r>
      <w:r>
        <w:rPr>
          <w:rFonts w:cs="Arial"/>
          <w:color w:val="1155CC"/>
          <w:u w:val="single"/>
        </w:rPr>
        <w:fldChar w:fldCharType="end"/>
      </w:r>
      <w:r>
        <w:rPr>
          <w:rFonts w:cs="Arial"/>
        </w:rPr>
        <w:t xml:space="preserve"> (Accessed: 25 July 2026).</w:t>
      </w:r>
    </w:p>
    <w:p w14:paraId="619510F1">
      <w:pPr>
        <w:spacing w:before="240" w:after="240"/>
        <w:rPr>
          <w:rFonts w:cs="Arial"/>
        </w:rPr>
      </w:pPr>
      <w:r>
        <w:rPr>
          <w:rFonts w:cs="Arial"/>
        </w:rPr>
        <w:t xml:space="preserve">HSSIB (2024) </w:t>
      </w:r>
      <w:r>
        <w:rPr>
          <w:rFonts w:cs="Arial"/>
          <w:i/>
          <w:iCs/>
        </w:rPr>
        <w:t>Medication-related harm: Second investigation report</w:t>
      </w:r>
      <w:r>
        <w:rPr>
          <w:rFonts w:cs="Arial"/>
        </w:rPr>
        <w:t>. Available at:</w:t>
      </w:r>
      <w:r>
        <w:fldChar w:fldCharType="begin"/>
      </w:r>
      <w:r>
        <w:instrText xml:space="preserve"> HYPERLINK "https://www.hssib.org.uk/patient-safety-investigations/medication-related-harm/second-investigation-report/pdf/" \h </w:instrText>
      </w:r>
      <w:r>
        <w:fldChar w:fldCharType="separate"/>
      </w:r>
      <w:r>
        <w:fldChar w:fldCharType="end"/>
      </w:r>
      <w:r>
        <w:fldChar w:fldCharType="begin"/>
      </w:r>
      <w:r>
        <w:instrText xml:space="preserve"> HYPERLINK "https://www.hssib.org.uk/patient-safety-investigations/medication-related-harm/second-investigation-report/pdf/" \h </w:instrText>
      </w:r>
      <w:r>
        <w:fldChar w:fldCharType="separate"/>
      </w:r>
      <w:r>
        <w:rPr>
          <w:rFonts w:cs="Arial"/>
          <w:color w:val="1155CC"/>
          <w:u w:val="single"/>
        </w:rPr>
        <w:t>https://www.hssib.org.uk/patient-safety-investigations/medication-related-harm/second-investigation-report/pdf/</w:t>
      </w:r>
      <w:r>
        <w:rPr>
          <w:rFonts w:cs="Arial"/>
          <w:color w:val="1155CC"/>
          <w:u w:val="single"/>
        </w:rPr>
        <w:fldChar w:fldCharType="end"/>
      </w:r>
      <w:r>
        <w:rPr>
          <w:rFonts w:cs="Arial"/>
        </w:rPr>
        <w:t xml:space="preserve"> (Accessed: 25 July 2026).</w:t>
      </w:r>
    </w:p>
    <w:p w14:paraId="2EB7E5D0">
      <w:pPr>
        <w:spacing w:before="240"/>
        <w:rPr>
          <w:rFonts w:cs="Arial"/>
        </w:rPr>
      </w:pPr>
      <w:r>
        <w:rPr>
          <w:rFonts w:cs="Arial"/>
        </w:rPr>
        <w:t xml:space="preserve">HSSIB. (2025). </w:t>
      </w:r>
      <w:r>
        <w:rPr>
          <w:rFonts w:cs="Arial"/>
          <w:i/>
          <w:iCs/>
        </w:rPr>
        <w:t>Investigation report: Medication not given: anticoagulation before and after a procedure.</w:t>
      </w:r>
      <w:r>
        <w:rPr>
          <w:rFonts w:cs="Arial"/>
        </w:rPr>
        <w:t xml:space="preserve"> Available at:</w:t>
      </w:r>
      <w:r>
        <w:fldChar w:fldCharType="begin"/>
      </w:r>
      <w:r>
        <w:instrText xml:space="preserve"> HYPERLINK "https://www.hssib.org.uk/patient-safety-investigations/medication-related-harm/second-investigation-report/pdf/" \h </w:instrText>
      </w:r>
      <w:r>
        <w:fldChar w:fldCharType="separate"/>
      </w:r>
      <w:r>
        <w:rPr>
          <w:rFonts w:cs="Arial"/>
        </w:rPr>
        <w:t xml:space="preserve"> </w:t>
      </w:r>
      <w:r>
        <w:rPr>
          <w:rFonts w:cs="Arial"/>
        </w:rPr>
        <w:fldChar w:fldCharType="end"/>
      </w:r>
      <w:r>
        <w:fldChar w:fldCharType="begin"/>
      </w:r>
      <w:r>
        <w:instrText xml:space="preserve"> HYPERLINK "https://www.hssib.org.uk/patient-safety-investigations/medication-related-harm/second-investigation-report/pdf/" \h </w:instrText>
      </w:r>
      <w:r>
        <w:fldChar w:fldCharType="separate"/>
      </w:r>
      <w:r>
        <w:rPr>
          <w:rFonts w:cs="Arial"/>
          <w:color w:val="1155CC"/>
          <w:u w:val="single"/>
        </w:rPr>
        <w:t>https://www.hssib.org.uk/patient-safety-investigations/medication-related-harm/second-investigation-report/pdf/</w:t>
      </w:r>
      <w:r>
        <w:rPr>
          <w:rFonts w:cs="Arial"/>
          <w:color w:val="1155CC"/>
          <w:u w:val="single"/>
        </w:rPr>
        <w:fldChar w:fldCharType="end"/>
      </w:r>
      <w:r>
        <w:rPr>
          <w:rFonts w:cs="Arial"/>
        </w:rPr>
        <w:t xml:space="preserve"> (Accessed: 25 July 2026).</w:t>
      </w:r>
    </w:p>
    <w:p w14:paraId="5FF8247E">
      <w:pPr>
        <w:spacing w:before="240" w:after="240"/>
        <w:rPr>
          <w:rFonts w:cs="Arial"/>
        </w:rPr>
      </w:pPr>
      <w:r>
        <w:rPr>
          <w:rFonts w:cs="Arial"/>
        </w:rPr>
        <w:t xml:space="preserve">IHI, (2026), </w:t>
      </w:r>
      <w:r>
        <w:rPr>
          <w:rFonts w:cs="Arial"/>
          <w:i/>
          <w:iCs/>
        </w:rPr>
        <w:t>IHI Global Trigger Tool for Measuring Adverse Events.</w:t>
      </w:r>
      <w:r>
        <w:rPr>
          <w:rFonts w:cs="Arial"/>
        </w:rPr>
        <w:t xml:space="preserve"> Available at: </w:t>
      </w:r>
      <w:r>
        <w:fldChar w:fldCharType="begin"/>
      </w:r>
      <w:r>
        <w:instrText xml:space="preserve"> HYPERLINK "https://www.ihi.org/library/white-papers/ihi-global-trigger-tool-measuring-adverse-events" \h </w:instrText>
      </w:r>
      <w:r>
        <w:fldChar w:fldCharType="separate"/>
      </w:r>
      <w:r>
        <w:rPr>
          <w:rFonts w:cs="Arial"/>
          <w:color w:val="1155CC"/>
          <w:u w:val="single"/>
        </w:rPr>
        <w:t>https://www.ihi.org/library/white-papers/ihi-global-trigger-tool-measuring-adverse-events</w:t>
      </w:r>
      <w:r>
        <w:rPr>
          <w:rFonts w:cs="Arial"/>
          <w:color w:val="1155CC"/>
          <w:u w:val="single"/>
        </w:rPr>
        <w:fldChar w:fldCharType="end"/>
      </w:r>
      <w:r>
        <w:rPr>
          <w:rFonts w:cs="Arial"/>
        </w:rPr>
        <w:t xml:space="preserve"> (Accessed: 25 July 2026). </w:t>
      </w:r>
    </w:p>
    <w:p w14:paraId="4D9CDE00">
      <w:pPr>
        <w:spacing w:before="240"/>
        <w:rPr>
          <w:rFonts w:cs="Arial"/>
        </w:rPr>
      </w:pPr>
      <w:r>
        <w:rPr>
          <w:rFonts w:cs="Arial"/>
        </w:rPr>
        <w:t xml:space="preserve">Jerab, D. (2023) </w:t>
      </w:r>
      <w:r>
        <w:rPr>
          <w:rFonts w:cs="Arial"/>
          <w:i/>
          <w:iCs/>
        </w:rPr>
        <w:t>How to be an effective leader in decision making in an unstable environment</w:t>
      </w:r>
      <w:r>
        <w:rPr>
          <w:rFonts w:cs="Arial"/>
        </w:rPr>
        <w:t>. Available at:</w:t>
      </w:r>
      <w:r>
        <w:fldChar w:fldCharType="begin"/>
      </w:r>
      <w:r>
        <w:instrText xml:space="preserve"> HYPERLINK "https://papers.ssrn.com/sol3/Delivery.cfm?abstractid=4525803&amp;utm_source=copilot.com" </w:instrText>
      </w:r>
      <w:r>
        <w:fldChar w:fldCharType="separate"/>
      </w:r>
      <w:r>
        <w:rPr>
          <w:rStyle w:val="16"/>
          <w:rFonts w:cs="Arial"/>
        </w:rPr>
        <w:t xml:space="preserve"> https://papers.ssrn.com/sol3/Delivery.cfm?abstractid=4525803</w:t>
      </w:r>
      <w:r>
        <w:rPr>
          <w:rStyle w:val="16"/>
          <w:rFonts w:cs="Arial"/>
        </w:rPr>
        <w:fldChar w:fldCharType="end"/>
      </w:r>
    </w:p>
    <w:p w14:paraId="15FD72E1">
      <w:pPr>
        <w:spacing w:before="240"/>
        <w:rPr>
          <w:rFonts w:cs="Arial"/>
          <w:color w:val="1155CC"/>
          <w:u w:val="single"/>
        </w:rPr>
      </w:pPr>
      <w:r>
        <w:rPr>
          <w:rFonts w:cs="Arial"/>
        </w:rPr>
        <w:t xml:space="preserve">Kholmukhamedov, A., Subbotin, D., Gorin, A. and Ilyassov, R. (2025). ‘Anticoagulation management: current landscape and future trends’. </w:t>
      </w:r>
      <w:r>
        <w:rPr>
          <w:rFonts w:cs="Arial"/>
          <w:i/>
          <w:iCs/>
        </w:rPr>
        <w:t>Journal of clinical medicine</w:t>
      </w:r>
      <w:r>
        <w:rPr>
          <w:rFonts w:cs="Arial"/>
        </w:rPr>
        <w:t xml:space="preserve">, </w:t>
      </w:r>
      <w:r>
        <w:rPr>
          <w:rFonts w:cs="Arial"/>
          <w:i/>
          <w:iCs/>
        </w:rPr>
        <w:t>14</w:t>
      </w:r>
      <w:r>
        <w:rPr>
          <w:rFonts w:cs="Arial"/>
        </w:rPr>
        <w:t>(5), p.1647. Available at:</w:t>
      </w:r>
      <w:r>
        <w:fldChar w:fldCharType="begin"/>
      </w:r>
      <w:r>
        <w:instrText xml:space="preserve"> HYPERLINK "https://www.mdpi.com/2077-0383/14/5/1647" \h </w:instrText>
      </w:r>
      <w:r>
        <w:fldChar w:fldCharType="separate"/>
      </w:r>
      <w:r>
        <w:rPr>
          <w:rFonts w:cs="Arial"/>
        </w:rPr>
        <w:t xml:space="preserve"> </w:t>
      </w:r>
      <w:r>
        <w:rPr>
          <w:rFonts w:cs="Arial"/>
        </w:rPr>
        <w:fldChar w:fldCharType="end"/>
      </w:r>
      <w:r>
        <w:fldChar w:fldCharType="begin"/>
      </w:r>
      <w:r>
        <w:instrText xml:space="preserve"> HYPERLINK "https://www.mdpi.com/2077-0383/14/5/1647" \h </w:instrText>
      </w:r>
      <w:r>
        <w:fldChar w:fldCharType="separate"/>
      </w:r>
      <w:r>
        <w:rPr>
          <w:rFonts w:cs="Arial"/>
          <w:color w:val="1155CC"/>
          <w:u w:val="single"/>
        </w:rPr>
        <w:t>https://www.mdpi.com/2077-0383/14/5/1647</w:t>
      </w:r>
      <w:r>
        <w:rPr>
          <w:rFonts w:cs="Arial"/>
          <w:color w:val="1155CC"/>
          <w:u w:val="single"/>
        </w:rPr>
        <w:fldChar w:fldCharType="end"/>
      </w:r>
    </w:p>
    <w:p w14:paraId="372CE327">
      <w:pPr>
        <w:spacing w:before="240"/>
        <w:rPr>
          <w:rFonts w:cs="Arial"/>
          <w:color w:val="1155CC"/>
          <w:u w:val="single"/>
        </w:rPr>
      </w:pPr>
      <w:r>
        <w:rPr>
          <w:rFonts w:cs="Arial"/>
        </w:rPr>
        <w:t xml:space="preserve">Kumah, A. (2025). ‘Adverse event reporting and patient safety: the role of a just culture’. </w:t>
      </w:r>
      <w:r>
        <w:rPr>
          <w:rFonts w:cs="Arial"/>
          <w:i/>
          <w:iCs/>
        </w:rPr>
        <w:t>Frontiers in Health Services</w:t>
      </w:r>
      <w:r>
        <w:rPr>
          <w:rFonts w:cs="Arial"/>
        </w:rPr>
        <w:t xml:space="preserve">, </w:t>
      </w:r>
      <w:r>
        <w:rPr>
          <w:rFonts w:cs="Arial"/>
          <w:i/>
          <w:iCs/>
        </w:rPr>
        <w:t>5</w:t>
      </w:r>
      <w:r>
        <w:rPr>
          <w:rFonts w:cs="Arial"/>
        </w:rPr>
        <w:t>, p.1581516. Available at:</w:t>
      </w:r>
      <w:r>
        <w:fldChar w:fldCharType="begin"/>
      </w:r>
      <w:r>
        <w:instrText xml:space="preserve"> HYPERLINK "https://www.frontiersin.org/journals/health-services/articles/10.3389/frhs.2025.1581516/pdf" \h </w:instrText>
      </w:r>
      <w:r>
        <w:fldChar w:fldCharType="separate"/>
      </w:r>
      <w:r>
        <w:rPr>
          <w:rFonts w:cs="Arial"/>
        </w:rPr>
        <w:t xml:space="preserve"> </w:t>
      </w:r>
      <w:r>
        <w:rPr>
          <w:rFonts w:cs="Arial"/>
        </w:rPr>
        <w:fldChar w:fldCharType="end"/>
      </w:r>
      <w:r>
        <w:fldChar w:fldCharType="begin"/>
      </w:r>
      <w:r>
        <w:instrText xml:space="preserve"> HYPERLINK "https://www.frontiersin.org/journals/health-services/articles/10.3389/frhs.2025.1581516/pdf" \h </w:instrText>
      </w:r>
      <w:r>
        <w:fldChar w:fldCharType="separate"/>
      </w:r>
      <w:r>
        <w:rPr>
          <w:rFonts w:cs="Arial"/>
          <w:color w:val="1155CC"/>
          <w:u w:val="single"/>
        </w:rPr>
        <w:t>https://www.frontiersin.org/journals/health-services/articles/10.3389/frhs.2025.1581516/pdf</w:t>
      </w:r>
      <w:r>
        <w:rPr>
          <w:rFonts w:cs="Arial"/>
          <w:color w:val="1155CC"/>
          <w:u w:val="single"/>
        </w:rPr>
        <w:fldChar w:fldCharType="end"/>
      </w:r>
    </w:p>
    <w:p w14:paraId="50131899">
      <w:pPr>
        <w:spacing w:before="240" w:after="240"/>
        <w:rPr>
          <w:rFonts w:cs="Arial"/>
        </w:rPr>
      </w:pPr>
      <w:r>
        <w:rPr>
          <w:rFonts w:cs="Arial"/>
        </w:rPr>
        <w:t xml:space="preserve">LISTER, J. (2023). </w:t>
      </w:r>
      <w:r>
        <w:rPr>
          <w:rFonts w:cs="Arial"/>
          <w:i/>
          <w:iCs/>
        </w:rPr>
        <w:t>New figures highlight death tolls from NHS delays.</w:t>
      </w:r>
      <w:r>
        <w:rPr>
          <w:rFonts w:cs="Arial"/>
        </w:rPr>
        <w:t xml:space="preserve"> Available at: </w:t>
      </w:r>
      <w:r>
        <w:fldChar w:fldCharType="begin"/>
      </w:r>
      <w:r>
        <w:instrText xml:space="preserve"> HYPERLINK "https://lowdownnhs.info/news/new-figures-highlight-death-tolls-from-nhs-delays/" \h </w:instrText>
      </w:r>
      <w:r>
        <w:fldChar w:fldCharType="separate"/>
      </w:r>
      <w:r>
        <w:rPr>
          <w:rFonts w:cs="Arial"/>
          <w:color w:val="1155CC"/>
          <w:u w:val="single"/>
        </w:rPr>
        <w:t>https://lowdownnhs.info/news/new-figures-highlight-death-tolls-from-nhs-delays/</w:t>
      </w:r>
      <w:r>
        <w:rPr>
          <w:rFonts w:cs="Arial"/>
          <w:color w:val="1155CC"/>
          <w:u w:val="single"/>
        </w:rPr>
        <w:fldChar w:fldCharType="end"/>
      </w:r>
      <w:r>
        <w:rPr>
          <w:rFonts w:cs="Arial"/>
        </w:rPr>
        <w:t xml:space="preserve"> (Accessed: 25 July 2026). </w:t>
      </w:r>
    </w:p>
    <w:p w14:paraId="07A37FB9">
      <w:pPr>
        <w:spacing w:before="240" w:after="240"/>
        <w:rPr>
          <w:rFonts w:cs="Arial"/>
        </w:rPr>
      </w:pPr>
      <w:r>
        <w:rPr>
          <w:rFonts w:eastAsia="Arial" w:cs="Arial"/>
          <w:color w:val="222222"/>
          <w:highlight w:val="white"/>
        </w:rPr>
        <w:t xml:space="preserve">Malematja, D.N., Nkosi, E.M. and Nene, S.E., (2025). ‘The impact of insufficient resources on the quality-of-service delivery at a primary healthcare clinic in Limpopo.’ </w:t>
      </w:r>
      <w:r>
        <w:rPr>
          <w:rFonts w:eastAsia="Arial" w:cs="Arial"/>
          <w:i/>
          <w:iCs/>
          <w:color w:val="222222"/>
          <w:highlight w:val="white"/>
        </w:rPr>
        <w:t>curationis</w:t>
      </w:r>
      <w:r>
        <w:rPr>
          <w:rFonts w:eastAsia="Arial" w:cs="Arial"/>
          <w:color w:val="222222"/>
          <w:highlight w:val="white"/>
        </w:rPr>
        <w:t xml:space="preserve">, </w:t>
      </w:r>
      <w:r>
        <w:rPr>
          <w:rFonts w:eastAsia="Arial" w:cs="Arial"/>
          <w:i/>
          <w:iCs/>
          <w:color w:val="222222"/>
          <w:highlight w:val="white"/>
        </w:rPr>
        <w:t>48</w:t>
      </w:r>
      <w:r>
        <w:rPr>
          <w:rFonts w:eastAsia="Arial" w:cs="Arial"/>
          <w:color w:val="222222"/>
          <w:highlight w:val="white"/>
        </w:rPr>
        <w:t>(1), p.2696.</w:t>
      </w:r>
      <w:r>
        <w:rPr>
          <w:rFonts w:cs="Arial"/>
        </w:rPr>
        <w:t xml:space="preserve"> Available at: </w:t>
      </w:r>
      <w:r>
        <w:fldChar w:fldCharType="begin"/>
      </w:r>
      <w:r>
        <w:instrText xml:space="preserve"> HYPERLINK "https://journals.co.za/doi/pdf/10.4102/curationis.v48i1.2696" \h </w:instrText>
      </w:r>
      <w:r>
        <w:fldChar w:fldCharType="separate"/>
      </w:r>
      <w:r>
        <w:rPr>
          <w:rFonts w:cs="Arial"/>
          <w:color w:val="1155CC"/>
          <w:u w:val="single"/>
        </w:rPr>
        <w:t>https://journals.co.za/doi/pdf/10.4102/curationis.v48i1.2696</w:t>
      </w:r>
      <w:r>
        <w:rPr>
          <w:rFonts w:cs="Arial"/>
          <w:color w:val="1155CC"/>
          <w:u w:val="single"/>
        </w:rPr>
        <w:fldChar w:fldCharType="end"/>
      </w:r>
      <w:r>
        <w:rPr>
          <w:rFonts w:cs="Arial"/>
        </w:rPr>
        <w:t xml:space="preserve"> </w:t>
      </w:r>
    </w:p>
    <w:p w14:paraId="2667A364">
      <w:pPr>
        <w:spacing w:before="240" w:after="240"/>
        <w:rPr>
          <w:rFonts w:cs="Arial"/>
        </w:rPr>
      </w:pPr>
      <w:r>
        <w:rPr>
          <w:rFonts w:cs="Arial"/>
        </w:rPr>
        <w:t xml:space="preserve">Medlicott, (2023). </w:t>
      </w:r>
      <w:r>
        <w:rPr>
          <w:rFonts w:cs="Arial"/>
          <w:i/>
          <w:iCs/>
        </w:rPr>
        <w:t>Deaths on the NHS waiting list double in five years as critics slam ‘decade of underinvestment’ in health service.</w:t>
      </w:r>
      <w:r>
        <w:rPr>
          <w:rFonts w:cs="Arial"/>
        </w:rPr>
        <w:t xml:space="preserve"> Available at: </w:t>
      </w:r>
      <w:r>
        <w:fldChar w:fldCharType="begin"/>
      </w:r>
      <w:r>
        <w:instrText xml:space="preserve"> HYPERLINK "https://www.lbc.co.uk/article/nhs-waiting-list-treatment-deaths-double-five-years-DWzfJZ_2/" \h </w:instrText>
      </w:r>
      <w:r>
        <w:fldChar w:fldCharType="separate"/>
      </w:r>
      <w:r>
        <w:rPr>
          <w:rFonts w:cs="Arial"/>
          <w:color w:val="1155CC"/>
          <w:u w:val="single"/>
        </w:rPr>
        <w:t>https://www.lbc.co.uk/article/nhs-waiting-list-treatment-deaths-double-five-years-DWzfJZ_2/</w:t>
      </w:r>
      <w:r>
        <w:rPr>
          <w:rFonts w:cs="Arial"/>
          <w:color w:val="1155CC"/>
          <w:u w:val="single"/>
        </w:rPr>
        <w:fldChar w:fldCharType="end"/>
      </w:r>
      <w:r>
        <w:rPr>
          <w:rFonts w:cs="Arial"/>
        </w:rPr>
        <w:t xml:space="preserve"> (Accessed: 25 July 2026). </w:t>
      </w:r>
    </w:p>
    <w:p w14:paraId="70F3FC3B">
      <w:pPr>
        <w:spacing w:before="240"/>
        <w:rPr>
          <w:rFonts w:cs="Arial"/>
        </w:rPr>
      </w:pPr>
      <w:r>
        <w:rPr>
          <w:rFonts w:cs="Arial"/>
        </w:rPr>
        <w:t xml:space="preserve">Mekonnen, M. and Bayissa, Z. (2023) ‘The effect of transformational and transactional leadership styles on organizational readiness for change among health professionals’, </w:t>
      </w:r>
      <w:r>
        <w:rPr>
          <w:rFonts w:cs="Arial"/>
          <w:i/>
          <w:iCs/>
        </w:rPr>
        <w:t>SAGE Open Nursing</w:t>
      </w:r>
      <w:r>
        <w:rPr>
          <w:rFonts w:cs="Arial"/>
        </w:rPr>
        <w:t>, 9, p. 23779608231185923. Available at:</w:t>
      </w:r>
      <w:r>
        <w:fldChar w:fldCharType="begin"/>
      </w:r>
      <w:r>
        <w:instrText xml:space="preserve"> HYPERLINK "https://doi.org/10.1177/23779608231185923" </w:instrText>
      </w:r>
      <w:r>
        <w:fldChar w:fldCharType="separate"/>
      </w:r>
      <w:r>
        <w:rPr>
          <w:rStyle w:val="16"/>
          <w:rFonts w:cs="Arial"/>
        </w:rPr>
        <w:t xml:space="preserve"> https://doi.org/10.1177/23779608231185923</w:t>
      </w:r>
      <w:r>
        <w:rPr>
          <w:rStyle w:val="16"/>
          <w:rFonts w:cs="Arial"/>
        </w:rPr>
        <w:fldChar w:fldCharType="end"/>
      </w:r>
      <w:r>
        <w:rPr>
          <w:rFonts w:cs="Arial"/>
        </w:rPr>
        <w:t>  </w:t>
      </w:r>
    </w:p>
    <w:p w14:paraId="5B205985">
      <w:pPr>
        <w:spacing w:before="240"/>
        <w:rPr>
          <w:rFonts w:cs="Arial"/>
        </w:rPr>
      </w:pPr>
      <w:r>
        <w:rPr>
          <w:rFonts w:cs="Arial"/>
        </w:rPr>
        <w:t>Meyer</w:t>
      </w:r>
      <w:r>
        <w:rPr>
          <w:rFonts w:cs="Arial"/>
        </w:rPr>
        <w:noBreakHyphen/>
      </w:r>
      <w:r>
        <w:rPr>
          <w:rFonts w:cs="Arial"/>
        </w:rPr>
        <w:t>Massetti, C., Osińska, M., Welte, N. and Zúñiga, F. (2025) ‘Medication</w:t>
      </w:r>
      <w:r>
        <w:rPr>
          <w:rFonts w:cs="Arial"/>
        </w:rPr>
        <w:noBreakHyphen/>
      </w:r>
      <w:r>
        <w:rPr>
          <w:rFonts w:cs="Arial"/>
        </w:rPr>
        <w:t xml:space="preserve">related infrastructure and medication reviews in nursing homes—a rapid appraisal study’, </w:t>
      </w:r>
      <w:r>
        <w:rPr>
          <w:rFonts w:cs="Arial"/>
          <w:i/>
          <w:iCs/>
        </w:rPr>
        <w:t>BMC Health Services Research</w:t>
      </w:r>
      <w:r>
        <w:rPr>
          <w:rFonts w:cs="Arial"/>
        </w:rPr>
        <w:t>, 25(1), p. 495. Available at:</w:t>
      </w:r>
      <w:r>
        <w:fldChar w:fldCharType="begin"/>
      </w:r>
      <w:r>
        <w:instrText xml:space="preserve"> HYPERLINK "https://link.springer.com/content/pdf/10.1186/s12913-025-12505-2.pdf?utm_source=copilot.com" </w:instrText>
      </w:r>
      <w:r>
        <w:fldChar w:fldCharType="separate"/>
      </w:r>
      <w:r>
        <w:rPr>
          <w:rStyle w:val="16"/>
          <w:rFonts w:cs="Arial"/>
        </w:rPr>
        <w:t xml:space="preserve"> https://link.springer.com/content/pdf/10.1186/s12913-025-12505-2.pdf</w:t>
      </w:r>
      <w:r>
        <w:rPr>
          <w:rStyle w:val="16"/>
          <w:rFonts w:cs="Arial"/>
        </w:rPr>
        <w:fldChar w:fldCharType="end"/>
      </w:r>
    </w:p>
    <w:p w14:paraId="0317275A">
      <w:pPr>
        <w:spacing w:before="240"/>
        <w:rPr>
          <w:rFonts w:cs="Arial"/>
          <w:color w:val="1155CC"/>
          <w:u w:val="single"/>
        </w:rPr>
      </w:pPr>
      <w:r>
        <w:rPr>
          <w:rFonts w:cs="Arial"/>
        </w:rPr>
        <w:t xml:space="preserve">Negrini, R., Appel, L.C., Beck, A.P.A., Eisencraft, A.C.G., Fascina, L.P. and Fernandes, F.P., (2024). ‘Contribution of proactive management of healthcare risks to the reduction of adverse events in a maternity hospital’. </w:t>
      </w:r>
      <w:r>
        <w:rPr>
          <w:rFonts w:cs="Arial"/>
          <w:i/>
          <w:iCs/>
        </w:rPr>
        <w:t>BMJ Open Quality</w:t>
      </w:r>
      <w:r>
        <w:rPr>
          <w:rFonts w:cs="Arial"/>
        </w:rPr>
        <w:t xml:space="preserve">, </w:t>
      </w:r>
      <w:r>
        <w:rPr>
          <w:rFonts w:cs="Arial"/>
          <w:i/>
          <w:iCs/>
        </w:rPr>
        <w:t>13</w:t>
      </w:r>
      <w:r>
        <w:rPr>
          <w:rFonts w:cs="Arial"/>
        </w:rPr>
        <w:t>(1). Available at:</w:t>
      </w:r>
      <w:r>
        <w:fldChar w:fldCharType="begin"/>
      </w:r>
      <w:r>
        <w:instrText xml:space="preserve"> HYPERLINK "https://bmjopenquality.bmj.com/content/bmjqir/13/1/e002456.full.pdf" \h </w:instrText>
      </w:r>
      <w:r>
        <w:fldChar w:fldCharType="separate"/>
      </w:r>
      <w:r>
        <w:rPr>
          <w:rFonts w:cs="Arial"/>
        </w:rPr>
        <w:t xml:space="preserve"> </w:t>
      </w:r>
      <w:r>
        <w:rPr>
          <w:rFonts w:cs="Arial"/>
        </w:rPr>
        <w:fldChar w:fldCharType="end"/>
      </w:r>
      <w:r>
        <w:fldChar w:fldCharType="begin"/>
      </w:r>
      <w:r>
        <w:instrText xml:space="preserve"> HYPERLINK "https://bmjopenquality.bmj.com/content/bmjqir/13/1/e002456.full.pdf" \h </w:instrText>
      </w:r>
      <w:r>
        <w:fldChar w:fldCharType="separate"/>
      </w:r>
      <w:r>
        <w:rPr>
          <w:rFonts w:cs="Arial"/>
          <w:color w:val="1155CC"/>
          <w:u w:val="single"/>
        </w:rPr>
        <w:t>https://bmjopenquality.bmj.com/content/bmjqir/13/1/e002456.full.pdf</w:t>
      </w:r>
      <w:r>
        <w:rPr>
          <w:rFonts w:cs="Arial"/>
          <w:color w:val="1155CC"/>
          <w:u w:val="single"/>
        </w:rPr>
        <w:fldChar w:fldCharType="end"/>
      </w:r>
    </w:p>
    <w:p w14:paraId="2A4D479E">
      <w:pPr>
        <w:spacing w:before="240" w:after="240"/>
        <w:rPr>
          <w:rFonts w:cs="Arial"/>
        </w:rPr>
      </w:pPr>
      <w:r>
        <w:rPr>
          <w:rFonts w:cs="Arial"/>
        </w:rPr>
        <w:t xml:space="preserve">NHS England (2022) </w:t>
      </w:r>
      <w:r>
        <w:rPr>
          <w:rFonts w:cs="Arial"/>
          <w:i/>
          <w:iCs/>
        </w:rPr>
        <w:t>NHS Patient Safety Strategy</w:t>
      </w:r>
      <w:r>
        <w:rPr>
          <w:rFonts w:cs="Arial"/>
        </w:rPr>
        <w:t>. Available at:</w:t>
      </w:r>
      <w:r>
        <w:fldChar w:fldCharType="begin"/>
      </w:r>
      <w:r>
        <w:instrText xml:space="preserve"> HYPERLINK "https://www.england.nhs.uk/patient-safety/" \h </w:instrText>
      </w:r>
      <w:r>
        <w:fldChar w:fldCharType="separate"/>
      </w:r>
      <w:r>
        <w:fldChar w:fldCharType="end"/>
      </w:r>
      <w:r>
        <w:fldChar w:fldCharType="begin"/>
      </w:r>
      <w:r>
        <w:instrText xml:space="preserve"> HYPERLINK "https://www.england.nhs.uk/patient-safety/" \h </w:instrText>
      </w:r>
      <w:r>
        <w:fldChar w:fldCharType="separate"/>
      </w:r>
      <w:r>
        <w:rPr>
          <w:rFonts w:cs="Arial"/>
          <w:color w:val="1155CC"/>
          <w:u w:val="single"/>
        </w:rPr>
        <w:t>https://www.england.nhs.uk/patient-safety/</w:t>
      </w:r>
      <w:r>
        <w:rPr>
          <w:rFonts w:cs="Arial"/>
          <w:color w:val="1155CC"/>
          <w:u w:val="single"/>
        </w:rPr>
        <w:fldChar w:fldCharType="end"/>
      </w:r>
      <w:r>
        <w:rPr>
          <w:rFonts w:cs="Arial"/>
        </w:rPr>
        <w:t xml:space="preserve"> (Accessed: 25 July 2026).</w:t>
      </w:r>
    </w:p>
    <w:p w14:paraId="71C13A69">
      <w:pPr>
        <w:spacing w:before="240" w:after="240"/>
        <w:rPr>
          <w:rFonts w:cs="Arial"/>
        </w:rPr>
      </w:pPr>
      <w:r>
        <w:rPr>
          <w:rFonts w:cs="Arial"/>
        </w:rPr>
        <w:t xml:space="preserve">NHS England (2024) </w:t>
      </w:r>
      <w:r>
        <w:rPr>
          <w:rFonts w:cs="Arial"/>
          <w:i/>
          <w:iCs/>
        </w:rPr>
        <w:t>Learn from Patient Safety Events (LFPSE)</w:t>
      </w:r>
      <w:r>
        <w:rPr>
          <w:rFonts w:cs="Arial"/>
        </w:rPr>
        <w:t>. Available at: https://www.england.nhs.uk/patient-safety/learn-from-patient-safety-events/ (Accessed: 25 July 2026).</w:t>
      </w:r>
    </w:p>
    <w:p w14:paraId="1CEABFF7">
      <w:pPr>
        <w:spacing w:before="240" w:after="240"/>
        <w:rPr>
          <w:rFonts w:cs="Arial"/>
        </w:rPr>
      </w:pPr>
      <w:r>
        <w:rPr>
          <w:rFonts w:cs="Arial"/>
        </w:rPr>
        <w:t xml:space="preserve">NHS England (2024) </w:t>
      </w:r>
      <w:r>
        <w:rPr>
          <w:rFonts w:cs="Arial"/>
          <w:i/>
          <w:iCs/>
        </w:rPr>
        <w:t>NHS Staff Survey 2024 National Results</w:t>
      </w:r>
      <w:r>
        <w:rPr>
          <w:rFonts w:cs="Arial"/>
        </w:rPr>
        <w:t>. Available at:</w:t>
      </w:r>
      <w:r>
        <w:fldChar w:fldCharType="begin"/>
      </w:r>
      <w:r>
        <w:instrText xml:space="preserve"> HYPERLINK "https://www.nhsstaffsurveys.com/results/national-results/" \h </w:instrText>
      </w:r>
      <w:r>
        <w:fldChar w:fldCharType="separate"/>
      </w:r>
      <w:r>
        <w:fldChar w:fldCharType="end"/>
      </w:r>
      <w:r>
        <w:fldChar w:fldCharType="begin"/>
      </w:r>
      <w:r>
        <w:instrText xml:space="preserve"> HYPERLINK "https://www.nhsstaffsurveys.com/results/national-results/" \h </w:instrText>
      </w:r>
      <w:r>
        <w:fldChar w:fldCharType="separate"/>
      </w:r>
      <w:r>
        <w:rPr>
          <w:rFonts w:cs="Arial"/>
          <w:color w:val="1155CC"/>
          <w:u w:val="single"/>
        </w:rPr>
        <w:t>https://www.nhsstaffsurveys.com/results/national-results/</w:t>
      </w:r>
      <w:r>
        <w:rPr>
          <w:rFonts w:cs="Arial"/>
          <w:color w:val="1155CC"/>
          <w:u w:val="single"/>
        </w:rPr>
        <w:fldChar w:fldCharType="end"/>
      </w:r>
      <w:r>
        <w:rPr>
          <w:rFonts w:cs="Arial"/>
        </w:rPr>
        <w:t xml:space="preserve">  (Accessed: 25 July 2026).</w:t>
      </w:r>
    </w:p>
    <w:p w14:paraId="74D316E8">
      <w:pPr>
        <w:spacing w:before="240" w:after="240"/>
        <w:rPr>
          <w:rFonts w:cs="Arial"/>
        </w:rPr>
      </w:pPr>
      <w:r>
        <w:rPr>
          <w:rFonts w:cs="Arial"/>
        </w:rPr>
        <w:t xml:space="preserve">NHS England (2024) </w:t>
      </w:r>
      <w:r>
        <w:rPr>
          <w:rFonts w:cs="Arial"/>
          <w:i/>
          <w:iCs/>
        </w:rPr>
        <w:t>NHS Workforce Statistics – September 2024</w:t>
      </w:r>
      <w:r>
        <w:rPr>
          <w:rFonts w:cs="Arial"/>
        </w:rPr>
        <w:t>. Available at:</w:t>
      </w:r>
      <w:r>
        <w:fldChar w:fldCharType="begin"/>
      </w:r>
      <w:r>
        <w:instrText xml:space="preserve"> HYPERLINK "https://digital.nhs.uk/data-and-information/publications/statistical/nhs-workforce-statistics/december-2024" \h </w:instrText>
      </w:r>
      <w:r>
        <w:fldChar w:fldCharType="separate"/>
      </w:r>
      <w:r>
        <w:fldChar w:fldCharType="end"/>
      </w:r>
      <w:r>
        <w:fldChar w:fldCharType="begin"/>
      </w:r>
      <w:r>
        <w:instrText xml:space="preserve"> HYPERLINK "https://digital.nhs.uk/data-and-information/publications/statistical/nhs-workforce-statistics/december-2024" \h </w:instrText>
      </w:r>
      <w:r>
        <w:fldChar w:fldCharType="separate"/>
      </w:r>
      <w:r>
        <w:rPr>
          <w:rFonts w:cs="Arial"/>
          <w:color w:val="1155CC"/>
          <w:u w:val="single"/>
        </w:rPr>
        <w:t>https://digital.nhs.uk/data-and-information/publications/statistical/nhs-workforce-statistics/december-2024</w:t>
      </w:r>
      <w:r>
        <w:rPr>
          <w:rFonts w:cs="Arial"/>
          <w:color w:val="1155CC"/>
          <w:u w:val="single"/>
        </w:rPr>
        <w:fldChar w:fldCharType="end"/>
      </w:r>
      <w:r>
        <w:rPr>
          <w:rFonts w:cs="Arial"/>
        </w:rPr>
        <w:t xml:space="preserve"> (Accessed: 25 July 2026).</w:t>
      </w:r>
    </w:p>
    <w:p w14:paraId="6122BA9D">
      <w:pPr>
        <w:spacing w:before="240"/>
        <w:rPr>
          <w:rFonts w:cs="Arial"/>
        </w:rPr>
      </w:pPr>
      <w:r>
        <w:rPr>
          <w:rFonts w:cs="Arial"/>
        </w:rPr>
        <w:t xml:space="preserve">NHS England (2024). </w:t>
      </w:r>
      <w:r>
        <w:rPr>
          <w:rFonts w:cs="Arial"/>
          <w:i/>
          <w:iCs/>
        </w:rPr>
        <w:t>Summary of electronic Prescribing and Medicine Administration (ePMA) Directions 2024 issued to NHS England by the Secretary of State for Health and Social Care in May 2024</w:t>
      </w:r>
      <w:r>
        <w:rPr>
          <w:rFonts w:cs="Arial"/>
        </w:rPr>
        <w:t>. Available at:</w:t>
      </w:r>
      <w:r>
        <w:fldChar w:fldCharType="begin"/>
      </w:r>
      <w:r>
        <w:instrText xml:space="preserve"> HYPERLINK "https://www.england.nhs.uk/long-read/summary-of-electronic-prescribing-and-medicine-administration-epma-directions-2024-issued-to-nhs-england-by-the-secretary-of-state-for-health-and-social-care-in-may-2024/" \l ":~:text=The%20purpose%20of%20the%20Directions,administered%20to%20patients%20in%20England" \h </w:instrText>
      </w:r>
      <w:r>
        <w:fldChar w:fldCharType="separate"/>
      </w:r>
      <w:r>
        <w:rPr>
          <w:rFonts w:cs="Arial"/>
        </w:rPr>
        <w:t xml:space="preserve"> </w:t>
      </w:r>
      <w:r>
        <w:rPr>
          <w:rFonts w:cs="Arial"/>
        </w:rPr>
        <w:fldChar w:fldCharType="end"/>
      </w:r>
      <w:r>
        <w:fldChar w:fldCharType="begin"/>
      </w:r>
      <w:r>
        <w:instrText xml:space="preserve"> HYPERLINK "https://www.england.nhs.uk/long-read/summary-of-electronic-prescribing-and-medicine-administration-epma-directions-2024-issued-to-nhs-england-by-the-secretary-of-state-for-health-and-social-care-in-may-2024/" \l ":~:text=The%20purpose%20of%20the%20Directions,administered%20to%20patients%20in%20England" \h </w:instrText>
      </w:r>
      <w:r>
        <w:fldChar w:fldCharType="separate"/>
      </w:r>
      <w:r>
        <w:rPr>
          <w:rFonts w:cs="Arial"/>
          <w:color w:val="1155CC"/>
          <w:u w:val="single"/>
        </w:rPr>
        <w:t>https://www.england.nhs.uk/long-read/summary-of-electronic-prescribing-and-medicine-administration-epma-directions-2024-issued-to-nhs-england-by-the-secretary-of-state-for-health-and-social-care-in-may-2024/#:~:text=The%20purpose%20of%20the%20Directions,administered%20to%20patients%20in%20England</w:t>
      </w:r>
      <w:r>
        <w:rPr>
          <w:rFonts w:cs="Arial"/>
          <w:color w:val="1155CC"/>
          <w:u w:val="single"/>
        </w:rPr>
        <w:fldChar w:fldCharType="end"/>
      </w:r>
      <w:r>
        <w:rPr>
          <w:rFonts w:cs="Arial"/>
        </w:rPr>
        <w:t>. (Accessed: 25 July 2026).</w:t>
      </w:r>
    </w:p>
    <w:p w14:paraId="0C5E0E74">
      <w:pPr>
        <w:spacing w:before="240"/>
        <w:rPr>
          <w:rFonts w:cs="Arial"/>
        </w:rPr>
      </w:pPr>
      <w:r>
        <w:rPr>
          <w:rFonts w:cs="Arial"/>
        </w:rPr>
        <w:t xml:space="preserve">NHS England. (2026). </w:t>
      </w:r>
      <w:r>
        <w:rPr>
          <w:rFonts w:cs="Arial"/>
          <w:i/>
          <w:iCs/>
        </w:rPr>
        <w:t>Learn from patient safety events (LFPSE) service</w:t>
      </w:r>
      <w:r>
        <w:rPr>
          <w:rFonts w:cs="Arial"/>
        </w:rPr>
        <w:t>. Available at:</w:t>
      </w:r>
      <w:r>
        <w:fldChar w:fldCharType="begin"/>
      </w:r>
      <w:r>
        <w:instrText xml:space="preserve"> HYPERLINK "https://www.england.nhs.uk/patient-safety/patient-safety-insight/learning-from-patient-safety-events/learn-from-patient-safety-events-service/" \h </w:instrText>
      </w:r>
      <w:r>
        <w:fldChar w:fldCharType="separate"/>
      </w:r>
      <w:r>
        <w:rPr>
          <w:rFonts w:cs="Arial"/>
        </w:rPr>
        <w:t xml:space="preserve"> </w:t>
      </w:r>
      <w:r>
        <w:rPr>
          <w:rFonts w:cs="Arial"/>
        </w:rPr>
        <w:fldChar w:fldCharType="end"/>
      </w:r>
      <w:r>
        <w:fldChar w:fldCharType="begin"/>
      </w:r>
      <w:r>
        <w:instrText xml:space="preserve"> HYPERLINK "https://www.england.nhs.uk/patient-safety/patient-safety-insight/learning-from-patient-safety-events/learn-from-patient-safety-events-service/" \h </w:instrText>
      </w:r>
      <w:r>
        <w:fldChar w:fldCharType="separate"/>
      </w:r>
      <w:r>
        <w:rPr>
          <w:rFonts w:cs="Arial"/>
          <w:color w:val="1155CC"/>
          <w:u w:val="single"/>
        </w:rPr>
        <w:t>https://www.england.nhs.uk/patient-safety/patient-safety-insight/learning-from-patient-safety-events/learn-from-patient-safety-events-service/</w:t>
      </w:r>
      <w:r>
        <w:rPr>
          <w:rFonts w:cs="Arial"/>
          <w:color w:val="1155CC"/>
          <w:u w:val="single"/>
        </w:rPr>
        <w:fldChar w:fldCharType="end"/>
      </w:r>
      <w:r>
        <w:rPr>
          <w:rFonts w:cs="Arial"/>
        </w:rPr>
        <w:t xml:space="preserve"> (Accessed: 25 July 2026).</w:t>
      </w:r>
    </w:p>
    <w:p w14:paraId="0F5D1D75">
      <w:pPr>
        <w:spacing w:before="240"/>
        <w:rPr>
          <w:rFonts w:cs="Arial"/>
        </w:rPr>
      </w:pPr>
      <w:r>
        <w:rPr>
          <w:rFonts w:cs="Arial"/>
        </w:rPr>
        <w:t xml:space="preserve">NHS Staff Survey (2026) </w:t>
      </w:r>
      <w:r>
        <w:rPr>
          <w:rFonts w:cs="Arial"/>
          <w:i/>
          <w:iCs/>
        </w:rPr>
        <w:t>NHS Staff Survey: National Results 2025 – 12 March 2026</w:t>
      </w:r>
      <w:r>
        <w:rPr>
          <w:rFonts w:cs="Arial"/>
        </w:rPr>
        <w:t>. Available at:</w:t>
      </w:r>
      <w:r>
        <w:fldChar w:fldCharType="begin"/>
      </w:r>
      <w:r>
        <w:instrText xml:space="preserve"> HYPERLINK "https://www.pslhub.org/learn/culture/nhs-staff-survey-national-results-2025-12-march-2026-r14180/?utm_source=copilot.com" </w:instrText>
      </w:r>
      <w:r>
        <w:fldChar w:fldCharType="separate"/>
      </w:r>
      <w:r>
        <w:rPr>
          <w:rStyle w:val="16"/>
          <w:rFonts w:cs="Arial"/>
        </w:rPr>
        <w:t xml:space="preserve"> https://www.pslhub.org/learn/culture/nhs-staff-survey-national-results-2025-12-march-2026-r14180/</w:t>
      </w:r>
      <w:r>
        <w:rPr>
          <w:rStyle w:val="16"/>
          <w:rFonts w:cs="Arial"/>
        </w:rPr>
        <w:fldChar w:fldCharType="end"/>
      </w:r>
      <w:r>
        <w:rPr>
          <w:rFonts w:cs="Arial"/>
        </w:rPr>
        <w:t xml:space="preserve"> (Accessed: 25 July 2026).</w:t>
      </w:r>
    </w:p>
    <w:p w14:paraId="023FD684">
      <w:pPr>
        <w:spacing w:before="240"/>
        <w:rPr>
          <w:rFonts w:cs="Arial"/>
        </w:rPr>
      </w:pPr>
      <w:r>
        <w:rPr>
          <w:rFonts w:cs="Arial"/>
        </w:rPr>
        <w:t>Powell, C., Brown, T., Yap, Y., Hallam, K., Takac, M., Quinlivan, T., Xenos, S. and Karimi, L. (2024) ‘Emotional intelligence training among the healthcare workforce: a systematic review and meta</w:t>
      </w:r>
      <w:r>
        <w:rPr>
          <w:rFonts w:cs="Arial"/>
        </w:rPr>
        <w:noBreakHyphen/>
      </w:r>
      <w:r>
        <w:rPr>
          <w:rFonts w:cs="Arial"/>
        </w:rPr>
        <w:t xml:space="preserve">analysis’, </w:t>
      </w:r>
      <w:r>
        <w:rPr>
          <w:rFonts w:cs="Arial"/>
          <w:i/>
          <w:iCs/>
        </w:rPr>
        <w:t>Frontiers in Psychology</w:t>
      </w:r>
      <w:r>
        <w:rPr>
          <w:rFonts w:cs="Arial"/>
        </w:rPr>
        <w:t>, 15, p. 1437035. Available at:</w:t>
      </w:r>
      <w:r>
        <w:fldChar w:fldCharType="begin"/>
      </w:r>
      <w:r>
        <w:instrText xml:space="preserve"> HYPERLINK "https://doi.org/10.3389/fpsyg.2024.1437035?utm_source=copilot.com" </w:instrText>
      </w:r>
      <w:r>
        <w:fldChar w:fldCharType="separate"/>
      </w:r>
      <w:r>
        <w:rPr>
          <w:rStyle w:val="16"/>
          <w:rFonts w:cs="Arial"/>
        </w:rPr>
        <w:t xml:space="preserve"> https://doi.org/10.3389/fpsyg.2024.1437035</w:t>
      </w:r>
      <w:r>
        <w:rPr>
          <w:rStyle w:val="16"/>
          <w:rFonts w:cs="Arial"/>
        </w:rPr>
        <w:fldChar w:fldCharType="end"/>
      </w:r>
    </w:p>
    <w:p w14:paraId="66154497">
      <w:pPr>
        <w:spacing w:before="240" w:after="240"/>
        <w:rPr>
          <w:rFonts w:cs="Arial"/>
        </w:rPr>
      </w:pPr>
      <w:r>
        <w:rPr>
          <w:rFonts w:eastAsia="Arial" w:cs="Arial"/>
          <w:color w:val="222222"/>
          <w:highlight w:val="white"/>
        </w:rPr>
        <w:t xml:space="preserve">Ramdas, S., Bhowmik, M., Kumar, C.N., Sthul, S., Patel, P.B., Hodade, D. and Shende, C.N., (2024). ‘Leadership styles and their impact on health system performance: A comparative analysis.’ </w:t>
      </w:r>
      <w:r>
        <w:rPr>
          <w:rFonts w:eastAsia="Arial" w:cs="Arial"/>
          <w:i/>
          <w:iCs/>
          <w:color w:val="222222"/>
          <w:highlight w:val="white"/>
        </w:rPr>
        <w:t>South Eastern European Journal of Public Health</w:t>
      </w:r>
      <w:r>
        <w:rPr>
          <w:rFonts w:eastAsia="Arial" w:cs="Arial"/>
          <w:color w:val="222222"/>
          <w:highlight w:val="white"/>
        </w:rPr>
        <w:t xml:space="preserve">, </w:t>
      </w:r>
      <w:r>
        <w:rPr>
          <w:rFonts w:eastAsia="Arial" w:cs="Arial"/>
          <w:i/>
          <w:iCs/>
          <w:color w:val="222222"/>
          <w:highlight w:val="white"/>
        </w:rPr>
        <w:t>76</w:t>
      </w:r>
      <w:r>
        <w:rPr>
          <w:rFonts w:eastAsia="Arial" w:cs="Arial"/>
          <w:color w:val="222222"/>
          <w:highlight w:val="white"/>
        </w:rPr>
        <w:t>, pp.76-89.</w:t>
      </w:r>
      <w:r>
        <w:rPr>
          <w:rFonts w:cs="Arial"/>
        </w:rPr>
        <w:t xml:space="preserve"> Available at: </w:t>
      </w:r>
      <w:r>
        <w:fldChar w:fldCharType="begin"/>
      </w:r>
      <w:r>
        <w:instrText xml:space="preserve"> HYPERLINK "https://www.researchgate.net/profile/Prashant-Patel-11/publication/386035447_Leadership_Styles_and_Their_Impact_on_Health_System_Performance_A_Comparative_Analysis/links/68a6bb301bee4d42a241bd50/Leadership-Styles-and-Their-Impact-on-Health-System-Performance-A-Comparative-Analysis.pdf" \h </w:instrText>
      </w:r>
      <w:r>
        <w:fldChar w:fldCharType="separate"/>
      </w:r>
      <w:r>
        <w:rPr>
          <w:rFonts w:cs="Arial"/>
          <w:color w:val="1155CC"/>
          <w:u w:val="single"/>
        </w:rPr>
        <w:t>https://www.researchgate.net/profile/Prashant-Patel-11/publication/386035447_Leadership_Styles_and_Their_Impact_on_Health_System_Performance_A_Comparative_Analysis/links/68a6bb301bee4d42a241bd50/Leadership-Styles-and-Their-Impact-on-Health-System-Performance-A-Comparative-Analysis.pdf</w:t>
      </w:r>
      <w:r>
        <w:rPr>
          <w:rFonts w:cs="Arial"/>
          <w:color w:val="1155CC"/>
          <w:u w:val="single"/>
        </w:rPr>
        <w:fldChar w:fldCharType="end"/>
      </w:r>
      <w:r>
        <w:rPr>
          <w:rFonts w:cs="Arial"/>
        </w:rPr>
        <w:t xml:space="preserve"> </w:t>
      </w:r>
    </w:p>
    <w:p w14:paraId="58F54F5D">
      <w:pPr>
        <w:spacing w:before="240" w:after="240"/>
        <w:rPr>
          <w:rFonts w:cs="Arial"/>
        </w:rPr>
      </w:pPr>
      <w:r>
        <w:rPr>
          <w:rFonts w:cs="Arial"/>
        </w:rPr>
        <w:t xml:space="preserve">RCEM, (2026), </w:t>
      </w:r>
      <w:r>
        <w:rPr>
          <w:rFonts w:cs="Arial"/>
          <w:i/>
          <w:iCs/>
        </w:rPr>
        <w:t>TIME CRITICAL MEDICATIONS.</w:t>
      </w:r>
      <w:r>
        <w:rPr>
          <w:rFonts w:cs="Arial"/>
        </w:rPr>
        <w:t xml:space="preserve"> Available at: </w:t>
      </w:r>
      <w:r>
        <w:fldChar w:fldCharType="begin"/>
      </w:r>
      <w:r>
        <w:instrText xml:space="preserve"> HYPERLINK "https://rcem.ac.uk/wp-content/uploads/2026/01/TCM-QIP-2026-Information-Pack-Year-3-1.pdf" \h </w:instrText>
      </w:r>
      <w:r>
        <w:fldChar w:fldCharType="separate"/>
      </w:r>
      <w:r>
        <w:rPr>
          <w:rFonts w:cs="Arial"/>
          <w:color w:val="1155CC"/>
          <w:u w:val="single"/>
        </w:rPr>
        <w:t>https://rcem.ac.uk/wp-content/uploads/2026/01/TCM-QIP-2026-Information-Pack-Year-3-1.pdf</w:t>
      </w:r>
      <w:r>
        <w:rPr>
          <w:rFonts w:cs="Arial"/>
          <w:color w:val="1155CC"/>
          <w:u w:val="single"/>
        </w:rPr>
        <w:fldChar w:fldCharType="end"/>
      </w:r>
      <w:r>
        <w:rPr>
          <w:rFonts w:cs="Arial"/>
        </w:rPr>
        <w:t xml:space="preserve"> (Accessed: 25 July 2026). </w:t>
      </w:r>
    </w:p>
    <w:p w14:paraId="55F292F4">
      <w:pPr>
        <w:spacing w:before="240"/>
        <w:rPr>
          <w:rFonts w:cs="Arial"/>
          <w:color w:val="1155CC"/>
          <w:u w:val="single"/>
        </w:rPr>
      </w:pPr>
      <w:r>
        <w:rPr>
          <w:rFonts w:cs="Arial"/>
        </w:rPr>
        <w:t xml:space="preserve">Rowily, A.A., Jalal, Z. and Paudyal, V. (2023). ‘Contributory factors and patient harm including deaths associated direct acting oral anticoagulants (DOACs) medication incidents: evaluation of real world data reported to the National Reporting and Learning System’. </w:t>
      </w:r>
      <w:r>
        <w:rPr>
          <w:rFonts w:cs="Arial"/>
          <w:i/>
          <w:iCs/>
        </w:rPr>
        <w:t>Expert Opinion on Drug Safety</w:t>
      </w:r>
      <w:r>
        <w:rPr>
          <w:rFonts w:cs="Arial"/>
        </w:rPr>
        <w:t xml:space="preserve">, </w:t>
      </w:r>
      <w:r>
        <w:rPr>
          <w:rFonts w:cs="Arial"/>
          <w:i/>
          <w:iCs/>
        </w:rPr>
        <w:t>22</w:t>
      </w:r>
      <w:r>
        <w:rPr>
          <w:rFonts w:cs="Arial"/>
        </w:rPr>
        <w:t>(11), pp.1113-1125. Available at:</w:t>
      </w:r>
      <w:r>
        <w:fldChar w:fldCharType="begin"/>
      </w:r>
      <w:r>
        <w:instrText xml:space="preserve"> HYPERLINK "https://www.tandfonline.com/doi/pdf/10.1080/14740338.2023.2223947" \h </w:instrText>
      </w:r>
      <w:r>
        <w:fldChar w:fldCharType="separate"/>
      </w:r>
      <w:r>
        <w:rPr>
          <w:rFonts w:cs="Arial"/>
        </w:rPr>
        <w:t xml:space="preserve"> </w:t>
      </w:r>
      <w:r>
        <w:rPr>
          <w:rFonts w:cs="Arial"/>
        </w:rPr>
        <w:fldChar w:fldCharType="end"/>
      </w:r>
      <w:r>
        <w:fldChar w:fldCharType="begin"/>
      </w:r>
      <w:r>
        <w:instrText xml:space="preserve"> HYPERLINK "https://www.tandfonline.com/doi/pdf/10.1080/14740338.2023.2223947" \h </w:instrText>
      </w:r>
      <w:r>
        <w:fldChar w:fldCharType="separate"/>
      </w:r>
      <w:r>
        <w:rPr>
          <w:rFonts w:cs="Arial"/>
          <w:color w:val="1155CC"/>
          <w:u w:val="single"/>
        </w:rPr>
        <w:t>https://www.tandfonline.com/doi/pdf/10.1080/14740338.2023.2223947</w:t>
      </w:r>
      <w:r>
        <w:rPr>
          <w:rFonts w:cs="Arial"/>
          <w:color w:val="1155CC"/>
          <w:u w:val="single"/>
        </w:rPr>
        <w:fldChar w:fldCharType="end"/>
      </w:r>
    </w:p>
    <w:p w14:paraId="55FC7142">
      <w:pPr>
        <w:spacing w:before="240" w:after="240"/>
        <w:rPr>
          <w:rFonts w:cs="Arial"/>
        </w:rPr>
      </w:pPr>
      <w:r>
        <w:rPr>
          <w:rFonts w:eastAsia="Arial" w:cs="Arial"/>
          <w:color w:val="222222"/>
          <w:highlight w:val="white"/>
        </w:rPr>
        <w:t xml:space="preserve">Shishkin, S., Sheiman, I., Potapchik, E., Vlassov, V. and Sazhina, S., (2025). ‘The impact of centralization on structural changes in healthcare: when it works.’ </w:t>
      </w:r>
      <w:r>
        <w:rPr>
          <w:rFonts w:eastAsia="Arial" w:cs="Arial"/>
          <w:i/>
          <w:iCs/>
          <w:color w:val="222222"/>
          <w:highlight w:val="white"/>
        </w:rPr>
        <w:t>Frontiers in Health Services</w:t>
      </w:r>
      <w:r>
        <w:rPr>
          <w:rFonts w:eastAsia="Arial" w:cs="Arial"/>
          <w:color w:val="222222"/>
          <w:highlight w:val="white"/>
        </w:rPr>
        <w:t xml:space="preserve">, </w:t>
      </w:r>
      <w:r>
        <w:rPr>
          <w:rFonts w:eastAsia="Arial" w:cs="Arial"/>
          <w:i/>
          <w:iCs/>
          <w:color w:val="222222"/>
          <w:highlight w:val="white"/>
        </w:rPr>
        <w:t>5</w:t>
      </w:r>
      <w:r>
        <w:rPr>
          <w:rFonts w:eastAsia="Arial" w:cs="Arial"/>
          <w:color w:val="222222"/>
          <w:highlight w:val="white"/>
        </w:rPr>
        <w:t>, p.1484225.</w:t>
      </w:r>
      <w:r>
        <w:rPr>
          <w:rFonts w:cs="Arial"/>
        </w:rPr>
        <w:t xml:space="preserve"> Available at: </w:t>
      </w:r>
      <w:r>
        <w:fldChar w:fldCharType="begin"/>
      </w:r>
      <w:r>
        <w:instrText xml:space="preserve"> HYPERLINK "https://doi.org/10.3389/frhs.2025.1484225" \h </w:instrText>
      </w:r>
      <w:r>
        <w:fldChar w:fldCharType="separate"/>
      </w:r>
      <w:r>
        <w:rPr>
          <w:rFonts w:cs="Arial"/>
          <w:color w:val="1155CC"/>
          <w:u w:val="single"/>
        </w:rPr>
        <w:t>https://doi.org/10.3389/frhs.2025.1484225</w:t>
      </w:r>
      <w:r>
        <w:rPr>
          <w:rFonts w:cs="Arial"/>
          <w:color w:val="1155CC"/>
          <w:u w:val="single"/>
        </w:rPr>
        <w:fldChar w:fldCharType="end"/>
      </w:r>
      <w:r>
        <w:rPr>
          <w:rFonts w:cs="Arial"/>
        </w:rPr>
        <w:t xml:space="preserve"> </w:t>
      </w:r>
    </w:p>
    <w:p w14:paraId="5091C9EA">
      <w:pPr>
        <w:spacing w:before="240"/>
        <w:rPr>
          <w:rFonts w:cs="Arial"/>
          <w:color w:val="1155CC"/>
          <w:u w:val="single"/>
        </w:rPr>
      </w:pPr>
      <w:r>
        <w:rPr>
          <w:rFonts w:cs="Arial"/>
        </w:rPr>
        <w:t xml:space="preserve">Silvari, V., Crowley, E.K., Carey, M., Robertson, S. and McCarthy, S. (2024). ‘Value of hospital anticoagulation stewardship programme: a systematic review.’ </w:t>
      </w:r>
      <w:r>
        <w:rPr>
          <w:rFonts w:cs="Arial"/>
          <w:i/>
          <w:iCs/>
        </w:rPr>
        <w:t>Thrombosis Update</w:t>
      </w:r>
      <w:r>
        <w:rPr>
          <w:rFonts w:cs="Arial"/>
        </w:rPr>
        <w:t xml:space="preserve">, </w:t>
      </w:r>
      <w:r>
        <w:rPr>
          <w:rFonts w:cs="Arial"/>
          <w:i/>
          <w:iCs/>
        </w:rPr>
        <w:t>14</w:t>
      </w:r>
      <w:r>
        <w:rPr>
          <w:rFonts w:cs="Arial"/>
        </w:rPr>
        <w:t>, p.100158. Available at:</w:t>
      </w:r>
      <w:r>
        <w:fldChar w:fldCharType="begin"/>
      </w:r>
      <w:r>
        <w:instrText xml:space="preserve"> HYPERLINK "https://www.sciencedirect.com/science/article/pii/S2666572723000299" \h </w:instrText>
      </w:r>
      <w:r>
        <w:fldChar w:fldCharType="separate"/>
      </w:r>
      <w:r>
        <w:rPr>
          <w:rFonts w:cs="Arial"/>
        </w:rPr>
        <w:t xml:space="preserve"> </w:t>
      </w:r>
      <w:r>
        <w:rPr>
          <w:rFonts w:cs="Arial"/>
        </w:rPr>
        <w:fldChar w:fldCharType="end"/>
      </w:r>
      <w:r>
        <w:fldChar w:fldCharType="begin"/>
      </w:r>
      <w:r>
        <w:instrText xml:space="preserve"> HYPERLINK "https://www.sciencedirect.com/science/article/pii/S2666572723000299" \h </w:instrText>
      </w:r>
      <w:r>
        <w:fldChar w:fldCharType="separate"/>
      </w:r>
      <w:r>
        <w:rPr>
          <w:rFonts w:cs="Arial"/>
          <w:color w:val="1155CC"/>
          <w:u w:val="single"/>
        </w:rPr>
        <w:t>https://www.sciencedirect.com/science/article/pii/S2666572723000299</w:t>
      </w:r>
      <w:r>
        <w:rPr>
          <w:rFonts w:cs="Arial"/>
          <w:color w:val="1155CC"/>
          <w:u w:val="single"/>
        </w:rPr>
        <w:fldChar w:fldCharType="end"/>
      </w:r>
    </w:p>
    <w:p w14:paraId="03FC0727">
      <w:pPr>
        <w:spacing w:before="240"/>
        <w:rPr>
          <w:rFonts w:cs="Arial"/>
        </w:rPr>
      </w:pPr>
      <w:r>
        <w:rPr>
          <w:rFonts w:cs="Arial"/>
        </w:rPr>
        <w:t xml:space="preserve">Singh, P.K., Singh, S., Kumari, V. and Tiwari, M. (2024) ‘Navigating healthcare leadership: theories, challenges, and practical insights for the future’, </w:t>
      </w:r>
      <w:r>
        <w:rPr>
          <w:rFonts w:cs="Arial"/>
          <w:i/>
          <w:iCs/>
        </w:rPr>
        <w:t>Journal of Postgraduate Medicine</w:t>
      </w:r>
      <w:r>
        <w:rPr>
          <w:rFonts w:cs="Arial"/>
        </w:rPr>
        <w:t>, 70(4), pp. 232–241. Available at:</w:t>
      </w:r>
      <w:r>
        <w:fldChar w:fldCharType="begin"/>
      </w:r>
      <w:r>
        <w:instrText xml:space="preserve"> HYPERLINK "https://doi.org/10.4103/jpgm.jpgm_533_24?utm_source=copilot.com" </w:instrText>
      </w:r>
      <w:r>
        <w:fldChar w:fldCharType="separate"/>
      </w:r>
      <w:r>
        <w:rPr>
          <w:rStyle w:val="16"/>
          <w:rFonts w:cs="Arial"/>
        </w:rPr>
        <w:t xml:space="preserve"> https://doi.org/10.4103/jpgm.jpgm_533_24</w:t>
      </w:r>
      <w:r>
        <w:rPr>
          <w:rStyle w:val="16"/>
          <w:rFonts w:cs="Arial"/>
        </w:rPr>
        <w:fldChar w:fldCharType="end"/>
      </w:r>
    </w:p>
    <w:p w14:paraId="76AB2148">
      <w:pPr>
        <w:pStyle w:val="17"/>
        <w:spacing w:before="240" w:beforeAutospacing="0" w:after="0" w:afterAutospacing="0" w:line="360" w:lineRule="auto"/>
        <w:jc w:val="both"/>
        <w:rPr>
          <w:rFonts w:ascii="Arial" w:hAnsi="Arial" w:cs="Arial"/>
          <w:sz w:val="22"/>
          <w:szCs w:val="22"/>
          <w:lang w:val="en-GB"/>
        </w:rPr>
      </w:pPr>
      <w:r>
        <w:rPr>
          <w:rFonts w:ascii="Arial" w:hAnsi="Arial" w:cs="Arial"/>
          <w:color w:val="222222"/>
          <w:sz w:val="22"/>
          <w:szCs w:val="22"/>
          <w:shd w:val="clear" w:color="auto" w:fill="FFFFFF"/>
          <w:lang w:val="en-GB"/>
        </w:rPr>
        <w:t xml:space="preserve">Smith, R.W., Jarvis, T., Sandhu, H.S., Pinto, A.D., O'Neill, M., Di Ruggiero, E., Pawa, J., Rosella, L. and Allin, S., (2023). ‘Centralization and integration of public health systems: Perspectives of public health leaders on factors facilitating and impeding COVID-19 responses in three Canadian provinces’. </w:t>
      </w:r>
      <w:r>
        <w:rPr>
          <w:rFonts w:ascii="Arial" w:hAnsi="Arial" w:cs="Arial"/>
          <w:i/>
          <w:iCs/>
          <w:color w:val="222222"/>
          <w:sz w:val="22"/>
          <w:szCs w:val="22"/>
          <w:shd w:val="clear" w:color="auto" w:fill="FFFFFF"/>
          <w:lang w:val="en-GB"/>
        </w:rPr>
        <w:t>Health Policy</w:t>
      </w:r>
      <w:r>
        <w:rPr>
          <w:rFonts w:ascii="Arial" w:hAnsi="Arial" w:cs="Arial"/>
          <w:color w:val="222222"/>
          <w:sz w:val="22"/>
          <w:szCs w:val="22"/>
          <w:shd w:val="clear" w:color="auto" w:fill="FFFFFF"/>
          <w:lang w:val="en-GB"/>
        </w:rPr>
        <w:t xml:space="preserve">, </w:t>
      </w:r>
      <w:r>
        <w:rPr>
          <w:rFonts w:ascii="Arial" w:hAnsi="Arial" w:cs="Arial"/>
          <w:i/>
          <w:iCs/>
          <w:color w:val="222222"/>
          <w:sz w:val="22"/>
          <w:szCs w:val="22"/>
          <w:shd w:val="clear" w:color="auto" w:fill="FFFFFF"/>
          <w:lang w:val="en-GB"/>
        </w:rPr>
        <w:t>127</w:t>
      </w:r>
      <w:r>
        <w:rPr>
          <w:rFonts w:ascii="Arial" w:hAnsi="Arial" w:cs="Arial"/>
          <w:color w:val="222222"/>
          <w:sz w:val="22"/>
          <w:szCs w:val="22"/>
          <w:shd w:val="clear" w:color="auto" w:fill="FFFFFF"/>
          <w:lang w:val="en-GB"/>
        </w:rPr>
        <w:t>, pp.19-28.</w:t>
      </w:r>
      <w:r>
        <w:rPr>
          <w:rFonts w:ascii="Arial" w:hAnsi="Arial" w:cs="Arial"/>
          <w:b/>
          <w:bCs/>
          <w:color w:val="000000"/>
          <w:sz w:val="22"/>
          <w:szCs w:val="22"/>
          <w:lang w:val="en-GB"/>
        </w:rPr>
        <w:t xml:space="preserve"> </w:t>
      </w:r>
      <w:r>
        <w:rPr>
          <w:rFonts w:ascii="Arial" w:hAnsi="Arial" w:cs="Arial"/>
          <w:sz w:val="22"/>
          <w:szCs w:val="22"/>
          <w:lang w:val="en-GB"/>
        </w:rPr>
        <w:t xml:space="preserve">Available at: </w:t>
      </w:r>
      <w:r>
        <w:fldChar w:fldCharType="begin"/>
      </w:r>
      <w:r>
        <w:instrText xml:space="preserve"> HYPERLINK "https://doi.org/10.1016/j.healthpol.2022.11.011" </w:instrText>
      </w:r>
      <w:r>
        <w:fldChar w:fldCharType="separate"/>
      </w:r>
      <w:r>
        <w:rPr>
          <w:rStyle w:val="16"/>
          <w:rFonts w:ascii="Arial" w:hAnsi="Arial" w:cs="Arial" w:eastAsiaTheme="majorEastAsia"/>
          <w:b/>
          <w:bCs/>
          <w:sz w:val="22"/>
          <w:szCs w:val="22"/>
          <w:lang w:val="en-GB"/>
        </w:rPr>
        <w:t>https://doi.org/10.1016/j.healthpol.2022.11.011</w:t>
      </w:r>
      <w:r>
        <w:rPr>
          <w:rStyle w:val="16"/>
          <w:rFonts w:ascii="Arial" w:hAnsi="Arial" w:cs="Arial" w:eastAsiaTheme="majorEastAsia"/>
          <w:b/>
          <w:bCs/>
          <w:sz w:val="22"/>
          <w:szCs w:val="22"/>
          <w:lang w:val="en-GB"/>
        </w:rPr>
        <w:fldChar w:fldCharType="end"/>
      </w:r>
      <w:r>
        <w:rPr>
          <w:rFonts w:ascii="Arial" w:hAnsi="Arial" w:cs="Arial"/>
          <w:b/>
          <w:bCs/>
          <w:color w:val="000000"/>
          <w:sz w:val="22"/>
          <w:szCs w:val="22"/>
          <w:lang w:val="en-GB"/>
        </w:rPr>
        <w:t> </w:t>
      </w:r>
    </w:p>
    <w:p w14:paraId="1E28B740">
      <w:pPr>
        <w:spacing w:before="240"/>
        <w:rPr>
          <w:rFonts w:cs="Arial"/>
        </w:rPr>
      </w:pPr>
      <w:r>
        <w:rPr>
          <w:rFonts w:cs="Arial"/>
        </w:rPr>
        <w:t xml:space="preserve">Sott, M.K. and Bender, M.S. (2025) ‘The role of adaptive leadership in times of crisis: a systematic review and conceptual framework’, </w:t>
      </w:r>
      <w:r>
        <w:rPr>
          <w:rFonts w:cs="Arial"/>
          <w:i/>
          <w:iCs/>
        </w:rPr>
        <w:t>Merits</w:t>
      </w:r>
      <w:r>
        <w:rPr>
          <w:rFonts w:cs="Arial"/>
        </w:rPr>
        <w:t>, 5(1), p. 2. Available at:</w:t>
      </w:r>
      <w:r>
        <w:fldChar w:fldCharType="begin"/>
      </w:r>
      <w:r>
        <w:instrText xml:space="preserve"> HYPERLINK "https://doi.org/10.3390/merits5010002" </w:instrText>
      </w:r>
      <w:r>
        <w:fldChar w:fldCharType="separate"/>
      </w:r>
      <w:r>
        <w:rPr>
          <w:rStyle w:val="16"/>
          <w:rFonts w:cs="Arial"/>
        </w:rPr>
        <w:t xml:space="preserve"> https://doi.org/10.3390/merits5010002</w:t>
      </w:r>
      <w:r>
        <w:rPr>
          <w:rStyle w:val="16"/>
          <w:rFonts w:cs="Arial"/>
        </w:rPr>
        <w:fldChar w:fldCharType="end"/>
      </w:r>
    </w:p>
    <w:p w14:paraId="1B0AE1E7">
      <w:pPr>
        <w:spacing w:before="240"/>
        <w:rPr>
          <w:rFonts w:cs="Arial"/>
          <w:color w:val="1155CC"/>
          <w:u w:val="single"/>
        </w:rPr>
      </w:pPr>
      <w:r>
        <w:rPr>
          <w:rFonts w:cs="Arial"/>
        </w:rPr>
        <w:t xml:space="preserve">Stanton, A.E., Juniper, M., Bedawi, E., McNaughton, L., Clive, A.O., De Fonseka, D., Aujayeb, A. and Evison, M., (2025). ‘Pleural procedural safety in the UK: is everyone’s house in order? Reflections from the BTS National Pleural Service Organisational Audit and a national review of patient safety incidents’. </w:t>
      </w:r>
      <w:r>
        <w:rPr>
          <w:rFonts w:cs="Arial"/>
          <w:i/>
          <w:iCs/>
        </w:rPr>
        <w:t>BMJ Open Respiratory Research</w:t>
      </w:r>
      <w:r>
        <w:rPr>
          <w:rFonts w:cs="Arial"/>
        </w:rPr>
        <w:t xml:space="preserve">, </w:t>
      </w:r>
      <w:r>
        <w:rPr>
          <w:rFonts w:cs="Arial"/>
          <w:i/>
          <w:iCs/>
        </w:rPr>
        <w:t>12</w:t>
      </w:r>
      <w:r>
        <w:rPr>
          <w:rFonts w:cs="Arial"/>
        </w:rPr>
        <w:t>(1). Available at:</w:t>
      </w:r>
      <w:r>
        <w:fldChar w:fldCharType="begin"/>
      </w:r>
      <w:r>
        <w:instrText xml:space="preserve"> HYPERLINK "https://bmjopenrespres.bmj.com/content/bmjresp/12/1/e002840.full.pdf" \h </w:instrText>
      </w:r>
      <w:r>
        <w:fldChar w:fldCharType="separate"/>
      </w:r>
      <w:r>
        <w:rPr>
          <w:rFonts w:cs="Arial"/>
        </w:rPr>
        <w:t xml:space="preserve"> </w:t>
      </w:r>
      <w:r>
        <w:rPr>
          <w:rFonts w:cs="Arial"/>
        </w:rPr>
        <w:fldChar w:fldCharType="end"/>
      </w:r>
      <w:r>
        <w:fldChar w:fldCharType="begin"/>
      </w:r>
      <w:r>
        <w:instrText xml:space="preserve"> HYPERLINK "https://bmjopenrespres.bmj.com/content/bmjresp/12/1/e002840.full.pdf" \h </w:instrText>
      </w:r>
      <w:r>
        <w:fldChar w:fldCharType="separate"/>
      </w:r>
      <w:r>
        <w:rPr>
          <w:rFonts w:cs="Arial"/>
          <w:color w:val="1155CC"/>
          <w:u w:val="single"/>
        </w:rPr>
        <w:t>https://bmjopenrespres.bmj.com/content/bmjresp/12/1/e002840.full.pdf</w:t>
      </w:r>
      <w:r>
        <w:rPr>
          <w:rFonts w:cs="Arial"/>
          <w:color w:val="1155CC"/>
          <w:u w:val="single"/>
        </w:rPr>
        <w:fldChar w:fldCharType="end"/>
      </w:r>
    </w:p>
    <w:p w14:paraId="0B89119F">
      <w:pPr>
        <w:spacing w:before="240"/>
        <w:rPr>
          <w:rFonts w:cs="Arial"/>
        </w:rPr>
      </w:pPr>
      <w:r>
        <w:rPr>
          <w:rFonts w:cs="Arial"/>
        </w:rPr>
        <w:t xml:space="preserve">Statista (2024) </w:t>
      </w:r>
      <w:r>
        <w:rPr>
          <w:rFonts w:cs="Arial"/>
          <w:i/>
          <w:iCs/>
        </w:rPr>
        <w:t>Number of “never events” reported in the NHS in England from 2015 to 2023</w:t>
      </w:r>
      <w:r>
        <w:rPr>
          <w:rFonts w:cs="Arial"/>
        </w:rPr>
        <w:t>. Available at:</w:t>
      </w:r>
      <w:r>
        <w:fldChar w:fldCharType="begin"/>
      </w:r>
      <w:r>
        <w:instrText xml:space="preserve"> HYPERLINK "https://www.statista.com/chart/27444/nhs-never-events/?srsltid=AfmBOor_dHcboYNOZp9kwMEw1DmNuMj8Z8OYcCG4jSzzraXtas1zsBZJ&amp;utm_source=copilot.com" </w:instrText>
      </w:r>
      <w:r>
        <w:fldChar w:fldCharType="separate"/>
      </w:r>
      <w:r>
        <w:rPr>
          <w:rStyle w:val="16"/>
          <w:rFonts w:cs="Arial"/>
        </w:rPr>
        <w:t xml:space="preserve"> https://www.statista.com/chart/27444/nhs-never-events/?srsltid=AfmBOor_dHcboYNOZp9kwMEw1DmNuMj8Z8OYcCG4jSzzraXtas1zsBZJ</w:t>
      </w:r>
      <w:r>
        <w:rPr>
          <w:rStyle w:val="16"/>
          <w:rFonts w:cs="Arial"/>
        </w:rPr>
        <w:fldChar w:fldCharType="end"/>
      </w:r>
      <w:r>
        <w:rPr>
          <w:rFonts w:cs="Arial"/>
        </w:rPr>
        <w:t xml:space="preserve"> (Accessed: 25 July 2026).</w:t>
      </w:r>
    </w:p>
    <w:p w14:paraId="2475A4CE">
      <w:pPr>
        <w:spacing w:before="240"/>
        <w:rPr>
          <w:rFonts w:cs="Arial"/>
        </w:rPr>
      </w:pPr>
      <w:r>
        <w:rPr>
          <w:rFonts w:cs="Arial"/>
        </w:rPr>
        <w:t xml:space="preserve">The Kings Fund. (2024). </w:t>
      </w:r>
      <w:r>
        <w:rPr>
          <w:rFonts w:cs="Arial"/>
          <w:i/>
          <w:iCs/>
        </w:rPr>
        <w:t>Staff shortages.</w:t>
      </w:r>
      <w:r>
        <w:rPr>
          <w:rFonts w:cs="Arial"/>
        </w:rPr>
        <w:t xml:space="preserve"> Available at:</w:t>
      </w:r>
      <w:r>
        <w:fldChar w:fldCharType="begin"/>
      </w:r>
      <w:r>
        <w:instrText xml:space="preserve"> HYPERLINK "https://www.kingsfund.org.uk/insight-and-analysis/data-and-charts/staff-shortages" \h </w:instrText>
      </w:r>
      <w:r>
        <w:fldChar w:fldCharType="separate"/>
      </w:r>
      <w:r>
        <w:rPr>
          <w:rFonts w:cs="Arial"/>
        </w:rPr>
        <w:t xml:space="preserve"> </w:t>
      </w:r>
      <w:r>
        <w:rPr>
          <w:rFonts w:cs="Arial"/>
        </w:rPr>
        <w:fldChar w:fldCharType="end"/>
      </w:r>
      <w:r>
        <w:fldChar w:fldCharType="begin"/>
      </w:r>
      <w:r>
        <w:instrText xml:space="preserve"> HYPERLINK "https://www.kingsfund.org.uk/insight-and-analysis/data-and-charts/staff-shortages" \h </w:instrText>
      </w:r>
      <w:r>
        <w:fldChar w:fldCharType="separate"/>
      </w:r>
      <w:r>
        <w:rPr>
          <w:rFonts w:cs="Arial"/>
          <w:color w:val="1155CC"/>
          <w:u w:val="single"/>
        </w:rPr>
        <w:t>https://www.kingsfund.org.uk/insight-and-analysis/data-and-charts/staff-shortages</w:t>
      </w:r>
      <w:r>
        <w:rPr>
          <w:rFonts w:cs="Arial"/>
          <w:color w:val="1155CC"/>
          <w:u w:val="single"/>
        </w:rPr>
        <w:fldChar w:fldCharType="end"/>
      </w:r>
      <w:r>
        <w:rPr>
          <w:rFonts w:cs="Arial"/>
        </w:rPr>
        <w:t xml:space="preserve"> (Accessed: 25 July 2026).</w:t>
      </w:r>
    </w:p>
    <w:p w14:paraId="50403479">
      <w:pPr>
        <w:spacing w:before="240" w:after="240"/>
        <w:rPr>
          <w:rFonts w:cs="Arial"/>
        </w:rPr>
      </w:pPr>
      <w:r>
        <w:rPr>
          <w:rFonts w:cs="Arial"/>
        </w:rPr>
        <w:t xml:space="preserve">Triggle, N, (2023), </w:t>
      </w:r>
      <w:r>
        <w:rPr>
          <w:rFonts w:cs="Arial"/>
          <w:i/>
          <w:iCs/>
        </w:rPr>
        <w:t>UK's high rate of avoidable deaths linked to NHS woes.</w:t>
      </w:r>
      <w:r>
        <w:rPr>
          <w:rFonts w:cs="Arial"/>
        </w:rPr>
        <w:t xml:space="preserve"> Available at: </w:t>
      </w:r>
      <w:r>
        <w:fldChar w:fldCharType="begin"/>
      </w:r>
      <w:r>
        <w:instrText xml:space="preserve"> HYPERLINK "https://www.bbc.com/news/health-65992173" \h </w:instrText>
      </w:r>
      <w:r>
        <w:fldChar w:fldCharType="separate"/>
      </w:r>
      <w:r>
        <w:rPr>
          <w:rFonts w:cs="Arial"/>
          <w:color w:val="1155CC"/>
          <w:u w:val="single"/>
        </w:rPr>
        <w:t>https://www.bbc.com/news/health-65992173</w:t>
      </w:r>
      <w:r>
        <w:rPr>
          <w:rFonts w:cs="Arial"/>
          <w:color w:val="1155CC"/>
          <w:u w:val="single"/>
        </w:rPr>
        <w:fldChar w:fldCharType="end"/>
      </w:r>
      <w:r>
        <w:rPr>
          <w:rFonts w:cs="Arial"/>
        </w:rPr>
        <w:t xml:space="preserve"> (Accessed: 25 July 2026). </w:t>
      </w:r>
    </w:p>
    <w:p w14:paraId="4A29E44B">
      <w:pPr>
        <w:spacing w:before="240"/>
        <w:rPr>
          <w:rFonts w:cs="Arial"/>
        </w:rPr>
      </w:pPr>
      <w:r>
        <w:rPr>
          <w:rFonts w:cs="Arial"/>
        </w:rPr>
        <w:t xml:space="preserve">Tsapnidou, E., Kelesi, M., Rovithis, M., Katharakis, G., Gerogianni, G., Dafogianni, C., Toylia, G., Fasoi, G. and Stavropoulou, A. (2024) ‘Transformational leadership—quality achievements and benefits for the healthcare organizations: a scoping review’, </w:t>
      </w:r>
      <w:r>
        <w:rPr>
          <w:rFonts w:cs="Arial"/>
          <w:i/>
          <w:iCs/>
        </w:rPr>
        <w:t>Hospitals</w:t>
      </w:r>
      <w:r>
        <w:rPr>
          <w:rFonts w:cs="Arial"/>
        </w:rPr>
        <w:t>, 1(1), pp. 87–103. Available at:</w:t>
      </w:r>
      <w:r>
        <w:fldChar w:fldCharType="begin"/>
      </w:r>
      <w:r>
        <w:instrText xml:space="preserve"> HYPERLINK "https://doi.org/10.3390/hospitals1010008?utm_source=copilot.com" </w:instrText>
      </w:r>
      <w:r>
        <w:fldChar w:fldCharType="separate"/>
      </w:r>
      <w:r>
        <w:rPr>
          <w:rStyle w:val="16"/>
          <w:rFonts w:cs="Arial"/>
        </w:rPr>
        <w:t xml:space="preserve"> https://doi.org/10.3390/hospitals1010008</w:t>
      </w:r>
      <w:r>
        <w:rPr>
          <w:rStyle w:val="16"/>
          <w:rFonts w:cs="Arial"/>
        </w:rPr>
        <w:fldChar w:fldCharType="end"/>
      </w:r>
    </w:p>
    <w:p w14:paraId="4427DF06">
      <w:pPr>
        <w:spacing w:before="240"/>
        <w:rPr>
          <w:rFonts w:cs="Arial"/>
        </w:rPr>
      </w:pPr>
      <w:r>
        <w:rPr>
          <w:rFonts w:cs="Arial"/>
        </w:rPr>
        <w:t xml:space="preserve">Wang, X., Liu, Y., Peng, Z., Li, B., Liang, Q., Liao, S. and Liu, M. (2024) ‘Situational leadership theory in nursing management: a scoping review’, </w:t>
      </w:r>
      <w:r>
        <w:rPr>
          <w:rFonts w:cs="Arial"/>
          <w:i/>
          <w:iCs/>
        </w:rPr>
        <w:t>BMC Nursing</w:t>
      </w:r>
      <w:r>
        <w:rPr>
          <w:rFonts w:cs="Arial"/>
        </w:rPr>
        <w:t>, 23(1), p. 930. Available at:</w:t>
      </w:r>
      <w:r>
        <w:fldChar w:fldCharType="begin"/>
      </w:r>
      <w:r>
        <w:instrText xml:space="preserve"> HYPERLINK "https://doi.org/10.1186/s12912-024-02582-9?utm_source=copilot.com" </w:instrText>
      </w:r>
      <w:r>
        <w:fldChar w:fldCharType="separate"/>
      </w:r>
      <w:r>
        <w:rPr>
          <w:rStyle w:val="16"/>
          <w:rFonts w:cs="Arial"/>
        </w:rPr>
        <w:t xml:space="preserve"> https://doi.org/10.1186/s12912-024-02582-9</w:t>
      </w:r>
      <w:r>
        <w:rPr>
          <w:rStyle w:val="16"/>
          <w:rFonts w:cs="Arial"/>
        </w:rPr>
        <w:fldChar w:fldCharType="end"/>
      </w:r>
    </w:p>
    <w:p w14:paraId="48A3B17C">
      <w:pPr>
        <w:spacing w:before="240" w:after="240"/>
        <w:rPr>
          <w:rFonts w:cs="Arial"/>
        </w:rPr>
      </w:pPr>
      <w:r>
        <w:rPr>
          <w:rFonts w:cs="Arial"/>
        </w:rPr>
        <w:t xml:space="preserve">WHO (2022) </w:t>
      </w:r>
      <w:r>
        <w:rPr>
          <w:rFonts w:cs="Arial"/>
          <w:i/>
          <w:iCs/>
        </w:rPr>
        <w:t>Medication Without Harm</w:t>
      </w:r>
      <w:r>
        <w:rPr>
          <w:rFonts w:cs="Arial"/>
        </w:rPr>
        <w:t xml:space="preserve">. Available at: </w:t>
      </w:r>
      <w:r>
        <w:fldChar w:fldCharType="begin"/>
      </w:r>
      <w:r>
        <w:instrText xml:space="preserve"> HYPERLINK "https://www.who.int/initiatives/medication-without-harm" \h </w:instrText>
      </w:r>
      <w:r>
        <w:fldChar w:fldCharType="separate"/>
      </w:r>
      <w:r>
        <w:rPr>
          <w:rFonts w:cs="Arial"/>
          <w:color w:val="1155CC"/>
          <w:u w:val="single"/>
        </w:rPr>
        <w:t>https://www.who.int/initiatives/medication-without-harm</w:t>
      </w:r>
      <w:r>
        <w:rPr>
          <w:rFonts w:cs="Arial"/>
          <w:color w:val="1155CC"/>
          <w:u w:val="single"/>
        </w:rPr>
        <w:fldChar w:fldCharType="end"/>
      </w:r>
      <w:r>
        <w:rPr>
          <w:rFonts w:cs="Arial"/>
        </w:rPr>
        <w:t xml:space="preserve"> (Accessed: 25 July 2026).</w:t>
      </w:r>
    </w:p>
    <w:p w14:paraId="4ADCC6C0">
      <w:pPr>
        <w:spacing w:before="240" w:after="240"/>
        <w:rPr>
          <w:rFonts w:cs="Arial"/>
        </w:rPr>
      </w:pPr>
      <w:r>
        <w:rPr>
          <w:rFonts w:cs="Arial"/>
        </w:rPr>
        <w:t xml:space="preserve">WHO, (2023), </w:t>
      </w:r>
      <w:r>
        <w:rPr>
          <w:rFonts w:cs="Arial"/>
          <w:i/>
          <w:iCs/>
        </w:rPr>
        <w:t>Patient safety.</w:t>
      </w:r>
      <w:r>
        <w:rPr>
          <w:rFonts w:cs="Arial"/>
        </w:rPr>
        <w:t xml:space="preserve"> Available at: </w:t>
      </w:r>
      <w:r>
        <w:fldChar w:fldCharType="begin"/>
      </w:r>
      <w:r>
        <w:instrText xml:space="preserve"> HYPERLINK "https://www.who.int/news-room/fact-sheets/detail/patient-safety" \h </w:instrText>
      </w:r>
      <w:r>
        <w:fldChar w:fldCharType="separate"/>
      </w:r>
      <w:r>
        <w:rPr>
          <w:rFonts w:cs="Arial"/>
          <w:color w:val="1155CC"/>
          <w:u w:val="single"/>
        </w:rPr>
        <w:t>https://www.who.int/news-room/fact-sheets/detail/patient-safety</w:t>
      </w:r>
      <w:r>
        <w:rPr>
          <w:rFonts w:cs="Arial"/>
          <w:color w:val="1155CC"/>
          <w:u w:val="single"/>
        </w:rPr>
        <w:fldChar w:fldCharType="end"/>
      </w:r>
      <w:r>
        <w:rPr>
          <w:rFonts w:cs="Arial"/>
        </w:rPr>
        <w:t xml:space="preserve"> (Accessed: 25 July 2026).</w:t>
      </w:r>
    </w:p>
    <w:p w14:paraId="12C19263">
      <w:pPr>
        <w:spacing w:before="240"/>
        <w:rPr>
          <w:rFonts w:cs="Arial"/>
        </w:rPr>
      </w:pPr>
      <w:r>
        <w:rPr>
          <w:rFonts w:cs="Arial"/>
        </w:rPr>
        <w:t xml:space="preserve">WHO, (2026). </w:t>
      </w:r>
      <w:r>
        <w:rPr>
          <w:rFonts w:cs="Arial"/>
          <w:i/>
          <w:iCs/>
        </w:rPr>
        <w:t>Medication Without Harm.</w:t>
      </w:r>
      <w:r>
        <w:rPr>
          <w:rFonts w:cs="Arial"/>
        </w:rPr>
        <w:t xml:space="preserve"> Available at:</w:t>
      </w:r>
      <w:r>
        <w:fldChar w:fldCharType="begin"/>
      </w:r>
      <w:r>
        <w:instrText xml:space="preserve"> HYPERLINK "https://www.who.int/initiatives/medication-without-harm" \l ":~:text=Unsafe%20medication%20practices%20and%20medication,care%20systems%20across%20the%20world" \h </w:instrText>
      </w:r>
      <w:r>
        <w:fldChar w:fldCharType="separate"/>
      </w:r>
      <w:r>
        <w:rPr>
          <w:rFonts w:cs="Arial"/>
        </w:rPr>
        <w:t xml:space="preserve"> </w:t>
      </w:r>
      <w:r>
        <w:rPr>
          <w:rFonts w:cs="Arial"/>
        </w:rPr>
        <w:fldChar w:fldCharType="end"/>
      </w:r>
      <w:r>
        <w:fldChar w:fldCharType="begin"/>
      </w:r>
      <w:r>
        <w:instrText xml:space="preserve"> HYPERLINK "https://www.who.int/initiatives/medication-without-harm" \l ":~:text=Unsafe%20medication%20practices%20and%20medication,care%20systems%20across%20the%20world" \h </w:instrText>
      </w:r>
      <w:r>
        <w:fldChar w:fldCharType="separate"/>
      </w:r>
      <w:r>
        <w:rPr>
          <w:rFonts w:cs="Arial"/>
          <w:color w:val="1155CC"/>
          <w:u w:val="single"/>
        </w:rPr>
        <w:t>https://www.who.int/initiatives/medication-without-harm#:~:text=Unsafe%20medication%20practices%20and%20medication,care%20systems%20across%20the%20world</w:t>
      </w:r>
      <w:r>
        <w:rPr>
          <w:rFonts w:cs="Arial"/>
          <w:color w:val="1155CC"/>
          <w:u w:val="single"/>
        </w:rPr>
        <w:fldChar w:fldCharType="end"/>
      </w:r>
      <w:r>
        <w:rPr>
          <w:rFonts w:cs="Arial"/>
        </w:rPr>
        <w:t>. (Accessed: 25 July 2026).</w:t>
      </w:r>
    </w:p>
    <w:p w14:paraId="2719A341">
      <w:pPr>
        <w:spacing w:before="240"/>
        <w:rPr>
          <w:rFonts w:cs="Arial"/>
        </w:rPr>
      </w:pPr>
      <w:r>
        <w:rPr>
          <w:rFonts w:cs="Arial"/>
        </w:rPr>
        <w:t xml:space="preserve">World Health Organization (2024) </w:t>
      </w:r>
      <w:r>
        <w:rPr>
          <w:rFonts w:cs="Arial"/>
          <w:i/>
          <w:iCs/>
        </w:rPr>
        <w:t>Global patient safety report 2024: Delivering safe health care</w:t>
      </w:r>
      <w:r>
        <w:rPr>
          <w:rFonts w:cs="Arial"/>
        </w:rPr>
        <w:t>. Geneva: World Health Organization. Available at:</w:t>
      </w:r>
      <w:r>
        <w:fldChar w:fldCharType="begin"/>
      </w:r>
      <w:r>
        <w:instrText xml:space="preserve"> HYPERLINK "https://www.who.int/publications/i/item/9789240095458?utm_source=copilot.com" </w:instrText>
      </w:r>
      <w:r>
        <w:fldChar w:fldCharType="separate"/>
      </w:r>
      <w:r>
        <w:rPr>
          <w:rStyle w:val="16"/>
          <w:rFonts w:cs="Arial"/>
        </w:rPr>
        <w:t xml:space="preserve"> https://www.who.int/publications/i/item/9789240095458</w:t>
      </w:r>
      <w:r>
        <w:rPr>
          <w:rStyle w:val="16"/>
          <w:rFonts w:cs="Arial"/>
        </w:rPr>
        <w:fldChar w:fldCharType="end"/>
      </w:r>
      <w:r>
        <w:rPr>
          <w:rFonts w:cs="Arial"/>
        </w:rPr>
        <w:t xml:space="preserve"> (Accessed: 25 July 2026).</w:t>
      </w:r>
    </w:p>
    <w:p w14:paraId="1D98AC70">
      <w:pPr>
        <w:spacing w:before="240"/>
        <w:rPr>
          <w:rFonts w:cs="Arial"/>
        </w:rPr>
      </w:pPr>
      <w:r>
        <w:rPr>
          <w:rFonts w:cs="Arial"/>
        </w:rPr>
        <w:t xml:space="preserve">World Health Organization (2026) </w:t>
      </w:r>
      <w:r>
        <w:rPr>
          <w:rFonts w:cs="Arial"/>
          <w:i/>
          <w:iCs/>
        </w:rPr>
        <w:t>Systems thinking for health systems strengthening</w:t>
      </w:r>
      <w:r>
        <w:rPr>
          <w:rFonts w:cs="Arial"/>
        </w:rPr>
        <w:t>. Geneva: World Health Organization. Available at:</w:t>
      </w:r>
      <w:r>
        <w:fldChar w:fldCharType="begin"/>
      </w:r>
      <w:r>
        <w:instrText xml:space="preserve"> HYPERLINK "https://ahpsr.who.int/publications/i/item/2009-11-13-systems-thinking-for-health-systems-strengthening?utm_source=copilot.com" </w:instrText>
      </w:r>
      <w:r>
        <w:fldChar w:fldCharType="separate"/>
      </w:r>
      <w:r>
        <w:rPr>
          <w:rStyle w:val="16"/>
          <w:rFonts w:cs="Arial"/>
        </w:rPr>
        <w:t xml:space="preserve"> https://ahpsr.who.int/publications/i/item/2009-11-13-systems-thinking-for-health-systems-strengthening</w:t>
      </w:r>
      <w:r>
        <w:rPr>
          <w:rStyle w:val="16"/>
          <w:rFonts w:cs="Arial"/>
        </w:rPr>
        <w:fldChar w:fldCharType="end"/>
      </w:r>
      <w:r>
        <w:rPr>
          <w:rFonts w:cs="Arial"/>
        </w:rPr>
        <w:t xml:space="preserve"> (Accessed: 25 July 2026).</w:t>
      </w:r>
    </w:p>
    <w:p w14:paraId="051C0488">
      <w:pPr>
        <w:spacing w:before="240"/>
        <w:rPr>
          <w:rStyle w:val="16"/>
          <w:rFonts w:cs="Arial"/>
        </w:rPr>
      </w:pPr>
      <w:r>
        <w:rPr>
          <w:rFonts w:cs="Arial"/>
        </w:rPr>
        <w:t xml:space="preserve">Ystaas, L.M.K., Nikitara, M., Ghobrial, S., Latzourakis, E., Polychronis, G. and Constantinou, C.S. (2023) ‘The impact of transformational leadership in the nursing work environment and patients’ outcomes: a systematic review’, </w:t>
      </w:r>
      <w:r>
        <w:rPr>
          <w:rFonts w:cs="Arial"/>
          <w:i/>
          <w:iCs/>
        </w:rPr>
        <w:t>Nursing Reports</w:t>
      </w:r>
      <w:r>
        <w:rPr>
          <w:rFonts w:cs="Arial"/>
        </w:rPr>
        <w:t>, 13(3), pp. 1271–1290. Available at:</w:t>
      </w:r>
      <w:r>
        <w:fldChar w:fldCharType="begin"/>
      </w:r>
      <w:r>
        <w:instrText xml:space="preserve"> HYPERLINK "https://doi.org/10.3390/nursrep13030108?utm_source=copilot.com" </w:instrText>
      </w:r>
      <w:r>
        <w:fldChar w:fldCharType="separate"/>
      </w:r>
      <w:r>
        <w:rPr>
          <w:rStyle w:val="16"/>
          <w:rFonts w:cs="Arial"/>
        </w:rPr>
        <w:t xml:space="preserve"> https://doi.org/10.3390/nursrep13030108</w:t>
      </w:r>
      <w:r>
        <w:rPr>
          <w:rStyle w:val="16"/>
          <w:rFonts w:cs="Arial"/>
        </w:rPr>
        <w:fldChar w:fldCharType="end"/>
      </w:r>
    </w:p>
    <w:p w14:paraId="0AFD9B7F"/>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color w:val="000000" w:themeColor="text1"/>
      </w:rPr>
      <w:id w:val="428437003"/>
      <w:docPartObj>
        <w:docPartGallery w:val="AutoText"/>
      </w:docPartObj>
    </w:sdtPr>
    <w:sdtEndPr>
      <w:rPr>
        <w:color w:val="000000" w:themeColor="text1"/>
        <w:sz w:val="20"/>
        <w:szCs w:val="20"/>
      </w:rPr>
    </w:sdtEndPr>
    <w:sdtContent>
      <w:p w14:paraId="392E6B7F">
        <w:pPr>
          <w:pStyle w:val="14"/>
          <w:jc w:val="right"/>
          <w:rPr>
            <w:color w:val="000000" w:themeColor="text1"/>
            <w:sz w:val="20"/>
            <w:szCs w:val="20"/>
          </w:rPr>
        </w:pPr>
        <w:r>
          <w:rPr>
            <w:color w:val="000000" w:themeColor="text1"/>
            <w:sz w:val="20"/>
            <w:szCs w:val="20"/>
          </w:rPr>
          <w:fldChar w:fldCharType="begin"/>
        </w:r>
        <w:r>
          <w:rPr>
            <w:color w:val="000000" w:themeColor="text1"/>
            <w:sz w:val="20"/>
            <w:szCs w:val="20"/>
          </w:rPr>
          <w:instrText xml:space="preserve"> PAGE   \* MERGEFORMAT </w:instrText>
        </w:r>
        <w:r>
          <w:rPr>
            <w:color w:val="000000" w:themeColor="text1"/>
            <w:sz w:val="20"/>
            <w:szCs w:val="20"/>
          </w:rPr>
          <w:fldChar w:fldCharType="separate"/>
        </w:r>
        <w:r>
          <w:rPr>
            <w:color w:val="000000" w:themeColor="text1"/>
            <w:sz w:val="20"/>
            <w:szCs w:val="20"/>
          </w:rPr>
          <w:t>18</w:t>
        </w:r>
        <w:r>
          <w:rPr>
            <w:color w:val="000000" w:themeColor="text1"/>
            <w:sz w:val="20"/>
            <w:szCs w:val="20"/>
          </w:rPr>
          <w:fldChar w:fldCharType="end"/>
        </w:r>
      </w:p>
    </w:sdtContent>
  </w:sdt>
  <w:p w14:paraId="392E6B80">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091073"/>
    <w:multiLevelType w:val="multilevel"/>
    <w:tmpl w:val="0309107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50679EA"/>
    <w:multiLevelType w:val="multilevel"/>
    <w:tmpl w:val="050679E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12EC1F4F"/>
    <w:multiLevelType w:val="multilevel"/>
    <w:tmpl w:val="12EC1F4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41120A31"/>
    <w:multiLevelType w:val="multilevel"/>
    <w:tmpl w:val="41120A3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58FC1483"/>
    <w:multiLevelType w:val="multilevel"/>
    <w:tmpl w:val="58FC148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61D86512"/>
    <w:multiLevelType w:val="multilevel"/>
    <w:tmpl w:val="61D8651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680D1136"/>
    <w:multiLevelType w:val="multilevel"/>
    <w:tmpl w:val="680D113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68920561"/>
    <w:multiLevelType w:val="multilevel"/>
    <w:tmpl w:val="68920561"/>
    <w:lvl w:ilvl="0" w:tentative="0">
      <w:start w:val="1"/>
      <w:numFmt w:val="bullet"/>
      <w:lvlText w:val=""/>
      <w:lvlJc w:val="left"/>
      <w:pPr>
        <w:ind w:left="720" w:hanging="360"/>
      </w:pPr>
      <w:rPr>
        <w:rFonts w:hint="default" w:ascii="Symbol" w:hAnsi="Symbol"/>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8">
    <w:nsid w:val="74203685"/>
    <w:multiLevelType w:val="multilevel"/>
    <w:tmpl w:val="7420368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3"/>
  </w:num>
  <w:num w:numId="2">
    <w:abstractNumId w:val="8"/>
  </w:num>
  <w:num w:numId="3">
    <w:abstractNumId w:val="7"/>
  </w:num>
  <w:num w:numId="4">
    <w:abstractNumId w:val="2"/>
  </w:num>
  <w:num w:numId="5">
    <w:abstractNumId w:val="0"/>
  </w:num>
  <w:num w:numId="6">
    <w:abstractNumId w:val="5"/>
  </w:num>
  <w:num w:numId="7">
    <w:abstractNumId w:val="1"/>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7957EC"/>
    <w:rsid w:val="000D3BE6"/>
    <w:rsid w:val="0019571D"/>
    <w:rsid w:val="001D2FA2"/>
    <w:rsid w:val="002157BE"/>
    <w:rsid w:val="0024324A"/>
    <w:rsid w:val="00285AF2"/>
    <w:rsid w:val="00304BA4"/>
    <w:rsid w:val="0040080B"/>
    <w:rsid w:val="004138B4"/>
    <w:rsid w:val="0044040F"/>
    <w:rsid w:val="00472DFB"/>
    <w:rsid w:val="004918EE"/>
    <w:rsid w:val="00564273"/>
    <w:rsid w:val="00592E78"/>
    <w:rsid w:val="005D7D06"/>
    <w:rsid w:val="006D5C53"/>
    <w:rsid w:val="00740F67"/>
    <w:rsid w:val="007764B5"/>
    <w:rsid w:val="00790D1E"/>
    <w:rsid w:val="007957EC"/>
    <w:rsid w:val="007B321C"/>
    <w:rsid w:val="007D4C54"/>
    <w:rsid w:val="007E5A08"/>
    <w:rsid w:val="00854986"/>
    <w:rsid w:val="008E4CD1"/>
    <w:rsid w:val="008F22F6"/>
    <w:rsid w:val="00962801"/>
    <w:rsid w:val="009969EB"/>
    <w:rsid w:val="00A97AF3"/>
    <w:rsid w:val="00AB45DD"/>
    <w:rsid w:val="00AD1187"/>
    <w:rsid w:val="00B76670"/>
    <w:rsid w:val="00B82978"/>
    <w:rsid w:val="00BC38A6"/>
    <w:rsid w:val="00BE62A7"/>
    <w:rsid w:val="00BF78BC"/>
    <w:rsid w:val="00C134B7"/>
    <w:rsid w:val="00C7140E"/>
    <w:rsid w:val="00C81A41"/>
    <w:rsid w:val="00CA2441"/>
    <w:rsid w:val="00CB0A82"/>
    <w:rsid w:val="00CC3B22"/>
    <w:rsid w:val="00D24EDE"/>
    <w:rsid w:val="00DB213E"/>
    <w:rsid w:val="00E00DEE"/>
    <w:rsid w:val="00E03F27"/>
    <w:rsid w:val="00E4173C"/>
    <w:rsid w:val="00E61F2D"/>
    <w:rsid w:val="00EC4347"/>
    <w:rsid w:val="00ED2A4F"/>
    <w:rsid w:val="00F42B7B"/>
    <w:rsid w:val="00F655A7"/>
    <w:rsid w:val="773C066A"/>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kern w:val="2"/>
      <w:sz w:val="22"/>
      <w:szCs w:val="22"/>
      <w:lang w:val="en-GB" w:eastAsia="en-US" w:bidi="ar-SA"/>
    </w:rPr>
  </w:style>
  <w:style w:type="paragraph" w:styleId="2">
    <w:name w:val="heading 1"/>
    <w:basedOn w:val="1"/>
    <w:next w:val="1"/>
    <w:link w:val="24"/>
    <w:qFormat/>
    <w:uiPriority w:val="9"/>
    <w:pPr>
      <w:keepNext/>
      <w:keepLines/>
      <w:spacing w:before="240" w:after="0"/>
      <w:outlineLvl w:val="0"/>
    </w:pPr>
    <w:rPr>
      <w:rFonts w:eastAsiaTheme="majorEastAsia" w:cstheme="majorBidi"/>
      <w:b/>
      <w:szCs w:val="32"/>
    </w:rPr>
  </w:style>
  <w:style w:type="paragraph" w:styleId="3">
    <w:name w:val="heading 2"/>
    <w:basedOn w:val="1"/>
    <w:next w:val="1"/>
    <w:link w:val="23"/>
    <w:unhideWhenUsed/>
    <w:qFormat/>
    <w:uiPriority w:val="9"/>
    <w:pPr>
      <w:keepNext/>
      <w:keepLines/>
      <w:spacing w:before="40" w:after="0"/>
      <w:outlineLvl w:val="1"/>
    </w:pPr>
    <w:rPr>
      <w:rFonts w:eastAsiaTheme="majorEastAsia" w:cstheme="majorBidi"/>
      <w:b/>
      <w:i/>
      <w:szCs w:val="26"/>
    </w:rPr>
  </w:style>
  <w:style w:type="paragraph" w:styleId="4">
    <w:name w:val="heading 3"/>
    <w:basedOn w:val="1"/>
    <w:next w:val="1"/>
    <w:link w:val="25"/>
    <w:unhideWhenUsed/>
    <w:qFormat/>
    <w:uiPriority w:val="9"/>
    <w:pPr>
      <w:keepNext/>
      <w:keepLines/>
      <w:spacing w:before="160" w:after="80"/>
      <w:outlineLvl w:val="2"/>
    </w:pPr>
    <w:rPr>
      <w:rFonts w:eastAsiaTheme="majorEastAsia" w:cstheme="majorBidi"/>
      <w:b/>
      <w:i/>
      <w:color w:val="000000" w:themeColor="text1"/>
      <w:szCs w:val="28"/>
      <w:u w:val="single"/>
    </w:rPr>
  </w:style>
  <w:style w:type="paragraph" w:styleId="5">
    <w:name w:val="heading 4"/>
    <w:basedOn w:val="1"/>
    <w:next w:val="1"/>
    <w:link w:val="26"/>
    <w:unhideWhenUsed/>
    <w:qFormat/>
    <w:uiPriority w:val="9"/>
    <w:pPr>
      <w:keepNext/>
      <w:keepLines/>
      <w:spacing w:before="80" w:after="40"/>
      <w:outlineLvl w:val="3"/>
    </w:pPr>
    <w:rPr>
      <w:rFonts w:eastAsiaTheme="majorEastAsia" w:cstheme="majorBidi"/>
      <w:b/>
      <w:i/>
      <w:iCs/>
      <w:color w:val="000000" w:themeColor="text1"/>
      <w:u w:val="single"/>
    </w:rPr>
  </w:style>
  <w:style w:type="paragraph" w:styleId="6">
    <w:name w:val="heading 5"/>
    <w:basedOn w:val="1"/>
    <w:next w:val="1"/>
    <w:link w:val="27"/>
    <w:semiHidden/>
    <w:unhideWhenUsed/>
    <w:qFormat/>
    <w:uiPriority w:val="9"/>
    <w:pPr>
      <w:keepNext/>
      <w:keepLines/>
      <w:spacing w:before="80" w:after="40"/>
      <w:outlineLvl w:val="4"/>
    </w:pPr>
    <w:rPr>
      <w:rFonts w:asciiTheme="minorHAnsi" w:hAnsiTheme="minorHAnsi" w:eastAsiaTheme="majorEastAsia" w:cstheme="majorBidi"/>
      <w:color w:val="2F5496"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asciiTheme="minorHAnsi" w:hAnsiTheme="minorHAnsi" w:eastAsiaTheme="majorEastAsia" w:cstheme="majorBidi"/>
      <w:i/>
      <w:iCs/>
      <w:color w:val="585858" w:themeColor="text1" w:themeTint="A6"/>
    </w:rPr>
  </w:style>
  <w:style w:type="paragraph" w:styleId="8">
    <w:name w:val="heading 7"/>
    <w:basedOn w:val="1"/>
    <w:next w:val="1"/>
    <w:link w:val="29"/>
    <w:semiHidden/>
    <w:unhideWhenUsed/>
    <w:qFormat/>
    <w:uiPriority w:val="9"/>
    <w:pPr>
      <w:keepNext/>
      <w:keepLines/>
      <w:spacing w:before="40" w:after="0"/>
      <w:outlineLvl w:val="6"/>
    </w:pPr>
    <w:rPr>
      <w:rFonts w:asciiTheme="minorHAnsi" w:hAnsiTheme="minorHAnsi" w:eastAsiaTheme="majorEastAsia" w:cstheme="majorBidi"/>
      <w:color w:val="585858" w:themeColor="text1" w:themeTint="A6"/>
    </w:rPr>
  </w:style>
  <w:style w:type="paragraph" w:styleId="9">
    <w:name w:val="heading 8"/>
    <w:basedOn w:val="1"/>
    <w:next w:val="1"/>
    <w:link w:val="30"/>
    <w:semiHidden/>
    <w:unhideWhenUsed/>
    <w:qFormat/>
    <w:uiPriority w:val="9"/>
    <w:pPr>
      <w:keepNext/>
      <w:keepLines/>
      <w:spacing w:after="0"/>
      <w:outlineLvl w:val="7"/>
    </w:pPr>
    <w:rPr>
      <w:rFonts w:asciiTheme="minorHAnsi" w:hAnsiTheme="minorHAnsi" w:eastAsiaTheme="majorEastAsia" w:cstheme="majorBidi"/>
      <w:i/>
      <w:iCs/>
      <w:color w:val="262626" w:themeColor="text1" w:themeTint="D8"/>
    </w:rPr>
  </w:style>
  <w:style w:type="paragraph" w:styleId="10">
    <w:name w:val="heading 9"/>
    <w:basedOn w:val="1"/>
    <w:next w:val="1"/>
    <w:link w:val="31"/>
    <w:semiHidden/>
    <w:unhideWhenUsed/>
    <w:qFormat/>
    <w:uiPriority w:val="9"/>
    <w:pPr>
      <w:keepNext/>
      <w:keepLines/>
      <w:spacing w:after="0"/>
      <w:outlineLvl w:val="8"/>
    </w:pPr>
    <w:rPr>
      <w:rFonts w:asciiTheme="minorHAnsi" w:hAnsiTheme="minorHAnsi" w:eastAsiaTheme="majorEastAsia" w:cstheme="majorBidi"/>
      <w:color w:val="262626" w:themeColor="text1" w:themeTint="D8"/>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46"/>
    <w:semiHidden/>
    <w:unhideWhenUsed/>
    <w:uiPriority w:val="99"/>
    <w:pPr>
      <w:spacing w:after="0" w:line="240" w:lineRule="auto"/>
    </w:pPr>
    <w:rPr>
      <w:rFonts w:ascii="Tahoma" w:hAnsi="Tahoma" w:cs="Tahoma"/>
      <w:sz w:val="16"/>
      <w:szCs w:val="16"/>
    </w:rPr>
  </w:style>
  <w:style w:type="paragraph" w:styleId="14">
    <w:name w:val="footer"/>
    <w:basedOn w:val="1"/>
    <w:link w:val="42"/>
    <w:unhideWhenUsed/>
    <w:qFormat/>
    <w:uiPriority w:val="99"/>
    <w:pPr>
      <w:tabs>
        <w:tab w:val="center" w:pos="4513"/>
        <w:tab w:val="right" w:pos="9026"/>
      </w:tabs>
      <w:spacing w:after="0" w:line="240" w:lineRule="auto"/>
    </w:pPr>
  </w:style>
  <w:style w:type="paragraph" w:styleId="15">
    <w:name w:val="header"/>
    <w:basedOn w:val="1"/>
    <w:link w:val="41"/>
    <w:unhideWhenUsed/>
    <w:qFormat/>
    <w:uiPriority w:val="99"/>
    <w:pPr>
      <w:tabs>
        <w:tab w:val="center" w:pos="4513"/>
        <w:tab w:val="right" w:pos="9026"/>
      </w:tabs>
      <w:spacing w:after="0" w:line="240" w:lineRule="auto"/>
    </w:pPr>
  </w:style>
  <w:style w:type="character" w:styleId="16">
    <w:name w:val="Hyperlink"/>
    <w:basedOn w:val="11"/>
    <w:unhideWhenUsed/>
    <w:qFormat/>
    <w:uiPriority w:val="99"/>
    <w:rPr>
      <w:color w:val="0563C1" w:themeColor="hyperlink"/>
      <w:u w:val="single"/>
    </w:rPr>
  </w:style>
  <w:style w:type="paragraph" w:styleId="17">
    <w:name w:val="Normal (Web)"/>
    <w:basedOn w:val="1"/>
    <w:unhideWhenUsed/>
    <w:uiPriority w:val="99"/>
    <w:pPr>
      <w:spacing w:before="100" w:beforeAutospacing="1" w:after="100" w:afterAutospacing="1" w:line="240" w:lineRule="auto"/>
      <w:jc w:val="left"/>
    </w:pPr>
    <w:rPr>
      <w:rFonts w:ascii="Times New Roman" w:hAnsi="Times New Roman" w:eastAsia="Times New Roman" w:cs="Times New Roman"/>
      <w:kern w:val="0"/>
      <w:sz w:val="24"/>
      <w:szCs w:val="24"/>
      <w:lang w:val="en-IN" w:eastAsia="en-IN"/>
    </w:rPr>
  </w:style>
  <w:style w:type="paragraph" w:styleId="18">
    <w:name w:val="Subtitle"/>
    <w:basedOn w:val="1"/>
    <w:next w:val="1"/>
    <w:link w:val="33"/>
    <w:qFormat/>
    <w:uiPriority w:val="11"/>
    <w:rPr>
      <w:rFonts w:asciiTheme="minorHAnsi" w:hAnsiTheme="minorHAnsi" w:eastAsiaTheme="majorEastAsia" w:cstheme="majorBidi"/>
      <w:color w:val="585858" w:themeColor="text1" w:themeTint="A6"/>
      <w:spacing w:val="15"/>
      <w:sz w:val="28"/>
      <w:szCs w:val="28"/>
    </w:rPr>
  </w:style>
  <w:style w:type="paragraph" w:styleId="19">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0">
    <w:name w:val="toc 1"/>
    <w:basedOn w:val="1"/>
    <w:next w:val="1"/>
    <w:autoRedefine/>
    <w:unhideWhenUsed/>
    <w:qFormat/>
    <w:uiPriority w:val="39"/>
    <w:pPr>
      <w:spacing w:after="100"/>
    </w:pPr>
  </w:style>
  <w:style w:type="paragraph" w:styleId="21">
    <w:name w:val="toc 2"/>
    <w:basedOn w:val="1"/>
    <w:next w:val="1"/>
    <w:autoRedefine/>
    <w:unhideWhenUsed/>
    <w:qFormat/>
    <w:uiPriority w:val="39"/>
    <w:pPr>
      <w:spacing w:after="100"/>
      <w:ind w:left="240"/>
    </w:pPr>
  </w:style>
  <w:style w:type="paragraph" w:styleId="22">
    <w:name w:val="toc 3"/>
    <w:basedOn w:val="1"/>
    <w:next w:val="1"/>
    <w:autoRedefine/>
    <w:unhideWhenUsed/>
    <w:qFormat/>
    <w:uiPriority w:val="39"/>
    <w:pPr>
      <w:spacing w:after="100"/>
      <w:ind w:left="440"/>
    </w:pPr>
  </w:style>
  <w:style w:type="character" w:customStyle="1" w:styleId="23">
    <w:name w:val="Heading 2 Char"/>
    <w:basedOn w:val="11"/>
    <w:link w:val="3"/>
    <w:qFormat/>
    <w:uiPriority w:val="9"/>
    <w:rPr>
      <w:rFonts w:ascii="Times New Roman" w:hAnsi="Times New Roman" w:eastAsiaTheme="majorEastAsia" w:cstheme="majorBidi"/>
      <w:b/>
      <w:i/>
      <w:sz w:val="24"/>
      <w:szCs w:val="26"/>
      <w:lang w:val="en-GB"/>
    </w:rPr>
  </w:style>
  <w:style w:type="character" w:customStyle="1" w:styleId="24">
    <w:name w:val="Heading 1 Char"/>
    <w:basedOn w:val="11"/>
    <w:link w:val="2"/>
    <w:qFormat/>
    <w:uiPriority w:val="9"/>
    <w:rPr>
      <w:rFonts w:ascii="Times New Roman" w:hAnsi="Times New Roman" w:eastAsiaTheme="majorEastAsia" w:cstheme="majorBidi"/>
      <w:b/>
      <w:sz w:val="24"/>
      <w:szCs w:val="32"/>
      <w:lang w:val="en-GB"/>
    </w:rPr>
  </w:style>
  <w:style w:type="character" w:customStyle="1" w:styleId="25">
    <w:name w:val="Heading 3 Char"/>
    <w:basedOn w:val="11"/>
    <w:link w:val="4"/>
    <w:qFormat/>
    <w:uiPriority w:val="9"/>
    <w:rPr>
      <w:rFonts w:ascii="Arial" w:hAnsi="Arial" w:eastAsiaTheme="majorEastAsia" w:cstheme="majorBidi"/>
      <w:b/>
      <w:i/>
      <w:color w:val="000000" w:themeColor="text1"/>
      <w:szCs w:val="28"/>
      <w:u w:val="single"/>
      <w:lang w:val="en-GB"/>
    </w:rPr>
  </w:style>
  <w:style w:type="character" w:customStyle="1" w:styleId="26">
    <w:name w:val="Heading 4 Char"/>
    <w:basedOn w:val="11"/>
    <w:link w:val="5"/>
    <w:qFormat/>
    <w:uiPriority w:val="9"/>
    <w:rPr>
      <w:rFonts w:ascii="Arial" w:hAnsi="Arial" w:eastAsiaTheme="majorEastAsia" w:cstheme="majorBidi"/>
      <w:b/>
      <w:i/>
      <w:iCs/>
      <w:color w:val="000000" w:themeColor="text1"/>
      <w:u w:val="single"/>
      <w:lang w:val="en-GB"/>
    </w:rPr>
  </w:style>
  <w:style w:type="character" w:customStyle="1" w:styleId="27">
    <w:name w:val="Heading 5 Char"/>
    <w:basedOn w:val="11"/>
    <w:link w:val="6"/>
    <w:semiHidden/>
    <w:qFormat/>
    <w:uiPriority w:val="9"/>
    <w:rPr>
      <w:rFonts w:eastAsiaTheme="majorEastAsia" w:cstheme="majorBidi"/>
      <w:color w:val="2F5496" w:themeColor="accent1" w:themeShade="BF"/>
      <w:sz w:val="24"/>
      <w:lang w:val="en-GB"/>
    </w:rPr>
  </w:style>
  <w:style w:type="character" w:customStyle="1" w:styleId="28">
    <w:name w:val="Heading 6 Char"/>
    <w:basedOn w:val="11"/>
    <w:link w:val="7"/>
    <w:semiHidden/>
    <w:qFormat/>
    <w:uiPriority w:val="9"/>
    <w:rPr>
      <w:rFonts w:eastAsiaTheme="majorEastAsia" w:cstheme="majorBidi"/>
      <w:i/>
      <w:iCs/>
      <w:color w:val="585858" w:themeColor="text1" w:themeTint="A6"/>
      <w:sz w:val="24"/>
      <w:lang w:val="en-GB"/>
    </w:rPr>
  </w:style>
  <w:style w:type="character" w:customStyle="1" w:styleId="29">
    <w:name w:val="Heading 7 Char"/>
    <w:basedOn w:val="11"/>
    <w:link w:val="8"/>
    <w:semiHidden/>
    <w:qFormat/>
    <w:uiPriority w:val="9"/>
    <w:rPr>
      <w:rFonts w:eastAsiaTheme="majorEastAsia" w:cstheme="majorBidi"/>
      <w:color w:val="585858" w:themeColor="text1" w:themeTint="A6"/>
      <w:sz w:val="24"/>
      <w:lang w:val="en-GB"/>
    </w:rPr>
  </w:style>
  <w:style w:type="character" w:customStyle="1" w:styleId="30">
    <w:name w:val="Heading 8 Char"/>
    <w:basedOn w:val="11"/>
    <w:link w:val="9"/>
    <w:semiHidden/>
    <w:qFormat/>
    <w:uiPriority w:val="9"/>
    <w:rPr>
      <w:rFonts w:eastAsiaTheme="majorEastAsia" w:cstheme="majorBidi"/>
      <w:i/>
      <w:iCs/>
      <w:color w:val="262626" w:themeColor="text1" w:themeTint="D8"/>
      <w:sz w:val="24"/>
      <w:lang w:val="en-GB"/>
    </w:rPr>
  </w:style>
  <w:style w:type="character" w:customStyle="1" w:styleId="31">
    <w:name w:val="Heading 9 Char"/>
    <w:basedOn w:val="11"/>
    <w:link w:val="10"/>
    <w:semiHidden/>
    <w:qFormat/>
    <w:uiPriority w:val="9"/>
    <w:rPr>
      <w:rFonts w:eastAsiaTheme="majorEastAsia" w:cstheme="majorBidi"/>
      <w:color w:val="262626" w:themeColor="text1" w:themeTint="D8"/>
      <w:sz w:val="24"/>
      <w:lang w:val="en-GB"/>
    </w:rPr>
  </w:style>
  <w:style w:type="character" w:customStyle="1" w:styleId="32">
    <w:name w:val="Title Char"/>
    <w:basedOn w:val="11"/>
    <w:link w:val="19"/>
    <w:qFormat/>
    <w:uiPriority w:val="10"/>
    <w:rPr>
      <w:rFonts w:asciiTheme="majorHAnsi" w:hAnsiTheme="majorHAnsi" w:eastAsiaTheme="majorEastAsia" w:cstheme="majorBidi"/>
      <w:spacing w:val="-10"/>
      <w:kern w:val="28"/>
      <w:sz w:val="56"/>
      <w:szCs w:val="56"/>
      <w:lang w:val="en-GB"/>
    </w:rPr>
  </w:style>
  <w:style w:type="character" w:customStyle="1" w:styleId="33">
    <w:name w:val="Subtitle Char"/>
    <w:basedOn w:val="11"/>
    <w:link w:val="18"/>
    <w:qFormat/>
    <w:uiPriority w:val="11"/>
    <w:rPr>
      <w:rFonts w:eastAsiaTheme="majorEastAsia" w:cstheme="majorBidi"/>
      <w:color w:val="585858" w:themeColor="text1" w:themeTint="A6"/>
      <w:spacing w:val="15"/>
      <w:sz w:val="28"/>
      <w:szCs w:val="28"/>
      <w:lang w:val="en-GB"/>
    </w:rPr>
  </w:style>
  <w:style w:type="paragraph" w:styleId="34">
    <w:name w:val="Quote"/>
    <w:basedOn w:val="1"/>
    <w:next w:val="1"/>
    <w:link w:val="35"/>
    <w:qFormat/>
    <w:uiPriority w:val="29"/>
    <w:pPr>
      <w:spacing w:before="160"/>
      <w:jc w:val="center"/>
    </w:pPr>
    <w:rPr>
      <w:i/>
      <w:iCs/>
      <w:color w:val="3F3F3F" w:themeColor="text1" w:themeTint="BF"/>
    </w:rPr>
  </w:style>
  <w:style w:type="character" w:customStyle="1" w:styleId="35">
    <w:name w:val="Quote Char"/>
    <w:basedOn w:val="11"/>
    <w:link w:val="34"/>
    <w:qFormat/>
    <w:uiPriority w:val="29"/>
    <w:rPr>
      <w:rFonts w:ascii="Times New Roman" w:hAnsi="Times New Roman"/>
      <w:i/>
      <w:iCs/>
      <w:color w:val="3F3F3F" w:themeColor="text1" w:themeTint="BF"/>
      <w:sz w:val="24"/>
      <w:lang w:val="en-GB"/>
    </w:rPr>
  </w:style>
  <w:style w:type="paragraph" w:styleId="36">
    <w:name w:val="List Paragraph"/>
    <w:basedOn w:val="1"/>
    <w:qFormat/>
    <w:uiPriority w:val="34"/>
    <w:pPr>
      <w:ind w:left="720"/>
      <w:contextualSpacing/>
    </w:pPr>
  </w:style>
  <w:style w:type="character" w:customStyle="1" w:styleId="37">
    <w:name w:val="Intense Emphasis"/>
    <w:basedOn w:val="11"/>
    <w:qFormat/>
    <w:uiPriority w:val="21"/>
    <w:rPr>
      <w:i/>
      <w:iCs/>
      <w:color w:val="2F5496" w:themeColor="accent1" w:themeShade="BF"/>
    </w:rPr>
  </w:style>
  <w:style w:type="paragraph" w:styleId="38">
    <w:name w:val="Intense Quote"/>
    <w:basedOn w:val="1"/>
    <w:next w:val="1"/>
    <w:link w:val="39"/>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customStyle="1" w:styleId="39">
    <w:name w:val="Intense Quote Char"/>
    <w:basedOn w:val="11"/>
    <w:link w:val="38"/>
    <w:qFormat/>
    <w:uiPriority w:val="30"/>
    <w:rPr>
      <w:rFonts w:ascii="Times New Roman" w:hAnsi="Times New Roman"/>
      <w:i/>
      <w:iCs/>
      <w:color w:val="2F5496" w:themeColor="accent1" w:themeShade="BF"/>
      <w:sz w:val="24"/>
      <w:lang w:val="en-GB"/>
    </w:rPr>
  </w:style>
  <w:style w:type="character" w:customStyle="1" w:styleId="40">
    <w:name w:val="Intense Reference"/>
    <w:basedOn w:val="11"/>
    <w:qFormat/>
    <w:uiPriority w:val="32"/>
    <w:rPr>
      <w:b/>
      <w:bCs/>
      <w:smallCaps/>
      <w:color w:val="2F5496" w:themeColor="accent1" w:themeShade="BF"/>
      <w:spacing w:val="5"/>
    </w:rPr>
  </w:style>
  <w:style w:type="character" w:customStyle="1" w:styleId="41">
    <w:name w:val="Header Char"/>
    <w:basedOn w:val="11"/>
    <w:link w:val="15"/>
    <w:qFormat/>
    <w:uiPriority w:val="99"/>
    <w:rPr>
      <w:rFonts w:ascii="Times New Roman" w:hAnsi="Times New Roman"/>
      <w:sz w:val="24"/>
      <w:lang w:val="en-GB"/>
    </w:rPr>
  </w:style>
  <w:style w:type="character" w:customStyle="1" w:styleId="42">
    <w:name w:val="Footer Char"/>
    <w:basedOn w:val="11"/>
    <w:link w:val="14"/>
    <w:qFormat/>
    <w:uiPriority w:val="99"/>
    <w:rPr>
      <w:rFonts w:ascii="Times New Roman" w:hAnsi="Times New Roman"/>
      <w:sz w:val="24"/>
      <w:lang w:val="en-GB"/>
    </w:rPr>
  </w:style>
  <w:style w:type="character" w:customStyle="1" w:styleId="43">
    <w:name w:val="Unresolved Mention1"/>
    <w:basedOn w:val="11"/>
    <w:semiHidden/>
    <w:unhideWhenUsed/>
    <w:qFormat/>
    <w:uiPriority w:val="99"/>
    <w:rPr>
      <w:color w:val="605E5C"/>
      <w:shd w:val="clear" w:color="auto" w:fill="E1DFDD"/>
    </w:rPr>
  </w:style>
  <w:style w:type="character" w:customStyle="1" w:styleId="44">
    <w:name w:val="Subtle Emphasis"/>
    <w:basedOn w:val="11"/>
    <w:qFormat/>
    <w:uiPriority w:val="19"/>
    <w:rPr>
      <w:i/>
      <w:iCs/>
      <w:color w:val="3F3F3F" w:themeColor="text1" w:themeTint="BF"/>
    </w:rPr>
  </w:style>
  <w:style w:type="paragraph" w:customStyle="1" w:styleId="45">
    <w:name w:val="TOC Heading"/>
    <w:basedOn w:val="2"/>
    <w:next w:val="1"/>
    <w:unhideWhenUsed/>
    <w:qFormat/>
    <w:uiPriority w:val="39"/>
    <w:pPr>
      <w:spacing w:line="259" w:lineRule="auto"/>
      <w:jc w:val="left"/>
      <w:outlineLvl w:val="9"/>
    </w:pPr>
    <w:rPr>
      <w:rFonts w:asciiTheme="majorHAnsi" w:hAnsiTheme="majorHAnsi"/>
      <w:b w:val="0"/>
      <w:color w:val="2F5496" w:themeColor="accent1" w:themeShade="BF"/>
      <w:kern w:val="0"/>
      <w:sz w:val="32"/>
      <w:lang w:val="en-US"/>
    </w:rPr>
  </w:style>
  <w:style w:type="character" w:customStyle="1" w:styleId="46">
    <w:name w:val="Balloon Text Char"/>
    <w:basedOn w:val="11"/>
    <w:link w:val="13"/>
    <w:semiHidden/>
    <w:qFormat/>
    <w:uiPriority w:val="99"/>
    <w:rPr>
      <w:rFonts w:ascii="Tahoma" w:hAnsi="Tahoma" w:cs="Tahoma"/>
      <w:sz w:val="16"/>
      <w:szCs w:val="16"/>
      <w:lang w:val="en-GB"/>
    </w:rPr>
  </w:style>
  <w:style w:type="character" w:customStyle="1" w:styleId="47">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1.xml"/><Relationship Id="rId15" Type="http://schemas.openxmlformats.org/officeDocument/2006/relationships/numbering" Target="numbering.xml"/><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4DF78-89B9-4554-A3A3-D1F4CE4EB845}">
  <ds:schemaRefs/>
</ds:datastoreItem>
</file>

<file path=docProps/app.xml><?xml version="1.0" encoding="utf-8"?>
<Properties xmlns="http://schemas.openxmlformats.org/officeDocument/2006/extended-properties" xmlns:vt="http://schemas.openxmlformats.org/officeDocument/2006/docPropsVTypes">
  <Template>Normal</Template>
  <Pages>27</Pages>
  <Words>6921</Words>
  <Characters>45200</Characters>
  <Lines>435</Lines>
  <Paragraphs>122</Paragraphs>
  <TotalTime>53</TotalTime>
  <ScaleCrop>false</ScaleCrop>
  <LinksUpToDate>false</LinksUpToDate>
  <CharactersWithSpaces>52004</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2026-07-25T07:36:00Z</dcterms:created>
  <dc:creator>vp470</dc:creator>
  <cp:lastModifiedBy>vp470</cp:lastModifiedBy>
  <dcterms:modified xsi:type="dcterms:W3CDTF">2026-08-10T22:02:40Z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b9623836-8d0e-49a5-af6d-57d8312c34c3</vt:lpwstr>
  </property>
  <property fmtid="{D5CDD505-2E9C-101B-9397-08002B2CF9AE}" pid="3" name="KSOTemplateDocerSaveRecord">
    <vt:lpwstr>eyJoZGlkIjoiYjJjOTQxYzhjODMyMDAzZmE0MDJkMWFkNmJlNDkwYTUifQ==</vt:lpwstr>
  </property>
  <property fmtid="{D5CDD505-2E9C-101B-9397-08002B2CF9AE}" pid="4" name="KSOProductBuildVer">
    <vt:lpwstr>1033-12.1.0.28032</vt:lpwstr>
  </property>
  <property fmtid="{D5CDD505-2E9C-101B-9397-08002B2CF9AE}" pid="5" name="ICV">
    <vt:lpwstr>543EE8E53B334AFD95F984457A1DF911_12</vt:lpwstr>
  </property>
</Properties>
</file>