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DA2C7A" w:rsidRDefault="00DA2C7A" w:rsidP="00DA2C7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Rosie Hughes</w:t>
            </w:r>
          </w:p>
          <w:p w:rsidR="00DA2C7A" w:rsidRDefault="00DA2C7A" w:rsidP="00DA2C7A">
            <w:pPr>
              <w:overflowPunct/>
              <w:autoSpaceDE/>
              <w:autoSpaceDN/>
              <w:adjustRightInd/>
              <w:ind w:right="-957"/>
              <w:textAlignment w:val="auto"/>
              <w:rPr>
                <w:rFonts w:ascii="Times New Roman" w:hAnsi="Times New Roman" w:cs="Times New Roman"/>
                <w:b/>
                <w:color w:val="auto"/>
                <w:sz w:val="48"/>
              </w:rPr>
            </w:pPr>
          </w:p>
          <w:p w:rsidR="00DA2C7A" w:rsidRDefault="00DA2C7A" w:rsidP="00DA2C7A">
            <w:pPr>
              <w:overflowPunct/>
              <w:textAlignment w:val="auto"/>
              <w:rPr>
                <w:rFonts w:ascii="Calibri" w:hAnsi="Calibri" w:cs="Calibri"/>
                <w:sz w:val="22"/>
                <w:szCs w:val="22"/>
              </w:rPr>
            </w:pPr>
            <w:r>
              <w:rPr>
                <w:rFonts w:ascii="Times New Roman" w:hAnsi="Times New Roman" w:cs="Times New Roman"/>
                <w:b/>
                <w:color w:val="auto"/>
                <w:sz w:val="48"/>
              </w:rPr>
              <w:t xml:space="preserve">Email address: </w:t>
            </w:r>
            <w:hyperlink r:id="rId11" w:history="1">
              <w:r w:rsidRPr="00790ED7">
                <w:rPr>
                  <w:rStyle w:val="Hyperlink"/>
                  <w:rFonts w:ascii="Times New Roman" w:hAnsi="Times New Roman" w:cs="Times New Roman"/>
                  <w:b/>
                  <w:sz w:val="48"/>
                  <w:szCs w:val="48"/>
                </w:rPr>
                <w:t>2237489@student.uwtsd.ac.uk/</w:t>
              </w:r>
            </w:hyperlink>
            <w:r>
              <w:rPr>
                <w:rFonts w:ascii="Times New Roman" w:hAnsi="Times New Roman" w:cs="Times New Roman"/>
                <w:b/>
                <w:sz w:val="48"/>
                <w:szCs w:val="48"/>
              </w:rPr>
              <w:t xml:space="preserve"> </w:t>
            </w:r>
            <w:hyperlink r:id="rId12" w:history="1">
              <w:r w:rsidRPr="00790ED7">
                <w:rPr>
                  <w:rStyle w:val="Hyperlink"/>
                  <w:rFonts w:ascii="Times New Roman" w:hAnsi="Times New Roman" w:cs="Times New Roman"/>
                  <w:b/>
                  <w:sz w:val="48"/>
                  <w:szCs w:val="48"/>
                </w:rPr>
                <w:t>rosie.hughes@wrexham.gov.uk</w:t>
              </w:r>
            </w:hyperlink>
            <w:r>
              <w:rPr>
                <w:rFonts w:ascii="Times New Roman" w:hAnsi="Times New Roman" w:cs="Times New Roman"/>
                <w:b/>
                <w:sz w:val="48"/>
                <w:szCs w:val="48"/>
              </w:rPr>
              <w:t xml:space="preserve"> </w:t>
            </w:r>
          </w:p>
          <w:p w:rsidR="00DA2C7A" w:rsidRDefault="00DA2C7A" w:rsidP="00DA2C7A">
            <w:pPr>
              <w:overflowPunct/>
              <w:autoSpaceDE/>
              <w:autoSpaceDN/>
              <w:adjustRightInd/>
              <w:ind w:right="-957"/>
              <w:textAlignment w:val="auto"/>
              <w:rPr>
                <w:rFonts w:ascii="Times New Roman" w:hAnsi="Times New Roman" w:cs="Times New Roman"/>
                <w:b/>
                <w:color w:val="auto"/>
                <w:sz w:val="48"/>
              </w:rPr>
            </w:pPr>
          </w:p>
          <w:p w:rsidR="00DA2C7A" w:rsidRPr="005D3F07" w:rsidRDefault="00DA2C7A" w:rsidP="00DA2C7A">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rsidR="00DA2C7A" w:rsidRDefault="00DA2C7A" w:rsidP="00DA2C7A">
            <w:pPr>
              <w:overflowPunct/>
              <w:autoSpaceDE/>
              <w:autoSpaceDN/>
              <w:adjustRightInd/>
              <w:ind w:right="-957"/>
              <w:textAlignment w:val="auto"/>
              <w:rPr>
                <w:rFonts w:ascii="Times New Roman" w:hAnsi="Times New Roman" w:cs="Times New Roman"/>
                <w:b/>
                <w:sz w:val="48"/>
                <w:szCs w:val="48"/>
              </w:rPr>
            </w:pPr>
            <w:r w:rsidRPr="00C21922">
              <w:rPr>
                <w:rFonts w:ascii="Times New Roman" w:hAnsi="Times New Roman" w:cs="Times New Roman"/>
                <w:b/>
                <w:sz w:val="48"/>
                <w:szCs w:val="48"/>
              </w:rPr>
              <w:t>2237489</w:t>
            </w:r>
          </w:p>
          <w:p w:rsidR="00DA2C7A" w:rsidRPr="005D3F07" w:rsidRDefault="00DA2C7A" w:rsidP="00DA2C7A">
            <w:pPr>
              <w:overflowPunct/>
              <w:autoSpaceDE/>
              <w:autoSpaceDN/>
              <w:adjustRightInd/>
              <w:ind w:right="-957"/>
              <w:textAlignment w:val="auto"/>
              <w:rPr>
                <w:rFonts w:ascii="Times New Roman" w:hAnsi="Times New Roman" w:cs="Times New Roman"/>
                <w:b/>
                <w:color w:val="auto"/>
                <w:sz w:val="48"/>
              </w:rPr>
            </w:pPr>
          </w:p>
          <w:p w:rsidR="0085230E" w:rsidRPr="005D3F07" w:rsidRDefault="00DA2C7A" w:rsidP="00DA2C7A">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bookmarkStart w:id="0" w:name="_GoBack"/>
            <w:bookmarkEnd w:id="0"/>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7F312E" w:rsidRDefault="007F312E" w:rsidP="005F64AA">
      <w:pPr>
        <w:jc w:val="center"/>
        <w:rPr>
          <w:b/>
          <w:sz w:val="28"/>
          <w:szCs w:val="28"/>
        </w:rPr>
      </w:pPr>
    </w:p>
    <w:p w:rsidR="00D3203C" w:rsidRDefault="00D3203C" w:rsidP="00EE5BC3">
      <w:pPr>
        <w:jc w:val="center"/>
        <w:rPr>
          <w:b/>
          <w:sz w:val="24"/>
          <w:szCs w:val="24"/>
        </w:rPr>
      </w:pPr>
    </w:p>
    <w:p w:rsidR="00F546D1" w:rsidRPr="00EE5BC3" w:rsidRDefault="007374EF" w:rsidP="00EE5BC3">
      <w:pPr>
        <w:jc w:val="center"/>
        <w:rPr>
          <w:sz w:val="28"/>
          <w:szCs w:val="28"/>
        </w:rPr>
      </w:pPr>
      <w:r w:rsidRPr="00EE5BC3">
        <w:rPr>
          <w:b/>
          <w:sz w:val="28"/>
          <w:szCs w:val="28"/>
        </w:rPr>
        <w:t>Task 3</w:t>
      </w:r>
    </w:p>
    <w:p w:rsidR="00F546D1" w:rsidRPr="00EE5BC3" w:rsidRDefault="00F546D1" w:rsidP="00EE5BC3">
      <w:pPr>
        <w:jc w:val="center"/>
        <w:rPr>
          <w:b/>
          <w:sz w:val="28"/>
          <w:szCs w:val="28"/>
        </w:rPr>
      </w:pPr>
    </w:p>
    <w:p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rsidR="007C5ABE" w:rsidRDefault="007C5ABE" w:rsidP="0093018C">
      <w:pPr>
        <w:rPr>
          <w:b/>
          <w:color w:val="auto"/>
          <w:sz w:val="24"/>
          <w:szCs w:val="24"/>
        </w:rPr>
      </w:pPr>
    </w:p>
    <w:p w:rsidR="00D0503D" w:rsidRDefault="00D0503D" w:rsidP="0093018C">
      <w:pPr>
        <w:rPr>
          <w:b/>
          <w:color w:val="auto"/>
          <w:sz w:val="24"/>
          <w:szCs w:val="24"/>
        </w:rPr>
      </w:pPr>
      <w:r>
        <w:rPr>
          <w:b/>
          <w:color w:val="auto"/>
          <w:sz w:val="24"/>
          <w:szCs w:val="24"/>
        </w:rPr>
        <w:t>Guidance</w:t>
      </w:r>
      <w:r w:rsidR="00084DA6">
        <w:rPr>
          <w:b/>
          <w:color w:val="auto"/>
          <w:sz w:val="24"/>
          <w:szCs w:val="24"/>
        </w:rPr>
        <w:t>;</w:t>
      </w:r>
    </w:p>
    <w:p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rsidTr="7B2CF1A9">
        <w:tc>
          <w:tcPr>
            <w:tcW w:w="10031" w:type="dxa"/>
            <w:shd w:val="clear" w:color="auto" w:fill="auto"/>
          </w:tcPr>
          <w:p w:rsidR="006872A0" w:rsidRPr="006872A0" w:rsidRDefault="006872A0" w:rsidP="00064063">
            <w:pPr>
              <w:jc w:val="both"/>
              <w:rPr>
                <w:b/>
                <w:sz w:val="24"/>
                <w:szCs w:val="24"/>
              </w:rPr>
            </w:pPr>
            <w:r w:rsidRPr="006872A0">
              <w:rPr>
                <w:b/>
                <w:sz w:val="24"/>
                <w:szCs w:val="24"/>
              </w:rPr>
              <w:t>Question</w:t>
            </w:r>
            <w:r w:rsidR="007A628F">
              <w:rPr>
                <w:b/>
                <w:sz w:val="24"/>
                <w:szCs w:val="24"/>
              </w:rPr>
              <w:t>:</w:t>
            </w:r>
          </w:p>
          <w:p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rsidR="008D5999" w:rsidRDefault="008D5999" w:rsidP="00064063">
            <w:pPr>
              <w:jc w:val="both"/>
              <w:rPr>
                <w:sz w:val="24"/>
                <w:szCs w:val="24"/>
              </w:rPr>
            </w:pPr>
          </w:p>
          <w:p w:rsidR="008D5999" w:rsidRDefault="008D5999" w:rsidP="00064063">
            <w:pPr>
              <w:jc w:val="both"/>
              <w:rPr>
                <w:sz w:val="24"/>
                <w:szCs w:val="24"/>
              </w:rPr>
            </w:pPr>
          </w:p>
          <w:p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rsidR="00D3203C" w:rsidRDefault="00D3203C" w:rsidP="00FF7EBB">
            <w:pPr>
              <w:jc w:val="both"/>
              <w:rPr>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This critically reflective care study is based on Children A, B and C and Jane who is he children’s maternal grandmother. The children were placed with Jane 6 months prior to my involvement after Police used their PPO powers removing them from their mother’s care. The children remained with Jane but under an informal family arrangement whilst support was offered by Childrens Social Services (CSS). Children A, B and C have two other siblings, children D and E who were residing with their paternal grandparents.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The area in which I work is not far from the border between Wales and England. The entitlement and legislation for Wales and England are different. Whilst Wales uses some of the elements found within the Childrens Act 1989, which is the main legislation within England, the Social Services and Wellbeing Act 2019 has overridden many of the elements and becoming Wales’ main legislation. Looking more broadly, outside of the United Kingdom and to the European Union, some of the main legislation </w:t>
            </w:r>
          </w:p>
          <w:p w:rsidR="00F4578E" w:rsidRPr="00842920" w:rsidRDefault="00F4578E" w:rsidP="00F4578E">
            <w:pPr>
              <w:rPr>
                <w:rFonts w:asciiTheme="minorHAnsi" w:hAnsiTheme="minorHAnsi" w:cstheme="minorHAnsi"/>
                <w:sz w:val="24"/>
                <w:szCs w:val="24"/>
              </w:rPr>
            </w:pPr>
          </w:p>
          <w:p w:rsidR="00F4578E" w:rsidRPr="00842920"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The European Union, and more particular the Council of Europe, view children as being more than needing protection, but rather as being individuals who are entitled to the same Human Rights as a grown adult. Therefore, the European Convention of Human Rights protects children’s human rights from birth. The UN Convention on Rights of a Child is also significant legislation with 196 countries having signed up to ensure that all 54 articles of the convention, which cover all aspects of a child’s </w:t>
            </w:r>
            <w:r w:rsidRPr="00842920">
              <w:rPr>
                <w:rFonts w:asciiTheme="minorHAnsi" w:hAnsiTheme="minorHAnsi" w:cstheme="minorHAnsi"/>
                <w:sz w:val="24"/>
                <w:szCs w:val="24"/>
              </w:rPr>
              <w:lastRenderedPageBreak/>
              <w:t>life including their right to equal importance to any other child, be safe from violence (Article 19), sufficient standard of living (Article 27) and protection of identity (Article 8) (</w:t>
            </w:r>
            <w:proofErr w:type="spellStart"/>
            <w:r w:rsidRPr="00842920">
              <w:rPr>
                <w:rFonts w:asciiTheme="minorHAnsi" w:hAnsiTheme="minorHAnsi" w:cstheme="minorHAnsi"/>
                <w:sz w:val="24"/>
                <w:szCs w:val="24"/>
              </w:rPr>
              <w:t>Unicef</w:t>
            </w:r>
            <w:proofErr w:type="spellEnd"/>
            <w:r w:rsidRPr="00842920">
              <w:rPr>
                <w:rFonts w:asciiTheme="minorHAnsi" w:hAnsiTheme="minorHAnsi" w:cstheme="minorHAnsi"/>
                <w:sz w:val="24"/>
                <w:szCs w:val="24"/>
              </w:rPr>
              <w:t xml:space="preserve">, </w:t>
            </w:r>
            <w:proofErr w:type="spellStart"/>
            <w:r w:rsidRPr="00842920">
              <w:rPr>
                <w:rFonts w:asciiTheme="minorHAnsi" w:hAnsiTheme="minorHAnsi" w:cstheme="minorHAnsi"/>
                <w:sz w:val="24"/>
                <w:szCs w:val="24"/>
              </w:rPr>
              <w:t>n.d.</w:t>
            </w:r>
            <w:proofErr w:type="spellEnd"/>
            <w:r w:rsidRPr="00842920">
              <w:rPr>
                <w:rFonts w:asciiTheme="minorHAnsi" w:hAnsiTheme="minorHAnsi" w:cstheme="minorHAnsi"/>
                <w:sz w:val="24"/>
                <w:szCs w:val="24"/>
              </w:rPr>
              <w:t>)</w:t>
            </w:r>
          </w:p>
          <w:p w:rsidR="00F4578E" w:rsidRPr="00842920"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The children had been open to CSS for over 8 months at the time of the referral, and care proceedings were currently being initiated after concerns were raised around the children being subject to neglect and exposed to maternal poor mental health. Section 130 (4) of the Social Services and Wellbeing Act 2014 (SSWBA 2014) dictates that a child at risk is identified as ‘a child who is experiencing or is at risk of abuse, neglect or other kinds of harm’. It was felt given the concerns around the children experiencing neglect that the threshold was met and they were at risk of significant risk of harm and therefore the plan for CSS to enter pre-proceedings imminently.</w:t>
            </w:r>
          </w:p>
          <w:p w:rsidR="00F4578E"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The Wales Safeguarding Procedures (2019) came into practice in 2019 after being jointly developed by six Regional Safeguarding Boards within Wales. The aim was to bring together safeguarding procedures for children and adults, which were previously two separate documents (the All Wales Child Protection Procedures and Wales Interim Policy and Procedures for the Protection of Vulnerable Adults from Abuse). The Wales Safeguarding Procedures provides safeguarding guidance and advice not only to those whose roles are found within Social Services or the Police, but to all practitioners working with children directly or indirectly, in a paid or volunteer position. It sets out the roles and expectations around everyone’s duty to safeguard children effectively.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The Wales Safeguarding Procedures (2019) also see significant changes with within the categories of abuse, with this now including Psychological and Financial abuse as well as an increased focus on child criminal and sexual exploitation, female genital mutilation and radicalisation. It also emphasises the importance and need for co-production with the child and practitioner as far as possible.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The Wales Safeguarding procedures (2019) and in line with Part 2 6. (2) of the SSWBA 2014 dictate that approaches to safeguarding should be done with a child-centred approach and this means that ‘the rights of the child should be paramount to their approach; their best interests should always be paramount’ as well as the need to ‘have regard to the characteristics, culture and beliefs of the child and their family whilst recognising the paramountcy of safeguarding the individual’. Acknowledging our duty to do this, as well as other supporting legislation such as the Human Rights Act 1998 in which Article 8 states ‘a Right to Respect for Private and Family life’ as well as the core principle in the Childrens Act 1989 being to keep families together as far as possible, supports the importance and need in exploring all family members as alternative carers for children where remaining with their parents is not possible. </w:t>
            </w:r>
          </w:p>
          <w:p w:rsidR="00F4578E" w:rsidRPr="00842920" w:rsidRDefault="00F4578E" w:rsidP="00F4578E">
            <w:pPr>
              <w:rPr>
                <w:rFonts w:asciiTheme="minorHAnsi" w:hAnsiTheme="minorHAnsi" w:cstheme="minorHAnsi"/>
                <w:sz w:val="24"/>
                <w:szCs w:val="24"/>
              </w:rPr>
            </w:pPr>
          </w:p>
          <w:p w:rsidR="00F4578E" w:rsidRPr="00842920"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There is a multitude of legislation that informs social work practice and how I as part of my team, complete Viability assessments. One of the main legislation used is Every Child Matters (2003). Every Child Matters (2003) was written with the aim of being a ‘comprehensive program of reform for children’s services’ </w:t>
            </w:r>
            <w:r w:rsidR="00F84AAF" w:rsidRPr="00F84AAF">
              <w:rPr>
                <w:rFonts w:asciiTheme="minorHAnsi" w:hAnsiTheme="minorHAnsi" w:cstheme="minorHAnsi"/>
                <w:sz w:val="24"/>
                <w:szCs w:val="24"/>
              </w:rPr>
              <w:t>(Laming</w:t>
            </w:r>
            <w:r w:rsidRPr="00F84AAF">
              <w:rPr>
                <w:rFonts w:asciiTheme="minorHAnsi" w:hAnsiTheme="minorHAnsi" w:cstheme="minorHAnsi"/>
                <w:sz w:val="24"/>
                <w:szCs w:val="24"/>
              </w:rPr>
              <w:t>, 2005, 3).</w:t>
            </w:r>
            <w:r w:rsidRPr="00842920">
              <w:rPr>
                <w:rFonts w:asciiTheme="minorHAnsi" w:hAnsiTheme="minorHAnsi" w:cstheme="minorHAnsi"/>
                <w:sz w:val="24"/>
                <w:szCs w:val="24"/>
              </w:rPr>
              <w:t xml:space="preserve"> The policy followed Lord Laming’s inquiry and subsequent recommendations in 2003 on the unfortunate and preventable passing of Victoria </w:t>
            </w:r>
            <w:proofErr w:type="spellStart"/>
            <w:r w:rsidRPr="00842920">
              <w:rPr>
                <w:rFonts w:asciiTheme="minorHAnsi" w:hAnsiTheme="minorHAnsi" w:cstheme="minorHAnsi"/>
                <w:sz w:val="24"/>
                <w:szCs w:val="24"/>
              </w:rPr>
              <w:t>Climbe</w:t>
            </w:r>
            <w:proofErr w:type="spellEnd"/>
            <w:r w:rsidRPr="00842920">
              <w:rPr>
                <w:rFonts w:asciiTheme="minorHAnsi" w:hAnsiTheme="minorHAnsi" w:cstheme="minorHAnsi"/>
                <w:sz w:val="24"/>
                <w:szCs w:val="24"/>
              </w:rPr>
              <w:t xml:space="preserve"> in 2000 at the hands of her Great Aunt, who was acting as her foster carer, and her partner. Lord Lammings report highlighted missed opportunities from services to safeguard and protect Victoria from Social </w:t>
            </w:r>
            <w:r w:rsidRPr="00842920">
              <w:rPr>
                <w:rFonts w:asciiTheme="minorHAnsi" w:hAnsiTheme="minorHAnsi" w:cstheme="minorHAnsi"/>
                <w:sz w:val="24"/>
                <w:szCs w:val="24"/>
              </w:rPr>
              <w:lastRenderedPageBreak/>
              <w:t xml:space="preserve">Services, the Police and the NHS. Taking Lord Laming’s findings Every Child Matter’s sought to improve and reform services to ensure that every child is protected from abuse and harm. </w:t>
            </w:r>
          </w:p>
          <w:p w:rsidR="00F4578E"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Every Child Matters (2003) sets out five key outcomes for children, being health; staying safe; enjoying and achieving; making a positive contribution; economic well-being. Not only do professionals, universal and targeted services have the responsibility to ensure that these outcomes are met for children, but there is also a responsibility on family members to support children to achieve these. Given that, when assessments are carried out we are looking at whether family members or connected people are able to provide a safe, stable and secure home environment and support the children in achieving the five key outcomes outlined previously.</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This was the second set of proceedings for the children due to concerns around neglect and poor mental health, with the first having been in 2020. Previously, the mother had made significant and sustained improvements which meant that the children were no longer at risk of significant harm, and as a result no Orders were made. During that time, Jane underwent a successful Viability assessment, however the full Connected Persons assessment which followed this concluded with a negative recommendation due to concerns around Jane having been sober for only 6 months and a tumultuous relationship with her own teenage daughter.</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The Connected Persons assessment team received a referral requesting a Viability assessment be completed to assess Jane’s suitability to become an alternative carer to children A, B and C. Viability assessments are usually completed immediately prior to, or at the start of Court proceedings whereby the Local Authority are seeking to secure an Order in respect of the child/ren. The process of assessing alternative carers, alongside completing parenting assessments on parents is known as ‘twin-tracking’, or in some cases ‘triple-tracking’ where adoption is also being considered.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One of the first tasks after receiving a referral is to gather and read all information that is available prior to a visit, this also includes multi-agency working with police, education, health and any other Local Authority (LA). This includes the Childcare Social Worker (CCSW) requesting Police National Computer checks (PNCs), searching internal databases for any records held in respect of the applicant and their own children and to have discussions with the CCSW. This allows for any issues such as criminal convictions or cautions, or any history with Childrens Social Services (CSS) in relation to their own children to become known which will be included in the assessment in order to make sure the children are safeguarded against any known risks. It also allows applicants to discuss any significant issues they’ve had in the past and demonstrate how they’ve overcome these and made significant and sustained change and progress if/when needed.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In terms of multi-disciplinary working, there were barriers with this case that are not isolated to this specific assessment. As mentioned, the Wales Safeguarding Procedures (2019) layout the responsibilities of all agencies, paid and voluntary, in safeguarding children; everyone has a role to play in safeguarding children. In particular it lays out expectations around information sharing between agencies in order to safeguard children and in my daily practice, this is evidenced through these initial checks as well as further and enhanced checks if the Viability assessment is positive. Unfortunately, issues arose in this case with delays in the CCSW requesting a PNC check, and this </w:t>
            </w:r>
            <w:r w:rsidRPr="00842920">
              <w:rPr>
                <w:rFonts w:asciiTheme="minorHAnsi" w:hAnsiTheme="minorHAnsi" w:cstheme="minorHAnsi"/>
                <w:sz w:val="24"/>
                <w:szCs w:val="24"/>
              </w:rPr>
              <w:lastRenderedPageBreak/>
              <w:t>check being returned in time; without this information, visit cannot be completed. This can very frustrating especially when the time in which you have to complete an assessment is already incredibly limited. Unfortunately, this is a very regular issue and is often caused by all agencies and teams facing their own pressures and increase in demands within their services.</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Jane, as mentioned, had previously undergone a Connected Persons assessment in 2020 which was negative. When reading this assessment as part of the information gathering stage, it was apparent that CSS were involved with Jane at this time in respect of her relationship with her own teenage daughter, and that Jane had admitted to being alcohol dependant with only 6 months being mostly sober; Jane had admitted to having a drink on the weekends during this time. This information already begins to help form the questions for the current assessment, particularly around assessing the current level of risk and finding out whether there are any protective factors. Checks made with the CCSW to determine the current situation for the children and where things were up to in respect to the Court process. The CCSW advised that children A, B and C had been living with Jane for the past 6 months under a family arrangement and the LA were planning on making an application to Court imminently.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An initial telephone call was made to Jane to discuss the referral as well as the assessment process and the potential outcomes of the assessment. Jane was asked on the phone if she has any adjustments or requirements for the assessment visit to which she declined. Given that Jane lives in Wales, the Welsh language is always promoted and an active offer for the assessment or assessment materials in Welsh was made and declined by Jane. Ensuring that all individuals are left feeling empowered and confident in being able to use their preferred language is paramount for the Welsh language and culture and within the LA I work for, without having to ask for it. Making an active offer and naturally anticipating individuals speaking Welsh as their main language is part of the Welsh Governments ‘Active Offer’ (2015).</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During the Viability assessment home visit, children A, B and C are in school and present are myself and Jane. Jane is reminded again about the assessment process, and assured that if she needs a break at any point or to stop, that she will be respected and if she doesn’t understand anything or needs something clarifying she can ask as many times as needed.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When completing assessments, I will try to use a mix of theories, models and approaches. For example, with Jane I used a ‘Narrative approach’. This allows Jane to describe her own life and experiences in a way that feels comfortable and most natural. Siobhan Maclean states that a narrative approach can support an individual in helping them understand their lived experiences better and identify oppressive or external pressures that led to certain experiences. However, there are limits to this approach will be discussed below when looking at assessment models. However, the assessment itself could be argued as being undertaken from a ‘questioning model’ as defined by </w:t>
            </w:r>
            <w:proofErr w:type="spellStart"/>
            <w:r w:rsidRPr="00842920">
              <w:rPr>
                <w:rFonts w:asciiTheme="minorHAnsi" w:hAnsiTheme="minorHAnsi" w:cstheme="minorHAnsi"/>
                <w:sz w:val="24"/>
                <w:szCs w:val="24"/>
              </w:rPr>
              <w:t>Smale</w:t>
            </w:r>
            <w:proofErr w:type="spellEnd"/>
            <w:r w:rsidRPr="00842920">
              <w:rPr>
                <w:rFonts w:asciiTheme="minorHAnsi" w:hAnsiTheme="minorHAnsi" w:cstheme="minorHAnsi"/>
                <w:sz w:val="24"/>
                <w:szCs w:val="24"/>
              </w:rPr>
              <w:t xml:space="preserve">, </w:t>
            </w:r>
            <w:proofErr w:type="spellStart"/>
            <w:r w:rsidRPr="00842920">
              <w:rPr>
                <w:rFonts w:asciiTheme="minorHAnsi" w:hAnsiTheme="minorHAnsi" w:cstheme="minorHAnsi"/>
                <w:sz w:val="24"/>
                <w:szCs w:val="24"/>
              </w:rPr>
              <w:t>Tuson</w:t>
            </w:r>
            <w:proofErr w:type="spellEnd"/>
            <w:r w:rsidRPr="00842920">
              <w:rPr>
                <w:rFonts w:asciiTheme="minorHAnsi" w:hAnsiTheme="minorHAnsi" w:cstheme="minorHAnsi"/>
                <w:sz w:val="24"/>
                <w:szCs w:val="24"/>
              </w:rPr>
              <w:t xml:space="preserve">, </w:t>
            </w:r>
            <w:proofErr w:type="spellStart"/>
            <w:r w:rsidRPr="00842920">
              <w:rPr>
                <w:rFonts w:asciiTheme="minorHAnsi" w:hAnsiTheme="minorHAnsi" w:cstheme="minorHAnsi"/>
                <w:sz w:val="24"/>
                <w:szCs w:val="24"/>
              </w:rPr>
              <w:t>Biehal</w:t>
            </w:r>
            <w:proofErr w:type="spellEnd"/>
            <w:r w:rsidR="00F84AAF">
              <w:rPr>
                <w:rFonts w:asciiTheme="minorHAnsi" w:hAnsiTheme="minorHAnsi" w:cstheme="minorHAnsi"/>
                <w:sz w:val="24"/>
                <w:szCs w:val="24"/>
              </w:rPr>
              <w:t>,</w:t>
            </w:r>
            <w:r w:rsidRPr="00842920">
              <w:rPr>
                <w:rFonts w:asciiTheme="minorHAnsi" w:hAnsiTheme="minorHAnsi" w:cstheme="minorHAnsi"/>
                <w:sz w:val="24"/>
                <w:szCs w:val="24"/>
              </w:rPr>
              <w:t xml:space="preserve"> et al (1993).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A questioning model within assessments sees the assessor as the expert in the scenario (Maclean, 2015). The problem with this model is that I, as the assessor, hold all power and the assessment could be said to be completed in line with my own agenda, which in this scenario is assessing risk </w:t>
            </w:r>
            <w:r w:rsidRPr="00842920">
              <w:rPr>
                <w:rFonts w:asciiTheme="minorHAnsi" w:hAnsiTheme="minorHAnsi" w:cstheme="minorHAnsi"/>
                <w:sz w:val="24"/>
                <w:szCs w:val="24"/>
              </w:rPr>
              <w:lastRenderedPageBreak/>
              <w:t>(Maclean, 2015); when thinking about risks within assessments often specific information is needed from specific answers (</w:t>
            </w:r>
            <w:proofErr w:type="spellStart"/>
            <w:r w:rsidRPr="00842920">
              <w:rPr>
                <w:rFonts w:asciiTheme="minorHAnsi" w:hAnsiTheme="minorHAnsi" w:cstheme="minorHAnsi"/>
                <w:sz w:val="24"/>
                <w:szCs w:val="24"/>
              </w:rPr>
              <w:t>Smale</w:t>
            </w:r>
            <w:proofErr w:type="spellEnd"/>
            <w:r w:rsidRPr="00842920">
              <w:rPr>
                <w:rFonts w:asciiTheme="minorHAnsi" w:hAnsiTheme="minorHAnsi" w:cstheme="minorHAnsi"/>
                <w:sz w:val="24"/>
                <w:szCs w:val="24"/>
              </w:rPr>
              <w:t xml:space="preserve">, </w:t>
            </w:r>
            <w:proofErr w:type="spellStart"/>
            <w:r w:rsidRPr="00842920">
              <w:rPr>
                <w:rFonts w:asciiTheme="minorHAnsi" w:hAnsiTheme="minorHAnsi" w:cstheme="minorHAnsi"/>
                <w:sz w:val="24"/>
                <w:szCs w:val="24"/>
              </w:rPr>
              <w:t>Tuson</w:t>
            </w:r>
            <w:proofErr w:type="spellEnd"/>
            <w:r w:rsidRPr="00842920">
              <w:rPr>
                <w:rFonts w:asciiTheme="minorHAnsi" w:hAnsiTheme="minorHAnsi" w:cstheme="minorHAnsi"/>
                <w:sz w:val="24"/>
                <w:szCs w:val="24"/>
              </w:rPr>
              <w:t xml:space="preserve">, </w:t>
            </w:r>
            <w:proofErr w:type="spellStart"/>
            <w:r w:rsidRPr="00842920">
              <w:rPr>
                <w:rFonts w:asciiTheme="minorHAnsi" w:hAnsiTheme="minorHAnsi" w:cstheme="minorHAnsi"/>
                <w:sz w:val="24"/>
                <w:szCs w:val="24"/>
              </w:rPr>
              <w:t>Biehal</w:t>
            </w:r>
            <w:proofErr w:type="spellEnd"/>
            <w:r w:rsidRPr="00842920">
              <w:rPr>
                <w:rFonts w:asciiTheme="minorHAnsi" w:hAnsiTheme="minorHAnsi" w:cstheme="minorHAnsi"/>
                <w:sz w:val="24"/>
                <w:szCs w:val="24"/>
              </w:rPr>
              <w:t>, et al, 1993). Often assessment deadlines are prescribed by Court and are often very tight. This means that when completing assessments, there is a focus on making sure that every section is completed and has an answer which could lead to areas which would benefit from being explored further having to be compromised. So where good practice could argue that the ‘exchange model’ (</w:t>
            </w:r>
            <w:proofErr w:type="spellStart"/>
            <w:r w:rsidRPr="00842920">
              <w:rPr>
                <w:rFonts w:asciiTheme="minorHAnsi" w:hAnsiTheme="minorHAnsi" w:cstheme="minorHAnsi"/>
                <w:sz w:val="24"/>
                <w:szCs w:val="24"/>
              </w:rPr>
              <w:t>Smale</w:t>
            </w:r>
            <w:proofErr w:type="spellEnd"/>
            <w:r w:rsidRPr="00842920">
              <w:rPr>
                <w:rFonts w:asciiTheme="minorHAnsi" w:hAnsiTheme="minorHAnsi" w:cstheme="minorHAnsi"/>
                <w:sz w:val="24"/>
                <w:szCs w:val="24"/>
              </w:rPr>
              <w:t xml:space="preserve">, </w:t>
            </w:r>
            <w:proofErr w:type="spellStart"/>
            <w:r w:rsidRPr="00842920">
              <w:rPr>
                <w:rFonts w:asciiTheme="minorHAnsi" w:hAnsiTheme="minorHAnsi" w:cstheme="minorHAnsi"/>
                <w:sz w:val="24"/>
                <w:szCs w:val="24"/>
              </w:rPr>
              <w:t>Tuson</w:t>
            </w:r>
            <w:proofErr w:type="spellEnd"/>
            <w:r w:rsidRPr="00842920">
              <w:rPr>
                <w:rFonts w:asciiTheme="minorHAnsi" w:hAnsiTheme="minorHAnsi" w:cstheme="minorHAnsi"/>
                <w:sz w:val="24"/>
                <w:szCs w:val="24"/>
              </w:rPr>
              <w:t xml:space="preserve">, </w:t>
            </w:r>
            <w:proofErr w:type="spellStart"/>
            <w:r w:rsidRPr="00842920">
              <w:rPr>
                <w:rFonts w:asciiTheme="minorHAnsi" w:hAnsiTheme="minorHAnsi" w:cstheme="minorHAnsi"/>
                <w:sz w:val="24"/>
                <w:szCs w:val="24"/>
              </w:rPr>
              <w:t>Biehal</w:t>
            </w:r>
            <w:proofErr w:type="spellEnd"/>
            <w:r w:rsidRPr="00842920">
              <w:rPr>
                <w:rFonts w:asciiTheme="minorHAnsi" w:hAnsiTheme="minorHAnsi" w:cstheme="minorHAnsi"/>
                <w:sz w:val="24"/>
                <w:szCs w:val="24"/>
              </w:rPr>
              <w:t xml:space="preserve"> et al, 1993) would provide a better experience and overall assessment as it views the interviewee as the expert in their own lives, it can lead to certain information not being gained which would have a significant impact on the assessments outcome. </w:t>
            </w:r>
          </w:p>
          <w:p w:rsidR="00F4578E" w:rsidRPr="00842920" w:rsidRDefault="00F4578E" w:rsidP="00F4578E">
            <w:pPr>
              <w:rPr>
                <w:rFonts w:asciiTheme="minorHAnsi" w:hAnsiTheme="minorHAnsi" w:cstheme="minorHAnsi"/>
                <w:sz w:val="24"/>
                <w:szCs w:val="24"/>
              </w:rPr>
            </w:pPr>
          </w:p>
          <w:p w:rsidR="00F4578E" w:rsidRPr="00842920"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Jane and I were able to go through the majority of the assessment, and we were able to explore what had happened in the last 4 years since her Connected Persons assessment concluded with a negative outcome. Jane showed some impressive insight into the challenges she had faced, including her alcohol misuse and tumultuous relationship with her teenage daughter. She had made significant changes and progress in both areas, finishing work with alcohol misuse services as well as working closely with the MST (Multi systemic therapy) team to strengthen the relationship with her daughter. Checks made prior to the visit with these agencies, confirmed Jane’s account. </w:t>
            </w: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Whilst the risk that was present during the previous set of proceedings in relation to Jane had dissipated, the home visit revealed two significant risks and concerns. The first being that child A and B were sharing a double bed in one room, whilst Jane and Jane’s teenage daughter were sharing a double bed in the second room alongside Child C’s crib. The second risk, was that Jane owns an XL Bully puppy.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Despite the CCSW having been involved with the case since before the children were informally placed into Jane’s care 6 months prior, no information was given during the verbal handover over written referral document outlining the family’s current unsuitable sleeping arrangements as well as the presence of a banned breed of dog. This was incredibly concerning given that XL Bully dogs, who make up a very minute percentage of all dog breeds were responsible for 44% of dog attacks and are considered over 270 more deadly than any other breed (Economist, 2024). When asked, Jane stated that if she had to pick between her grandchildren and her dog, she would prioritise the children.</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Initially, my first reaction was one of panic. This was the first time I had been aware of an assessment within my team including a banned breed of dog. My thoughts immediately went to the presence of risk to the children from the dog but also balancing this between Jane’s </w:t>
            </w:r>
            <w:proofErr w:type="gramStart"/>
            <w:r w:rsidRPr="00842920">
              <w:rPr>
                <w:rFonts w:asciiTheme="minorHAnsi" w:hAnsiTheme="minorHAnsi" w:cstheme="minorHAnsi"/>
                <w:sz w:val="24"/>
                <w:szCs w:val="24"/>
              </w:rPr>
              <w:t>commitment</w:t>
            </w:r>
            <w:proofErr w:type="gramEnd"/>
            <w:r w:rsidRPr="00842920">
              <w:rPr>
                <w:rFonts w:asciiTheme="minorHAnsi" w:hAnsiTheme="minorHAnsi" w:cstheme="minorHAnsi"/>
                <w:sz w:val="24"/>
                <w:szCs w:val="24"/>
              </w:rPr>
              <w:t xml:space="preserve"> to prioritise the children. Given that I am not a canine dog specialist, I requested that Jane not allow the dog and the children in the same room to lower the risks whilst I consulted management as to what this would mean for the assessment outcome and the children’s long term plan.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Immediately following the visit, a telephone call was made to my Assistant Team Manager (ATM) for advice and to share information in line with safeguarding policy. It became apparent that this was the first instance that anyone from Children’s Social Services were aware of the dog or the sleeping arrangements. Whilst the children were placed there under a family arrangement after the children </w:t>
            </w:r>
            <w:r w:rsidRPr="00842920">
              <w:rPr>
                <w:rFonts w:asciiTheme="minorHAnsi" w:hAnsiTheme="minorHAnsi" w:cstheme="minorHAnsi"/>
                <w:sz w:val="24"/>
                <w:szCs w:val="24"/>
              </w:rPr>
              <w:lastRenderedPageBreak/>
              <w:t>were placed there under a Police Protection Order (PPO), it was concerning that no CCSW had picked up on two very obvious risks.</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Whilst Jane informed me that the dog was registered, insured and waiting to be neutered as required by law, she explained that no CCSW had been out to see the dog and no risk assessment had been completed. In relation to the sleeping situation, Jane confirmed that her 2 grandchildren had shared a double bed as was herself and her teenage daughter for 6 months. </w:t>
            </w:r>
          </w:p>
          <w:p w:rsidR="00F4578E" w:rsidRPr="00842920" w:rsidRDefault="00F4578E" w:rsidP="00F4578E">
            <w:pPr>
              <w:rPr>
                <w:rFonts w:asciiTheme="minorHAnsi" w:hAnsiTheme="minorHAnsi" w:cstheme="minorHAnsi"/>
                <w:sz w:val="24"/>
                <w:szCs w:val="24"/>
              </w:rPr>
            </w:pPr>
          </w:p>
          <w:p w:rsidR="00F4578E" w:rsidRPr="00842920"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In terms of assessing risk, </w:t>
            </w:r>
            <w:proofErr w:type="spellStart"/>
            <w:r w:rsidRPr="00842920">
              <w:rPr>
                <w:rFonts w:asciiTheme="minorHAnsi" w:hAnsiTheme="minorHAnsi" w:cstheme="minorHAnsi"/>
                <w:sz w:val="24"/>
                <w:szCs w:val="24"/>
              </w:rPr>
              <w:t>Kemshall</w:t>
            </w:r>
            <w:proofErr w:type="spellEnd"/>
            <w:r w:rsidRPr="00842920">
              <w:rPr>
                <w:rFonts w:asciiTheme="minorHAnsi" w:hAnsiTheme="minorHAnsi" w:cstheme="minorHAnsi"/>
                <w:sz w:val="24"/>
                <w:szCs w:val="24"/>
              </w:rPr>
              <w:t xml:space="preserve"> (2010) states that how we respond to risk is often determined by the way in which we perceive risk from socially influenced occurrences. In this incidence, the socially influenced occurrences are the very regular and numerous sad reports of XL Bully dogs having mauled individuals to death. My initial reaction upon finding out Jane had this breed was one of instant dread and panic, thinking the likelihood of a similar attack from Jane’s dog to be very high. </w:t>
            </w:r>
          </w:p>
          <w:p w:rsidR="00F4578E" w:rsidRDefault="00F4578E" w:rsidP="00F4578E">
            <w:pPr>
              <w:rPr>
                <w:rFonts w:asciiTheme="minorHAnsi" w:hAnsiTheme="minorHAnsi" w:cstheme="minorHAnsi"/>
                <w:sz w:val="24"/>
                <w:szCs w:val="24"/>
              </w:rPr>
            </w:pPr>
          </w:p>
          <w:p w:rsidR="00F4578E" w:rsidRPr="00842920"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Fluke et al (2016) found that the more experienced a social worker practitioner was, the less risk-averse they were with the opposite being said for newer social workers. Given that I am in my fourth year of being a qualified social work practitioner, it supports my initial state of panic and acute awareness of risk. At the same time feeling this panic, was a sense of being unaware as how to respond – whether to carry the assessment on to finish, or automatically rule Jane out as an appropriate carer which would mean the instant removal of the children from the property. </w:t>
            </w:r>
          </w:p>
          <w:p w:rsidR="00F4578E" w:rsidRDefault="00F4578E" w:rsidP="00F4578E">
            <w:pPr>
              <w:rPr>
                <w:rFonts w:asciiTheme="minorHAnsi" w:hAnsiTheme="minorHAnsi" w:cstheme="minorHAnsi"/>
                <w:color w:val="383735"/>
                <w:sz w:val="24"/>
                <w:szCs w:val="24"/>
                <w:shd w:val="clear" w:color="auto" w:fill="FFFFFF"/>
              </w:rPr>
            </w:pPr>
            <w:r w:rsidRPr="00842920">
              <w:rPr>
                <w:rFonts w:asciiTheme="minorHAnsi" w:hAnsiTheme="minorHAnsi" w:cstheme="minorHAnsi"/>
                <w:color w:val="383735"/>
                <w:sz w:val="24"/>
                <w:szCs w:val="24"/>
                <w:shd w:val="clear" w:color="auto" w:fill="FFFFFF"/>
              </w:rPr>
              <w:t>S</w:t>
            </w:r>
            <w:r w:rsidRPr="00842920">
              <w:rPr>
                <w:rStyle w:val="Strong"/>
                <w:rFonts w:asciiTheme="minorHAnsi" w:hAnsiTheme="minorHAnsi" w:cstheme="minorHAnsi"/>
                <w:b w:val="0"/>
                <w:color w:val="383735"/>
                <w:sz w:val="24"/>
                <w:szCs w:val="24"/>
                <w:shd w:val="clear" w:color="auto" w:fill="FFFFFF"/>
              </w:rPr>
              <w:t>ection 81(6) of the Social Services and Well-being (Wales) Act 2014</w:t>
            </w:r>
            <w:r w:rsidRPr="00842920">
              <w:rPr>
                <w:rFonts w:asciiTheme="minorHAnsi" w:hAnsiTheme="minorHAnsi" w:cstheme="minorHAnsi"/>
                <w:b/>
                <w:color w:val="383735"/>
                <w:sz w:val="24"/>
                <w:szCs w:val="24"/>
                <w:shd w:val="clear" w:color="auto" w:fill="FFFFFF"/>
              </w:rPr>
              <w:t> </w:t>
            </w:r>
            <w:r w:rsidRPr="00842920">
              <w:rPr>
                <w:rFonts w:asciiTheme="minorHAnsi" w:hAnsiTheme="minorHAnsi" w:cstheme="minorHAnsi"/>
                <w:color w:val="383735"/>
                <w:sz w:val="24"/>
                <w:szCs w:val="24"/>
                <w:shd w:val="clear" w:color="auto" w:fill="FFFFFF"/>
              </w:rPr>
              <w:t xml:space="preserve">is clear that priority should be given for placements of children with a relative or an individual that is connected with the family. Keeping in mind this section of the SSWB Act (2014) and </w:t>
            </w:r>
            <w:r w:rsidRPr="00842920">
              <w:rPr>
                <w:rFonts w:asciiTheme="minorHAnsi" w:hAnsiTheme="minorHAnsi" w:cstheme="minorHAnsi"/>
                <w:sz w:val="24"/>
                <w:szCs w:val="24"/>
              </w:rPr>
              <w:t>the Human Rights Act 1998 Article 8</w:t>
            </w:r>
            <w:r w:rsidRPr="00842920">
              <w:rPr>
                <w:rFonts w:asciiTheme="minorHAnsi" w:hAnsiTheme="minorHAnsi" w:cstheme="minorHAnsi"/>
                <w:color w:val="383735"/>
                <w:sz w:val="24"/>
                <w:szCs w:val="24"/>
                <w:shd w:val="clear" w:color="auto" w:fill="FFFFFF"/>
              </w:rPr>
              <w:t xml:space="preserve"> consideration and balance needed to be given to this legislation before concluding the assessment. I was also aware that any final decision was not mine to make alone, and that in this instance support, guidance and instruction would be needed from the wider team including my own manager, the LA’s legal team and the CCSW team. </w:t>
            </w:r>
          </w:p>
          <w:p w:rsidR="00F4578E" w:rsidRPr="00842920" w:rsidRDefault="00F4578E" w:rsidP="00F4578E">
            <w:pPr>
              <w:rPr>
                <w:rFonts w:asciiTheme="minorHAnsi" w:hAnsiTheme="minorHAnsi" w:cstheme="minorHAnsi"/>
                <w:color w:val="383735"/>
                <w:sz w:val="24"/>
                <w:szCs w:val="24"/>
                <w:shd w:val="clear" w:color="auto" w:fill="FFFFFF"/>
              </w:rPr>
            </w:pPr>
          </w:p>
          <w:p w:rsidR="00F4578E" w:rsidRDefault="00F4578E" w:rsidP="00F4578E">
            <w:pPr>
              <w:rPr>
                <w:rFonts w:asciiTheme="minorHAnsi" w:hAnsiTheme="minorHAnsi" w:cstheme="minorHAnsi"/>
                <w:color w:val="383735"/>
                <w:sz w:val="24"/>
                <w:szCs w:val="24"/>
                <w:shd w:val="clear" w:color="auto" w:fill="FFFFFF"/>
              </w:rPr>
            </w:pPr>
            <w:r w:rsidRPr="00842920">
              <w:rPr>
                <w:rFonts w:asciiTheme="minorHAnsi" w:hAnsiTheme="minorHAnsi" w:cstheme="minorHAnsi"/>
                <w:color w:val="383735"/>
                <w:sz w:val="24"/>
                <w:szCs w:val="24"/>
                <w:shd w:val="clear" w:color="auto" w:fill="FFFFFF"/>
              </w:rPr>
              <w:t>The Local Authority I work for had no policy on dangerous pets and therefore there were no clear guidelines for how to respond to a banned breed of dog being in the property. So following the visit, there was no clear list of instructions needing to be followed. As an individual who thrives on having clear plans, instructions and guidelines I found this very frustrating and unfortunately, this meant a delay in being able to complete the assessment whilst advice was sought from the senior management team. We were however, able to address the issue of bed sharing with a plan to support the purchase of bunk beds and the intention of asking Jane to join the housing list for a bigger property if the Viability Assessment was successful and she advanced onto the full Connected Persons assessment.</w:t>
            </w:r>
          </w:p>
          <w:p w:rsidR="00F4578E" w:rsidRPr="00842920" w:rsidRDefault="00F4578E" w:rsidP="00F4578E">
            <w:pPr>
              <w:rPr>
                <w:rFonts w:asciiTheme="minorHAnsi" w:hAnsiTheme="minorHAnsi" w:cstheme="minorHAnsi"/>
                <w:color w:val="383735"/>
                <w:sz w:val="24"/>
                <w:szCs w:val="24"/>
                <w:shd w:val="clear" w:color="auto" w:fill="FFFFFF"/>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When completing Viability Assessments, it is rare that the child’s voice is incorporated at such an early stage of the Connected Persons Assessment process. Often, the timescales dictated by Court result in very little time to complete the assessment and relevant checks and reflecting honestly, there is often little time or emphasis put on getting the voice of the child when assessing a family member to see if they are a ‘viable’ option for a full assessment. When thinking practically about the Viability Assessment process, the assessment is a short piece of work that looks to explore whether </w:t>
            </w:r>
            <w:r w:rsidRPr="00842920">
              <w:rPr>
                <w:rFonts w:asciiTheme="minorHAnsi" w:hAnsiTheme="minorHAnsi" w:cstheme="minorHAnsi"/>
                <w:sz w:val="24"/>
                <w:szCs w:val="24"/>
              </w:rPr>
              <w:lastRenderedPageBreak/>
              <w:t xml:space="preserve">the applicants meet a threshold for a full assessment for suitability and approval. If applicants are assessed as being suitable, they undergo a further, more in depth, assessment which does encompass the child’s thoughts, feelings and views.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The lack of the child’s voice within Viability Assessments is something that goes against the grain of one of the core principles of the Social Services and Well-being Act 2014, ‘Voice and control’ whereby individuals have control and their views heard and acknowledged when it comes to making decisions about their care. When preparing for the assessments, generally information is shared between myself and the childcare social worker, whereby questions are asked as to the relationship between child and the applicant to ascertain the significance of the applicant to the child. And whilst this could be argued as an indirect way to attain the voice of the child, it is felt that this is not sufficient when thinking about the Code of Practice for Social work when thinking about ‘active participation’.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 xml:space="preserve">Roger Hart’s ‘Ladder of Children’s Participation’ was originally published by </w:t>
            </w:r>
            <w:proofErr w:type="spellStart"/>
            <w:r w:rsidRPr="00842920">
              <w:rPr>
                <w:rFonts w:asciiTheme="minorHAnsi" w:hAnsiTheme="minorHAnsi" w:cstheme="minorHAnsi"/>
                <w:sz w:val="24"/>
                <w:szCs w:val="24"/>
              </w:rPr>
              <w:t>Unicef</w:t>
            </w:r>
            <w:proofErr w:type="spellEnd"/>
            <w:r w:rsidRPr="00842920">
              <w:rPr>
                <w:rFonts w:asciiTheme="minorHAnsi" w:hAnsiTheme="minorHAnsi" w:cstheme="minorHAnsi"/>
                <w:sz w:val="24"/>
                <w:szCs w:val="24"/>
              </w:rPr>
              <w:t xml:space="preserve"> in 1992. Hart intended for the ‘Ladder of Participation’ to be used as a tool for reflection rather than as a means of actually assessing the co-working relationship between individuals and professionals. Ideally, when referring to decisions made about a child’s long term care plan, children would be within the top 4-8 rungs of the ladder, considered to be the ‘degrees of participation’, with most depending on age and understanding falling on or near ‘adult initiated shared decision with children’ (Organizing Engagement, </w:t>
            </w:r>
            <w:proofErr w:type="spellStart"/>
            <w:r w:rsidRPr="00842920">
              <w:rPr>
                <w:rFonts w:asciiTheme="minorHAnsi" w:hAnsiTheme="minorHAnsi" w:cstheme="minorHAnsi"/>
                <w:sz w:val="24"/>
                <w:szCs w:val="24"/>
              </w:rPr>
              <w:t>n.d.</w:t>
            </w:r>
            <w:proofErr w:type="spellEnd"/>
            <w:r w:rsidRPr="00842920">
              <w:rPr>
                <w:rFonts w:asciiTheme="minorHAnsi" w:hAnsiTheme="minorHAnsi" w:cstheme="minorHAnsi"/>
                <w:sz w:val="24"/>
                <w:szCs w:val="24"/>
              </w:rPr>
              <w:t xml:space="preserve">). </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Unfortunately, the Viability assessment process doesn’t easily allow for any sort of participation when making decisions about whether the applicant is suitable to move on to a full Connected Persons assessment, mainly due to the volume of work, risk assessment and analysis delicately balanced alongside tight Court filing dates. This is not saying it is impossible, but the pressure of court deadlines, a full caseload and often complex assessments whereby applicants have lots of risk factors needing to be explored in a short space of time, means that the child’s voice is pushed back at this initial stage. This is something I have been thinking about more and wherever possible, I’ve been trying to incorporate children’s views whether that’s through family support workers, however I’ve not always been successful as highlighted through this reflection. In the instance of this assessment, I was unable to collect the views of the children, however these would be gathered when the assessment progressed to the next stage.</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This assessment, although delayed, concluded with a positive outcome to progress to a full Connected Persons assessment. Senior management concluded that as the children were placed on a family arrangement and the mother was aware of the dog, at this stage before securing any Orders from the Court, they could remain in the property. Jane was advised by myself upon sharing the outcome of the assessment that she would need to keep the dog and the children separate at all times and that a specialist dog assessment would be completed and should the children be placed with her formally, there was a potential that the dog would need to be removed from the home. My assessment concluded with these recommendations, as well as the use of bunk beds and a move to a bigger property.</w:t>
            </w:r>
          </w:p>
          <w:p w:rsidR="00F4578E" w:rsidRPr="00842920" w:rsidRDefault="00F4578E" w:rsidP="00F4578E">
            <w:pPr>
              <w:rPr>
                <w:rFonts w:asciiTheme="minorHAnsi" w:hAnsiTheme="minorHAnsi" w:cstheme="minorHAnsi"/>
                <w:sz w:val="24"/>
                <w:szCs w:val="24"/>
              </w:rPr>
            </w:pPr>
          </w:p>
          <w:p w:rsidR="00F4578E" w:rsidRDefault="00F4578E" w:rsidP="00F4578E">
            <w:pPr>
              <w:rPr>
                <w:rFonts w:asciiTheme="minorHAnsi" w:hAnsiTheme="minorHAnsi" w:cstheme="minorHAnsi"/>
                <w:sz w:val="24"/>
                <w:szCs w:val="24"/>
              </w:rPr>
            </w:pPr>
            <w:r w:rsidRPr="00842920">
              <w:rPr>
                <w:rFonts w:asciiTheme="minorHAnsi" w:hAnsiTheme="minorHAnsi" w:cstheme="minorHAnsi"/>
                <w:sz w:val="24"/>
                <w:szCs w:val="24"/>
              </w:rPr>
              <w:lastRenderedPageBreak/>
              <w:t xml:space="preserve">The biggest reflection I took away from this case was my lack of confidence and panic at uncovering a significant risk within the household as a result of the XL Bully dog. My immediate thoughts went straight to the removal of the children to mitigate this risk without thinking about the protective factors of the children being placed with their maternal grandmother as well as the fact that these children had been living in that home for 6 months already. Whilst I did conclude the assessment with a positive recommendation, as further reflection allowed me to look at the strengths of Jane and Jane’s ability to meet her grandchildren’s needs, I consistently second guessed my conclusion and needed to rely on the reassurance from my supervisor on multiple occasions during supervision that I had made the right conclusion as my colleague faced multiple challenges with the assessments progression when completing the full Connected Persons Assessment on Jane. </w:t>
            </w:r>
          </w:p>
          <w:p w:rsidR="00F4578E" w:rsidRPr="00842920" w:rsidRDefault="00F4578E" w:rsidP="00F4578E">
            <w:pPr>
              <w:rPr>
                <w:rFonts w:asciiTheme="minorHAnsi" w:hAnsiTheme="minorHAnsi" w:cstheme="minorHAnsi"/>
                <w:sz w:val="24"/>
                <w:szCs w:val="24"/>
              </w:rPr>
            </w:pPr>
          </w:p>
          <w:p w:rsidR="00F4578E" w:rsidRPr="00842920" w:rsidRDefault="00F4578E" w:rsidP="00F4578E">
            <w:pPr>
              <w:rPr>
                <w:rFonts w:asciiTheme="minorHAnsi" w:hAnsiTheme="minorHAnsi" w:cstheme="minorHAnsi"/>
                <w:sz w:val="24"/>
                <w:szCs w:val="24"/>
              </w:rPr>
            </w:pPr>
            <w:r w:rsidRPr="00842920">
              <w:rPr>
                <w:rFonts w:asciiTheme="minorHAnsi" w:hAnsiTheme="minorHAnsi" w:cstheme="minorHAnsi"/>
                <w:sz w:val="24"/>
                <w:szCs w:val="24"/>
              </w:rPr>
              <w:t>In terms of moving forward and improving my practice, I will try to place more emphasis on strengths during visits and focus on not being too risk-averse without giving thorough consideration to weighing the strengths and protective factors against vulnerabilities. I will also continue to try and make time to get children’s views during this initial assessment as much as possible which will ultimately aid in evidencing strengths or vulnerabilities depending on their views of the applicants. I will also continue to try and make time to get children’s views during this initial assessment as much as possible which will ultimately aid in evidencing strengths or vulnerabilities depending on their views of the applicants. However, I anticipate this will always be a battle due to the barriers of co-production being tight filing dates for assessments from the Courts often hinder the ability to be able to co-produce assessments with children and the sheer volume of information needing to be included in the initial assessments, including background checks and family history.</w:t>
            </w:r>
          </w:p>
          <w:p w:rsidR="00D3203C" w:rsidRDefault="00D3203C" w:rsidP="00FF7EBB">
            <w:pPr>
              <w:jc w:val="both"/>
              <w:rPr>
                <w:i/>
                <w:sz w:val="24"/>
                <w:szCs w:val="24"/>
              </w:rPr>
            </w:pPr>
          </w:p>
          <w:p w:rsidR="00D3203C" w:rsidRPr="00F4578E" w:rsidRDefault="00F4578E" w:rsidP="00F4578E">
            <w:pPr>
              <w:jc w:val="right"/>
              <w:rPr>
                <w:b/>
                <w:sz w:val="24"/>
                <w:szCs w:val="24"/>
                <w:u w:val="single"/>
              </w:rPr>
            </w:pPr>
            <w:r>
              <w:rPr>
                <w:b/>
                <w:sz w:val="24"/>
                <w:szCs w:val="24"/>
                <w:u w:val="single"/>
              </w:rPr>
              <w:t>4085 words</w:t>
            </w:r>
          </w:p>
          <w:p w:rsidR="00D3203C" w:rsidRDefault="00D3203C" w:rsidP="00FF7EBB">
            <w:pPr>
              <w:jc w:val="both"/>
              <w:rPr>
                <w:i/>
                <w:sz w:val="24"/>
                <w:szCs w:val="24"/>
              </w:rPr>
            </w:pPr>
          </w:p>
          <w:p w:rsidR="00D3203C" w:rsidRDefault="00D3203C" w:rsidP="00FF7EBB">
            <w:pPr>
              <w:jc w:val="both"/>
              <w:rPr>
                <w:i/>
                <w:sz w:val="24"/>
                <w:szCs w:val="24"/>
              </w:rPr>
            </w:pPr>
          </w:p>
          <w:p w:rsidR="00D3203C" w:rsidRDefault="00D3203C" w:rsidP="00FF7EBB">
            <w:pPr>
              <w:jc w:val="both"/>
              <w:rPr>
                <w:i/>
                <w:sz w:val="24"/>
                <w:szCs w:val="24"/>
              </w:rPr>
            </w:pPr>
          </w:p>
          <w:p w:rsidR="00D3203C" w:rsidRDefault="00D3203C" w:rsidP="00FF7EBB">
            <w:pPr>
              <w:jc w:val="both"/>
              <w:rPr>
                <w:i/>
                <w:sz w:val="24"/>
                <w:szCs w:val="24"/>
              </w:rPr>
            </w:pPr>
          </w:p>
          <w:p w:rsidR="00D3203C" w:rsidRDefault="00D3203C" w:rsidP="00FF7EBB">
            <w:pPr>
              <w:jc w:val="both"/>
              <w:rPr>
                <w:i/>
                <w:sz w:val="24"/>
                <w:szCs w:val="24"/>
              </w:rPr>
            </w:pPr>
          </w:p>
          <w:p w:rsidR="007A628F" w:rsidRPr="008B28E7" w:rsidRDefault="007A628F" w:rsidP="00FF7EBB">
            <w:pPr>
              <w:jc w:val="both"/>
              <w:rPr>
                <w:sz w:val="24"/>
                <w:szCs w:val="24"/>
              </w:rPr>
            </w:pPr>
          </w:p>
        </w:tc>
      </w:tr>
    </w:tbl>
    <w:p w:rsidR="00D3442D" w:rsidRDefault="00D3442D" w:rsidP="00D3442D">
      <w:pPr>
        <w:jc w:val="both"/>
        <w:rPr>
          <w:sz w:val="24"/>
          <w:szCs w:val="24"/>
        </w:rPr>
      </w:pPr>
    </w:p>
    <w:p w:rsidR="00DD31C5" w:rsidRDefault="00DD31C5" w:rsidP="00064063">
      <w:pPr>
        <w:ind w:firstLine="720"/>
        <w:jc w:val="both"/>
        <w:rPr>
          <w:b/>
          <w:sz w:val="24"/>
          <w:szCs w:val="24"/>
        </w:rPr>
      </w:pPr>
    </w:p>
    <w:p w:rsidR="00DD31C5" w:rsidRPr="008B28E7" w:rsidRDefault="00DD31C5" w:rsidP="00064063">
      <w:pPr>
        <w:ind w:firstLine="720"/>
        <w:jc w:val="both"/>
        <w:rPr>
          <w:b/>
          <w:sz w:val="24"/>
          <w:szCs w:val="24"/>
        </w:rPr>
      </w:pPr>
    </w:p>
    <w:p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82" w:rsidRDefault="00926782">
      <w:r>
        <w:separator/>
      </w:r>
    </w:p>
  </w:endnote>
  <w:endnote w:type="continuationSeparator" w:id="0">
    <w:p w:rsidR="00926782" w:rsidRDefault="0092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DA2C7A">
      <w:rPr>
        <w:noProof/>
      </w:rPr>
      <w:t>10</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82" w:rsidRDefault="00926782">
      <w:r>
        <w:separator/>
      </w:r>
    </w:p>
  </w:footnote>
  <w:footnote w:type="continuationSeparator" w:id="0">
    <w:p w:rsidR="00926782" w:rsidRDefault="00926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03AD"/>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CEE"/>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782"/>
    <w:rsid w:val="00926C53"/>
    <w:rsid w:val="0093018C"/>
    <w:rsid w:val="0094495F"/>
    <w:rsid w:val="009544C0"/>
    <w:rsid w:val="00954FA4"/>
    <w:rsid w:val="00956AE9"/>
    <w:rsid w:val="00964CC6"/>
    <w:rsid w:val="00967BFA"/>
    <w:rsid w:val="00973DC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C7A"/>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578E"/>
    <w:rsid w:val="00F50847"/>
    <w:rsid w:val="00F53F27"/>
    <w:rsid w:val="00F546D1"/>
    <w:rsid w:val="00F60281"/>
    <w:rsid w:val="00F66272"/>
    <w:rsid w:val="00F709C0"/>
    <w:rsid w:val="00F81FEC"/>
    <w:rsid w:val="00F84AAF"/>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F457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osie.hughes@wrexham.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237489@student.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05175E-ACE7-4430-AF64-12617FD59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10</Pages>
  <Words>4293</Words>
  <Characters>22370</Characters>
  <Application>Microsoft Office Word</Application>
  <DocSecurity>0</DocSecurity>
  <Lines>186</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Rosie Hughes</cp:lastModifiedBy>
  <cp:revision>5</cp:revision>
  <cp:lastPrinted>2020-02-11T19:20:00Z</cp:lastPrinted>
  <dcterms:created xsi:type="dcterms:W3CDTF">2024-02-05T15:25:00Z</dcterms:created>
  <dcterms:modified xsi:type="dcterms:W3CDTF">2024-10-03T12:04:00Z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