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A77B3C2" w14:textId="77777777" w:rsidR="008530A6" w:rsidRDefault="008530A6">
      <w:pPr>
        <w:pStyle w:val="Title"/>
        <w:rPr>
          <w:sz w:val="28"/>
          <w:szCs w:val="28"/>
        </w:rPr>
      </w:pPr>
      <w:bookmarkStart w:id="0" w:name="_9unda9drswmp" w:colFirst="0" w:colLast="0"/>
      <w:bookmarkEnd w:id="0"/>
    </w:p>
    <w:p w14:paraId="3D380F1D" w14:textId="77777777" w:rsidR="008530A6" w:rsidRDefault="008530A6">
      <w:pPr>
        <w:pStyle w:val="Title"/>
        <w:rPr>
          <w:sz w:val="28"/>
          <w:szCs w:val="28"/>
        </w:rPr>
      </w:pPr>
      <w:bookmarkStart w:id="1" w:name="_sqbl1sdskc6w" w:colFirst="0" w:colLast="0"/>
      <w:bookmarkEnd w:id="1"/>
    </w:p>
    <w:p w14:paraId="2AA8AC1F" w14:textId="77777777" w:rsidR="008530A6" w:rsidRDefault="008530A6">
      <w:pPr>
        <w:pStyle w:val="Title"/>
        <w:rPr>
          <w:sz w:val="28"/>
          <w:szCs w:val="28"/>
        </w:rPr>
      </w:pPr>
      <w:bookmarkStart w:id="2" w:name="_i79twndty20y" w:colFirst="0" w:colLast="0"/>
      <w:bookmarkEnd w:id="2"/>
    </w:p>
    <w:p w14:paraId="23DFD9E9" w14:textId="77777777" w:rsidR="008530A6" w:rsidRDefault="008530A6">
      <w:pPr>
        <w:pStyle w:val="Title"/>
        <w:rPr>
          <w:sz w:val="28"/>
          <w:szCs w:val="28"/>
        </w:rPr>
      </w:pPr>
      <w:bookmarkStart w:id="3" w:name="_n7mujr645nt4" w:colFirst="0" w:colLast="0"/>
      <w:bookmarkEnd w:id="3"/>
    </w:p>
    <w:p w14:paraId="5DB77F68" w14:textId="77777777" w:rsidR="008530A6" w:rsidRDefault="008530A6">
      <w:pPr>
        <w:pStyle w:val="Title"/>
        <w:rPr>
          <w:sz w:val="28"/>
          <w:szCs w:val="28"/>
        </w:rPr>
      </w:pPr>
      <w:bookmarkStart w:id="4" w:name="_31znxuqs4ijp" w:colFirst="0" w:colLast="0"/>
      <w:bookmarkEnd w:id="4"/>
    </w:p>
    <w:p w14:paraId="639FA8B9" w14:textId="77777777" w:rsidR="008530A6" w:rsidRDefault="008530A6">
      <w:pPr>
        <w:pStyle w:val="Title"/>
        <w:rPr>
          <w:sz w:val="28"/>
          <w:szCs w:val="28"/>
        </w:rPr>
      </w:pPr>
      <w:bookmarkStart w:id="5" w:name="_8xwg9kf0ir2f" w:colFirst="0" w:colLast="0"/>
      <w:bookmarkEnd w:id="5"/>
    </w:p>
    <w:p w14:paraId="70231475" w14:textId="77777777" w:rsidR="008530A6" w:rsidRDefault="008530A6" w:rsidP="000650C2">
      <w:pPr>
        <w:pStyle w:val="Title"/>
        <w:jc w:val="both"/>
        <w:rPr>
          <w:sz w:val="28"/>
          <w:szCs w:val="28"/>
        </w:rPr>
      </w:pPr>
      <w:bookmarkStart w:id="6" w:name="_mdakctvt27hm" w:colFirst="0" w:colLast="0"/>
      <w:bookmarkStart w:id="7" w:name="_c14qnu63nd0y" w:colFirst="0" w:colLast="0"/>
      <w:bookmarkEnd w:id="6"/>
      <w:bookmarkEnd w:id="7"/>
    </w:p>
    <w:p w14:paraId="0CD4BC86" w14:textId="77777777" w:rsidR="008530A6" w:rsidRDefault="008530A6">
      <w:pPr>
        <w:pStyle w:val="Title"/>
        <w:rPr>
          <w:sz w:val="28"/>
          <w:szCs w:val="28"/>
        </w:rPr>
      </w:pPr>
      <w:bookmarkStart w:id="8" w:name="_ywz6qn5sls3k" w:colFirst="0" w:colLast="0"/>
      <w:bookmarkEnd w:id="8"/>
    </w:p>
    <w:p w14:paraId="5851296F" w14:textId="77777777" w:rsidR="008530A6" w:rsidRDefault="008530A6">
      <w:pPr>
        <w:pStyle w:val="Title"/>
        <w:rPr>
          <w:sz w:val="28"/>
          <w:szCs w:val="28"/>
        </w:rPr>
      </w:pPr>
      <w:bookmarkStart w:id="9" w:name="_5qguq3nrw6ka" w:colFirst="0" w:colLast="0"/>
      <w:bookmarkEnd w:id="9"/>
    </w:p>
    <w:p w14:paraId="3CAF6F7A" w14:textId="77777777" w:rsidR="008530A6" w:rsidRDefault="00000000" w:rsidP="000650C2">
      <w:pPr>
        <w:pStyle w:val="Title"/>
        <w:rPr>
          <w:sz w:val="28"/>
          <w:szCs w:val="28"/>
        </w:rPr>
      </w:pPr>
      <w:bookmarkStart w:id="10" w:name="_1eurd9k6se4b" w:colFirst="0" w:colLast="0"/>
      <w:bookmarkEnd w:id="10"/>
      <w:r>
        <w:rPr>
          <w:sz w:val="28"/>
          <w:szCs w:val="28"/>
        </w:rPr>
        <w:t>Global Business Management</w:t>
      </w:r>
    </w:p>
    <w:p w14:paraId="3154613B" w14:textId="2E05033D" w:rsidR="008530A6" w:rsidRDefault="00000000" w:rsidP="000650C2">
      <w:pPr>
        <w:pStyle w:val="Title"/>
        <w:rPr>
          <w:sz w:val="28"/>
          <w:szCs w:val="28"/>
        </w:rPr>
      </w:pPr>
      <w:bookmarkStart w:id="11" w:name="_afdvba4kv30w" w:colFirst="0" w:colLast="0"/>
      <w:bookmarkEnd w:id="11"/>
      <w:r>
        <w:rPr>
          <w:sz w:val="28"/>
          <w:szCs w:val="28"/>
        </w:rPr>
        <w:t>Individual Project Report</w:t>
      </w:r>
    </w:p>
    <w:p w14:paraId="115A0BDC" w14:textId="10F29767" w:rsidR="000650C2" w:rsidRPr="000650C2" w:rsidRDefault="000650C2" w:rsidP="000650C2">
      <w:pPr>
        <w:jc w:val="center"/>
      </w:pPr>
      <w:r>
        <w:t xml:space="preserve">Student Name: </w:t>
      </w:r>
      <w:r w:rsidRPr="000650C2">
        <w:t xml:space="preserve">Marius Nicolae </w:t>
      </w:r>
      <w:proofErr w:type="spellStart"/>
      <w:r w:rsidRPr="000650C2">
        <w:t>Mateescu</w:t>
      </w:r>
      <w:proofErr w:type="spellEnd"/>
    </w:p>
    <w:p w14:paraId="0D22D9F8" w14:textId="69BB96B7" w:rsidR="008530A6" w:rsidRDefault="00000000" w:rsidP="000650C2">
      <w:pPr>
        <w:jc w:val="center"/>
      </w:pPr>
      <w:r>
        <w:br w:type="page"/>
      </w:r>
    </w:p>
    <w:p w14:paraId="5C91DF4B" w14:textId="0EC1707C" w:rsidR="000650C2" w:rsidRDefault="000650C2">
      <w:pPr>
        <w:jc w:val="center"/>
        <w:rPr>
          <w:b/>
        </w:rPr>
      </w:pPr>
    </w:p>
    <w:p w14:paraId="0D10C827" w14:textId="77777777" w:rsidR="008530A6" w:rsidRDefault="00000000">
      <w:pPr>
        <w:jc w:val="center"/>
        <w:rPr>
          <w:b/>
          <w:sz w:val="28"/>
          <w:szCs w:val="28"/>
        </w:rPr>
      </w:pPr>
      <w:r>
        <w:rPr>
          <w:b/>
          <w:sz w:val="28"/>
          <w:szCs w:val="28"/>
        </w:rPr>
        <w:t>Table of Contents</w:t>
      </w:r>
    </w:p>
    <w:p w14:paraId="57DB3777" w14:textId="77777777" w:rsidR="008530A6" w:rsidRDefault="008530A6"/>
    <w:sdt>
      <w:sdtPr>
        <w:id w:val="216336702"/>
        <w:docPartObj>
          <w:docPartGallery w:val="Table of Contents"/>
          <w:docPartUnique/>
        </w:docPartObj>
      </w:sdtPr>
      <w:sdtContent>
        <w:p w14:paraId="0FEBAC05" w14:textId="77777777" w:rsidR="008530A6" w:rsidRDefault="00000000">
          <w:pPr>
            <w:tabs>
              <w:tab w:val="right" w:pos="9025"/>
            </w:tabs>
            <w:spacing w:before="80"/>
            <w:rPr>
              <w:b/>
              <w:color w:val="000000"/>
            </w:rPr>
          </w:pPr>
          <w:r>
            <w:fldChar w:fldCharType="begin"/>
          </w:r>
          <w:r>
            <w:instrText xml:space="preserve"> TOC \h \u \z </w:instrText>
          </w:r>
          <w:r>
            <w:fldChar w:fldCharType="separate"/>
          </w:r>
          <w:hyperlink w:anchor="_pasrp41xzaju">
            <w:r>
              <w:rPr>
                <w:b/>
                <w:color w:val="000000"/>
              </w:rPr>
              <w:t>Introduction</w:t>
            </w:r>
          </w:hyperlink>
          <w:r>
            <w:rPr>
              <w:b/>
              <w:color w:val="000000"/>
            </w:rPr>
            <w:tab/>
          </w:r>
          <w:r>
            <w:fldChar w:fldCharType="begin"/>
          </w:r>
          <w:r>
            <w:instrText xml:space="preserve"> PAGEREF _pasrp41xzaju \h </w:instrText>
          </w:r>
          <w:r>
            <w:fldChar w:fldCharType="separate"/>
          </w:r>
          <w:r>
            <w:rPr>
              <w:b/>
              <w:color w:val="000000"/>
            </w:rPr>
            <w:t>2</w:t>
          </w:r>
          <w:r>
            <w:fldChar w:fldCharType="end"/>
          </w:r>
        </w:p>
        <w:p w14:paraId="5F3302D9" w14:textId="77777777" w:rsidR="008530A6" w:rsidRDefault="00000000">
          <w:pPr>
            <w:tabs>
              <w:tab w:val="right" w:pos="9025"/>
            </w:tabs>
            <w:spacing w:before="200"/>
            <w:rPr>
              <w:b/>
              <w:color w:val="000000"/>
            </w:rPr>
          </w:pPr>
          <w:hyperlink w:anchor="_6zumfqhtno98">
            <w:r>
              <w:rPr>
                <w:b/>
                <w:color w:val="000000"/>
              </w:rPr>
              <w:t>Overview of HSBC Plc</w:t>
            </w:r>
          </w:hyperlink>
          <w:r>
            <w:rPr>
              <w:b/>
              <w:color w:val="000000"/>
            </w:rPr>
            <w:tab/>
          </w:r>
          <w:r>
            <w:fldChar w:fldCharType="begin"/>
          </w:r>
          <w:r>
            <w:instrText xml:space="preserve"> PAGEREF _6zumfqhtno98 \h </w:instrText>
          </w:r>
          <w:r>
            <w:fldChar w:fldCharType="separate"/>
          </w:r>
          <w:r>
            <w:rPr>
              <w:b/>
              <w:color w:val="000000"/>
            </w:rPr>
            <w:t>2</w:t>
          </w:r>
          <w:r>
            <w:fldChar w:fldCharType="end"/>
          </w:r>
        </w:p>
        <w:p w14:paraId="4301202A" w14:textId="77777777" w:rsidR="008530A6" w:rsidRDefault="00000000">
          <w:pPr>
            <w:tabs>
              <w:tab w:val="right" w:pos="9025"/>
            </w:tabs>
            <w:spacing w:before="200"/>
            <w:rPr>
              <w:b/>
              <w:color w:val="000000"/>
            </w:rPr>
          </w:pPr>
          <w:hyperlink w:anchor="_cerybboxa06a">
            <w:r>
              <w:rPr>
                <w:b/>
                <w:color w:val="000000"/>
              </w:rPr>
              <w:t>Main Discussions</w:t>
            </w:r>
          </w:hyperlink>
          <w:r>
            <w:rPr>
              <w:b/>
              <w:color w:val="000000"/>
            </w:rPr>
            <w:tab/>
          </w:r>
          <w:r>
            <w:fldChar w:fldCharType="begin"/>
          </w:r>
          <w:r>
            <w:instrText xml:space="preserve"> PAGEREF _cerybboxa06a \h </w:instrText>
          </w:r>
          <w:r>
            <w:fldChar w:fldCharType="separate"/>
          </w:r>
          <w:r>
            <w:rPr>
              <w:b/>
              <w:color w:val="000000"/>
            </w:rPr>
            <w:t>2</w:t>
          </w:r>
          <w:r>
            <w:fldChar w:fldCharType="end"/>
          </w:r>
        </w:p>
        <w:p w14:paraId="1D3BC33A" w14:textId="77777777" w:rsidR="008530A6" w:rsidRDefault="00000000">
          <w:pPr>
            <w:tabs>
              <w:tab w:val="right" w:pos="9025"/>
            </w:tabs>
            <w:spacing w:before="60"/>
            <w:ind w:left="360"/>
            <w:rPr>
              <w:color w:val="000000"/>
            </w:rPr>
          </w:pPr>
          <w:hyperlink w:anchor="_kyhkloauzkb8">
            <w:r>
              <w:rPr>
                <w:color w:val="000000"/>
              </w:rPr>
              <w:t>PESTEL Framework</w:t>
            </w:r>
          </w:hyperlink>
          <w:r>
            <w:rPr>
              <w:color w:val="000000"/>
            </w:rPr>
            <w:tab/>
          </w:r>
          <w:r>
            <w:fldChar w:fldCharType="begin"/>
          </w:r>
          <w:r>
            <w:instrText xml:space="preserve"> PAGEREF _kyhkloauzkb8 \h </w:instrText>
          </w:r>
          <w:r>
            <w:fldChar w:fldCharType="separate"/>
          </w:r>
          <w:r>
            <w:rPr>
              <w:color w:val="000000"/>
            </w:rPr>
            <w:t>2</w:t>
          </w:r>
          <w:r>
            <w:fldChar w:fldCharType="end"/>
          </w:r>
        </w:p>
        <w:p w14:paraId="18BD44FD" w14:textId="77777777" w:rsidR="008530A6" w:rsidRDefault="00000000">
          <w:pPr>
            <w:tabs>
              <w:tab w:val="right" w:pos="9025"/>
            </w:tabs>
            <w:spacing w:before="60"/>
            <w:ind w:left="360"/>
            <w:rPr>
              <w:color w:val="000000"/>
            </w:rPr>
          </w:pPr>
          <w:hyperlink w:anchor="_792qttsnqums">
            <w:r>
              <w:rPr>
                <w:color w:val="000000"/>
              </w:rPr>
              <w:t>Porter’s Five Forces</w:t>
            </w:r>
          </w:hyperlink>
          <w:r>
            <w:rPr>
              <w:color w:val="000000"/>
            </w:rPr>
            <w:tab/>
          </w:r>
          <w:r>
            <w:fldChar w:fldCharType="begin"/>
          </w:r>
          <w:r>
            <w:instrText xml:space="preserve"> PAGEREF _792qttsnqums \h </w:instrText>
          </w:r>
          <w:r>
            <w:fldChar w:fldCharType="separate"/>
          </w:r>
          <w:r>
            <w:rPr>
              <w:color w:val="000000"/>
            </w:rPr>
            <w:t>7</w:t>
          </w:r>
          <w:r>
            <w:fldChar w:fldCharType="end"/>
          </w:r>
        </w:p>
        <w:p w14:paraId="300C6B3D" w14:textId="77777777" w:rsidR="008530A6" w:rsidRDefault="00000000">
          <w:pPr>
            <w:tabs>
              <w:tab w:val="right" w:pos="9025"/>
            </w:tabs>
            <w:spacing w:before="200"/>
            <w:rPr>
              <w:b/>
              <w:color w:val="000000"/>
            </w:rPr>
          </w:pPr>
          <w:hyperlink w:anchor="_fhirx124srph">
            <w:r>
              <w:rPr>
                <w:b/>
                <w:color w:val="000000"/>
              </w:rPr>
              <w:t>Conclusion</w:t>
            </w:r>
          </w:hyperlink>
          <w:r>
            <w:rPr>
              <w:b/>
              <w:color w:val="000000"/>
            </w:rPr>
            <w:tab/>
          </w:r>
          <w:r>
            <w:fldChar w:fldCharType="begin"/>
          </w:r>
          <w:r>
            <w:instrText xml:space="preserve"> PAGEREF _fhirx124srph \h </w:instrText>
          </w:r>
          <w:r>
            <w:fldChar w:fldCharType="separate"/>
          </w:r>
          <w:r>
            <w:rPr>
              <w:b/>
              <w:color w:val="000000"/>
            </w:rPr>
            <w:t>9</w:t>
          </w:r>
          <w:r>
            <w:fldChar w:fldCharType="end"/>
          </w:r>
        </w:p>
        <w:p w14:paraId="677AC804" w14:textId="77777777" w:rsidR="008530A6" w:rsidRDefault="00000000">
          <w:pPr>
            <w:tabs>
              <w:tab w:val="right" w:pos="9025"/>
            </w:tabs>
            <w:spacing w:before="200" w:after="80"/>
          </w:pPr>
          <w:hyperlink w:anchor="_bd099llc2w3m">
            <w:r>
              <w:rPr>
                <w:b/>
              </w:rPr>
              <w:t>References</w:t>
            </w:r>
          </w:hyperlink>
          <w:r>
            <w:rPr>
              <w:b/>
            </w:rPr>
            <w:tab/>
          </w:r>
          <w:r>
            <w:fldChar w:fldCharType="begin"/>
          </w:r>
          <w:r>
            <w:instrText xml:space="preserve"> PAGEREF _bd099llc2w3m \h </w:instrText>
          </w:r>
          <w:r>
            <w:fldChar w:fldCharType="separate"/>
          </w:r>
          <w:r>
            <w:rPr>
              <w:b/>
            </w:rPr>
            <w:t>10</w:t>
          </w:r>
          <w:r>
            <w:fldChar w:fldCharType="end"/>
          </w:r>
          <w:r>
            <w:fldChar w:fldCharType="end"/>
          </w:r>
        </w:p>
      </w:sdtContent>
    </w:sdt>
    <w:p w14:paraId="6C583EE1" w14:textId="77777777" w:rsidR="008530A6" w:rsidRDefault="008530A6"/>
    <w:p w14:paraId="1071407E" w14:textId="77777777" w:rsidR="008530A6" w:rsidRDefault="008530A6"/>
    <w:p w14:paraId="63C3D3E6" w14:textId="77777777" w:rsidR="008530A6" w:rsidRDefault="00000000">
      <w:pPr>
        <w:pStyle w:val="Heading1"/>
      </w:pPr>
      <w:bookmarkStart w:id="12" w:name="_4p306f9d5tcq" w:colFirst="0" w:colLast="0"/>
      <w:bookmarkEnd w:id="12"/>
      <w:r>
        <w:br w:type="page"/>
      </w:r>
    </w:p>
    <w:p w14:paraId="6AA50C3F" w14:textId="77777777" w:rsidR="008530A6" w:rsidRDefault="00000000">
      <w:pPr>
        <w:pStyle w:val="Heading1"/>
      </w:pPr>
      <w:bookmarkStart w:id="13" w:name="_pasrp41xzaju" w:colFirst="0" w:colLast="0"/>
      <w:bookmarkEnd w:id="13"/>
      <w:r>
        <w:t>Introduction</w:t>
      </w:r>
    </w:p>
    <w:p w14:paraId="58D3CA17" w14:textId="77777777" w:rsidR="008530A6" w:rsidRDefault="00000000">
      <w:r>
        <w:t>One of today's banking industry's most prominent companies is HSBC Holdings, Inc. The HSBC skyscraper in Canary Wharf, London, is home to HSBC's headquarters. One of the first banking institutions in Hong Kong and Shanghai was founded in 1865 by Scotsman Thomas Sutherland. The report contains extensive information on the company's activities, finances, and external environment. For investors, narrowing their emphasis to a few key sectors is the most efficient method to acquire a broad feel of the market. First, the macro-environment and micro-environment will be evaluated; then the company's essential abilities are audited; then we will make recommendations and come to a decision.</w:t>
      </w:r>
    </w:p>
    <w:p w14:paraId="4FFCC233" w14:textId="77777777" w:rsidR="008530A6" w:rsidRDefault="00000000">
      <w:pPr>
        <w:pStyle w:val="Heading1"/>
      </w:pPr>
      <w:bookmarkStart w:id="14" w:name="_6zumfqhtno98" w:colFirst="0" w:colLast="0"/>
      <w:bookmarkEnd w:id="14"/>
      <w:r>
        <w:t>Overview of HSBC Plc</w:t>
      </w:r>
    </w:p>
    <w:p w14:paraId="2EB3034F" w14:textId="77777777" w:rsidR="008530A6" w:rsidRDefault="00000000">
      <w:r>
        <w:t xml:space="preserve">Over 7,500 HSBC branches are located throughout the world in 87 countries. Nearly 220,000 people in 124 nations and territories have a stake in the company. In addition to Corporate Investment Banking and Markets Private Banking, HSBC offers a broad variety of other services to its customers across the world. The main markets of Hong Kong-based HSBC include those in </w:t>
      </w:r>
      <w:proofErr w:type="spellStart"/>
      <w:r>
        <w:t>Aisa</w:t>
      </w:r>
      <w:proofErr w:type="spellEnd"/>
      <w:r>
        <w:t xml:space="preserve">, Australia, and the United Kingdom. To stay on top of the rapidly developing markets in this area HSBC often makes large bets. Barclays and RBS are two of HSBC's most severe competitors in the United Kingdom, where they operate. </w:t>
      </w:r>
      <w:proofErr w:type="gramStart"/>
      <w:r>
        <w:t>In order to</w:t>
      </w:r>
      <w:proofErr w:type="gramEnd"/>
      <w:r>
        <w:t xml:space="preserve"> monitor the activities of these firms, HSBC has an extensive network. It keeps a close eye on them and </w:t>
      </w:r>
      <w:proofErr w:type="gramStart"/>
      <w:r>
        <w:t>analyses them at all times</w:t>
      </w:r>
      <w:proofErr w:type="gramEnd"/>
      <w:r>
        <w:t xml:space="preserve"> (HSBC. 2022). HSBC does not just copy the business practices of its competitors, as some of its competitors do.</w:t>
      </w:r>
    </w:p>
    <w:p w14:paraId="2492ACF1" w14:textId="77777777" w:rsidR="008530A6" w:rsidRDefault="00000000">
      <w:pPr>
        <w:pStyle w:val="Heading1"/>
      </w:pPr>
      <w:bookmarkStart w:id="15" w:name="_cerybboxa06a" w:colFirst="0" w:colLast="0"/>
      <w:bookmarkEnd w:id="15"/>
      <w:r>
        <w:t>Main Discussions</w:t>
      </w:r>
    </w:p>
    <w:p w14:paraId="2A0158B8" w14:textId="77777777" w:rsidR="008530A6" w:rsidRDefault="00000000">
      <w:pPr>
        <w:pStyle w:val="Heading2"/>
      </w:pPr>
      <w:bookmarkStart w:id="16" w:name="_kyhkloauzkb8" w:colFirst="0" w:colLast="0"/>
      <w:bookmarkEnd w:id="16"/>
      <w:r>
        <w:t>PESTEL Framework</w:t>
      </w:r>
    </w:p>
    <w:p w14:paraId="10B5430B" w14:textId="77777777" w:rsidR="008530A6" w:rsidRDefault="00000000">
      <w:r>
        <w:t>An industry, sector, business, and its product/service offers may be analysed using this tool. A corporation has no control over these outside factors. HSBC Holdings plc might benefit from a comprehensive PESTEL analysis to address external environmental disturbances.</w:t>
      </w:r>
    </w:p>
    <w:p w14:paraId="14D9B951" w14:textId="77777777" w:rsidR="008530A6" w:rsidRDefault="00000000">
      <w:pPr>
        <w:rPr>
          <w:b/>
        </w:rPr>
      </w:pPr>
      <w:r>
        <w:rPr>
          <w:b/>
        </w:rPr>
        <w:t>Political Factors</w:t>
      </w:r>
    </w:p>
    <w:p w14:paraId="7FA7145D" w14:textId="77777777" w:rsidR="008530A6" w:rsidRDefault="00000000">
      <w:pPr>
        <w:rPr>
          <w:b/>
        </w:rPr>
      </w:pPr>
      <w:r>
        <w:rPr>
          <w:b/>
        </w:rPr>
        <w:t>Stability</w:t>
      </w:r>
    </w:p>
    <w:p w14:paraId="47C53FFA" w14:textId="77777777" w:rsidR="008530A6" w:rsidRDefault="00000000">
      <w:r>
        <w:t>HSBC Holdings plc operates in an internally and internationally tense area. If the present political unrest cannot be controlled, the company's development plans may be hampered by a lack of knowledge and management's unwillingness to invest in new cash (Eisenberg, 2019).</w:t>
      </w:r>
    </w:p>
    <w:p w14:paraId="75342DF6" w14:textId="77777777" w:rsidR="008530A6" w:rsidRDefault="00000000">
      <w:pPr>
        <w:rPr>
          <w:b/>
        </w:rPr>
      </w:pPr>
      <w:r>
        <w:rPr>
          <w:b/>
        </w:rPr>
        <w:t>Uncertainty</w:t>
      </w:r>
    </w:p>
    <w:p w14:paraId="6DD435E5" w14:textId="77777777" w:rsidR="008530A6" w:rsidRDefault="00000000">
      <w:r>
        <w:t xml:space="preserve">HSBC Holdings plc keeps an eye on the political climate </w:t>
      </w:r>
      <w:proofErr w:type="gramStart"/>
      <w:r>
        <w:t>in order to</w:t>
      </w:r>
      <w:proofErr w:type="gramEnd"/>
      <w:r>
        <w:t xml:space="preserve"> adjust to newly implemented regulations and reorder the priorities of its strategic goals.</w:t>
      </w:r>
    </w:p>
    <w:p w14:paraId="01247207" w14:textId="77777777" w:rsidR="008530A6" w:rsidRDefault="00000000">
      <w:pPr>
        <w:rPr>
          <w:b/>
        </w:rPr>
      </w:pPr>
      <w:r>
        <w:rPr>
          <w:b/>
        </w:rPr>
        <w:t>Law-based system</w:t>
      </w:r>
    </w:p>
    <w:p w14:paraId="6E37364E" w14:textId="77777777" w:rsidR="008530A6" w:rsidRDefault="00000000">
      <w:r>
        <w:t>HSBC Holdings plc benefits from the democratic system of governance. HSBC Holdings plc benefits from democracy's promotion of innovation and free trade.</w:t>
      </w:r>
    </w:p>
    <w:p w14:paraId="572B3E47" w14:textId="77777777" w:rsidR="008530A6" w:rsidRDefault="00000000">
      <w:pPr>
        <w:rPr>
          <w:b/>
        </w:rPr>
      </w:pPr>
      <w:r>
        <w:rPr>
          <w:b/>
        </w:rPr>
        <w:t>Pressure groups influence the government.</w:t>
      </w:r>
    </w:p>
    <w:p w14:paraId="31011D69" w14:textId="77777777" w:rsidR="008530A6" w:rsidRDefault="00000000">
      <w:r>
        <w:t xml:space="preserve">These pressure groups may affect government policy, which may harm the business environment. HSBC Holdings plc </w:t>
      </w:r>
      <w:proofErr w:type="gramStart"/>
      <w:r>
        <w:t>has to</w:t>
      </w:r>
      <w:proofErr w:type="gramEnd"/>
      <w:r>
        <w:t xml:space="preserve"> win the confidence of these organisations and engage in projects that address ethical and social issues.</w:t>
      </w:r>
    </w:p>
    <w:p w14:paraId="12D2030A" w14:textId="77777777" w:rsidR="008530A6" w:rsidRDefault="00000000">
      <w:pPr>
        <w:rPr>
          <w:b/>
        </w:rPr>
      </w:pPr>
      <w:r>
        <w:rPr>
          <w:b/>
        </w:rPr>
        <w:t>Transparency</w:t>
      </w:r>
    </w:p>
    <w:p w14:paraId="1DCB4B76" w14:textId="77777777" w:rsidR="008530A6" w:rsidRDefault="00000000">
      <w:r>
        <w:t xml:space="preserve">HSBC Holdings plc is in difficulty due to a lack of transparency and corruption. Lack of transparency is primarily due to political upheaval and unpredictability. Corruption has boosted fraudulent activities, made corporate processes like </w:t>
      </w:r>
      <w:proofErr w:type="gramStart"/>
      <w:r>
        <w:t>licencing</w:t>
      </w:r>
      <w:proofErr w:type="gramEnd"/>
      <w:r>
        <w:t xml:space="preserve"> and contracting more onerous, and hindered law enforcement, harming stakeholders' faith in business and government institutions. Bureaucratic corruption has reduced HSBC Holdings plc's development potential (Grantham, 2022).</w:t>
      </w:r>
    </w:p>
    <w:p w14:paraId="1B1AA385" w14:textId="77777777" w:rsidR="008530A6" w:rsidRDefault="00000000">
      <w:pPr>
        <w:rPr>
          <w:b/>
        </w:rPr>
      </w:pPr>
      <w:r>
        <w:rPr>
          <w:b/>
        </w:rPr>
        <w:t>Fiscal policy is (taxation)</w:t>
      </w:r>
    </w:p>
    <w:p w14:paraId="67FFDAE3" w14:textId="77777777" w:rsidR="008530A6" w:rsidRDefault="00000000">
      <w:r>
        <w:t>Many emerging countries are reducing business taxes to attract FDI. HSBC Holdings plc could consider these low-tax nations for innovation, new product development, and R&amp;D.</w:t>
      </w:r>
    </w:p>
    <w:p w14:paraId="5D7D31CC" w14:textId="77777777" w:rsidR="008530A6" w:rsidRDefault="00000000">
      <w:pPr>
        <w:rPr>
          <w:b/>
        </w:rPr>
      </w:pPr>
      <w:r>
        <w:rPr>
          <w:b/>
        </w:rPr>
        <w:t>Trade policies</w:t>
      </w:r>
    </w:p>
    <w:p w14:paraId="26EC3833" w14:textId="77777777" w:rsidR="008530A6" w:rsidRDefault="00000000">
      <w:r>
        <w:t>HSBC Holdings plc should consider trade constraints when deciding where to grow. HSBC Holdings plc is drawn to the region because it is reducing trade obstacles to encourage foreign enterprise.</w:t>
      </w:r>
    </w:p>
    <w:p w14:paraId="4F34D53E" w14:textId="77777777" w:rsidR="008530A6" w:rsidRDefault="00000000">
      <w:r>
        <w:rPr>
          <w:b/>
        </w:rPr>
        <w:t xml:space="preserve">Economic factors </w:t>
      </w:r>
    </w:p>
    <w:p w14:paraId="38E587C3" w14:textId="77777777" w:rsidR="008530A6" w:rsidRDefault="00000000">
      <w:pPr>
        <w:rPr>
          <w:b/>
        </w:rPr>
      </w:pPr>
      <w:r>
        <w:rPr>
          <w:b/>
        </w:rPr>
        <w:t>Effective finance</w:t>
      </w:r>
    </w:p>
    <w:p w14:paraId="58960E51" w14:textId="77777777" w:rsidR="008530A6" w:rsidRDefault="00000000">
      <w:proofErr w:type="gramStart"/>
      <w:r>
        <w:t>In order to</w:t>
      </w:r>
      <w:proofErr w:type="gramEnd"/>
      <w:r>
        <w:t xml:space="preserve"> amass both financial and people resources, HSBC Holdings plc has to choose nations that have robust financial markets. Monitoring the efficacy of the market is one way for HSBC Holdings plc to maintain its competitive edge.</w:t>
      </w:r>
    </w:p>
    <w:p w14:paraId="0FB02866" w14:textId="77777777" w:rsidR="008530A6" w:rsidRDefault="00000000">
      <w:pPr>
        <w:rPr>
          <w:b/>
        </w:rPr>
      </w:pPr>
      <w:r>
        <w:rPr>
          <w:b/>
        </w:rPr>
        <w:t>Economic growth</w:t>
      </w:r>
    </w:p>
    <w:p w14:paraId="740A84E7" w14:textId="77777777" w:rsidR="008530A6" w:rsidRDefault="00000000">
      <w:r>
        <w:t>Before expanding overseas, consider the country's economic development. Weak economic development may reduce HSBC Holdings plc's sales growth due to clients' caution. HSBC made $14.7 billion in 2021, up from $6.1 billion in 2020. The operating income of the bank grew from $900 million to $63.9 billion (Statista. 2022).</w:t>
      </w:r>
    </w:p>
    <w:p w14:paraId="5299866E" w14:textId="77777777" w:rsidR="008530A6" w:rsidRDefault="00000000">
      <w:pPr>
        <w:rPr>
          <w:b/>
        </w:rPr>
      </w:pPr>
      <w:r>
        <w:rPr>
          <w:b/>
        </w:rPr>
        <w:t>Inflation</w:t>
      </w:r>
    </w:p>
    <w:p w14:paraId="66C7152E" w14:textId="77777777" w:rsidR="008530A6" w:rsidRDefault="00000000">
      <w:r>
        <w:t>Inflation may discourage consumer spending, hurting HSBC Holdings plc's revenue growth.</w:t>
      </w:r>
    </w:p>
    <w:p w14:paraId="7E848323" w14:textId="77777777" w:rsidR="008530A6" w:rsidRDefault="00000000">
      <w:pPr>
        <w:rPr>
          <w:b/>
        </w:rPr>
      </w:pPr>
      <w:r>
        <w:rPr>
          <w:b/>
        </w:rPr>
        <w:t>Rates and exchange</w:t>
      </w:r>
    </w:p>
    <w:p w14:paraId="3CA7D877" w14:textId="77777777" w:rsidR="008530A6" w:rsidRDefault="00000000">
      <w:r>
        <w:t>HSBC Holdings plc should study exchange rate swings to prevent damaging trade and corporate performance. HSBC Holdings plc will pay back loans with more interest due to the high rate.</w:t>
      </w:r>
    </w:p>
    <w:p w14:paraId="0E2825B9" w14:textId="77777777" w:rsidR="008530A6" w:rsidRDefault="00000000">
      <w:pPr>
        <w:rPr>
          <w:b/>
        </w:rPr>
      </w:pPr>
      <w:r>
        <w:rPr>
          <w:b/>
        </w:rPr>
        <w:t>Industry stage</w:t>
      </w:r>
    </w:p>
    <w:p w14:paraId="353BF18A" w14:textId="77777777" w:rsidR="008530A6" w:rsidRDefault="00000000">
      <w:r>
        <w:t>HSBC Holdings plc's growth goals may be harder to achieve if it joins saturated markets. When choosing countries for international expansion, the industry lifecycle must be considered (</w:t>
      </w:r>
      <w:proofErr w:type="spellStart"/>
      <w:r>
        <w:t>Naheem</w:t>
      </w:r>
      <w:proofErr w:type="spellEnd"/>
      <w:r>
        <w:t>, 2018).</w:t>
      </w:r>
    </w:p>
    <w:p w14:paraId="57AE11F9" w14:textId="77777777" w:rsidR="008530A6" w:rsidRDefault="00000000">
      <w:pPr>
        <w:rPr>
          <w:b/>
        </w:rPr>
      </w:pPr>
      <w:r>
        <w:rPr>
          <w:b/>
        </w:rPr>
        <w:t xml:space="preserve">The labour </w:t>
      </w:r>
      <w:proofErr w:type="gramStart"/>
      <w:r>
        <w:rPr>
          <w:b/>
        </w:rPr>
        <w:t>market</w:t>
      </w:r>
      <w:proofErr w:type="gramEnd"/>
    </w:p>
    <w:p w14:paraId="4BF46B4D" w14:textId="77777777" w:rsidR="008530A6" w:rsidRDefault="00000000">
      <w:r>
        <w:t>HSBC Holdings plc's employees are crucial to its success. HSBC Holdings plc depends on skilled workers to be competitive. HSBC Holdings plc should examine demand and supply trends to discover skilled workers. If the labour market is rigid and unionised, HSBC Holdings plc may suffer problems. It may urge HSBC Holdings plc for an unreasonable wage rise or call for a strike. It's important to evaluate labour market developments and build talent management approaches that reflect them.</w:t>
      </w:r>
    </w:p>
    <w:p w14:paraId="7AC54DBF" w14:textId="77777777" w:rsidR="008530A6" w:rsidRDefault="00000000">
      <w:pPr>
        <w:jc w:val="center"/>
        <w:rPr>
          <w:b/>
        </w:rPr>
      </w:pPr>
      <w:r>
        <w:rPr>
          <w:b/>
          <w:noProof/>
        </w:rPr>
        <w:drawing>
          <wp:inline distT="114300" distB="114300" distL="114300" distR="114300" wp14:anchorId="40342FC4" wp14:editId="2D194C45">
            <wp:extent cx="5731200" cy="37973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5731200" cy="3797300"/>
                    </a:xfrm>
                    <a:prstGeom prst="rect">
                      <a:avLst/>
                    </a:prstGeom>
                    <a:ln/>
                  </pic:spPr>
                </pic:pic>
              </a:graphicData>
            </a:graphic>
          </wp:inline>
        </w:drawing>
      </w:r>
    </w:p>
    <w:p w14:paraId="7E44A459" w14:textId="77777777" w:rsidR="008530A6" w:rsidRDefault="00000000">
      <w:pPr>
        <w:jc w:val="center"/>
        <w:rPr>
          <w:b/>
        </w:rPr>
      </w:pPr>
      <w:r>
        <w:rPr>
          <w:b/>
        </w:rPr>
        <w:t>Figure: Profits of HSBC from 2007 to 2021</w:t>
      </w:r>
    </w:p>
    <w:p w14:paraId="2A61F63A" w14:textId="77777777" w:rsidR="008530A6" w:rsidRDefault="00000000">
      <w:pPr>
        <w:jc w:val="center"/>
        <w:rPr>
          <w:b/>
        </w:rPr>
      </w:pPr>
      <w:r>
        <w:rPr>
          <w:b/>
        </w:rPr>
        <w:t>(Source: Statista. 2022)</w:t>
      </w:r>
    </w:p>
    <w:p w14:paraId="0B2FC758" w14:textId="77777777" w:rsidR="008530A6" w:rsidRDefault="00000000">
      <w:pPr>
        <w:rPr>
          <w:b/>
        </w:rPr>
      </w:pPr>
      <w:r>
        <w:rPr>
          <w:b/>
        </w:rPr>
        <w:t xml:space="preserve">Social factors </w:t>
      </w:r>
    </w:p>
    <w:p w14:paraId="42FF3E41" w14:textId="77777777" w:rsidR="008530A6" w:rsidRDefault="00000000">
      <w:pPr>
        <w:rPr>
          <w:b/>
        </w:rPr>
      </w:pPr>
      <w:r>
        <w:rPr>
          <w:b/>
        </w:rPr>
        <w:t>Spending</w:t>
      </w:r>
    </w:p>
    <w:p w14:paraId="550421CC" w14:textId="77777777" w:rsidR="008530A6" w:rsidRDefault="00000000">
      <w:r>
        <w:t xml:space="preserve">HSBC Holdings plc's development prospects are exciting, and its potential for revenue growth is high because consumers have more money to spend on products that enhance the quality of their lives. </w:t>
      </w:r>
      <w:proofErr w:type="gramStart"/>
      <w:r>
        <w:t>In order to</w:t>
      </w:r>
      <w:proofErr w:type="gramEnd"/>
      <w:r>
        <w:t xml:space="preserve"> fine-tune its marketing mix, HSBC Holdings plc has to do research on the consumption and spending patterns of its customers. HSBC Holdings plc wants to figure out if the purchases of their customers are made for hedonic or practical reasons. Customers' ethnocentrism may harm HSBC's business. If HSBC Holdings plc is ethnocentric, its overseas businesses may suffer.</w:t>
      </w:r>
    </w:p>
    <w:p w14:paraId="1A917550" w14:textId="77777777" w:rsidR="008530A6" w:rsidRDefault="00000000">
      <w:pPr>
        <w:rPr>
          <w:b/>
        </w:rPr>
      </w:pPr>
      <w:r>
        <w:rPr>
          <w:b/>
        </w:rPr>
        <w:t>Demographics</w:t>
      </w:r>
    </w:p>
    <w:p w14:paraId="594E4E9C" w14:textId="77777777" w:rsidR="008530A6" w:rsidRDefault="00000000">
      <w:r>
        <w:t xml:space="preserve">One of HSBC Holdings plc's most important demographic indicators is the emergence of young people. It is important for HSBC Holdings plc to consider the host country's stance toward immigration. Diversity management is made </w:t>
      </w:r>
      <w:proofErr w:type="gramStart"/>
      <w:r>
        <w:t>all the more</w:t>
      </w:r>
      <w:proofErr w:type="gramEnd"/>
      <w:r>
        <w:t xml:space="preserve"> important when people's attitudes toward newcomers from various cultural backgrounds are good. According to executives of major corporations, HSBC had the most market share in the UK in 2021. HSBC held 75% of the UK corporate banking market then. HSBC was one of Europe's top five banks for corporate market share (Statista. 2022).</w:t>
      </w:r>
    </w:p>
    <w:p w14:paraId="2C2A9AA1" w14:textId="77777777" w:rsidR="008530A6" w:rsidRDefault="00000000">
      <w:pPr>
        <w:rPr>
          <w:b/>
        </w:rPr>
      </w:pPr>
      <w:r>
        <w:rPr>
          <w:b/>
        </w:rPr>
        <w:t>Social equality</w:t>
      </w:r>
    </w:p>
    <w:p w14:paraId="797AD1CD" w14:textId="77777777" w:rsidR="008530A6" w:rsidRDefault="00000000">
      <w:r>
        <w:t>HSBC Holdings plc must employ market segmentation to target many socioeconomic categories with the same marketing mix.</w:t>
      </w:r>
    </w:p>
    <w:p w14:paraId="77CF91F7" w14:textId="77777777" w:rsidR="008530A6" w:rsidRDefault="00000000">
      <w:pPr>
        <w:rPr>
          <w:b/>
        </w:rPr>
      </w:pPr>
      <w:r>
        <w:rPr>
          <w:b/>
        </w:rPr>
        <w:t>Social customs</w:t>
      </w:r>
    </w:p>
    <w:p w14:paraId="711FB188" w14:textId="77777777" w:rsidR="008530A6" w:rsidRDefault="00000000">
      <w:r>
        <w:t>The bank must dig to learn about local consumers. HSBC Holdings plc, a multinational with a diversified home market, may struggle to appreciate cultural nuances. A commercial relationship with local market actors may assist HSBC Holdings plc learn about how consumers see and engage with the brand.</w:t>
      </w:r>
    </w:p>
    <w:p w14:paraId="67EA9189" w14:textId="77777777" w:rsidR="008530A6" w:rsidRDefault="00000000">
      <w:pPr>
        <w:rPr>
          <w:b/>
        </w:rPr>
      </w:pPr>
      <w:r>
        <w:rPr>
          <w:b/>
        </w:rPr>
        <w:t>Gender</w:t>
      </w:r>
    </w:p>
    <w:p w14:paraId="2CDE1A99" w14:textId="77777777" w:rsidR="008530A6" w:rsidRDefault="00000000">
      <w:r>
        <w:t>The gender roles in that society affect HSBC Holdings plc's human resource management practices, as establishing gender diversity across all management levels is difficult when women are responsible for domestic responsibilities (IW. 2022.</w:t>
      </w:r>
    </w:p>
    <w:p w14:paraId="5FAF33A6" w14:textId="77777777" w:rsidR="008530A6" w:rsidRDefault="00000000">
      <w:pPr>
        <w:rPr>
          <w:b/>
        </w:rPr>
      </w:pPr>
      <w:r>
        <w:rPr>
          <w:b/>
        </w:rPr>
        <w:t>Technological factors</w:t>
      </w:r>
    </w:p>
    <w:p w14:paraId="5F5D5FDD" w14:textId="77777777" w:rsidR="008530A6" w:rsidRDefault="00000000">
      <w:pPr>
        <w:rPr>
          <w:b/>
        </w:rPr>
      </w:pPr>
      <w:r>
        <w:rPr>
          <w:b/>
        </w:rPr>
        <w:t>Technological infrastructure</w:t>
      </w:r>
    </w:p>
    <w:p w14:paraId="1C338518" w14:textId="77777777" w:rsidR="008530A6" w:rsidRDefault="00000000">
      <w:r>
        <w:t>HSBC Holdings plc's cost-cutting, innovation, and value creation goals may be met by looking for nations with strong technology infrastructure. Because of its superior technical infrastructure, HSBC Holdings plc will struggle to gain a long-term competitive advantage from technology that is readily reproduced by its rivals.</w:t>
      </w:r>
    </w:p>
    <w:p w14:paraId="7F859B18" w14:textId="77777777" w:rsidR="008530A6" w:rsidRDefault="00000000">
      <w:pPr>
        <w:rPr>
          <w:b/>
        </w:rPr>
      </w:pPr>
      <w:r>
        <w:rPr>
          <w:b/>
        </w:rPr>
        <w:t>Technological innovations</w:t>
      </w:r>
    </w:p>
    <w:p w14:paraId="439BDC75" w14:textId="77777777" w:rsidR="008530A6" w:rsidRDefault="00000000">
      <w:r>
        <w:t xml:space="preserve">Monitor developing trends in technological advancement may allow HSBC to learn how rapidly new goods are generated, how long their lifespans are, and which amazing features are also most popular with clients. Digital technologies and user input may help HSBC Holdings plc determine if an online store is more profitable than a physical and mortar presence. </w:t>
      </w:r>
      <w:proofErr w:type="gramStart"/>
      <w:r>
        <w:t>In order to</w:t>
      </w:r>
      <w:proofErr w:type="gramEnd"/>
      <w:r>
        <w:t xml:space="preserve"> save money, HSBC Holdings plc may be driven to transition from manual to automated processes by rivals' investments in automation technologies, particularly if people in that given society are tech-savvy (Muhsin, 2018)). Investment in cutting-edge technology may help HSBC Holdings plc enhance customer satisfaction, boost productivity, and position the organisation as a leader in its industry.</w:t>
      </w:r>
    </w:p>
    <w:p w14:paraId="4D654E58" w14:textId="77777777" w:rsidR="008530A6" w:rsidRDefault="00000000">
      <w:pPr>
        <w:rPr>
          <w:b/>
        </w:rPr>
      </w:pPr>
      <w:r>
        <w:rPr>
          <w:b/>
        </w:rPr>
        <w:t>Research and development</w:t>
      </w:r>
    </w:p>
    <w:p w14:paraId="427B57A4" w14:textId="77777777" w:rsidR="008530A6" w:rsidRDefault="00000000">
      <w:r>
        <w:t>When it comes to developing technical advancements that may help both the company and its clients, HSBC Holdings plc must be more specific. When it comes to its R&amp;D spending, HSBC Holdings plc should focus on the long-term rather than short-term gains.</w:t>
      </w:r>
    </w:p>
    <w:p w14:paraId="10DE07F9" w14:textId="77777777" w:rsidR="008530A6" w:rsidRDefault="00000000">
      <w:pPr>
        <w:rPr>
          <w:b/>
        </w:rPr>
      </w:pPr>
      <w:r>
        <w:rPr>
          <w:b/>
        </w:rPr>
        <w:t xml:space="preserve">Environmental factors </w:t>
      </w:r>
    </w:p>
    <w:p w14:paraId="30E48352" w14:textId="77777777" w:rsidR="008530A6" w:rsidRDefault="00000000">
      <w:pPr>
        <w:rPr>
          <w:b/>
        </w:rPr>
      </w:pPr>
      <w:r>
        <w:rPr>
          <w:b/>
        </w:rPr>
        <w:t>Environmental regulations</w:t>
      </w:r>
    </w:p>
    <w:p w14:paraId="498EAC8B" w14:textId="77777777" w:rsidR="008530A6" w:rsidRDefault="00000000">
      <w:r>
        <w:t xml:space="preserve">If HSBC Holdings plc does not comply with all international and local environmental regulations, it is going to get a lot of bad press from the people who matter most. The firm should embrace responsible manufacturing techniques, encourage responsible consumption among its target consumers, and try to enhance its brand's image </w:t>
      </w:r>
      <w:proofErr w:type="gramStart"/>
      <w:r>
        <w:t>on the basis of</w:t>
      </w:r>
      <w:proofErr w:type="gramEnd"/>
      <w:r>
        <w:t xml:space="preserve"> sustainable practices.</w:t>
      </w:r>
    </w:p>
    <w:p w14:paraId="017E1C7A" w14:textId="77777777" w:rsidR="008530A6" w:rsidRDefault="00000000">
      <w:pPr>
        <w:rPr>
          <w:b/>
        </w:rPr>
      </w:pPr>
      <w:r>
        <w:rPr>
          <w:b/>
        </w:rPr>
        <w:t>The growing use of renewable energy</w:t>
      </w:r>
    </w:p>
    <w:p w14:paraId="5E172ED6" w14:textId="77777777" w:rsidR="008530A6" w:rsidRDefault="00000000">
      <w:r>
        <w:t>This environmental trend should be recorded by HSBC Holdings plc by measuring the degree to which a country's technological infrastructure facilitates the development of renewable technologies. Sustainable company development goals may be achieved by HSBC Holdings plc by pursuing investments in renewable energy sources (Johannes, 2018).</w:t>
      </w:r>
    </w:p>
    <w:p w14:paraId="3A6CC2A0" w14:textId="77777777" w:rsidR="008530A6" w:rsidRDefault="00000000">
      <w:pPr>
        <w:rPr>
          <w:b/>
        </w:rPr>
      </w:pPr>
      <w:r>
        <w:rPr>
          <w:b/>
        </w:rPr>
        <w:t>Recycling, trash management, and resource optimization</w:t>
      </w:r>
    </w:p>
    <w:p w14:paraId="7973553B" w14:textId="77777777" w:rsidR="008530A6" w:rsidRDefault="00000000">
      <w:r>
        <w:t>When it comes to environmental and economic aims, the use of sustainability trends by HSBC Holdings plc may assist achieve both.</w:t>
      </w:r>
    </w:p>
    <w:p w14:paraId="5899A1DB" w14:textId="77777777" w:rsidR="008530A6" w:rsidRDefault="00000000">
      <w:pPr>
        <w:rPr>
          <w:b/>
        </w:rPr>
      </w:pPr>
      <w:r>
        <w:rPr>
          <w:b/>
        </w:rPr>
        <w:t>Weather</w:t>
      </w:r>
    </w:p>
    <w:p w14:paraId="18E33E48" w14:textId="77777777" w:rsidR="008530A6" w:rsidRDefault="00000000">
      <w:r>
        <w:t xml:space="preserve">Weather Consumer behaviour is also influenced by the </w:t>
      </w:r>
      <w:proofErr w:type="gramStart"/>
      <w:r>
        <w:t>weather,</w:t>
      </w:r>
      <w:proofErr w:type="gramEnd"/>
      <w:r>
        <w:t xml:space="preserve"> thus HSBC Holdings plc's supply chain processes must include flexibility.</w:t>
      </w:r>
    </w:p>
    <w:p w14:paraId="60D8FCF6" w14:textId="77777777" w:rsidR="008530A6" w:rsidRDefault="00000000">
      <w:pPr>
        <w:rPr>
          <w:b/>
        </w:rPr>
      </w:pPr>
      <w:r>
        <w:rPr>
          <w:b/>
        </w:rPr>
        <w:t xml:space="preserve">Legal factors </w:t>
      </w:r>
    </w:p>
    <w:p w14:paraId="7F6D5B08" w14:textId="77777777" w:rsidR="008530A6" w:rsidRDefault="00000000">
      <w:pPr>
        <w:rPr>
          <w:b/>
        </w:rPr>
      </w:pPr>
      <w:r>
        <w:rPr>
          <w:b/>
        </w:rPr>
        <w:t>Laws governing employment</w:t>
      </w:r>
    </w:p>
    <w:p w14:paraId="214A30CD" w14:textId="77777777" w:rsidR="008530A6" w:rsidRDefault="00000000">
      <w:r>
        <w:t>HSBC Holdings plc should protect the safety of its employees when entering and working in foreign countries. Discrimination, whether direct or indirect, must be discouraged via appropriate means. Compliance with employment laws may help HSBC Holdings plc to strengthen its employer brand reputation (HSBC. 2022).</w:t>
      </w:r>
    </w:p>
    <w:p w14:paraId="363EFBB8" w14:textId="77777777" w:rsidR="008530A6" w:rsidRDefault="00000000">
      <w:pPr>
        <w:rPr>
          <w:b/>
        </w:rPr>
      </w:pPr>
      <w:r>
        <w:rPr>
          <w:b/>
        </w:rPr>
        <w:t>Intellectual property laws</w:t>
      </w:r>
    </w:p>
    <w:p w14:paraId="294B941E" w14:textId="77777777" w:rsidR="008530A6" w:rsidRDefault="00000000">
      <w:r>
        <w:t>Competitive advantages may be gained by companies like HSBC Holdings plc by adhering to intellectual property standards, which safeguard their patents against imitation.</w:t>
      </w:r>
    </w:p>
    <w:p w14:paraId="537E074F" w14:textId="77777777" w:rsidR="008530A6" w:rsidRDefault="00000000">
      <w:pPr>
        <w:rPr>
          <w:b/>
        </w:rPr>
      </w:pPr>
      <w:r>
        <w:rPr>
          <w:b/>
        </w:rPr>
        <w:t>Consumer protection laws</w:t>
      </w:r>
    </w:p>
    <w:p w14:paraId="24EB3552" w14:textId="77777777" w:rsidR="008530A6" w:rsidRDefault="00000000">
      <w:r>
        <w:t xml:space="preserve">HSBC Holdings plc must strictly comply to data protection standards while performing transactions online. HSBC Holdings plc's management should research local regulations regarding refunds, reductions, credit policies, quality, misrepresentations, and optimum pricing before </w:t>
      </w:r>
      <w:proofErr w:type="gramStart"/>
      <w:r>
        <w:t>entering into</w:t>
      </w:r>
      <w:proofErr w:type="gramEnd"/>
      <w:r>
        <w:t xml:space="preserve"> new markets. HSBC.</w:t>
      </w:r>
    </w:p>
    <w:p w14:paraId="6E695989" w14:textId="77777777" w:rsidR="008530A6" w:rsidRDefault="008530A6"/>
    <w:p w14:paraId="5A9CD94D" w14:textId="77777777" w:rsidR="008530A6" w:rsidRDefault="008530A6"/>
    <w:p w14:paraId="4E49349D" w14:textId="77777777" w:rsidR="008530A6" w:rsidRDefault="00000000">
      <w:pPr>
        <w:jc w:val="center"/>
        <w:rPr>
          <w:b/>
        </w:rPr>
      </w:pPr>
      <w:r>
        <w:rPr>
          <w:b/>
          <w:noProof/>
        </w:rPr>
        <w:drawing>
          <wp:inline distT="114300" distB="114300" distL="114300" distR="114300" wp14:anchorId="3E8FB348" wp14:editId="29DD9E2F">
            <wp:extent cx="3890963" cy="372291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890963" cy="3722914"/>
                    </a:xfrm>
                    <a:prstGeom prst="rect">
                      <a:avLst/>
                    </a:prstGeom>
                    <a:ln/>
                  </pic:spPr>
                </pic:pic>
              </a:graphicData>
            </a:graphic>
          </wp:inline>
        </w:drawing>
      </w:r>
    </w:p>
    <w:p w14:paraId="69745C79" w14:textId="77777777" w:rsidR="008530A6" w:rsidRDefault="00000000">
      <w:pPr>
        <w:jc w:val="center"/>
        <w:rPr>
          <w:b/>
        </w:rPr>
      </w:pPr>
      <w:proofErr w:type="spellStart"/>
      <w:proofErr w:type="gramStart"/>
      <w:r>
        <w:rPr>
          <w:b/>
        </w:rPr>
        <w:t>Figure:PESTEL</w:t>
      </w:r>
      <w:proofErr w:type="spellEnd"/>
      <w:proofErr w:type="gramEnd"/>
      <w:r>
        <w:rPr>
          <w:b/>
        </w:rPr>
        <w:t xml:space="preserve"> Analysis</w:t>
      </w:r>
    </w:p>
    <w:p w14:paraId="300C8E4F" w14:textId="77777777" w:rsidR="008530A6" w:rsidRDefault="00000000">
      <w:pPr>
        <w:jc w:val="center"/>
        <w:rPr>
          <w:b/>
        </w:rPr>
      </w:pPr>
      <w:r>
        <w:rPr>
          <w:b/>
        </w:rPr>
        <w:t>(Source: CIPD. 2021)</w:t>
      </w:r>
    </w:p>
    <w:p w14:paraId="6CBC4C4E" w14:textId="77777777" w:rsidR="008530A6" w:rsidRDefault="00000000">
      <w:pPr>
        <w:pStyle w:val="Heading2"/>
      </w:pPr>
      <w:bookmarkStart w:id="17" w:name="_792qttsnqums" w:colFirst="0" w:colLast="0"/>
      <w:bookmarkEnd w:id="17"/>
      <w:r>
        <w:t>Porter’s Five Forces</w:t>
      </w:r>
    </w:p>
    <w:p w14:paraId="0EC843DA" w14:textId="77777777" w:rsidR="008530A6" w:rsidRDefault="00000000">
      <w:r>
        <w:t xml:space="preserve">There are </w:t>
      </w:r>
      <w:proofErr w:type="gramStart"/>
      <w:r>
        <w:t>a number of</w:t>
      </w:r>
      <w:proofErr w:type="gramEnd"/>
      <w:r>
        <w:t xml:space="preserve"> basic, but effective, tools available for businesses to utilise when trying to figure out the primary sources of competition in their industry or market. It is possible to modify strategy, increase profitability, and remain ahead of the competition when HSBC knows the dynamics impacting its sector. A comprehensive analysis is then built utilising </w:t>
      </w:r>
      <w:proofErr w:type="gramStart"/>
      <w:r>
        <w:t>a number of</w:t>
      </w:r>
      <w:proofErr w:type="gramEnd"/>
      <w:r>
        <w:t xml:space="preserve"> global parameters below.</w:t>
      </w:r>
    </w:p>
    <w:p w14:paraId="33DFAAE2" w14:textId="77777777" w:rsidR="008530A6" w:rsidRDefault="00000000">
      <w:r>
        <w:rPr>
          <w:b/>
        </w:rPr>
        <w:t>Potential entrants</w:t>
      </w:r>
    </w:p>
    <w:p w14:paraId="26AB6BC8" w14:textId="77777777" w:rsidR="008530A6" w:rsidRDefault="00000000">
      <w:r>
        <w:t xml:space="preserve">To compete with HSBC, several other marketplaces, such as Tesco and Sainsbury's, are considering entering the banking business due to the enormous earnings that this </w:t>
      </w:r>
      <w:proofErr w:type="gramStart"/>
      <w:r>
        <w:t>particular industry</w:t>
      </w:r>
      <w:proofErr w:type="gramEnd"/>
      <w:r>
        <w:t xml:space="preserve"> provides. In the United Kingdom, large supermarkets seek entry without </w:t>
      </w:r>
      <w:proofErr w:type="gramStart"/>
      <w:r>
        <w:t>taking into account</w:t>
      </w:r>
      <w:proofErr w:type="gramEnd"/>
      <w:r>
        <w:t xml:space="preserve"> that dangers like this can destroy organisations like HSBC. HSBC was able to break new ground despite several market obstacles. HSBC does not run the risk of alienating customers by using visually striking branding strategies (Orr, 2019).</w:t>
      </w:r>
    </w:p>
    <w:p w14:paraId="19529CAB" w14:textId="77777777" w:rsidR="008530A6" w:rsidRDefault="00000000">
      <w:pPr>
        <w:rPr>
          <w:b/>
        </w:rPr>
      </w:pPr>
      <w:r>
        <w:rPr>
          <w:b/>
        </w:rPr>
        <w:t>Bargaining Power of Customers</w:t>
      </w:r>
    </w:p>
    <w:p w14:paraId="11510AC4" w14:textId="77777777" w:rsidR="008530A6" w:rsidRDefault="00000000">
      <w:r>
        <w:t xml:space="preserve">An organization's worth is generated in large part by the clout customers wield. This force's function is influenced by the attention and size of the consumer. Furthermore, HSBC's clients were well-managed </w:t>
      </w:r>
      <w:proofErr w:type="gramStart"/>
      <w:r>
        <w:t>as a consequence of</w:t>
      </w:r>
      <w:proofErr w:type="gramEnd"/>
      <w:r>
        <w:t xml:space="preserve"> the company's customer loyalty. HSBC was able to become a global banking powerhouse because of the method it used.</w:t>
      </w:r>
    </w:p>
    <w:p w14:paraId="6D16AEFB" w14:textId="77777777" w:rsidR="008530A6" w:rsidRDefault="00000000">
      <w:r>
        <w:rPr>
          <w:b/>
        </w:rPr>
        <w:t xml:space="preserve">The Threat </w:t>
      </w:r>
      <w:proofErr w:type="gramStart"/>
      <w:r>
        <w:rPr>
          <w:b/>
        </w:rPr>
        <w:t>Of</w:t>
      </w:r>
      <w:proofErr w:type="gramEnd"/>
      <w:r>
        <w:rPr>
          <w:b/>
        </w:rPr>
        <w:t xml:space="preserve"> Substitutes:</w:t>
      </w:r>
    </w:p>
    <w:p w14:paraId="1A43D2B7" w14:textId="77777777" w:rsidR="008530A6" w:rsidRDefault="00000000">
      <w:r>
        <w:t xml:space="preserve">Innovative products and services from competitors are also a threat to HSBC's business model. As a result of this threat, the company has a strong motivation to work hard </w:t>
      </w:r>
      <w:proofErr w:type="gramStart"/>
      <w:r>
        <w:t>in order to</w:t>
      </w:r>
      <w:proofErr w:type="gramEnd"/>
      <w:r>
        <w:t xml:space="preserve"> keep its position. There are four distinct consumer groups that are targeted by HSBC's approach (</w:t>
      </w:r>
      <w:proofErr w:type="spellStart"/>
      <w:r>
        <w:t>Satutikirono</w:t>
      </w:r>
      <w:proofErr w:type="spellEnd"/>
      <w:r>
        <w:t xml:space="preserve"> </w:t>
      </w:r>
      <w:r>
        <w:rPr>
          <w:i/>
        </w:rPr>
        <w:t xml:space="preserve">et al., </w:t>
      </w:r>
      <w:r>
        <w:t>2021).</w:t>
      </w:r>
    </w:p>
    <w:p w14:paraId="36F76FF4" w14:textId="77777777" w:rsidR="008530A6" w:rsidRDefault="00000000">
      <w:r>
        <w:rPr>
          <w:b/>
        </w:rPr>
        <w:t xml:space="preserve">Bargaining Power </w:t>
      </w:r>
      <w:proofErr w:type="gramStart"/>
      <w:r>
        <w:rPr>
          <w:b/>
        </w:rPr>
        <w:t>Of</w:t>
      </w:r>
      <w:proofErr w:type="gramEnd"/>
      <w:r>
        <w:rPr>
          <w:b/>
        </w:rPr>
        <w:t xml:space="preserve"> Suppliers:</w:t>
      </w:r>
    </w:p>
    <w:p w14:paraId="4D8EA354" w14:textId="77777777" w:rsidR="008530A6" w:rsidRDefault="00000000">
      <w:r>
        <w:t>As customers have more power, suppliers have more influence over them. This compelled me to concentrate on two key things. Large and concentrated supplier networks and wide variation within those networks are only two examples of these two trends. HSBC has a pricing approach based on the relative value of each buyer's transaction, charging various fees in different marketplaces.</w:t>
      </w:r>
    </w:p>
    <w:p w14:paraId="741CB67D" w14:textId="77777777" w:rsidR="008530A6" w:rsidRDefault="00000000">
      <w:r>
        <w:rPr>
          <w:b/>
        </w:rPr>
        <w:t>Rivalry among current competitors:</w:t>
      </w:r>
    </w:p>
    <w:p w14:paraId="0C91C59C" w14:textId="77777777" w:rsidR="008530A6" w:rsidRDefault="00000000">
      <w:r>
        <w:t>There are a lot of rivals in the banking and financial sectors. HSBC was able to keep its stranglehold on the market by using smart strategies. As a result, HSBC has devised a strategy to guarantee that it remains the bank of choice for its customers, regardless of the capabilities of its competition. A lot of institutions have gone out of business as we traverse the summit of the financial crisis (</w:t>
      </w:r>
      <w:proofErr w:type="spellStart"/>
      <w:r>
        <w:t>kizi</w:t>
      </w:r>
      <w:proofErr w:type="spellEnd"/>
      <w:r>
        <w:t xml:space="preserve"> </w:t>
      </w:r>
      <w:proofErr w:type="spellStart"/>
      <w:r>
        <w:t>Toshmanova</w:t>
      </w:r>
      <w:proofErr w:type="spellEnd"/>
      <w:r>
        <w:t>, 2022).</w:t>
      </w:r>
    </w:p>
    <w:p w14:paraId="4F56B03D" w14:textId="77777777" w:rsidR="008530A6" w:rsidRDefault="00000000">
      <w:pPr>
        <w:jc w:val="center"/>
        <w:rPr>
          <w:b/>
        </w:rPr>
      </w:pPr>
      <w:r>
        <w:rPr>
          <w:b/>
          <w:noProof/>
        </w:rPr>
        <w:drawing>
          <wp:inline distT="114300" distB="114300" distL="114300" distR="114300" wp14:anchorId="360A406D" wp14:editId="425656C9">
            <wp:extent cx="4125750" cy="3204466"/>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l="6976" t="6430" r="7475" b="4878"/>
                    <a:stretch>
                      <a:fillRect/>
                    </a:stretch>
                  </pic:blipFill>
                  <pic:spPr>
                    <a:xfrm>
                      <a:off x="0" y="0"/>
                      <a:ext cx="4125750" cy="3204466"/>
                    </a:xfrm>
                    <a:prstGeom prst="rect">
                      <a:avLst/>
                    </a:prstGeom>
                    <a:ln/>
                  </pic:spPr>
                </pic:pic>
              </a:graphicData>
            </a:graphic>
          </wp:inline>
        </w:drawing>
      </w:r>
    </w:p>
    <w:p w14:paraId="4BB3E156" w14:textId="77777777" w:rsidR="008530A6" w:rsidRDefault="00000000">
      <w:pPr>
        <w:jc w:val="center"/>
        <w:rPr>
          <w:b/>
        </w:rPr>
      </w:pPr>
      <w:r>
        <w:rPr>
          <w:b/>
        </w:rPr>
        <w:t>Figure: Porter’s Five Forces</w:t>
      </w:r>
    </w:p>
    <w:p w14:paraId="4ED87D87" w14:textId="77777777" w:rsidR="008530A6" w:rsidRDefault="00000000">
      <w:pPr>
        <w:jc w:val="center"/>
        <w:rPr>
          <w:b/>
        </w:rPr>
      </w:pPr>
      <w:r>
        <w:rPr>
          <w:b/>
        </w:rPr>
        <w:t>(Source: HBR. 2022)</w:t>
      </w:r>
    </w:p>
    <w:p w14:paraId="6254835A" w14:textId="77777777" w:rsidR="008530A6" w:rsidRDefault="00000000">
      <w:pPr>
        <w:pStyle w:val="Heading1"/>
      </w:pPr>
      <w:bookmarkStart w:id="18" w:name="_fhirx124srph" w:colFirst="0" w:colLast="0"/>
      <w:bookmarkEnd w:id="18"/>
      <w:r>
        <w:t>Conclusion</w:t>
      </w:r>
    </w:p>
    <w:p w14:paraId="5F3FEF55" w14:textId="77777777" w:rsidR="008530A6" w:rsidRDefault="00000000">
      <w:r>
        <w:t>Financial data from HSBC Group's most recent financial year shows that the corporation is achieving its goal of greater growth, with a rise in practically all parts of its operations.</w:t>
      </w:r>
    </w:p>
    <w:p w14:paraId="32CD6F57" w14:textId="77777777" w:rsidR="008530A6" w:rsidRDefault="00000000">
      <w:r>
        <w:t>The total profits of the corporation have been progressively increasing across the board in each of its primary operational regions. The earnings that are distributed to each shareholder have seen tremendous growth during the last five years. The company has enjoyed significant growth in the Middle East, and it anticipates that this expansion will continue in the region. All of HSBC's Asian business units outperformed and contributed to the overall success of the organisation.</w:t>
      </w:r>
    </w:p>
    <w:p w14:paraId="0E351FD2" w14:textId="77777777" w:rsidR="008530A6" w:rsidRDefault="00000000">
      <w:pPr>
        <w:pStyle w:val="Heading1"/>
        <w:rPr>
          <w:b w:val="0"/>
          <w:sz w:val="22"/>
          <w:szCs w:val="22"/>
        </w:rPr>
      </w:pPr>
      <w:bookmarkStart w:id="19" w:name="_86t6cvozpf0" w:colFirst="0" w:colLast="0"/>
      <w:bookmarkEnd w:id="19"/>
      <w:r>
        <w:br w:type="page"/>
      </w:r>
    </w:p>
    <w:p w14:paraId="27126C25" w14:textId="77777777" w:rsidR="008530A6" w:rsidRDefault="00000000">
      <w:pPr>
        <w:pStyle w:val="Heading1"/>
      </w:pPr>
      <w:bookmarkStart w:id="20" w:name="_bd099llc2w3m" w:colFirst="0" w:colLast="0"/>
      <w:bookmarkEnd w:id="20"/>
      <w:r>
        <w:t>References</w:t>
      </w:r>
    </w:p>
    <w:p w14:paraId="08CB8B68" w14:textId="77777777" w:rsidR="008530A6" w:rsidRDefault="00000000">
      <w:r>
        <w:t>CIPD. (2021), “</w:t>
      </w:r>
      <w:r>
        <w:rPr>
          <w:i/>
        </w:rPr>
        <w:t>PESTLE Analysis</w:t>
      </w:r>
      <w:r>
        <w:t xml:space="preserve">”, Available at </w:t>
      </w:r>
      <w:hyperlink r:id="rId9">
        <w:r>
          <w:rPr>
            <w:color w:val="1155CC"/>
            <w:u w:val="single"/>
          </w:rPr>
          <w:t>https://www.cipd.co.uk/knowledge/strategy/organisational-development/pestle-analysis-factsheet</w:t>
        </w:r>
      </w:hyperlink>
      <w:r>
        <w:t xml:space="preserve"> [Accessed on 21st June 2022]</w:t>
      </w:r>
    </w:p>
    <w:p w14:paraId="03AFBE98" w14:textId="77777777" w:rsidR="008530A6" w:rsidRDefault="00000000">
      <w:r>
        <w:t xml:space="preserve">Eisenberg, P., 2019. Financial Analysis of Primark Stores Ltd. </w:t>
      </w:r>
      <w:proofErr w:type="gramStart"/>
      <w:r>
        <w:t>with regard to</w:t>
      </w:r>
      <w:proofErr w:type="gramEnd"/>
      <w:r>
        <w:t xml:space="preserve"> a Stock Exchange Floatation (IPO). International Journal of Management, 7(1), pp.91-112.</w:t>
      </w:r>
    </w:p>
    <w:p w14:paraId="082F8E56" w14:textId="77777777" w:rsidR="008530A6" w:rsidRDefault="00000000">
      <w:r>
        <w:t xml:space="preserve">Grantham, A., 2022. Sustainable Business Strategy: Analysis, </w:t>
      </w:r>
      <w:proofErr w:type="gramStart"/>
      <w:r>
        <w:t>Choice</w:t>
      </w:r>
      <w:proofErr w:type="gramEnd"/>
      <w:r>
        <w:t xml:space="preserve"> and Implementation. Walter de Gruyter GmbH &amp; Co KG.</w:t>
      </w:r>
    </w:p>
    <w:p w14:paraId="237426CD" w14:textId="77777777" w:rsidR="008530A6" w:rsidRDefault="00000000">
      <w:r>
        <w:t>HBR. (2020), “</w:t>
      </w:r>
      <w:r>
        <w:rPr>
          <w:i/>
        </w:rPr>
        <w:t>How Competitive Forces Shape Strategy</w:t>
      </w:r>
      <w:r>
        <w:t xml:space="preserve">”, Available at </w:t>
      </w:r>
      <w:hyperlink r:id="rId10">
        <w:r>
          <w:rPr>
            <w:color w:val="1155CC"/>
            <w:u w:val="single"/>
          </w:rPr>
          <w:t>https://hbr.org/1979/03/how-competitive-forces-shape-strategy</w:t>
        </w:r>
      </w:hyperlink>
      <w:r>
        <w:t xml:space="preserve"> [Accessed on 21st June 2022]</w:t>
      </w:r>
    </w:p>
    <w:p w14:paraId="3A014ABC" w14:textId="77777777" w:rsidR="008530A6" w:rsidRDefault="00000000">
      <w:r>
        <w:t>HSBC. (2022) “</w:t>
      </w:r>
      <w:r>
        <w:rPr>
          <w:i/>
        </w:rPr>
        <w:t>Financial Regulations</w:t>
      </w:r>
      <w:r>
        <w:t xml:space="preserve">”, Available at  </w:t>
      </w:r>
      <w:hyperlink r:id="rId11">
        <w:r>
          <w:rPr>
            <w:color w:val="1155CC"/>
            <w:u w:val="single"/>
          </w:rPr>
          <w:t>https://www.gbm.hsbc.com/financial-regulation</w:t>
        </w:r>
      </w:hyperlink>
      <w:r>
        <w:t xml:space="preserve"> [Accessed on 21st June 2022]</w:t>
      </w:r>
    </w:p>
    <w:p w14:paraId="5E9CD3FB" w14:textId="77777777" w:rsidR="008530A6" w:rsidRDefault="00000000">
      <w:r>
        <w:t>HSBC. (2022), “</w:t>
      </w:r>
      <w:r>
        <w:rPr>
          <w:i/>
        </w:rPr>
        <w:t>Home</w:t>
      </w:r>
      <w:r>
        <w:t xml:space="preserve">”, Available at </w:t>
      </w:r>
      <w:hyperlink r:id="rId12">
        <w:r>
          <w:rPr>
            <w:color w:val="1155CC"/>
            <w:u w:val="single"/>
          </w:rPr>
          <w:t>https://www.hsbc.co.uk/</w:t>
        </w:r>
      </w:hyperlink>
      <w:r>
        <w:t xml:space="preserve"> [Accessed on 17th June 2022]</w:t>
      </w:r>
    </w:p>
    <w:p w14:paraId="417D1B2D" w14:textId="77777777" w:rsidR="008530A6" w:rsidRDefault="00000000">
      <w:r>
        <w:t>IW. (2022) “</w:t>
      </w:r>
      <w:r>
        <w:rPr>
          <w:i/>
        </w:rPr>
        <w:t>ESG Blog: HSBC scales up climate commitments</w:t>
      </w:r>
      <w:r>
        <w:t xml:space="preserve">”, Available at  </w:t>
      </w:r>
      <w:hyperlink r:id="rId13">
        <w:r>
          <w:rPr>
            <w:color w:val="1155CC"/>
            <w:u w:val="single"/>
          </w:rPr>
          <w:t>https://www.investmentweek.co.uk/analysis/4009648/esg-blog-hsbc-scales-up-climate-commitments</w:t>
        </w:r>
      </w:hyperlink>
      <w:r>
        <w:t xml:space="preserve"> [Accessed on 21st June 2022]</w:t>
      </w:r>
    </w:p>
    <w:p w14:paraId="778862C3" w14:textId="77777777" w:rsidR="008530A6" w:rsidRDefault="00000000">
      <w:r>
        <w:t xml:space="preserve">Johannes, R., Dedy, D. and </w:t>
      </w:r>
      <w:proofErr w:type="spellStart"/>
      <w:r>
        <w:t>Muksin</w:t>
      </w:r>
      <w:proofErr w:type="spellEnd"/>
      <w:r>
        <w:t>, A., 2018. The Preparation of Banking Industry in Implementing IFRS 9 Financial Instruments (A Case Study of HSBC Holdings Plc Listed on London Stock Exchange of Year 2015–2017). International Journal of Economics and Financial Issues, 8(6), pp.124-136.</w:t>
      </w:r>
    </w:p>
    <w:p w14:paraId="4641D5BD" w14:textId="77777777" w:rsidR="008530A6" w:rsidRDefault="00000000">
      <w:r>
        <w:t>Muhsin, A., 2018. Turnitin, IJEF: The Preparation of Banking Industry in Implementing IFRS 9 Financial Instruments (A Case Study of HSBC Holdings Plc Listed on London Stock Exchange of Year 2015–2017).</w:t>
      </w:r>
    </w:p>
    <w:p w14:paraId="66B19A16" w14:textId="77777777" w:rsidR="008530A6" w:rsidRDefault="00000000">
      <w:proofErr w:type="spellStart"/>
      <w:r>
        <w:t>Naheem</w:t>
      </w:r>
      <w:proofErr w:type="spellEnd"/>
      <w:r>
        <w:t>, M.A., 2018. Illicit financial flows: HSBC case study. Journal of Money Laundering Control.</w:t>
      </w:r>
    </w:p>
    <w:p w14:paraId="46712372" w14:textId="77777777" w:rsidR="008530A6" w:rsidRDefault="00000000">
      <w:r>
        <w:t>Orr, S., 2019. Daring to tap external strategic resources: competitive advantage in global industries. Journal of Business Strategy.</w:t>
      </w:r>
    </w:p>
    <w:p w14:paraId="7D69A400" w14:textId="77777777" w:rsidR="008530A6" w:rsidRDefault="00000000">
      <w:proofErr w:type="spellStart"/>
      <w:r>
        <w:t>Satutikirono</w:t>
      </w:r>
      <w:proofErr w:type="spellEnd"/>
      <w:r>
        <w:t xml:space="preserve">, R. and </w:t>
      </w:r>
      <w:proofErr w:type="spellStart"/>
      <w:r>
        <w:t>Sunitiyoso</w:t>
      </w:r>
      <w:proofErr w:type="spellEnd"/>
      <w:r>
        <w:t xml:space="preserve">, Y., 2021, December. Applying Scenario Planning in the Future of Bank </w:t>
      </w:r>
      <w:proofErr w:type="spellStart"/>
      <w:r>
        <w:t>Oranye</w:t>
      </w:r>
      <w:proofErr w:type="spellEnd"/>
      <w:r>
        <w:t xml:space="preserve"> Priority Banking Services. In Journal of International Conference Proceedings (JICP) (Vol. 4, No. 3, pp. 81-94).</w:t>
      </w:r>
    </w:p>
    <w:p w14:paraId="58C5A12A" w14:textId="77777777" w:rsidR="008530A6" w:rsidRDefault="00000000">
      <w:r>
        <w:t xml:space="preserve">Statista. (2022) “ </w:t>
      </w:r>
      <w:r>
        <w:rPr>
          <w:i/>
        </w:rPr>
        <w:t>Leading banks for large corporations in the United Kingdom (UK) in 2021, by market penetration rate</w:t>
      </w:r>
      <w:r>
        <w:t xml:space="preserve">”, Available at  </w:t>
      </w:r>
      <w:hyperlink r:id="rId14">
        <w:r>
          <w:rPr>
            <w:color w:val="1155CC"/>
            <w:u w:val="single"/>
          </w:rPr>
          <w:t>https://www.statista.com/statistics/454056/penetration-banking-for-large-corporates-uk/</w:t>
        </w:r>
      </w:hyperlink>
      <w:r>
        <w:t xml:space="preserve"> [Accessed on 21st June 2022]</w:t>
      </w:r>
    </w:p>
    <w:p w14:paraId="30C4AA31" w14:textId="77777777" w:rsidR="008530A6" w:rsidRDefault="00000000">
      <w:r>
        <w:t>Statista. (2022) “</w:t>
      </w:r>
      <w:r>
        <w:rPr>
          <w:i/>
        </w:rPr>
        <w:t>Profits of HSBC from 2007 to 2021(in billion U.S. dollars)</w:t>
      </w:r>
      <w:r>
        <w:t xml:space="preserve">”, Available at  </w:t>
      </w:r>
      <w:hyperlink r:id="rId15">
        <w:r>
          <w:rPr>
            <w:color w:val="1155CC"/>
            <w:u w:val="single"/>
          </w:rPr>
          <w:t>https://www.statista.com/statistics/224577/hsbcs-profit/</w:t>
        </w:r>
      </w:hyperlink>
      <w:r>
        <w:t xml:space="preserve"> [Accessed on 21st June 2022]</w:t>
      </w:r>
    </w:p>
    <w:p w14:paraId="03C1DCCA" w14:textId="77777777" w:rsidR="008530A6" w:rsidRDefault="00000000">
      <w:proofErr w:type="spellStart"/>
      <w:r>
        <w:t>kizi</w:t>
      </w:r>
      <w:proofErr w:type="spellEnd"/>
      <w:r>
        <w:t xml:space="preserve"> </w:t>
      </w:r>
      <w:proofErr w:type="spellStart"/>
      <w:r>
        <w:t>Toshmanova</w:t>
      </w:r>
      <w:proofErr w:type="spellEnd"/>
      <w:r>
        <w:t>, M.S., 2022. ANALYSIS OF THE ACTIVITIES OF THE LARGEST TRANSNATIONAL BANKS IN THE WORLD AND THEIR ROLE IN THE GLOBAL FINANCIAL SYSTEM. Eurasian Journal of Law, Finance and Applied Sciences, 2(3), pp.142-146.</w:t>
      </w:r>
    </w:p>
    <w:p w14:paraId="3F3FF3B2" w14:textId="77777777" w:rsidR="008530A6" w:rsidRDefault="008530A6"/>
    <w:p w14:paraId="1374C3FE" w14:textId="77777777" w:rsidR="008530A6" w:rsidRDefault="008530A6"/>
    <w:p w14:paraId="018F8FF7" w14:textId="77777777" w:rsidR="008530A6" w:rsidRDefault="008530A6"/>
    <w:p w14:paraId="7B929C0B" w14:textId="77777777" w:rsidR="008530A6" w:rsidRDefault="008530A6"/>
    <w:p w14:paraId="42793D5F" w14:textId="77777777" w:rsidR="008530A6" w:rsidRDefault="008530A6"/>
    <w:sectPr w:rsidR="008530A6">
      <w:headerReference w:type="even" r:id="rId16"/>
      <w:headerReference w:type="default" r:id="rId17"/>
      <w:footerReference w:type="default" r:id="rId18"/>
      <w:headerReference w:type="first" r:id="rId19"/>
      <w:pgSz w:w="11906" w:h="16838"/>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B858CA" w14:textId="77777777" w:rsidR="00F24C13" w:rsidRDefault="00F24C13">
      <w:pPr>
        <w:spacing w:line="240" w:lineRule="auto"/>
      </w:pPr>
      <w:r>
        <w:separator/>
      </w:r>
    </w:p>
  </w:endnote>
  <w:endnote w:type="continuationSeparator" w:id="0">
    <w:p w14:paraId="2D0C5A0A" w14:textId="77777777" w:rsidR="00F24C13" w:rsidRDefault="00F24C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B50B91" w14:textId="77777777" w:rsidR="008530A6" w:rsidRDefault="00000000">
    <w:pPr>
      <w:jc w:val="right"/>
    </w:pPr>
    <w:r>
      <w:fldChar w:fldCharType="begin"/>
    </w:r>
    <w:r>
      <w:instrText>PAGE</w:instrText>
    </w:r>
    <w:r>
      <w:fldChar w:fldCharType="separate"/>
    </w:r>
    <w:r w:rsidR="000650C2">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8E9E47" w14:textId="77777777" w:rsidR="00F24C13" w:rsidRDefault="00F24C13">
      <w:pPr>
        <w:spacing w:line="240" w:lineRule="auto"/>
      </w:pPr>
      <w:r>
        <w:separator/>
      </w:r>
    </w:p>
  </w:footnote>
  <w:footnote w:type="continuationSeparator" w:id="0">
    <w:p w14:paraId="3B79A869" w14:textId="77777777" w:rsidR="00F24C13" w:rsidRDefault="00F24C1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D375F5" w14:textId="77777777" w:rsidR="000650C2" w:rsidRDefault="000650C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677D28" w14:textId="77777777" w:rsidR="000650C2" w:rsidRDefault="000650C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EF84F7" w14:textId="7F886936" w:rsidR="000650C2" w:rsidRDefault="000650C2">
    <w:pPr>
      <w:pStyle w:val="Header"/>
    </w:pPr>
    <w:r>
      <w:t>Student ID:</w:t>
    </w:r>
  </w:p>
  <w:p w14:paraId="2F393960" w14:textId="4B004D17" w:rsidR="000650C2" w:rsidRDefault="000650C2">
    <w:pPr>
      <w:pStyle w:val="Header"/>
    </w:pPr>
    <w:r w:rsidRPr="000650C2">
      <w:t>2029319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displayBackgroundShape/>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30A6"/>
    <w:rsid w:val="000650C2"/>
    <w:rsid w:val="008530A6"/>
    <w:rsid w:val="00F24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79DD91"/>
  <w15:docId w15:val="{C05AE448-52C2-3147-9113-3E1515C97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0650C2"/>
    <w:pPr>
      <w:tabs>
        <w:tab w:val="center" w:pos="4513"/>
        <w:tab w:val="right" w:pos="9026"/>
      </w:tabs>
      <w:spacing w:line="240" w:lineRule="auto"/>
    </w:pPr>
  </w:style>
  <w:style w:type="character" w:customStyle="1" w:styleId="HeaderChar">
    <w:name w:val="Header Char"/>
    <w:basedOn w:val="DefaultParagraphFont"/>
    <w:link w:val="Header"/>
    <w:uiPriority w:val="99"/>
    <w:rsid w:val="000650C2"/>
  </w:style>
  <w:style w:type="paragraph" w:styleId="Footer">
    <w:name w:val="footer"/>
    <w:basedOn w:val="Normal"/>
    <w:link w:val="FooterChar"/>
    <w:uiPriority w:val="99"/>
    <w:unhideWhenUsed/>
    <w:rsid w:val="000650C2"/>
    <w:pPr>
      <w:tabs>
        <w:tab w:val="center" w:pos="4513"/>
        <w:tab w:val="right" w:pos="9026"/>
      </w:tabs>
      <w:spacing w:line="240" w:lineRule="auto"/>
    </w:pPr>
  </w:style>
  <w:style w:type="character" w:customStyle="1" w:styleId="FooterChar">
    <w:name w:val="Footer Char"/>
    <w:basedOn w:val="DefaultParagraphFont"/>
    <w:link w:val="Footer"/>
    <w:uiPriority w:val="99"/>
    <w:rsid w:val="000650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investmentweek.co.uk/analysis/4009648/esg-blog-hsbc-scales-up-climate-commitments" TargetMode="External"/><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www.hsbc.co.uk/" TargetMode="External"/><Relationship Id="rId17" Type="http://schemas.openxmlformats.org/officeDocument/2006/relationships/header" Target="header2.xml"/><Relationship Id="rId2" Type="http://schemas.openxmlformats.org/officeDocument/2006/relationships/settings" Target="settings.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gbm.hsbc.com/financial-regulation" TargetMode="External"/><Relationship Id="rId5" Type="http://schemas.openxmlformats.org/officeDocument/2006/relationships/endnotes" Target="endnotes.xml"/><Relationship Id="rId15" Type="http://schemas.openxmlformats.org/officeDocument/2006/relationships/hyperlink" Target="https://www.statista.com/statistics/224577/hsbcs-profit/" TargetMode="External"/><Relationship Id="rId10" Type="http://schemas.openxmlformats.org/officeDocument/2006/relationships/hyperlink" Target="https://hbr.org/1979/03/how-competitive-forces-shape-strategy" TargetMode="External"/><Relationship Id="rId19"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hyperlink" Target="https://www.cipd.co.uk/knowledge/strategy/organisational-development/pestle-analysis-factsheet" TargetMode="External"/><Relationship Id="rId14" Type="http://schemas.openxmlformats.org/officeDocument/2006/relationships/hyperlink" Target="https://www.statista.com/statistics/454056/penetration-banking-for-large-corporate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2816</Words>
  <Characters>15181</Characters>
  <Application>Microsoft Office Word</Application>
  <DocSecurity>0</DocSecurity>
  <Lines>1012</Lines>
  <Paragraphs>947</Paragraphs>
  <ScaleCrop>false</ScaleCrop>
  <Company/>
  <LinksUpToDate>false</LinksUpToDate>
  <CharactersWithSpaces>17050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Nuszer, Melinda (Student)</cp:lastModifiedBy>
  <cp:revision>2</cp:revision>
  <dcterms:created xsi:type="dcterms:W3CDTF">2022-07-06T15:52:00Z</dcterms:created>
  <dcterms:modified xsi:type="dcterms:W3CDTF">2022-07-06T15:52:00Z</dcterms:modified>
</cp:coreProperties>
</file>