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align>center</wp:align>
                    </wp:positionV>
                    <wp:extent cx="1712595" cy="3840480"/>
                    <wp:effectExtent l="6350" t="6350" r="18415" b="889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wps:spPr>
                          <wps:style>
                            <a:lnRef idx="2">
                              <a:schemeClr val="dk1"/>
                            </a:lnRef>
                            <a:fillRef idx="1">
                              <a:schemeClr val="lt1"/>
                            </a:fillRef>
                            <a:effectRef idx="0">
                              <a:schemeClr val="dk1"/>
                            </a:effectRef>
                            <a:fontRef idx="minor">
                              <a:schemeClr val="dk1"/>
                            </a:fontRef>
                          </wps:style>
                          <wps:txbx>
                            <w:txbxContent>
                              <w:tbl>
                                <w:tblPr>
                                  <w:tblStyle w:val="12"/>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95"/>
                                  <w:gridCol w:w="5669"/>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5"/>
                                        <w:spacing w:line="312" w:lineRule="auto"/>
                                        <w:jc w:val="right"/>
                                        <w:rPr>
                                          <w:caps/>
                                          <w:color w:val="1A1A1A" w:themeColor="text1" w:themeTint="E6"/>
                                          <w:sz w:val="72"/>
                                          <w:szCs w:val="72"/>
                                          <w14:textFill>
                                            <w14:solidFill>
                                              <w14:schemeClr w14:val="tx1">
                                                <w14:lumMod w14:val="90000"/>
                                                <w14:lumOff w14:val="10000"/>
                                              </w14:schemeClr>
                                            </w14:solidFill>
                                          </w14:textFill>
                                        </w:rPr>
                                      </w:pPr>
                                      <w:sdt>
                                        <w:sdtPr>
                                          <w:rPr>
                                            <w:caps/>
                                            <w:color w:val="1A1A1A" w:themeColor="text1" w:themeTint="E6"/>
                                            <w:sz w:val="72"/>
                                            <w:szCs w:val="72"/>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r>
                                            <w:rPr>
                                              <w:rFonts w:hint="eastAsia"/>
                                              <w:caps/>
                                              <w:color w:val="1A1A1A" w:themeColor="text1" w:themeTint="E6"/>
                                              <w:sz w:val="72"/>
                                              <w:szCs w:val="72"/>
                                              <w:lang w:eastAsia="zh-CN"/>
                                              <w14:textFill>
                                                <w14:solidFill>
                                                  <w14:schemeClr w14:val="tx1">
                                                    <w14:lumMod w14:val="90000"/>
                                                    <w14:lumOff w14:val="10000"/>
                                                  </w14:schemeClr>
                                                </w14:solidFill>
                                              </w14:textFill>
                                            </w:rPr>
                                            <w:t>Intercultural Communication</w:t>
                                          </w:r>
                                        </w:sdtContent>
                                      </w:sdt>
                                    </w:p>
                                    <w:p>
                                      <w:pPr>
                                        <w:jc w:val="right"/>
                                        <w:rPr>
                                          <w:sz w:val="24"/>
                                          <w:szCs w:val="24"/>
                                        </w:rPr>
                                      </w:pPr>
                                      <w:r>
                                        <w:rPr>
                                          <w:rFonts w:hint="eastAsia"/>
                                          <w:color w:val="000000" w:themeColor="text1"/>
                                          <w:sz w:val="24"/>
                                          <w:szCs w:val="24"/>
                                          <w14:textFill>
                                            <w14:solidFill>
                                              <w14:schemeClr w14:val="tx1"/>
                                            </w14:solidFill>
                                          </w14:textFill>
                                        </w:rPr>
                                        <w:t>Expertise analysis for entering the Asian market</w:t>
                                      </w:r>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sdt>
                                    </w:p>
                                  </w:tc>
                                  <w:tc>
                                    <w:tcPr>
                                      <w:tcW w:w="2432" w:type="pct"/>
                                      <w:vAlign w:val="center"/>
                                    </w:tcPr>
                                    <w:p>
                                      <w:pPr>
                                        <w:pStyle w:val="15"/>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Expertise analysis and considerations for companies entering the Asian market</w:t>
                                          </w:r>
                                        </w:p>
                                      </w:sdtContent>
                                    </w:sdt>
                                    <w:sdt>
                                      <w:sdtPr>
                                        <w:rPr>
                                          <w:rFonts w:hint="default"/>
                                          <w:color w:val="ED7D31" w:themeColor="accent2"/>
                                          <w:sz w:val="26"/>
                                          <w:szCs w:val="26"/>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5"/>
                                            <w:rPr>
                                              <w:color w:val="ED7D31" w:themeColor="accent2"/>
                                              <w:sz w:val="26"/>
                                              <w:szCs w:val="26"/>
                                              <w14:textFill>
                                                <w14:solidFill>
                                                  <w14:schemeClr w14:val="accent2"/>
                                                </w14:solidFill>
                                              </w14:textFill>
                                            </w:rPr>
                                          </w:pPr>
                                          <w:r>
                                            <w:rPr>
                                              <w:rFonts w:hint="eastAsia"/>
                                              <w:color w:val="ED7D31" w:themeColor="accent2"/>
                                              <w:sz w:val="26"/>
                                              <w:szCs w:val="26"/>
                                              <w:lang w:val="en-US" w:eastAsia="zh-CN"/>
                                              <w14:textFill>
                                                <w14:solidFill>
                                                  <w14:schemeClr w14:val="accent2"/>
                                                </w14:solidFill>
                                              </w14:textFill>
                                            </w:rPr>
                                            <w:t>CHUSHUAI JIN 2206276</w:t>
                                          </w:r>
                                        </w:p>
                                      </w:sdtContent>
                                    </w:sdt>
                                    <w:p>
                                      <w:pPr>
                                        <w:pStyle w:val="15"/>
                                      </w:pPr>
                                      <w:sdt>
                                        <w:sdtPr>
                                          <w:rPr>
                                            <w:color w:val="44546A" w:themeColor="text2"/>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r>
                                            <w:rPr>
                                              <w:rFonts w:hint="eastAsia"/>
                                              <w:color w:val="44546A" w:themeColor="text2"/>
                                              <w:lang w:eastAsia="zh-CN"/>
                                              <w14:textFill>
                                                <w14:solidFill>
                                                  <w14:schemeClr w14:val="tx2"/>
                                                </w14:solidFill>
                                              </w14:textFill>
                                            </w:rPr>
                                            <w:t>International Business Communication</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60288;v-text-anchor:middle;mso-width-relative:page;mso-height-relative:page;mso-width-percent:941;mso-height-percent:773;" fillcolor="#FFFFFF [3201]" filled="t" stroked="t" coordsize="21600,21600" o:gfxdata="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HkXfJ9QAAAAFAQAADwAAAAAAAAABACAAAAAiAAAAZHJzL2Rvd25yZXYueG1sUEsBAhQA&#10;FAAAAAgAh07iQDzVMA9oAgAAAAUAAA4AAAAAAAAAAQAgAAAAIwEAAGRycy9lMm9Eb2MueG1sUEsF&#10;BgAAAAAGAAYAWQEAAP0FAAAAAA==&#10;">
                    <v:fill on="t" focussize="0,0"/>
                    <v:stroke weight="1pt" color="#000000 [3200]" miterlimit="8" joinstyle="miter"/>
                    <v:imagedata o:title=""/>
                    <o:lock v:ext="edit" aspectratio="f"/>
                    <v:textbox inset="0mm,0mm,0mm,0mm">
                      <w:txbxContent>
                        <w:tbl>
                          <w:tblPr>
                            <w:tblStyle w:val="12"/>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95"/>
                            <w:gridCol w:w="5669"/>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5"/>
                                  <w:spacing w:line="312" w:lineRule="auto"/>
                                  <w:jc w:val="right"/>
                                  <w:rPr>
                                    <w:caps/>
                                    <w:color w:val="1A1A1A" w:themeColor="text1" w:themeTint="E6"/>
                                    <w:sz w:val="72"/>
                                    <w:szCs w:val="72"/>
                                    <w14:textFill>
                                      <w14:solidFill>
                                        <w14:schemeClr w14:val="tx1">
                                          <w14:lumMod w14:val="90000"/>
                                          <w14:lumOff w14:val="10000"/>
                                        </w14:schemeClr>
                                      </w14:solidFill>
                                    </w14:textFill>
                                  </w:rPr>
                                </w:pPr>
                                <w:sdt>
                                  <w:sdtPr>
                                    <w:rPr>
                                      <w:caps/>
                                      <w:color w:val="1A1A1A" w:themeColor="text1" w:themeTint="E6"/>
                                      <w:sz w:val="72"/>
                                      <w:szCs w:val="72"/>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r>
                                      <w:rPr>
                                        <w:rFonts w:hint="eastAsia"/>
                                        <w:caps/>
                                        <w:color w:val="1A1A1A" w:themeColor="text1" w:themeTint="E6"/>
                                        <w:sz w:val="72"/>
                                        <w:szCs w:val="72"/>
                                        <w:lang w:eastAsia="zh-CN"/>
                                        <w14:textFill>
                                          <w14:solidFill>
                                            <w14:schemeClr w14:val="tx1">
                                              <w14:lumMod w14:val="90000"/>
                                              <w14:lumOff w14:val="10000"/>
                                            </w14:schemeClr>
                                          </w14:solidFill>
                                        </w14:textFill>
                                      </w:rPr>
                                      <w:t>Intercultural Communication</w:t>
                                    </w:r>
                                  </w:sdtContent>
                                </w:sdt>
                              </w:p>
                              <w:p>
                                <w:pPr>
                                  <w:jc w:val="right"/>
                                  <w:rPr>
                                    <w:sz w:val="24"/>
                                    <w:szCs w:val="24"/>
                                  </w:rPr>
                                </w:pPr>
                                <w:r>
                                  <w:rPr>
                                    <w:rFonts w:hint="eastAsia"/>
                                    <w:color w:val="000000" w:themeColor="text1"/>
                                    <w:sz w:val="24"/>
                                    <w:szCs w:val="24"/>
                                    <w14:textFill>
                                      <w14:solidFill>
                                        <w14:schemeClr w14:val="tx1"/>
                                      </w14:solidFill>
                                    </w14:textFill>
                                  </w:rPr>
                                  <w:t>Expertise analysis for entering the Asian market</w:t>
                                </w:r>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sdt>
                              </w:p>
                            </w:tc>
                            <w:tc>
                              <w:tcPr>
                                <w:tcW w:w="2432" w:type="pct"/>
                                <w:vAlign w:val="center"/>
                              </w:tcPr>
                              <w:p>
                                <w:pPr>
                                  <w:pStyle w:val="15"/>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Expertise analysis and considerations for companies entering the Asian market</w:t>
                                    </w:r>
                                  </w:p>
                                </w:sdtContent>
                              </w:sdt>
                              <w:sdt>
                                <w:sdtPr>
                                  <w:rPr>
                                    <w:rFonts w:hint="default"/>
                                    <w:color w:val="ED7D31" w:themeColor="accent2"/>
                                    <w:sz w:val="26"/>
                                    <w:szCs w:val="26"/>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5"/>
                                      <w:rPr>
                                        <w:color w:val="ED7D31" w:themeColor="accent2"/>
                                        <w:sz w:val="26"/>
                                        <w:szCs w:val="26"/>
                                        <w14:textFill>
                                          <w14:solidFill>
                                            <w14:schemeClr w14:val="accent2"/>
                                          </w14:solidFill>
                                        </w14:textFill>
                                      </w:rPr>
                                    </w:pPr>
                                    <w:r>
                                      <w:rPr>
                                        <w:rFonts w:hint="eastAsia"/>
                                        <w:color w:val="ED7D31" w:themeColor="accent2"/>
                                        <w:sz w:val="26"/>
                                        <w:szCs w:val="26"/>
                                        <w:lang w:val="en-US" w:eastAsia="zh-CN"/>
                                        <w14:textFill>
                                          <w14:solidFill>
                                            <w14:schemeClr w14:val="accent2"/>
                                          </w14:solidFill>
                                        </w14:textFill>
                                      </w:rPr>
                                      <w:t>CHUSHUAI JIN 2206276</w:t>
                                    </w:r>
                                  </w:p>
                                </w:sdtContent>
                              </w:sdt>
                              <w:p>
                                <w:pPr>
                                  <w:pStyle w:val="15"/>
                                </w:pPr>
                                <w:sdt>
                                  <w:sdtPr>
                                    <w:rPr>
                                      <w:color w:val="44546A" w:themeColor="text2"/>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r>
                                      <w:rPr>
                                        <w:rFonts w:hint="eastAsia"/>
                                        <w:color w:val="44546A" w:themeColor="text2"/>
                                        <w:lang w:eastAsia="zh-CN"/>
                                        <w14:textFill>
                                          <w14:solidFill>
                                            <w14:schemeClr w14:val="tx2"/>
                                          </w14:solidFill>
                                        </w14:textFill>
                                      </w:rPr>
                                      <w:t>International Business Communication</w:t>
                                    </w:r>
                                  </w:sdtContent>
                                </w:sdt>
                              </w:p>
                            </w:tc>
                          </w:tr>
                        </w:tbl>
                        <w:p/>
                      </w:txbxContent>
                    </v:textbox>
                  </v:shape>
                </w:pict>
              </mc:Fallback>
            </mc:AlternateContent>
          </w:r>
          <w:r>
            <w:br w:type="page"/>
          </w:r>
        </w:p>
      </w:sdtContent>
    </w:sdt>
    <w:p>
      <w:pPr>
        <w:bidi w:val="0"/>
        <w:rPr>
          <w:b/>
          <w:bCs/>
          <w:sz w:val="28"/>
          <w:szCs w:val="28"/>
        </w:rPr>
      </w:pPr>
      <w:r>
        <w:rPr>
          <w:b/>
          <w:bCs/>
          <w:sz w:val="28"/>
          <w:szCs w:val="28"/>
        </w:rPr>
        <w:t>Executive Summary</w:t>
      </w:r>
    </w:p>
    <w:p>
      <w:r>
        <w:rPr>
          <w:rFonts w:hint="eastAsia"/>
        </w:rPr>
        <w:t>The purpose of this report is to provide our clients with information and advice on promoting successful business communication in international markets, helping companies to understand different international cultures as they expand their business. The aim of this report is to provide our clients with information on the skills required to promote successful international business communication, taking into account different cultures. In this report, the importance of international business communication is first discussed and the skills required to build professional relationships with key partners in Asia are analysed. The impact of potential failures in business communication on the relationship building process is then explored and the possible reasons for failure are explained. In addition, it highlights the cultural differences that clients should be aware of in order for our clients to build appropriate professional relationships with global partners. Hall's High-Low Context Theory and the seven cultural dimensions are given in the cross-cultural communication section of this report, along with recommendations for clients. Finally, references used in this report are provided in the appendix section of this report.</w:t>
      </w:r>
    </w:p>
    <w:p/>
    <w:p/>
    <w:p/>
    <w:p/>
    <w:p/>
    <w:p/>
    <w:p/>
    <w:p/>
    <w:p/>
    <w:p>
      <w:bookmarkStart w:id="21" w:name="_GoBack"/>
      <w:bookmarkEnd w:id="21"/>
    </w:p>
    <w:p/>
    <w:p/>
    <w:p/>
    <w:p/>
    <w:p/>
    <w:p/>
    <w:p/>
    <w:p/>
    <w:p/>
    <w:p/>
    <w:p/>
    <w:sdt>
      <w:sdtPr>
        <w:rPr>
          <w:rFonts w:hint="default" w:ascii="Calibri" w:hAnsi="Calibri" w:eastAsia="宋体" w:cs="Calibri"/>
          <w:sz w:val="28"/>
          <w:szCs w:val="28"/>
          <w:lang w:val="en-GB" w:eastAsia="zh-CN" w:bidi="ar-SA"/>
        </w:rPr>
        <w:id w:val="147482091"/>
        <w15:color w:val="DBDBDB"/>
        <w:docPartObj>
          <w:docPartGallery w:val="Table of Contents"/>
          <w:docPartUnique/>
        </w:docPartObj>
      </w:sdtPr>
      <w:sdtEndPr>
        <w:rPr>
          <w:rFonts w:hint="default" w:asciiTheme="minorHAnsi" w:hAnsiTheme="minorHAnsi" w:eastAsiaTheme="minorEastAsia" w:cstheme="minorBidi"/>
          <w:sz w:val="22"/>
          <w:szCs w:val="22"/>
          <w:lang w:val="en-GB" w:eastAsia="zh-CN" w:bidi="ar-SA"/>
        </w:rPr>
      </w:sdtEndPr>
      <w:sdtContent>
        <w:p>
          <w:pPr>
            <w:spacing w:before="0" w:beforeLines="0" w:after="0" w:afterLines="0" w:line="240" w:lineRule="auto"/>
            <w:ind w:left="0" w:leftChars="0" w:right="0" w:rightChars="0" w:firstLine="0" w:firstLineChars="0"/>
            <w:jc w:val="center"/>
            <w:rPr>
              <w:rFonts w:hint="default" w:ascii="Calibri" w:hAnsi="Calibri" w:cs="Calibri"/>
              <w:sz w:val="28"/>
              <w:szCs w:val="28"/>
              <w:lang w:val="en-US"/>
            </w:rPr>
          </w:pPr>
          <w:r>
            <w:rPr>
              <w:rFonts w:hint="default" w:ascii="Calibri" w:hAnsi="Calibri" w:eastAsia="宋体" w:cs="Calibri"/>
              <w:sz w:val="28"/>
              <w:szCs w:val="28"/>
              <w:lang w:val="en-US" w:eastAsia="zh-CN" w:bidi="ar-SA"/>
            </w:rPr>
            <w:t>content</w:t>
          </w:r>
        </w:p>
        <w:p>
          <w:pPr>
            <w:pStyle w:val="9"/>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TOC \o "1-3" \h \u </w:instrText>
          </w:r>
          <w:r>
            <w:rPr>
              <w:rFonts w:hint="default" w:ascii="Calibri" w:hAnsi="Calibri" w:cs="Calibri"/>
              <w:sz w:val="28"/>
              <w:szCs w:val="28"/>
            </w:rPr>
            <w:fldChar w:fldCharType="separate"/>
          </w:r>
          <w:r>
            <w:rPr>
              <w:rFonts w:hint="default" w:ascii="Calibri" w:hAnsi="Calibri" w:cs="Calibri"/>
              <w:sz w:val="28"/>
              <w:szCs w:val="28"/>
            </w:rPr>
            <w:fldChar w:fldCharType="begin"/>
          </w:r>
          <w:r>
            <w:rPr>
              <w:rFonts w:hint="default" w:ascii="Calibri" w:hAnsi="Calibri" w:cs="Calibri"/>
              <w:sz w:val="28"/>
              <w:szCs w:val="28"/>
            </w:rPr>
            <w:instrText xml:space="preserve"> HYPERLINK \l _Toc10892 </w:instrText>
          </w:r>
          <w:r>
            <w:rPr>
              <w:rFonts w:hint="default" w:ascii="Calibri" w:hAnsi="Calibri" w:cs="Calibri"/>
              <w:sz w:val="28"/>
              <w:szCs w:val="28"/>
            </w:rPr>
            <w:fldChar w:fldCharType="separate"/>
          </w:r>
          <w:r>
            <w:rPr>
              <w:rFonts w:hint="default" w:ascii="Calibri" w:hAnsi="Calibri" w:cs="Calibri"/>
              <w:sz w:val="28"/>
              <w:szCs w:val="28"/>
            </w:rPr>
            <w:t>1.0 Introduction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_Toc10892 \h </w:instrText>
          </w:r>
          <w:r>
            <w:rPr>
              <w:rFonts w:hint="default" w:ascii="Calibri" w:hAnsi="Calibri" w:cs="Calibri"/>
              <w:sz w:val="28"/>
              <w:szCs w:val="28"/>
            </w:rPr>
            <w:fldChar w:fldCharType="separate"/>
          </w:r>
          <w:r>
            <w:rPr>
              <w:rFonts w:hint="default" w:ascii="Calibri" w:hAnsi="Calibri" w:cs="Calibri"/>
              <w:sz w:val="28"/>
              <w:szCs w:val="28"/>
            </w:rPr>
            <w:t>1</w:t>
          </w:r>
          <w:r>
            <w:rPr>
              <w:rFonts w:hint="default" w:ascii="Calibri" w:hAnsi="Calibri" w:cs="Calibri"/>
              <w:sz w:val="28"/>
              <w:szCs w:val="28"/>
            </w:rPr>
            <w:fldChar w:fldCharType="end"/>
          </w:r>
          <w:r>
            <w:rPr>
              <w:rFonts w:hint="default" w:ascii="Calibri" w:hAnsi="Calibri" w:cs="Calibri"/>
              <w:sz w:val="28"/>
              <w:szCs w:val="28"/>
            </w:rPr>
            <w:fldChar w:fldCharType="end"/>
          </w:r>
        </w:p>
        <w:p>
          <w:pPr>
            <w:pStyle w:val="9"/>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_Toc22344 </w:instrText>
          </w:r>
          <w:r>
            <w:rPr>
              <w:rFonts w:hint="default" w:ascii="Calibri" w:hAnsi="Calibri" w:cs="Calibri"/>
              <w:sz w:val="28"/>
              <w:szCs w:val="28"/>
            </w:rPr>
            <w:fldChar w:fldCharType="separate"/>
          </w:r>
          <w:r>
            <w:rPr>
              <w:rFonts w:hint="default" w:ascii="Calibri" w:hAnsi="Calibri" w:cs="Calibri"/>
              <w:sz w:val="28"/>
              <w:szCs w:val="28"/>
            </w:rPr>
            <w:t>2.0 Definition of International Business Communication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_Toc22344 \h </w:instrText>
          </w:r>
          <w:r>
            <w:rPr>
              <w:rFonts w:hint="default" w:ascii="Calibri" w:hAnsi="Calibri" w:cs="Calibri"/>
              <w:sz w:val="28"/>
              <w:szCs w:val="28"/>
            </w:rPr>
            <w:fldChar w:fldCharType="separate"/>
          </w:r>
          <w:r>
            <w:rPr>
              <w:rFonts w:hint="default" w:ascii="Calibri" w:hAnsi="Calibri" w:cs="Calibri"/>
              <w:sz w:val="28"/>
              <w:szCs w:val="28"/>
            </w:rPr>
            <w:t>2</w:t>
          </w:r>
          <w:r>
            <w:rPr>
              <w:rFonts w:hint="default" w:ascii="Calibri" w:hAnsi="Calibri" w:cs="Calibri"/>
              <w:sz w:val="28"/>
              <w:szCs w:val="28"/>
            </w:rPr>
            <w:fldChar w:fldCharType="end"/>
          </w:r>
          <w:r>
            <w:rPr>
              <w:rFonts w:hint="default" w:ascii="Calibri" w:hAnsi="Calibri" w:cs="Calibri"/>
              <w:sz w:val="28"/>
              <w:szCs w:val="28"/>
            </w:rPr>
            <w:fldChar w:fldCharType="end"/>
          </w:r>
        </w:p>
        <w:p>
          <w:pPr>
            <w:pStyle w:val="10"/>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_Toc14732 </w:instrText>
          </w:r>
          <w:r>
            <w:rPr>
              <w:rFonts w:hint="default" w:ascii="Calibri" w:hAnsi="Calibri" w:cs="Calibri"/>
              <w:sz w:val="28"/>
              <w:szCs w:val="28"/>
            </w:rPr>
            <w:fldChar w:fldCharType="separate"/>
          </w:r>
          <w:r>
            <w:rPr>
              <w:rFonts w:hint="default" w:ascii="Calibri" w:hAnsi="Calibri" w:cs="Calibri"/>
              <w:sz w:val="28"/>
              <w:szCs w:val="28"/>
              <w:lang w:val="en-US" w:eastAsia="zh-CN"/>
            </w:rPr>
            <w:t>2.1 Skills for international business communication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_Toc14732 \h </w:instrText>
          </w:r>
          <w:r>
            <w:rPr>
              <w:rFonts w:hint="default" w:ascii="Calibri" w:hAnsi="Calibri" w:cs="Calibri"/>
              <w:sz w:val="28"/>
              <w:szCs w:val="28"/>
            </w:rPr>
            <w:fldChar w:fldCharType="separate"/>
          </w:r>
          <w:r>
            <w:rPr>
              <w:rFonts w:hint="default" w:ascii="Calibri" w:hAnsi="Calibri" w:cs="Calibri"/>
              <w:sz w:val="28"/>
              <w:szCs w:val="28"/>
            </w:rPr>
            <w:t>2</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_Toc12036 </w:instrText>
          </w:r>
          <w:r>
            <w:rPr>
              <w:rFonts w:hint="default" w:ascii="Calibri" w:hAnsi="Calibri" w:cs="Calibri"/>
              <w:sz w:val="28"/>
              <w:szCs w:val="28"/>
            </w:rPr>
            <w:fldChar w:fldCharType="separate"/>
          </w:r>
          <w:r>
            <w:rPr>
              <w:rFonts w:hint="default" w:ascii="Calibri" w:hAnsi="Calibri" w:cs="Calibri"/>
              <w:sz w:val="28"/>
              <w:szCs w:val="28"/>
              <w:lang w:val="en-US" w:eastAsia="zh-CN"/>
            </w:rPr>
            <w:t>2.1.1 Language skills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_Toc12036 \h </w:instrText>
          </w:r>
          <w:r>
            <w:rPr>
              <w:rFonts w:hint="default" w:ascii="Calibri" w:hAnsi="Calibri" w:cs="Calibri"/>
              <w:sz w:val="28"/>
              <w:szCs w:val="28"/>
            </w:rPr>
            <w:fldChar w:fldCharType="separate"/>
          </w:r>
          <w:r>
            <w:rPr>
              <w:rFonts w:hint="default" w:ascii="Calibri" w:hAnsi="Calibri" w:cs="Calibri"/>
              <w:sz w:val="28"/>
              <w:szCs w:val="28"/>
            </w:rPr>
            <w:t>2</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_Toc14532 </w:instrText>
          </w:r>
          <w:r>
            <w:rPr>
              <w:rFonts w:hint="default" w:ascii="Calibri" w:hAnsi="Calibri" w:cs="Calibri"/>
              <w:sz w:val="28"/>
              <w:szCs w:val="28"/>
            </w:rPr>
            <w:fldChar w:fldCharType="separate"/>
          </w:r>
          <w:r>
            <w:rPr>
              <w:rFonts w:hint="default" w:ascii="Calibri" w:hAnsi="Calibri" w:cs="Calibri"/>
              <w:sz w:val="28"/>
              <w:szCs w:val="28"/>
              <w:lang w:val="en-US" w:eastAsia="zh-CN"/>
            </w:rPr>
            <w:t>2.1.2  Communication skills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_Toc14532 \h </w:instrText>
          </w:r>
          <w:r>
            <w:rPr>
              <w:rFonts w:hint="default" w:ascii="Calibri" w:hAnsi="Calibri" w:cs="Calibri"/>
              <w:sz w:val="28"/>
              <w:szCs w:val="28"/>
            </w:rPr>
            <w:fldChar w:fldCharType="separate"/>
          </w:r>
          <w:r>
            <w:rPr>
              <w:rFonts w:hint="default" w:ascii="Calibri" w:hAnsi="Calibri" w:cs="Calibri"/>
              <w:sz w:val="28"/>
              <w:szCs w:val="28"/>
            </w:rPr>
            <w:t>2</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_Toc24637 </w:instrText>
          </w:r>
          <w:r>
            <w:rPr>
              <w:rFonts w:hint="default" w:ascii="Calibri" w:hAnsi="Calibri" w:cs="Calibri"/>
              <w:sz w:val="28"/>
              <w:szCs w:val="28"/>
            </w:rPr>
            <w:fldChar w:fldCharType="separate"/>
          </w:r>
          <w:r>
            <w:rPr>
              <w:rFonts w:hint="default" w:ascii="Calibri" w:hAnsi="Calibri" w:cs="Calibri"/>
              <w:sz w:val="28"/>
              <w:szCs w:val="28"/>
              <w:lang w:val="en-US" w:eastAsia="zh-CN"/>
            </w:rPr>
            <w:t xml:space="preserve">2.1.3 </w:t>
          </w:r>
          <w:r>
            <w:rPr>
              <w:rFonts w:hint="default" w:ascii="Calibri" w:hAnsi="Calibri" w:cs="Calibri"/>
              <w:sz w:val="28"/>
              <w:szCs w:val="28"/>
            </w:rPr>
            <w:t>Coordination skills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_Toc24637 \h </w:instrText>
          </w:r>
          <w:r>
            <w:rPr>
              <w:rFonts w:hint="default" w:ascii="Calibri" w:hAnsi="Calibri" w:cs="Calibri"/>
              <w:sz w:val="28"/>
              <w:szCs w:val="28"/>
            </w:rPr>
            <w:fldChar w:fldCharType="separate"/>
          </w:r>
          <w:r>
            <w:rPr>
              <w:rFonts w:hint="default" w:ascii="Calibri" w:hAnsi="Calibri" w:cs="Calibri"/>
              <w:sz w:val="28"/>
              <w:szCs w:val="28"/>
            </w:rPr>
            <w:t>2</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_Toc21011 </w:instrText>
          </w:r>
          <w:r>
            <w:rPr>
              <w:rFonts w:hint="default" w:ascii="Calibri" w:hAnsi="Calibri" w:cs="Calibri"/>
              <w:sz w:val="28"/>
              <w:szCs w:val="28"/>
            </w:rPr>
            <w:fldChar w:fldCharType="separate"/>
          </w:r>
          <w:r>
            <w:rPr>
              <w:rFonts w:hint="default" w:ascii="Calibri" w:hAnsi="Calibri" w:cs="Calibri"/>
              <w:sz w:val="28"/>
              <w:szCs w:val="28"/>
              <w:lang w:val="en-US" w:eastAsia="zh-CN"/>
            </w:rPr>
            <w:t xml:space="preserve">2.1.4 </w:t>
          </w:r>
          <w:r>
            <w:rPr>
              <w:rFonts w:hint="default" w:ascii="Calibri" w:hAnsi="Calibri" w:cs="Calibri"/>
              <w:sz w:val="28"/>
              <w:szCs w:val="28"/>
            </w:rPr>
            <w:t>Cultural differences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_Toc21011 \h </w:instrText>
          </w:r>
          <w:r>
            <w:rPr>
              <w:rFonts w:hint="default" w:ascii="Calibri" w:hAnsi="Calibri" w:cs="Calibri"/>
              <w:sz w:val="28"/>
              <w:szCs w:val="28"/>
            </w:rPr>
            <w:fldChar w:fldCharType="separate"/>
          </w:r>
          <w:r>
            <w:rPr>
              <w:rFonts w:hint="default" w:ascii="Calibri" w:hAnsi="Calibri" w:cs="Calibri"/>
              <w:sz w:val="28"/>
              <w:szCs w:val="28"/>
            </w:rPr>
            <w:t>3</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_Toc24706 </w:instrText>
          </w:r>
          <w:r>
            <w:rPr>
              <w:rFonts w:hint="default" w:ascii="Calibri" w:hAnsi="Calibri" w:cs="Calibri"/>
              <w:sz w:val="28"/>
              <w:szCs w:val="28"/>
            </w:rPr>
            <w:fldChar w:fldCharType="separate"/>
          </w:r>
          <w:r>
            <w:rPr>
              <w:rFonts w:hint="default" w:ascii="Calibri" w:hAnsi="Calibri" w:cs="Calibri"/>
              <w:sz w:val="28"/>
              <w:szCs w:val="28"/>
              <w:lang w:val="en-US" w:eastAsia="zh-CN"/>
            </w:rPr>
            <w:t>2.1.5Manners and customs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_Toc24706 \h </w:instrText>
          </w:r>
          <w:r>
            <w:rPr>
              <w:rFonts w:hint="default" w:ascii="Calibri" w:hAnsi="Calibri" w:cs="Calibri"/>
              <w:sz w:val="28"/>
              <w:szCs w:val="28"/>
            </w:rPr>
            <w:fldChar w:fldCharType="separate"/>
          </w:r>
          <w:r>
            <w:rPr>
              <w:rFonts w:hint="default" w:ascii="Calibri" w:hAnsi="Calibri" w:cs="Calibri"/>
              <w:sz w:val="28"/>
              <w:szCs w:val="28"/>
            </w:rPr>
            <w:t>3</w:t>
          </w:r>
          <w:r>
            <w:rPr>
              <w:rFonts w:hint="default" w:ascii="Calibri" w:hAnsi="Calibri" w:cs="Calibri"/>
              <w:sz w:val="28"/>
              <w:szCs w:val="28"/>
            </w:rPr>
            <w:fldChar w:fldCharType="end"/>
          </w:r>
          <w:r>
            <w:rPr>
              <w:rFonts w:hint="default" w:ascii="Calibri" w:hAnsi="Calibri" w:cs="Calibri"/>
              <w:sz w:val="28"/>
              <w:szCs w:val="28"/>
            </w:rPr>
            <w:fldChar w:fldCharType="end"/>
          </w:r>
        </w:p>
        <w:p>
          <w:pPr>
            <w:pStyle w:val="10"/>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_Toc29521 </w:instrText>
          </w:r>
          <w:r>
            <w:rPr>
              <w:rFonts w:hint="default" w:ascii="Calibri" w:hAnsi="Calibri" w:cs="Calibri"/>
              <w:sz w:val="28"/>
              <w:szCs w:val="28"/>
            </w:rPr>
            <w:fldChar w:fldCharType="separate"/>
          </w:r>
          <w:r>
            <w:rPr>
              <w:rFonts w:hint="default" w:ascii="Calibri" w:hAnsi="Calibri" w:cs="Calibri"/>
              <w:sz w:val="28"/>
              <w:szCs w:val="28"/>
              <w:lang w:val="en-US" w:eastAsia="zh-CN"/>
            </w:rPr>
            <w:t>2.2</w:t>
          </w:r>
          <w:r>
            <w:rPr>
              <w:rFonts w:hint="default" w:ascii="Calibri" w:hAnsi="Calibri" w:cs="Calibri"/>
              <w:sz w:val="28"/>
              <w:szCs w:val="28"/>
            </w:rPr>
            <w:t>Approaches to International Business Communication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_Toc29521 \h </w:instrText>
          </w:r>
          <w:r>
            <w:rPr>
              <w:rFonts w:hint="default" w:ascii="Calibri" w:hAnsi="Calibri" w:cs="Calibri"/>
              <w:sz w:val="28"/>
              <w:szCs w:val="28"/>
            </w:rPr>
            <w:fldChar w:fldCharType="separate"/>
          </w:r>
          <w:r>
            <w:rPr>
              <w:rFonts w:hint="default" w:ascii="Calibri" w:hAnsi="Calibri" w:cs="Calibri"/>
              <w:sz w:val="28"/>
              <w:szCs w:val="28"/>
            </w:rPr>
            <w:t>3</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_Toc705 </w:instrText>
          </w:r>
          <w:r>
            <w:rPr>
              <w:rFonts w:hint="default" w:ascii="Calibri" w:hAnsi="Calibri" w:cs="Calibri"/>
              <w:sz w:val="28"/>
              <w:szCs w:val="28"/>
            </w:rPr>
            <w:fldChar w:fldCharType="separate"/>
          </w:r>
          <w:r>
            <w:rPr>
              <w:rFonts w:hint="default" w:ascii="Calibri" w:hAnsi="Calibri" w:cs="Calibri"/>
              <w:sz w:val="28"/>
              <w:szCs w:val="28"/>
              <w:lang w:val="en-US" w:eastAsia="zh-CN"/>
            </w:rPr>
            <w:t>2.2.1</w:t>
          </w:r>
          <w:r>
            <w:rPr>
              <w:rFonts w:hint="default" w:ascii="Calibri" w:hAnsi="Calibri" w:cs="Calibri"/>
              <w:sz w:val="28"/>
              <w:szCs w:val="28"/>
            </w:rPr>
            <w:t>Oral communication, written communication, non-verbal communication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_Toc705 \h </w:instrText>
          </w:r>
          <w:r>
            <w:rPr>
              <w:rFonts w:hint="default" w:ascii="Calibri" w:hAnsi="Calibri" w:cs="Calibri"/>
              <w:sz w:val="28"/>
              <w:szCs w:val="28"/>
            </w:rPr>
            <w:fldChar w:fldCharType="separate"/>
          </w:r>
          <w:r>
            <w:rPr>
              <w:rFonts w:hint="default" w:ascii="Calibri" w:hAnsi="Calibri" w:cs="Calibri"/>
              <w:sz w:val="28"/>
              <w:szCs w:val="28"/>
            </w:rPr>
            <w:t>3</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_Toc13890 </w:instrText>
          </w:r>
          <w:r>
            <w:rPr>
              <w:rFonts w:hint="default" w:ascii="Calibri" w:hAnsi="Calibri" w:cs="Calibri"/>
              <w:sz w:val="28"/>
              <w:szCs w:val="28"/>
            </w:rPr>
            <w:fldChar w:fldCharType="separate"/>
          </w:r>
          <w:r>
            <w:rPr>
              <w:rFonts w:hint="default" w:ascii="Calibri" w:hAnsi="Calibri" w:cs="Calibri"/>
              <w:sz w:val="28"/>
              <w:szCs w:val="28"/>
              <w:lang w:val="en-US" w:eastAsia="zh-CN"/>
            </w:rPr>
            <w:t>2.2.2Intercultural communication, online communication, networking</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_Toc13890 \h </w:instrText>
          </w:r>
          <w:r>
            <w:rPr>
              <w:rFonts w:hint="default" w:ascii="Calibri" w:hAnsi="Calibri" w:cs="Calibri"/>
              <w:sz w:val="28"/>
              <w:szCs w:val="28"/>
            </w:rPr>
            <w:fldChar w:fldCharType="separate"/>
          </w:r>
          <w:r>
            <w:rPr>
              <w:rFonts w:hint="default" w:ascii="Calibri" w:hAnsi="Calibri" w:cs="Calibri"/>
              <w:sz w:val="28"/>
              <w:szCs w:val="28"/>
            </w:rPr>
            <w:t>3</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_Toc2556 </w:instrText>
          </w:r>
          <w:r>
            <w:rPr>
              <w:rFonts w:hint="default" w:ascii="Calibri" w:hAnsi="Calibri" w:cs="Calibri"/>
              <w:sz w:val="28"/>
              <w:szCs w:val="28"/>
            </w:rPr>
            <w:fldChar w:fldCharType="separate"/>
          </w:r>
          <w:r>
            <w:rPr>
              <w:rFonts w:hint="default" w:ascii="Calibri" w:hAnsi="Calibri" w:cs="Calibri"/>
              <w:sz w:val="28"/>
              <w:szCs w:val="28"/>
              <w:lang w:val="en-US" w:eastAsia="zh-CN"/>
            </w:rPr>
            <w:t>2.2.3Effective International Business Communication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_Toc2556 \h </w:instrText>
          </w:r>
          <w:r>
            <w:rPr>
              <w:rFonts w:hint="default" w:ascii="Calibri" w:hAnsi="Calibri" w:cs="Calibri"/>
              <w:sz w:val="28"/>
              <w:szCs w:val="28"/>
            </w:rPr>
            <w:fldChar w:fldCharType="separate"/>
          </w:r>
          <w:r>
            <w:rPr>
              <w:rFonts w:hint="default" w:ascii="Calibri" w:hAnsi="Calibri" w:cs="Calibri"/>
              <w:sz w:val="28"/>
              <w:szCs w:val="28"/>
            </w:rPr>
            <w:t>4</w:t>
          </w:r>
          <w:r>
            <w:rPr>
              <w:rFonts w:hint="default" w:ascii="Calibri" w:hAnsi="Calibri" w:cs="Calibri"/>
              <w:sz w:val="28"/>
              <w:szCs w:val="28"/>
            </w:rPr>
            <w:fldChar w:fldCharType="end"/>
          </w:r>
          <w:r>
            <w:rPr>
              <w:rFonts w:hint="default" w:ascii="Calibri" w:hAnsi="Calibri" w:cs="Calibri"/>
              <w:sz w:val="28"/>
              <w:szCs w:val="28"/>
            </w:rPr>
            <w:fldChar w:fldCharType="end"/>
          </w:r>
        </w:p>
        <w:p>
          <w:pPr>
            <w:pStyle w:val="10"/>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_Toc18698 </w:instrText>
          </w:r>
          <w:r>
            <w:rPr>
              <w:rFonts w:hint="default" w:ascii="Calibri" w:hAnsi="Calibri" w:cs="Calibri"/>
              <w:sz w:val="28"/>
              <w:szCs w:val="28"/>
            </w:rPr>
            <w:fldChar w:fldCharType="separate"/>
          </w:r>
          <w:r>
            <w:rPr>
              <w:rFonts w:hint="default" w:ascii="Calibri" w:hAnsi="Calibri" w:cs="Calibri"/>
              <w:sz w:val="28"/>
              <w:szCs w:val="28"/>
              <w:lang w:val="en-US" w:eastAsia="zh-CN"/>
            </w:rPr>
            <w:t>2.3</w:t>
          </w:r>
          <w:r>
            <w:rPr>
              <w:rFonts w:hint="default" w:ascii="Calibri" w:hAnsi="Calibri" w:cs="Calibri"/>
              <w:sz w:val="28"/>
              <w:szCs w:val="28"/>
            </w:rPr>
            <w:t>The importance of a variety of skills to build relationships with key partners in Asia</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_Toc18698 \h </w:instrText>
          </w:r>
          <w:r>
            <w:rPr>
              <w:rFonts w:hint="default" w:ascii="Calibri" w:hAnsi="Calibri" w:cs="Calibri"/>
              <w:sz w:val="28"/>
              <w:szCs w:val="28"/>
            </w:rPr>
            <w:fldChar w:fldCharType="separate"/>
          </w:r>
          <w:r>
            <w:rPr>
              <w:rFonts w:hint="default" w:ascii="Calibri" w:hAnsi="Calibri" w:cs="Calibri"/>
              <w:sz w:val="28"/>
              <w:szCs w:val="28"/>
            </w:rPr>
            <w:t>4</w:t>
          </w:r>
          <w:r>
            <w:rPr>
              <w:rFonts w:hint="default" w:ascii="Calibri" w:hAnsi="Calibri" w:cs="Calibri"/>
              <w:sz w:val="28"/>
              <w:szCs w:val="28"/>
            </w:rPr>
            <w:fldChar w:fldCharType="end"/>
          </w:r>
          <w:r>
            <w:rPr>
              <w:rFonts w:hint="default" w:ascii="Calibri" w:hAnsi="Calibri" w:cs="Calibri"/>
              <w:sz w:val="28"/>
              <w:szCs w:val="28"/>
            </w:rPr>
            <w:fldChar w:fldCharType="end"/>
          </w:r>
        </w:p>
        <w:p>
          <w:pPr>
            <w:pStyle w:val="10"/>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_Toc3679 </w:instrText>
          </w:r>
          <w:r>
            <w:rPr>
              <w:rFonts w:hint="default" w:ascii="Calibri" w:hAnsi="Calibri" w:cs="Calibri"/>
              <w:sz w:val="28"/>
              <w:szCs w:val="28"/>
            </w:rPr>
            <w:fldChar w:fldCharType="separate"/>
          </w:r>
          <w:r>
            <w:rPr>
              <w:rFonts w:hint="default" w:ascii="Calibri" w:hAnsi="Calibri" w:cs="Calibri"/>
              <w:bCs/>
              <w:sz w:val="28"/>
              <w:szCs w:val="28"/>
              <w:lang w:val="en-US" w:eastAsia="zh-CN"/>
            </w:rPr>
            <w:t>2.4</w:t>
          </w:r>
          <w:r>
            <w:rPr>
              <w:rFonts w:hint="default" w:ascii="Calibri" w:hAnsi="Calibri" w:cs="Calibri"/>
              <w:bCs/>
              <w:sz w:val="28"/>
              <w:szCs w:val="28"/>
            </w:rPr>
            <w:t>Reasons why relationships may fail, implications of potential failure</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_Toc3679 \h </w:instrText>
          </w:r>
          <w:r>
            <w:rPr>
              <w:rFonts w:hint="default" w:ascii="Calibri" w:hAnsi="Calibri" w:cs="Calibri"/>
              <w:sz w:val="28"/>
              <w:szCs w:val="28"/>
            </w:rPr>
            <w:fldChar w:fldCharType="separate"/>
          </w:r>
          <w:r>
            <w:rPr>
              <w:rFonts w:hint="default" w:ascii="Calibri" w:hAnsi="Calibri" w:cs="Calibri"/>
              <w:sz w:val="28"/>
              <w:szCs w:val="28"/>
            </w:rPr>
            <w:t>5</w:t>
          </w:r>
          <w:r>
            <w:rPr>
              <w:rFonts w:hint="default" w:ascii="Calibri" w:hAnsi="Calibri" w:cs="Calibri"/>
              <w:sz w:val="28"/>
              <w:szCs w:val="28"/>
            </w:rPr>
            <w:fldChar w:fldCharType="end"/>
          </w:r>
          <w:r>
            <w:rPr>
              <w:rFonts w:hint="default" w:ascii="Calibri" w:hAnsi="Calibri" w:cs="Calibri"/>
              <w:sz w:val="28"/>
              <w:szCs w:val="28"/>
            </w:rPr>
            <w:fldChar w:fldCharType="end"/>
          </w:r>
        </w:p>
        <w:p>
          <w:pPr>
            <w:pStyle w:val="10"/>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_Toc25424 </w:instrText>
          </w:r>
          <w:r>
            <w:rPr>
              <w:rFonts w:hint="default" w:ascii="Calibri" w:hAnsi="Calibri" w:cs="Calibri"/>
              <w:sz w:val="28"/>
              <w:szCs w:val="28"/>
            </w:rPr>
            <w:fldChar w:fldCharType="separate"/>
          </w:r>
          <w:r>
            <w:rPr>
              <w:rFonts w:hint="default" w:ascii="Calibri" w:hAnsi="Calibri" w:cs="Calibri"/>
              <w:sz w:val="28"/>
              <w:szCs w:val="28"/>
              <w:lang w:val="en-US" w:eastAsia="zh-CN"/>
            </w:rPr>
            <w:t>2.5Intercultural Communication</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_Toc25424 \h </w:instrText>
          </w:r>
          <w:r>
            <w:rPr>
              <w:rFonts w:hint="default" w:ascii="Calibri" w:hAnsi="Calibri" w:cs="Calibri"/>
              <w:sz w:val="28"/>
              <w:szCs w:val="28"/>
            </w:rPr>
            <w:fldChar w:fldCharType="separate"/>
          </w:r>
          <w:r>
            <w:rPr>
              <w:rFonts w:hint="default" w:ascii="Calibri" w:hAnsi="Calibri" w:cs="Calibri"/>
              <w:sz w:val="28"/>
              <w:szCs w:val="28"/>
            </w:rPr>
            <w:t>5</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_Toc12385 </w:instrText>
          </w:r>
          <w:r>
            <w:rPr>
              <w:rFonts w:hint="default" w:ascii="Calibri" w:hAnsi="Calibri" w:cs="Calibri"/>
              <w:sz w:val="28"/>
              <w:szCs w:val="28"/>
            </w:rPr>
            <w:fldChar w:fldCharType="separate"/>
          </w:r>
          <w:r>
            <w:rPr>
              <w:rFonts w:hint="default" w:ascii="Calibri" w:hAnsi="Calibri" w:cs="Calibri"/>
              <w:sz w:val="28"/>
              <w:szCs w:val="28"/>
              <w:lang w:val="en-US" w:eastAsia="zh-CN"/>
            </w:rPr>
            <w:t>2.5.1Culture and the components of culture</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_Toc12385 \h </w:instrText>
          </w:r>
          <w:r>
            <w:rPr>
              <w:rFonts w:hint="default" w:ascii="Calibri" w:hAnsi="Calibri" w:cs="Calibri"/>
              <w:sz w:val="28"/>
              <w:szCs w:val="28"/>
            </w:rPr>
            <w:fldChar w:fldCharType="separate"/>
          </w:r>
          <w:r>
            <w:rPr>
              <w:rFonts w:hint="default" w:ascii="Calibri" w:hAnsi="Calibri" w:cs="Calibri"/>
              <w:sz w:val="28"/>
              <w:szCs w:val="28"/>
            </w:rPr>
            <w:t>5</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_Toc30068 </w:instrText>
          </w:r>
          <w:r>
            <w:rPr>
              <w:rFonts w:hint="default" w:ascii="Calibri" w:hAnsi="Calibri" w:cs="Calibri"/>
              <w:sz w:val="28"/>
              <w:szCs w:val="28"/>
            </w:rPr>
            <w:fldChar w:fldCharType="separate"/>
          </w:r>
          <w:r>
            <w:rPr>
              <w:rFonts w:hint="default" w:ascii="Calibri" w:hAnsi="Calibri" w:cs="Calibri"/>
              <w:sz w:val="28"/>
              <w:szCs w:val="28"/>
              <w:lang w:val="en-US" w:eastAsia="zh-CN"/>
            </w:rPr>
            <w:t>2.5.3Hall's theory of high and low contexts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_Toc30068 \h </w:instrText>
          </w:r>
          <w:r>
            <w:rPr>
              <w:rFonts w:hint="default" w:ascii="Calibri" w:hAnsi="Calibri" w:cs="Calibri"/>
              <w:sz w:val="28"/>
              <w:szCs w:val="28"/>
            </w:rPr>
            <w:fldChar w:fldCharType="separate"/>
          </w:r>
          <w:r>
            <w:rPr>
              <w:rFonts w:hint="default" w:ascii="Calibri" w:hAnsi="Calibri" w:cs="Calibri"/>
              <w:sz w:val="28"/>
              <w:szCs w:val="28"/>
            </w:rPr>
            <w:t>6</w:t>
          </w:r>
          <w:r>
            <w:rPr>
              <w:rFonts w:hint="default" w:ascii="Calibri" w:hAnsi="Calibri" w:cs="Calibri"/>
              <w:sz w:val="28"/>
              <w:szCs w:val="28"/>
            </w:rPr>
            <w:fldChar w:fldCharType="end"/>
          </w:r>
          <w:r>
            <w:rPr>
              <w:rFonts w:hint="default" w:ascii="Calibri" w:hAnsi="Calibri" w:cs="Calibri"/>
              <w:sz w:val="28"/>
              <w:szCs w:val="28"/>
            </w:rPr>
            <w:fldChar w:fldCharType="end"/>
          </w:r>
        </w:p>
        <w:p>
          <w:pPr>
            <w:pStyle w:val="6"/>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_Toc12695 </w:instrText>
          </w:r>
          <w:r>
            <w:rPr>
              <w:rFonts w:hint="default" w:ascii="Calibri" w:hAnsi="Calibri" w:cs="Calibri"/>
              <w:sz w:val="28"/>
              <w:szCs w:val="28"/>
            </w:rPr>
            <w:fldChar w:fldCharType="separate"/>
          </w:r>
          <w:r>
            <w:rPr>
              <w:rFonts w:hint="default" w:ascii="Calibri" w:hAnsi="Calibri" w:cs="Calibri"/>
              <w:sz w:val="28"/>
              <w:szCs w:val="28"/>
              <w:lang w:val="en-US" w:eastAsia="zh-CN"/>
            </w:rPr>
            <w:t>2.5.4</w:t>
          </w:r>
          <w:r>
            <w:rPr>
              <w:rFonts w:hint="default" w:ascii="Calibri" w:hAnsi="Calibri" w:cs="Calibri"/>
              <w:bCs/>
              <w:sz w:val="28"/>
              <w:szCs w:val="28"/>
              <w:lang w:val="en-US" w:eastAsia="zh-CN"/>
            </w:rPr>
            <w:t>The 7 cultural dimensions of Trompenaar</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_Toc12695 \h </w:instrText>
          </w:r>
          <w:r>
            <w:rPr>
              <w:rFonts w:hint="default" w:ascii="Calibri" w:hAnsi="Calibri" w:cs="Calibri"/>
              <w:sz w:val="28"/>
              <w:szCs w:val="28"/>
            </w:rPr>
            <w:fldChar w:fldCharType="separate"/>
          </w:r>
          <w:r>
            <w:rPr>
              <w:rFonts w:hint="default" w:ascii="Calibri" w:hAnsi="Calibri" w:cs="Calibri"/>
              <w:sz w:val="28"/>
              <w:szCs w:val="28"/>
            </w:rPr>
            <w:t>6</w:t>
          </w:r>
          <w:r>
            <w:rPr>
              <w:rFonts w:hint="default" w:ascii="Calibri" w:hAnsi="Calibri" w:cs="Calibri"/>
              <w:sz w:val="28"/>
              <w:szCs w:val="28"/>
            </w:rPr>
            <w:fldChar w:fldCharType="end"/>
          </w:r>
          <w:r>
            <w:rPr>
              <w:rFonts w:hint="default" w:ascii="Calibri" w:hAnsi="Calibri" w:cs="Calibri"/>
              <w:sz w:val="28"/>
              <w:szCs w:val="28"/>
            </w:rPr>
            <w:fldChar w:fldCharType="end"/>
          </w:r>
        </w:p>
        <w:p>
          <w:pPr>
            <w:pStyle w:val="9"/>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_Toc27272 </w:instrText>
          </w:r>
          <w:r>
            <w:rPr>
              <w:rFonts w:hint="default" w:ascii="Calibri" w:hAnsi="Calibri" w:cs="Calibri"/>
              <w:sz w:val="28"/>
              <w:szCs w:val="28"/>
            </w:rPr>
            <w:fldChar w:fldCharType="separate"/>
          </w:r>
          <w:r>
            <w:rPr>
              <w:rFonts w:hint="default" w:ascii="Calibri" w:hAnsi="Calibri" w:cs="Calibri"/>
              <w:sz w:val="28"/>
              <w:szCs w:val="28"/>
            </w:rPr>
            <w:t xml:space="preserve">3.0 </w:t>
          </w:r>
          <w:r>
            <w:rPr>
              <w:rFonts w:hint="default" w:ascii="Calibri" w:hAnsi="Calibri" w:eastAsia="宋体" w:cs="Calibri"/>
              <w:sz w:val="28"/>
              <w:szCs w:val="28"/>
              <w:lang w:val="en-US" w:eastAsia="zh-CN"/>
            </w:rPr>
            <w:t xml:space="preserve"> </w:t>
          </w:r>
          <w:r>
            <w:rPr>
              <w:rFonts w:hint="default" w:ascii="Calibri" w:hAnsi="Calibri" w:cs="Calibri"/>
              <w:sz w:val="28"/>
              <w:szCs w:val="28"/>
            </w:rPr>
            <w:t>Conclusions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_Toc27272 \h </w:instrText>
          </w:r>
          <w:r>
            <w:rPr>
              <w:rFonts w:hint="default" w:ascii="Calibri" w:hAnsi="Calibri" w:cs="Calibri"/>
              <w:sz w:val="28"/>
              <w:szCs w:val="28"/>
            </w:rPr>
            <w:fldChar w:fldCharType="separate"/>
          </w:r>
          <w:r>
            <w:rPr>
              <w:rFonts w:hint="default" w:ascii="Calibri" w:hAnsi="Calibri" w:cs="Calibri"/>
              <w:sz w:val="28"/>
              <w:szCs w:val="28"/>
            </w:rPr>
            <w:t>8</w:t>
          </w:r>
          <w:r>
            <w:rPr>
              <w:rFonts w:hint="default" w:ascii="Calibri" w:hAnsi="Calibri" w:cs="Calibri"/>
              <w:sz w:val="28"/>
              <w:szCs w:val="28"/>
            </w:rPr>
            <w:fldChar w:fldCharType="end"/>
          </w:r>
          <w:r>
            <w:rPr>
              <w:rFonts w:hint="default" w:ascii="Calibri" w:hAnsi="Calibri" w:cs="Calibri"/>
              <w:sz w:val="28"/>
              <w:szCs w:val="28"/>
            </w:rPr>
            <w:fldChar w:fldCharType="end"/>
          </w:r>
        </w:p>
        <w:p>
          <w:pPr>
            <w:pStyle w:val="9"/>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_Toc2393 </w:instrText>
          </w:r>
          <w:r>
            <w:rPr>
              <w:rFonts w:hint="default" w:ascii="Calibri" w:hAnsi="Calibri" w:cs="Calibri"/>
              <w:sz w:val="28"/>
              <w:szCs w:val="28"/>
            </w:rPr>
            <w:fldChar w:fldCharType="separate"/>
          </w:r>
          <w:r>
            <w:rPr>
              <w:rFonts w:hint="default" w:ascii="Calibri" w:hAnsi="Calibri" w:eastAsia="宋体" w:cs="Calibri"/>
              <w:sz w:val="28"/>
              <w:szCs w:val="28"/>
              <w:lang w:val="en-US" w:eastAsia="zh-CN"/>
            </w:rPr>
            <w:t xml:space="preserve">4.0 </w:t>
          </w:r>
          <w:r>
            <w:rPr>
              <w:rFonts w:hint="default" w:ascii="Calibri" w:hAnsi="Calibri" w:cs="Calibri"/>
              <w:sz w:val="28"/>
              <w:szCs w:val="28"/>
            </w:rPr>
            <w:t>Recommendations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_Toc2393 \h </w:instrText>
          </w:r>
          <w:r>
            <w:rPr>
              <w:rFonts w:hint="default" w:ascii="Calibri" w:hAnsi="Calibri" w:cs="Calibri"/>
              <w:sz w:val="28"/>
              <w:szCs w:val="28"/>
            </w:rPr>
            <w:fldChar w:fldCharType="separate"/>
          </w:r>
          <w:r>
            <w:rPr>
              <w:rFonts w:hint="default" w:ascii="Calibri" w:hAnsi="Calibri" w:cs="Calibri"/>
              <w:sz w:val="28"/>
              <w:szCs w:val="28"/>
            </w:rPr>
            <w:t>9</w:t>
          </w:r>
          <w:r>
            <w:rPr>
              <w:rFonts w:hint="default" w:ascii="Calibri" w:hAnsi="Calibri" w:cs="Calibri"/>
              <w:sz w:val="28"/>
              <w:szCs w:val="28"/>
            </w:rPr>
            <w:fldChar w:fldCharType="end"/>
          </w:r>
          <w:r>
            <w:rPr>
              <w:rFonts w:hint="default" w:ascii="Calibri" w:hAnsi="Calibri" w:cs="Calibri"/>
              <w:sz w:val="28"/>
              <w:szCs w:val="28"/>
            </w:rPr>
            <w:fldChar w:fldCharType="end"/>
          </w:r>
        </w:p>
        <w:p>
          <w:pPr>
            <w:pStyle w:val="9"/>
            <w:tabs>
              <w:tab w:val="right" w:leader="dot" w:pos="9026"/>
            </w:tabs>
            <w:rPr>
              <w:rFonts w:hint="default" w:ascii="Calibri" w:hAnsi="Calibri" w:cs="Calibri"/>
              <w:sz w:val="28"/>
              <w:szCs w:val="28"/>
            </w:rPr>
          </w:pPr>
          <w:r>
            <w:rPr>
              <w:rFonts w:hint="default" w:ascii="Calibri" w:hAnsi="Calibri" w:cs="Calibri"/>
              <w:sz w:val="28"/>
              <w:szCs w:val="28"/>
            </w:rPr>
            <w:fldChar w:fldCharType="begin"/>
          </w:r>
          <w:r>
            <w:rPr>
              <w:rFonts w:hint="default" w:ascii="Calibri" w:hAnsi="Calibri" w:cs="Calibri"/>
              <w:sz w:val="28"/>
              <w:szCs w:val="28"/>
            </w:rPr>
            <w:instrText xml:space="preserve"> HYPERLINK \l _Toc23270 </w:instrText>
          </w:r>
          <w:r>
            <w:rPr>
              <w:rFonts w:hint="default" w:ascii="Calibri" w:hAnsi="Calibri" w:cs="Calibri"/>
              <w:sz w:val="28"/>
              <w:szCs w:val="28"/>
            </w:rPr>
            <w:fldChar w:fldCharType="separate"/>
          </w:r>
          <w:r>
            <w:rPr>
              <w:rFonts w:hint="default" w:ascii="Calibri" w:hAnsi="Calibri" w:cs="Calibri"/>
              <w:sz w:val="28"/>
              <w:szCs w:val="28"/>
            </w:rPr>
            <w:t>References</w:t>
          </w:r>
          <w:r>
            <w:rPr>
              <w:rFonts w:hint="default" w:ascii="Calibri" w:hAnsi="Calibri" w:cs="Calibri"/>
              <w:sz w:val="28"/>
              <w:szCs w:val="28"/>
            </w:rPr>
            <w:tab/>
          </w:r>
          <w:r>
            <w:rPr>
              <w:rFonts w:hint="default" w:ascii="Calibri" w:hAnsi="Calibri" w:cs="Calibri"/>
              <w:sz w:val="28"/>
              <w:szCs w:val="28"/>
            </w:rPr>
            <w:fldChar w:fldCharType="begin"/>
          </w:r>
          <w:r>
            <w:rPr>
              <w:rFonts w:hint="default" w:ascii="Calibri" w:hAnsi="Calibri" w:cs="Calibri"/>
              <w:sz w:val="28"/>
              <w:szCs w:val="28"/>
            </w:rPr>
            <w:instrText xml:space="preserve"> PAGEREF _Toc23270 \h </w:instrText>
          </w:r>
          <w:r>
            <w:rPr>
              <w:rFonts w:hint="default" w:ascii="Calibri" w:hAnsi="Calibri" w:cs="Calibri"/>
              <w:sz w:val="28"/>
              <w:szCs w:val="28"/>
            </w:rPr>
            <w:fldChar w:fldCharType="separate"/>
          </w:r>
          <w:r>
            <w:rPr>
              <w:rFonts w:hint="default" w:ascii="Calibri" w:hAnsi="Calibri" w:cs="Calibri"/>
              <w:sz w:val="28"/>
              <w:szCs w:val="28"/>
            </w:rPr>
            <w:t>10</w:t>
          </w:r>
          <w:r>
            <w:rPr>
              <w:rFonts w:hint="default" w:ascii="Calibri" w:hAnsi="Calibri" w:cs="Calibri"/>
              <w:sz w:val="28"/>
              <w:szCs w:val="28"/>
            </w:rPr>
            <w:fldChar w:fldCharType="end"/>
          </w:r>
          <w:r>
            <w:rPr>
              <w:rFonts w:hint="default" w:ascii="Calibri" w:hAnsi="Calibri" w:cs="Calibri"/>
              <w:sz w:val="28"/>
              <w:szCs w:val="28"/>
            </w:rPr>
            <w:fldChar w:fldCharType="end"/>
          </w:r>
        </w:p>
        <w:p>
          <w:r>
            <w:rPr>
              <w:rFonts w:hint="default" w:ascii="Calibri" w:hAnsi="Calibri" w:cs="Calibri"/>
              <w:sz w:val="28"/>
              <w:szCs w:val="28"/>
            </w:rPr>
            <w:fldChar w:fldCharType="end"/>
          </w:r>
        </w:p>
      </w:sdtContent>
    </w:sdt>
    <w:p/>
    <w:p/>
    <w:p>
      <w:pPr>
        <w:pStyle w:val="2"/>
        <w:numPr>
          <w:ilvl w:val="0"/>
          <w:numId w:val="1"/>
        </w:numPr>
        <w:bidi w:val="0"/>
        <w:sectPr>
          <w:pgSz w:w="11906" w:h="16838"/>
          <w:pgMar w:top="1440" w:right="1440" w:bottom="1440" w:left="1440" w:header="708" w:footer="708" w:gutter="0"/>
          <w:pgNumType w:start="0"/>
          <w:cols w:space="708" w:num="1"/>
          <w:titlePg/>
          <w:docGrid w:linePitch="360" w:charSpace="0"/>
        </w:sectPr>
      </w:pPr>
    </w:p>
    <w:p>
      <w:pPr>
        <w:pStyle w:val="2"/>
        <w:numPr>
          <w:ilvl w:val="0"/>
          <w:numId w:val="1"/>
        </w:numPr>
        <w:bidi w:val="0"/>
      </w:pPr>
      <w:r>
        <w:t xml:space="preserve"> </w:t>
      </w:r>
      <w:bookmarkStart w:id="0" w:name="_Toc10892"/>
      <w:r>
        <w:t>Introduction</w:t>
      </w:r>
      <w:bookmarkEnd w:id="0"/>
    </w:p>
    <w:p/>
    <w:p>
      <w:pPr>
        <w:rPr>
          <w:rFonts w:hint="default"/>
          <w:lang w:val="en-US" w:eastAsia="zh-CN"/>
        </w:rPr>
      </w:pPr>
      <w:r>
        <w:rPr>
          <w:rFonts w:hint="eastAsia"/>
        </w:rPr>
        <w:t>The purpose of this report is to provide the client with information and advice on facilitating successful business communication in international markets to help them understand different international cultures as they expand their business and to help them succeed in international markets. In this business report, the client is a UK-based clothing retailer looking to expand its business from the UK to Asia. Therefore, in order for the client to succeed in the international marketplace. The report provides information and advice on facilitating successful international business communication. For example, the skills required to build professional relationships with key partners in Asia, the definition and skills of international business communication and a discussion of different communication methods and the importance of effective communication. In addition, we will focus on the importance of building relationships and explain why business relationships can fail and how to avoid them. The importance of culture is discussed with a focus on the definition of culture, its components and related theories such as Halls' High-Low Context Theory and Trempenas' 7 cultural dimensions. This is followed by a discussion on how to build trust between cultures. Finally, in the concluding section, the main findings of the report are summarised and recommendations for clients are presented. These are recommendations for facilitating successful international business exchanges, for building professional relationships with key partners in Asia, and for dealing with potential failures. Finally, we provide the references we have used in the appendix section.</w:t>
      </w:r>
    </w:p>
    <w:p/>
    <w:p/>
    <w:p/>
    <w:p/>
    <w:p/>
    <w:p/>
    <w:p/>
    <w:p/>
    <w:p/>
    <w:p/>
    <w:p/>
    <w:p/>
    <w:p/>
    <w:p/>
    <w:p/>
    <w:p/>
    <w:p/>
    <w:p>
      <w:pPr>
        <w:sectPr>
          <w:footerReference r:id="rId6" w:type="first"/>
          <w:footerReference r:id="rId5" w:type="default"/>
          <w:pgSz w:w="11906" w:h="16838"/>
          <w:pgMar w:top="1440" w:right="1440" w:bottom="1440" w:left="1440" w:header="708" w:footer="708" w:gutter="0"/>
          <w:pgNumType w:fmt="decimal" w:start="1"/>
          <w:cols w:space="708" w:num="1"/>
          <w:titlePg/>
          <w:docGrid w:linePitch="360" w:charSpace="0"/>
        </w:sectPr>
      </w:pPr>
    </w:p>
    <w:p>
      <w:pPr>
        <w:pStyle w:val="2"/>
        <w:bidi w:val="0"/>
        <w:rPr>
          <w:rFonts w:hint="eastAsia"/>
        </w:rPr>
      </w:pPr>
      <w:bookmarkStart w:id="1" w:name="_Toc22344"/>
      <w:r>
        <w:t xml:space="preserve">2.0 </w:t>
      </w:r>
      <w:r>
        <w:rPr>
          <w:rFonts w:hint="eastAsia"/>
        </w:rPr>
        <w:t>Definition of International Business Communication</w:t>
      </w:r>
      <w:bookmarkEnd w:id="1"/>
    </w:p>
    <w:p>
      <w:pPr>
        <w:rPr>
          <w:rFonts w:hint="eastAsia"/>
        </w:rPr>
      </w:pPr>
    </w:p>
    <w:p>
      <w:r>
        <w:rPr>
          <w:rFonts w:hint="eastAsia"/>
        </w:rPr>
        <w:t>International business communication is the exchange of business between different cultural, linguistic and political backgrounds. This communication can take place in a variety of ways, including written communication, email, telephone conferences and face-to-face meetings. International business communication is a cross-cultural communication skill that requires an in-depth understanding of the rules and customs of different cultures and the ability to communicate effectively in accordance with these rules and customs. The importance of international business communication cannot be overemphasised as it can help companies succeed in the global marketplace.</w:t>
      </w:r>
      <w:r>
        <w:rPr>
          <w:rFonts w:hint="eastAsia"/>
          <w:lang w:eastAsia="zh-CN"/>
        </w:rPr>
        <w:t>（</w:t>
      </w:r>
      <w:r>
        <w:rPr>
          <w:rFonts w:hint="eastAsia"/>
        </w:rPr>
        <w:t>Hofstede</w:t>
      </w:r>
      <w:r>
        <w:rPr>
          <w:rFonts w:hint="eastAsia"/>
          <w:lang w:val="en-US" w:eastAsia="zh-CN"/>
        </w:rPr>
        <w:t xml:space="preserve"> </w:t>
      </w:r>
      <w:r>
        <w:rPr>
          <w:rFonts w:hint="eastAsia"/>
        </w:rPr>
        <w:t>&amp; Søndergaard</w:t>
      </w:r>
      <w:r>
        <w:rPr>
          <w:rFonts w:hint="eastAsia"/>
          <w:lang w:val="en-US" w:eastAsia="zh-CN"/>
        </w:rPr>
        <w:t xml:space="preserve">, </w:t>
      </w:r>
      <w:r>
        <w:rPr>
          <w:rFonts w:hint="eastAsia"/>
        </w:rPr>
        <w:t>2001</w:t>
      </w:r>
      <w:r>
        <w:rPr>
          <w:rFonts w:hint="eastAsia"/>
          <w:lang w:eastAsia="zh-CN"/>
        </w:rPr>
        <w:t>）</w:t>
      </w:r>
    </w:p>
    <w:p>
      <w:pPr>
        <w:pStyle w:val="3"/>
        <w:bidi w:val="0"/>
        <w:rPr>
          <w:rFonts w:hint="eastAsia"/>
          <w:lang w:val="en-US" w:eastAsia="zh-CN"/>
        </w:rPr>
      </w:pPr>
      <w:bookmarkStart w:id="2" w:name="_Toc14732"/>
      <w:r>
        <w:rPr>
          <w:rFonts w:hint="eastAsia"/>
          <w:lang w:val="en-US" w:eastAsia="zh-CN"/>
        </w:rPr>
        <w:t>2.1 Skills for international business communication</w:t>
      </w:r>
      <w:bookmarkEnd w:id="2"/>
    </w:p>
    <w:p>
      <w:pPr>
        <w:pStyle w:val="4"/>
        <w:bidi w:val="0"/>
        <w:rPr>
          <w:rFonts w:hint="eastAsia"/>
          <w:lang w:val="en-US" w:eastAsia="zh-CN"/>
        </w:rPr>
      </w:pPr>
      <w:bookmarkStart w:id="3" w:name="_Toc12036"/>
      <w:r>
        <w:rPr>
          <w:rFonts w:hint="eastAsia"/>
          <w:lang w:val="en-US" w:eastAsia="zh-CN"/>
        </w:rPr>
        <w:t>2.1.1 Language skills</w:t>
      </w:r>
      <w:bookmarkEnd w:id="3"/>
    </w:p>
    <w:p>
      <w:pPr>
        <w:rPr>
          <w:rFonts w:hint="default"/>
          <w:lang w:val="en-US" w:eastAsia="zh-CN"/>
        </w:rPr>
      </w:pPr>
      <w:r>
        <w:rPr>
          <w:rFonts w:hint="eastAsia"/>
          <w:lang w:val="en-US" w:eastAsia="zh-CN"/>
        </w:rPr>
        <w:t>Linguistic competence, the ability to communicate fluently in different languages, is essential for international business communication, as being able to use the other person's mother tongue or a proficient second language helps to understand the other person and build trust and cooperation. Language competence includes not only the language itself, but also how to perceive problems, how to express emotions, learn and change communication habits, and deal with differences between languages. In addition, the cultural connotations of language are also very important, so mastering language skills can help companies resolve cultural conflicts in cross-cultural communication.(Ainsworth ,2013)</w:t>
      </w:r>
    </w:p>
    <w:p>
      <w:pPr>
        <w:pStyle w:val="4"/>
        <w:bidi w:val="0"/>
        <w:rPr>
          <w:rFonts w:hint="eastAsia"/>
          <w:lang w:val="en-US" w:eastAsia="zh-CN"/>
        </w:rPr>
      </w:pPr>
      <w:bookmarkStart w:id="4" w:name="_Toc14532"/>
      <w:r>
        <w:rPr>
          <w:rFonts w:hint="eastAsia"/>
          <w:lang w:val="en-US" w:eastAsia="zh-CN"/>
        </w:rPr>
        <w:t>2.1.2  Communication skills</w:t>
      </w:r>
      <w:bookmarkEnd w:id="4"/>
    </w:p>
    <w:p>
      <w:pPr>
        <w:rPr>
          <w:rFonts w:hint="eastAsia" w:eastAsiaTheme="minorEastAsia"/>
          <w:lang w:eastAsia="zh-CN"/>
        </w:rPr>
      </w:pPr>
      <w:r>
        <w:rPr>
          <w:rFonts w:hint="eastAsia"/>
        </w:rPr>
        <w:t>Communication skills are specific techniques used in communication and are designed to improve the efficiency and effectiveness of communication. These skills include listening, presentation, problem solving, coordination and negotiation. Communication skills are very important in business. Effective communication skills can improve the efficiency and effectiveness of a business by communicating more effectively with customers, partners, employees and others. In addition, communication skills can help businesses to communicate in a cross-cultural context and to better deal with cultural differences.</w:t>
      </w:r>
      <w:r>
        <w:rPr>
          <w:rFonts w:hint="eastAsia"/>
          <w:lang w:eastAsia="zh-CN"/>
        </w:rPr>
        <w:t>（</w:t>
      </w:r>
      <w:r>
        <w:rPr>
          <w:rFonts w:hint="eastAsia"/>
        </w:rPr>
        <w:t>Skrynnikova &amp; Grigorieva</w:t>
      </w:r>
      <w:r>
        <w:rPr>
          <w:rFonts w:hint="eastAsia"/>
          <w:lang w:val="en-US" w:eastAsia="zh-CN"/>
        </w:rPr>
        <w:t xml:space="preserve"> </w:t>
      </w:r>
      <w:r>
        <w:rPr>
          <w:rFonts w:hint="eastAsia"/>
        </w:rPr>
        <w:t>2019</w:t>
      </w:r>
      <w:r>
        <w:rPr>
          <w:rFonts w:hint="eastAsia"/>
          <w:lang w:eastAsia="zh-CN"/>
        </w:rPr>
        <w:t>）</w:t>
      </w:r>
    </w:p>
    <w:p>
      <w:pPr>
        <w:pStyle w:val="4"/>
        <w:bidi w:val="0"/>
        <w:rPr>
          <w:rFonts w:hint="eastAsia"/>
        </w:rPr>
      </w:pPr>
      <w:bookmarkStart w:id="5" w:name="_Toc24637"/>
      <w:r>
        <w:rPr>
          <w:rFonts w:hint="eastAsia"/>
          <w:lang w:val="en-US" w:eastAsia="zh-CN"/>
        </w:rPr>
        <w:t xml:space="preserve">2.1.3 </w:t>
      </w:r>
      <w:r>
        <w:rPr>
          <w:rFonts w:hint="eastAsia"/>
        </w:rPr>
        <w:t>Coordination skills</w:t>
      </w:r>
      <w:bookmarkEnd w:id="5"/>
    </w:p>
    <w:p>
      <w:pPr>
        <w:rPr>
          <w:rFonts w:hint="eastAsia" w:eastAsiaTheme="minorEastAsia"/>
          <w:lang w:eastAsia="zh-CN"/>
        </w:rPr>
      </w:pPr>
      <w:r>
        <w:rPr>
          <w:rFonts w:hint="eastAsia"/>
        </w:rPr>
        <w:t>Coordination skills are the ability to effectively coordinate communication with others to achieve common goals and consensus. This requires good communication skills, such as the ability to listen, express and solve problems, as well as the ability to understand and communicate across cultures. Through coordination skills, we can better handle cultural differences and communicate and reach consensus more effectively. Regular communication and exchange between companies, rational analysis of differences and communication are all key elements of coordination competencies that can help us better deal with cultural differences, eliminate misunderstandings, avoid conflicts and achieve common goals.</w:t>
      </w:r>
      <w:r>
        <w:rPr>
          <w:rFonts w:hint="eastAsia"/>
          <w:lang w:eastAsia="zh-CN"/>
        </w:rPr>
        <w:t>（</w:t>
      </w:r>
      <w:r>
        <w:rPr>
          <w:rFonts w:hint="eastAsia"/>
        </w:rPr>
        <w:t>Wang&amp;Fan&amp; Freeman</w:t>
      </w:r>
      <w:r>
        <w:rPr>
          <w:rFonts w:hint="eastAsia"/>
          <w:lang w:val="en-US" w:eastAsia="zh-CN"/>
        </w:rPr>
        <w:t xml:space="preserve"> </w:t>
      </w:r>
      <w:r>
        <w:rPr>
          <w:rFonts w:hint="eastAsia"/>
        </w:rPr>
        <w:t>&amp; Zhu</w:t>
      </w:r>
      <w:r>
        <w:rPr>
          <w:rFonts w:hint="eastAsia"/>
          <w:lang w:val="en-US" w:eastAsia="zh-CN"/>
        </w:rPr>
        <w:t xml:space="preserve"> </w:t>
      </w:r>
      <w:r>
        <w:rPr>
          <w:rFonts w:hint="eastAsia"/>
        </w:rPr>
        <w:t>2017</w:t>
      </w:r>
      <w:r>
        <w:rPr>
          <w:rFonts w:hint="eastAsia"/>
          <w:lang w:eastAsia="zh-CN"/>
        </w:rPr>
        <w:t>）</w:t>
      </w:r>
    </w:p>
    <w:p>
      <w:pPr>
        <w:pStyle w:val="4"/>
        <w:bidi w:val="0"/>
        <w:rPr>
          <w:rFonts w:hint="eastAsia"/>
          <w:lang w:val="en-US" w:eastAsia="zh-CN"/>
        </w:rPr>
      </w:pPr>
      <w:bookmarkStart w:id="6" w:name="_Toc21011"/>
      <w:r>
        <w:rPr>
          <w:rFonts w:hint="eastAsia"/>
          <w:lang w:val="en-US" w:eastAsia="zh-CN"/>
        </w:rPr>
        <w:t xml:space="preserve">2.1.4 </w:t>
      </w:r>
      <w:r>
        <w:rPr>
          <w:rFonts w:hint="eastAsia"/>
        </w:rPr>
        <w:t>Cultural differences</w:t>
      </w:r>
      <w:bookmarkEnd w:id="6"/>
    </w:p>
    <w:p>
      <w:pPr>
        <w:rPr>
          <w:rFonts w:hint="eastAsia" w:eastAsiaTheme="minorEastAsia"/>
          <w:lang w:eastAsia="zh-CN"/>
        </w:rPr>
      </w:pPr>
      <w:r>
        <w:rPr>
          <w:rFonts w:hint="eastAsia"/>
        </w:rPr>
        <w:t>Cultural differences are a very important issue in international business communication. Cultural differences refer to differences in the values, ways of thinking and behaviour of people in different cultural contexts. Cultural differences can affect interpersonal communication and can lead to misunderstandings, conflicts and miscommunication. Therefore, when we communicate in international business, we need to strengthen cultural communication and exchange, respect each other's cultural differences and achieve the best communication effect through continuous improvement and cooperation. For example, during negotiations, we can appropriately use communication strategies such as courtesy, respect and empathy to help both sides reach consensus.</w:t>
      </w:r>
      <w:r>
        <w:rPr>
          <w:rFonts w:hint="eastAsia"/>
          <w:lang w:eastAsia="zh-CN"/>
        </w:rPr>
        <w:t>（Pu</w:t>
      </w:r>
      <w:r>
        <w:rPr>
          <w:rFonts w:hint="eastAsia"/>
          <w:lang w:val="en-US" w:eastAsia="zh-CN"/>
        </w:rPr>
        <w:t xml:space="preserve"> </w:t>
      </w:r>
      <w:r>
        <w:rPr>
          <w:rFonts w:hint="eastAsia"/>
          <w:lang w:eastAsia="zh-CN"/>
        </w:rPr>
        <w:t>&amp; Tang</w:t>
      </w:r>
      <w:r>
        <w:rPr>
          <w:rFonts w:hint="eastAsia"/>
          <w:lang w:val="en-US" w:eastAsia="zh-CN"/>
        </w:rPr>
        <w:t xml:space="preserve"> </w:t>
      </w:r>
      <w:r>
        <w:rPr>
          <w:rFonts w:hint="eastAsia"/>
          <w:lang w:eastAsia="zh-CN"/>
        </w:rPr>
        <w:t>,2017）</w:t>
      </w:r>
    </w:p>
    <w:p>
      <w:pPr>
        <w:pStyle w:val="4"/>
        <w:bidi w:val="0"/>
        <w:rPr>
          <w:rFonts w:hint="eastAsia"/>
          <w:lang w:val="en-US" w:eastAsia="zh-CN"/>
        </w:rPr>
      </w:pPr>
      <w:bookmarkStart w:id="7" w:name="_Toc24706"/>
      <w:r>
        <w:rPr>
          <w:rFonts w:hint="eastAsia"/>
          <w:lang w:val="en-US" w:eastAsia="zh-CN"/>
        </w:rPr>
        <w:t>2.1.5Manners and customs</w:t>
      </w:r>
      <w:bookmarkEnd w:id="7"/>
    </w:p>
    <w:p>
      <w:pPr>
        <w:rPr>
          <w:rFonts w:hint="eastAsia"/>
          <w:lang w:val="en-US" w:eastAsia="zh-CN"/>
        </w:rPr>
      </w:pPr>
      <w:r>
        <w:rPr>
          <w:rFonts w:hint="eastAsia"/>
          <w:lang w:val="en-US" w:eastAsia="zh-CN"/>
        </w:rPr>
        <w:t>Etiquette practices refer to the social norms of behaviour in different cultures. In cross-cultural communication, it is important to understand different etiquette practices as this can help to avoid misunderstandings and impolite behaviour when communicating with each other. In Asian cultures, the Japanese show respect by bowing and it is customary to exchange business cards or courtesy documents as a greeting before conducting business meetings. Companies should carefully study local etiquette and customs before entering a target market to avoid disputes or unnecessary conflicts during negotiations and thus facilitate good business communication.（Nishiyama,2000）</w:t>
      </w:r>
    </w:p>
    <w:p>
      <w:pPr>
        <w:pStyle w:val="3"/>
        <w:bidi w:val="0"/>
        <w:rPr>
          <w:rFonts w:hint="eastAsia"/>
        </w:rPr>
      </w:pPr>
      <w:bookmarkStart w:id="8" w:name="_Toc29521"/>
      <w:r>
        <w:rPr>
          <w:rFonts w:hint="eastAsia"/>
          <w:lang w:val="en-US" w:eastAsia="zh-CN"/>
        </w:rPr>
        <w:t xml:space="preserve">2.2 </w:t>
      </w:r>
      <w:r>
        <w:rPr>
          <w:rFonts w:hint="eastAsia"/>
        </w:rPr>
        <w:t>Approaches to International Business Communication</w:t>
      </w:r>
      <w:bookmarkEnd w:id="8"/>
    </w:p>
    <w:p>
      <w:pPr>
        <w:pStyle w:val="4"/>
        <w:bidi w:val="0"/>
        <w:rPr>
          <w:rFonts w:hint="default"/>
          <w:lang w:val="en-US" w:eastAsia="zh-CN"/>
        </w:rPr>
      </w:pPr>
      <w:bookmarkStart w:id="9" w:name="_Toc705"/>
      <w:r>
        <w:rPr>
          <w:rFonts w:hint="eastAsia"/>
          <w:lang w:val="en-US" w:eastAsia="zh-CN"/>
        </w:rPr>
        <w:t xml:space="preserve">2.2.1 </w:t>
      </w:r>
      <w:r>
        <w:rPr>
          <w:rFonts w:hint="eastAsia"/>
        </w:rPr>
        <w:t>Oral communication, written communication, non-verbal communication</w:t>
      </w:r>
      <w:bookmarkEnd w:id="9"/>
    </w:p>
    <w:p>
      <w:pPr>
        <w:rPr>
          <w:rFonts w:hint="eastAsia"/>
          <w:b w:val="0"/>
          <w:bCs w:val="0"/>
          <w:lang w:eastAsia="zh-CN"/>
        </w:rPr>
      </w:pPr>
      <w:r>
        <w:rPr>
          <w:rFonts w:hint="eastAsia"/>
          <w:b w:val="0"/>
          <w:bCs w:val="0"/>
          <w:lang w:val="en-US" w:eastAsia="zh-CN"/>
        </w:rPr>
        <w:t>In international business communication, a variety of methods are commonly used to facilitate effective communication and information exchange. These methods include verbal communication through telephone calls, video conferencing and face-to-face conversations, written communication through written materials such as emails, letters and contracts, and body language and other non-verbal communication to ensure that messages are effectively conveyed and understood. Using these methods can lead to successful communication and help to build and maintain professional relationships in an international business environment.(</w:t>
      </w:r>
      <w:r>
        <w:rPr>
          <w:rFonts w:hint="eastAsia"/>
          <w:b w:val="0"/>
          <w:bCs w:val="0"/>
        </w:rPr>
        <w:t>Denny</w:t>
      </w:r>
      <w:r>
        <w:rPr>
          <w:rFonts w:hint="eastAsia"/>
          <w:b w:val="0"/>
          <w:bCs w:val="0"/>
          <w:lang w:val="en-US" w:eastAsia="zh-CN"/>
        </w:rPr>
        <w:t>,</w:t>
      </w:r>
      <w:r>
        <w:rPr>
          <w:rFonts w:hint="eastAsia"/>
          <w:b w:val="0"/>
          <w:bCs w:val="0"/>
        </w:rPr>
        <w:t>2009</w:t>
      </w:r>
      <w:r>
        <w:rPr>
          <w:rFonts w:hint="eastAsia"/>
          <w:b w:val="0"/>
          <w:bCs w:val="0"/>
          <w:lang w:val="en-US" w:eastAsia="zh-CN"/>
        </w:rPr>
        <w:t>)</w:t>
      </w:r>
      <w:r>
        <w:rPr>
          <w:rFonts w:hint="eastAsia"/>
          <w:b w:val="0"/>
          <w:bCs w:val="0"/>
          <w:lang w:eastAsia="zh-CN"/>
        </w:rPr>
        <w:t>（</w:t>
      </w:r>
      <w:r>
        <w:rPr>
          <w:rFonts w:hint="eastAsia"/>
          <w:b w:val="0"/>
          <w:bCs w:val="0"/>
          <w:lang w:val="en-US" w:eastAsia="zh-CN"/>
        </w:rPr>
        <w:t>Nickerson &amp; Planken ,2009</w:t>
      </w:r>
      <w:r>
        <w:rPr>
          <w:rFonts w:hint="eastAsia"/>
          <w:b w:val="0"/>
          <w:bCs w:val="0"/>
          <w:lang w:eastAsia="zh-CN"/>
        </w:rPr>
        <w:t>）</w:t>
      </w:r>
    </w:p>
    <w:p>
      <w:pPr>
        <w:pStyle w:val="4"/>
        <w:bidi w:val="0"/>
        <w:rPr>
          <w:rFonts w:hint="eastAsia"/>
          <w:lang w:val="en-US" w:eastAsia="zh-CN"/>
        </w:rPr>
      </w:pPr>
      <w:bookmarkStart w:id="10" w:name="_Toc13890"/>
      <w:r>
        <w:rPr>
          <w:rFonts w:hint="eastAsia"/>
          <w:lang w:val="en-US" w:eastAsia="zh-CN"/>
        </w:rPr>
        <w:t>2.2.2 Intercultural communication, online communication, networking</w:t>
      </w:r>
      <w:bookmarkEnd w:id="10"/>
    </w:p>
    <w:p>
      <w:pPr>
        <w:rPr>
          <w:rFonts w:hint="default"/>
          <w:b w:val="0"/>
          <w:bCs w:val="0"/>
          <w:lang w:val="en-US" w:eastAsia="zh-CN"/>
        </w:rPr>
      </w:pPr>
      <w:r>
        <w:rPr>
          <w:rFonts w:hint="default"/>
          <w:b w:val="0"/>
          <w:bCs w:val="0"/>
          <w:lang w:val="en-US" w:eastAsia="zh-CN"/>
        </w:rPr>
        <w:t>International business communication often involves online communication on platforms such as social media and chat software. Online communication allows for the quick and easy exchange of information, while networking allows for the building and maintenance of professional relationships. Both methods are useful tools, but it is important to also consider cultural differences and to understand each other's specific needs and preferences. For example, in Western cultures it is more common to rely on email as a way of communicating online, whereas in Asian cultures face-to-face conversations are preferred. It is therefore important to understand and respect these cultural differences in order to communicate and build relationships effectively between businesses.</w:t>
      </w:r>
      <w:r>
        <w:rPr>
          <w:rFonts w:hint="eastAsia"/>
          <w:b w:val="0"/>
          <w:bCs w:val="0"/>
          <w:lang w:val="en-US" w:eastAsia="zh-CN"/>
        </w:rPr>
        <w:t>（</w:t>
      </w:r>
      <w:r>
        <w:rPr>
          <w:rFonts w:hint="default"/>
          <w:b w:val="0"/>
          <w:bCs w:val="0"/>
          <w:lang w:val="en-US" w:eastAsia="zh-CN"/>
        </w:rPr>
        <w:t xml:space="preserve">Piller </w:t>
      </w:r>
      <w:r>
        <w:rPr>
          <w:rFonts w:hint="eastAsia"/>
          <w:b w:val="0"/>
          <w:bCs w:val="0"/>
          <w:lang w:val="en-US" w:eastAsia="zh-CN"/>
        </w:rPr>
        <w:t>,</w:t>
      </w:r>
      <w:r>
        <w:rPr>
          <w:rFonts w:hint="default"/>
          <w:b w:val="0"/>
          <w:bCs w:val="0"/>
          <w:lang w:val="en-US" w:eastAsia="zh-CN"/>
        </w:rPr>
        <w:t>2009</w:t>
      </w:r>
      <w:r>
        <w:rPr>
          <w:rFonts w:hint="eastAsia"/>
          <w:b w:val="0"/>
          <w:bCs w:val="0"/>
          <w:lang w:val="en-US" w:eastAsia="zh-CN"/>
        </w:rPr>
        <w:t>）(Begley, 2003) (Chaney &amp; Martin, 2004)</w:t>
      </w:r>
    </w:p>
    <w:p>
      <w:pPr>
        <w:pStyle w:val="4"/>
        <w:bidi w:val="0"/>
        <w:rPr>
          <w:rFonts w:hint="eastAsia"/>
          <w:lang w:val="en-US" w:eastAsia="zh-CN"/>
        </w:rPr>
      </w:pPr>
      <w:bookmarkStart w:id="11" w:name="_Toc2556"/>
      <w:r>
        <w:rPr>
          <w:rFonts w:hint="eastAsia"/>
          <w:lang w:val="en-US" w:eastAsia="zh-CN"/>
        </w:rPr>
        <w:t>2.2.3 Effective International Business Communication</w:t>
      </w:r>
      <w:bookmarkEnd w:id="11"/>
    </w:p>
    <w:p>
      <w:pPr>
        <w:bidi w:val="0"/>
        <w:rPr>
          <w:rFonts w:hint="default"/>
          <w:lang w:val="en-US" w:eastAsia="zh-CN"/>
        </w:rPr>
      </w:pPr>
      <w:r>
        <w:rPr>
          <w:rFonts w:hint="default"/>
          <w:lang w:val="en-US" w:eastAsia="zh-CN"/>
        </w:rPr>
        <w:t>Effective international business communication is business communication that conveys information effectively and achieves the desired results. It involves doing business across national boundaries and requires attention to differences between cultures, language skills, communication skills, coordination skills, understanding of cultural differences and cross-cultural communication. It aims to build good business relationships between cultures and to facilitate the smooth running of business activities. Effective business communication helps a company to build a good relationship with its target customers. Effective information communication helps to strengthen cooperation intentions and improve the efficiency of business activities. Therefore, when conducting international business activities, companies should focus on effective international business communication and strengthen their skills and knowledge base in order to be successful in the international marketplace.（Thompson &amp; Thompson , 2018）</w:t>
      </w:r>
    </w:p>
    <w:p>
      <w:pPr>
        <w:pStyle w:val="3"/>
        <w:bidi w:val="0"/>
        <w:rPr>
          <w:rFonts w:hint="eastAsia"/>
        </w:rPr>
      </w:pPr>
      <w:bookmarkStart w:id="12" w:name="_Toc18698"/>
      <w:r>
        <w:rPr>
          <w:rFonts w:hint="eastAsia"/>
          <w:lang w:val="en-US" w:eastAsia="zh-CN"/>
        </w:rPr>
        <w:t xml:space="preserve">2.3 </w:t>
      </w:r>
      <w:r>
        <w:rPr>
          <w:rFonts w:hint="eastAsia"/>
        </w:rPr>
        <w:t>The importance of a variety of skills to build relationships with key partners in Asia</w:t>
      </w:r>
      <w:bookmarkEnd w:id="12"/>
    </w:p>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eastAsiaTheme="minorEastAsia"/>
          <w:b w:val="0"/>
          <w:bCs w:val="0"/>
          <w:sz w:val="21"/>
          <w:szCs w:val="21"/>
          <w:lang w:val="en-US" w:eastAsia="zh-CN"/>
        </w:rPr>
      </w:pPr>
      <w:r>
        <w:rPr>
          <w:rFonts w:hint="eastAsia"/>
        </w:rPr>
        <w:t>Understanding cultural differences, mastering cross-cultural communication skills and building trusting relationships are important skills for building relationships with key partners in Asia. These skills can help companies build good business relationships with their Asian partners and contribute to the success of business partnerships. Firstly, understanding cultural differences may involve social, economic, political, religious, educational, family, gender, language, customs, traditions, etc. It has a significant impact on intercultural communication as differences between cultures can lead to communication difficulties, differences in understanding and conflicts. Secondly, acquiring intercultural communication skills can help us avoid misunderstandings when communicating and enable us to better adapt to cross-cultural differences. In addition, adapting our communication style can help us to better respect each other's culture and values, thus building a better professional relationship. In addition, mutual respect in business activities can help a company gain the trust and respect of the other party. This in turn contributes to the success of our business. This is very important for the relationship between companies and for business development.</w:t>
      </w:r>
      <w:r>
        <w:rPr>
          <w:rFonts w:hint="eastAsia"/>
          <w:b w:val="0"/>
          <w:bCs w:val="0"/>
          <w:sz w:val="21"/>
          <w:szCs w:val="21"/>
          <w:lang w:val="en-US" w:eastAsia="zh-CN"/>
        </w:rPr>
        <w:t>(</w:t>
      </w:r>
      <w:r>
        <w:rPr>
          <w:rFonts w:hint="eastAsia" w:eastAsiaTheme="minorEastAsia"/>
          <w:lang w:val="en-US" w:eastAsia="zh-CN"/>
        </w:rPr>
        <w:t>Smithson, 1984</w:t>
      </w:r>
      <w:r>
        <w:rPr>
          <w:rFonts w:hint="eastAsia"/>
          <w:b w:val="0"/>
          <w:bCs w:val="0"/>
          <w:sz w:val="21"/>
          <w:szCs w:val="21"/>
          <w:lang w:val="en-US" w:eastAsia="zh-CN"/>
        </w:rPr>
        <w:t>)</w:t>
      </w:r>
    </w:p>
    <w:p>
      <w:pPr>
        <w:ind w:firstLine="720"/>
        <w:rPr>
          <w:rFonts w:hint="default" w:eastAsiaTheme="minorEastAsia"/>
          <w:color w:val="0000FF"/>
          <w:lang w:val="en-US" w:eastAsia="zh-CN"/>
        </w:rPr>
      </w:pPr>
      <w:r>
        <w:rPr>
          <w:rFonts w:hint="eastAsia"/>
          <w:lang w:val="en-US" w:eastAsia="zh-CN"/>
        </w:rPr>
        <w:t>These three skills can help businesses succeed in many ways. Firstly, it can increase productivity. By understanding each other's workflows and needs, it can reduce redundancy and miscommunication and promote trust and respect, which can lead to increased productivity. Secondly, it can reduce disputes. By understanding each other's needs and expectations, disputes arising from misunderstandings or miscommunications can be avoided and trust and respect promoted, thereby reducing disputes. Finally, it can increase business opportunities. By understanding each other's business, it can provide more business opportunities and build trust, which in turn makes both parties more willing to work together on the commercial side. In summary, the various techniques for building relationships with key partners in Asia can help businesses succeed by increasing efficiency, reducing disputes and enhancing business opportunities.</w:t>
      </w:r>
    </w:p>
    <w:p>
      <w:pPr>
        <w:pStyle w:val="3"/>
        <w:bidi w:val="0"/>
        <w:rPr>
          <w:rFonts w:hint="default" w:eastAsiaTheme="minorEastAsia"/>
          <w:b/>
          <w:bCs/>
          <w:lang w:val="en-US" w:eastAsia="zh-CN"/>
        </w:rPr>
      </w:pPr>
      <w:bookmarkStart w:id="13" w:name="_Toc3679"/>
      <w:r>
        <w:rPr>
          <w:rFonts w:hint="eastAsia"/>
          <w:b/>
          <w:bCs/>
          <w:lang w:val="en-US" w:eastAsia="zh-CN"/>
        </w:rPr>
        <w:t xml:space="preserve">2.4 </w:t>
      </w:r>
      <w:r>
        <w:rPr>
          <w:rFonts w:hint="eastAsia"/>
          <w:b/>
          <w:bCs/>
        </w:rPr>
        <w:t>Reasons why relationships may fail, implications of potential failure</w:t>
      </w:r>
      <w:bookmarkEnd w:id="13"/>
    </w:p>
    <w:p>
      <w:pPr>
        <w:bidi w:val="0"/>
        <w:rPr>
          <w:rFonts w:hint="eastAsia"/>
        </w:rPr>
      </w:pPr>
      <w:r>
        <w:rPr>
          <w:rFonts w:hint="eastAsia"/>
        </w:rPr>
        <w:t>Business communication can fail for a number of reasons, including language barriers, inadequate communication skills and inappropriate communication styles. To avoid these problems, companies should understand cultural differences and build a relationship of trust. This will avoid misunderstandings and relationship failures. During the relationship building process, problem solving skills should also be developed to deal with conflicts of interest that arise. Therefore, it is important to avoid some common failure factors when communicating in business, which include language barriers, inadequate communication skills, inappropriate communication styles, lack of adequate preparation and planning, lack of clear objectives, lack of listening skills, lack of negotiation skills and lack of trust.</w:t>
      </w:r>
    </w:p>
    <w:p>
      <w:pPr>
        <w:rPr>
          <w:rFonts w:hint="eastAsia"/>
          <w:b w:val="0"/>
          <w:bCs w:val="0"/>
        </w:rPr>
      </w:pPr>
      <w:r>
        <w:rPr>
          <w:rFonts w:hint="eastAsia"/>
          <w:b w:val="0"/>
          <w:bCs w:val="0"/>
        </w:rPr>
        <w:t>These failures may be due to the fact that the parties use different languages or neither party is familiar with the language used by the other; the parties lack effective communication skills to express their intentions or understand the other party effectively; the parties choose a method of communication that is not appropriate to the situation at hand; the parties do not prepare or plan carefully; the parties do not have clear objectives or are unable to express their intentions clearly; the parties do not have the ability to listen to the other party or truly understand each other; the parties do not negotiate with sufficient skill; and there is a lack of trust between the parties.Therefore, the necessary steps should be taken to avoid these failures when conducting business communication to ensure that it goes as smoothly as possible.</w:t>
      </w:r>
    </w:p>
    <w:p>
      <w:pPr>
        <w:pStyle w:val="3"/>
        <w:bidi w:val="0"/>
        <w:rPr>
          <w:rFonts w:hint="eastAsia"/>
          <w:lang w:val="en-US" w:eastAsia="zh-CN"/>
        </w:rPr>
      </w:pPr>
      <w:bookmarkStart w:id="14" w:name="_Toc25424"/>
      <w:r>
        <w:rPr>
          <w:rFonts w:hint="eastAsia"/>
          <w:lang w:val="en-US" w:eastAsia="zh-CN"/>
        </w:rPr>
        <w:t>2.5 Intercultural Communication</w:t>
      </w:r>
      <w:bookmarkEnd w:id="14"/>
    </w:p>
    <w:p>
      <w:pPr>
        <w:bidi w:val="0"/>
        <w:rPr>
          <w:rFonts w:hint="default"/>
          <w:color w:val="000000"/>
          <w:sz w:val="22"/>
          <w:szCs w:val="22"/>
          <w:lang w:val="en-US" w:eastAsia="zh-CN"/>
        </w:rPr>
      </w:pPr>
      <w:r>
        <w:rPr>
          <w:rFonts w:hint="eastAsia"/>
          <w:color w:val="000000"/>
          <w:sz w:val="22"/>
          <w:szCs w:val="22"/>
        </w:rPr>
        <w:t>Intercultural communication is communication between people from different cultural backgrounds. Both parties must come from different cultural backgrounds, they must communicate in real time using the same language of communication, and they must communicate directly. From a psychological point of view, communication in which information is encoded and translated by people from different cultural backgrounds is intercultural communication. In a given communicative situation, communicators from different cultural backgrounds use the same language to communicate verbally.</w:t>
      </w:r>
      <w:r>
        <w:rPr>
          <w:rFonts w:hint="eastAsia"/>
          <w:color w:val="000000"/>
          <w:sz w:val="22"/>
          <w:szCs w:val="22"/>
          <w:lang w:eastAsia="zh-CN"/>
        </w:rPr>
        <w:t>（ Gudykunst</w:t>
      </w:r>
      <w:r>
        <w:rPr>
          <w:rFonts w:hint="eastAsia"/>
          <w:color w:val="000000"/>
          <w:sz w:val="22"/>
          <w:szCs w:val="22"/>
          <w:lang w:val="en-US" w:eastAsia="zh-CN"/>
        </w:rPr>
        <w:t xml:space="preserve"> </w:t>
      </w:r>
      <w:r>
        <w:rPr>
          <w:rFonts w:hint="eastAsia"/>
          <w:color w:val="000000"/>
          <w:sz w:val="22"/>
          <w:szCs w:val="22"/>
          <w:lang w:eastAsia="zh-CN"/>
        </w:rPr>
        <w:t xml:space="preserve"> &amp; Kim,1988）</w:t>
      </w:r>
      <w:r>
        <w:rPr>
          <w:rFonts w:hint="eastAsia"/>
          <w:color w:val="000000"/>
          <w:sz w:val="22"/>
          <w:szCs w:val="22"/>
          <w:lang w:val="en-US" w:eastAsia="zh-CN"/>
        </w:rPr>
        <w:t>(</w:t>
      </w:r>
      <w:r>
        <w:rPr>
          <w:rFonts w:hint="eastAsia"/>
          <w:sz w:val="22"/>
          <w:szCs w:val="22"/>
          <w:lang w:val="en-US" w:eastAsia="zh-CN"/>
        </w:rPr>
        <w:t>Gallois, C., Liu, S., &amp; Volčič, Z. (2015</w:t>
      </w:r>
      <w:r>
        <w:rPr>
          <w:rFonts w:hint="eastAsia"/>
          <w:color w:val="000000"/>
          <w:sz w:val="22"/>
          <w:szCs w:val="22"/>
          <w:lang w:val="en-US" w:eastAsia="zh-CN"/>
        </w:rPr>
        <w:t>)</w:t>
      </w:r>
    </w:p>
    <w:p>
      <w:pPr>
        <w:pStyle w:val="4"/>
        <w:bidi w:val="0"/>
        <w:rPr>
          <w:rFonts w:hint="eastAsia"/>
          <w:lang w:val="en-US" w:eastAsia="zh-CN"/>
        </w:rPr>
      </w:pPr>
      <w:bookmarkStart w:id="15" w:name="_Toc12385"/>
      <w:r>
        <w:rPr>
          <w:rFonts w:hint="eastAsia"/>
          <w:lang w:val="en-US" w:eastAsia="zh-CN"/>
        </w:rPr>
        <w:t>2.5.1 Culture and the components of culture</w:t>
      </w:r>
      <w:bookmarkEnd w:id="15"/>
    </w:p>
    <w:p>
      <w:pPr>
        <w:rPr>
          <w:rFonts w:hint="eastAsia"/>
          <w:lang w:val="en-US" w:eastAsia="zh-CN"/>
        </w:rPr>
      </w:pPr>
      <w:r>
        <w:rPr>
          <w:rFonts w:hint="eastAsia"/>
          <w:lang w:val="en-US" w:eastAsia="zh-CN"/>
        </w:rPr>
        <w:t>This is how the American psychologist Harry Triandis defines culture." By culture I mean that part of the environment which is created by people". He understands culture as that part of the living environment that is created by people. The Dutch cultural psychologist Hofstede sees culture as a "collective mental process" and for him culture is a collective consciousness. Culture is therefore a concept. Culture encompasses a wide range of aspects, including the history, values, beliefs, customs, arts and other aspects of a society or collective. The components of culture include language, religion, art, food, clothing, architecture, social structures and other aspects.(Triandis. 2004）（Hofstede. 1994）</w:t>
      </w:r>
    </w:p>
    <w:p>
      <w:pPr>
        <w:rPr>
          <w:rFonts w:hint="default"/>
          <w:lang w:val="en-US" w:eastAsia="zh-CN"/>
        </w:rPr>
      </w:pPr>
      <w:r>
        <w:rPr>
          <w:rFonts w:hint="eastAsia"/>
          <w:lang w:val="en-US" w:eastAsia="zh-CN"/>
        </w:rPr>
        <w:t>In intercultural communication, culture is usually defined as the unique cultural characteristics of a society or collective, including its history, values, beliefs, customs, arts and other aspects. The definition of culture can help companies to understand and appreciate the differences between cultures and to make connections in intercultural communication. Culture is important in intercultural communication because it influences the way people think, value and behave, and can lead to differences in behaviour in intercultural communication. Therefore, understanding the definition and differences of culture helps people to better understand and respect people from different cultural backgrounds and to avoid misunderstandings or conflicts during communication.(Kroeber &amp; Kluckhohn 1952))</w:t>
      </w:r>
    </w:p>
    <w:p>
      <w:pPr>
        <w:pStyle w:val="4"/>
        <w:bidi w:val="0"/>
        <w:rPr>
          <w:rFonts w:hint="default"/>
          <w:lang w:val="en-US" w:eastAsia="zh-CN"/>
        </w:rPr>
      </w:pPr>
      <w:bookmarkStart w:id="16" w:name="_Toc30068"/>
      <w:r>
        <w:rPr>
          <w:rFonts w:hint="eastAsia"/>
          <w:lang w:val="en-US" w:eastAsia="zh-CN"/>
        </w:rPr>
        <w:t>2.5.3 Hall's theory of high and low contexts</w:t>
      </w:r>
      <w:bookmarkEnd w:id="16"/>
    </w:p>
    <w:p>
      <w:pPr>
        <w:rPr>
          <w:rFonts w:hint="default"/>
          <w:lang w:val="en-US" w:eastAsia="zh-CN"/>
        </w:rPr>
      </w:pPr>
      <w:r>
        <w:rPr>
          <w:rFonts w:hint="eastAsia"/>
          <w:lang w:val="en-US" w:eastAsia="zh-CN"/>
        </w:rPr>
        <w:t>Hall's theory of high and low context is a linguistic theory developed by Edward T. Hall in his 1989 book, Beyond Culture. Hall argues that context in language is an important factor influencing language use and divides context into two categories: high context and low context. High context refers to information that is mutually known between language users and language users, i.e. shared knowledge. High context provides language users with a lot of useful information about language comprehension and use and helps to reduce uncertainty. Conversely, low context means that there is no shared information, i.e. no shared knowledge, between language users and language users. In this case, language users must rely on information about the language itself in order to understand and use the language. In low contexts, language users' understanding and use can be more affected because they have no other information to help them. (Hall. 1989)</w:t>
      </w:r>
    </w:p>
    <w:p>
      <w:pPr>
        <w:rPr>
          <w:rFonts w:hint="eastAsia"/>
          <w:lang w:val="en-US" w:eastAsia="zh-CN"/>
        </w:rPr>
      </w:pPr>
      <w:r>
        <w:rPr>
          <w:rFonts w:hint="eastAsia"/>
          <w:lang w:val="en-US" w:eastAsia="zh-CN"/>
        </w:rPr>
        <w:t>Understanding the characteristics, reasons and perceived differences in the expression of messages from high and low context cultures can help companies to eliminate misunderstandings and barriers in cross-cultural communication. During intercultural communication, it is important to understand the differences between the two contextual cultures and to know whether the person you are communicating with is from a high- or low-context culture in order to eliminate misunderstandings. Engaging in intercultural communication develops sensitivity to cultural differences and learning to think differently, thus increasing their flexibility in dealing with cultural differences and achieving successful intercultural communication. Consciously communicating cultural differences on both sides can better help build professional relationships between companies.</w:t>
      </w:r>
    </w:p>
    <w:p>
      <w:pPr>
        <w:pStyle w:val="4"/>
        <w:bidi w:val="0"/>
        <w:rPr>
          <w:rFonts w:hint="default"/>
          <w:lang w:val="en-US" w:eastAsia="zh-CN"/>
        </w:rPr>
      </w:pPr>
      <w:bookmarkStart w:id="17" w:name="_Toc12695"/>
      <w:r>
        <w:rPr>
          <w:rFonts w:hint="eastAsia"/>
          <w:lang w:val="en-US" w:eastAsia="zh-CN"/>
        </w:rPr>
        <w:t xml:space="preserve">2.5.4 </w:t>
      </w:r>
      <w:r>
        <w:rPr>
          <w:rFonts w:hint="eastAsia"/>
          <w:b/>
          <w:bCs/>
          <w:lang w:val="en-US" w:eastAsia="zh-CN"/>
        </w:rPr>
        <w:t>The 7 cultural dimensions of Trompenaar</w:t>
      </w:r>
      <w:bookmarkEnd w:id="17"/>
    </w:p>
    <w:p>
      <w:pPr>
        <w:rPr>
          <w:rFonts w:hint="eastAsia"/>
          <w:lang w:val="en-US" w:eastAsia="zh-CN"/>
        </w:rPr>
      </w:pPr>
      <w:r>
        <w:rPr>
          <w:rFonts w:hint="eastAsia"/>
        </w:rPr>
        <w:t>Trompenaars and Hampden-Turner (1997) identified seven value orientations in their study of the cultural dimensions of corporate executives, which are outlined in their book Riding the Wave of Culture (1997). These orientations include universalism versus particularism, collectivism versus individualism, neutrality versus emotionality, decentralised versus particular cultures, achievement versus ascribed status, temporal orientation and relationship with nature. Their research focuses on cultural behaviour and value patterns.</w:t>
      </w:r>
      <w:r>
        <w:rPr>
          <w:rFonts w:hint="eastAsia"/>
          <w:lang w:val="en-US" w:eastAsia="zh-CN"/>
        </w:rPr>
        <w:t>(Trompenaars &amp; Hampden-Turner, 2011)</w:t>
      </w:r>
      <w:r>
        <w:rPr>
          <w:rFonts w:hint="eastAsia"/>
          <w:lang w:val="en-US" w:eastAsia="zh-CN"/>
        </w:rPr>
        <w:br w:type="textWrapping"/>
      </w:r>
    </w:p>
    <w:p>
      <w:r>
        <w:rPr>
          <w:rFonts w:hint="eastAsia"/>
        </w:rPr>
        <w:t>Cultural dimensions can be a useful tool for companies to understand the cultural differences they may encounter in international collaborations. By considering these cultural dimensions, such as universalism versus particularism, neutrality versus emotionality, specificity versus divisiveness, and fulfilment versus belonging, retailers can more effectively address diversity issues and build a solid foundation for cross-cultural communication and cooperation. For example, when negotiating with a potential joint venture partner from a specific culture (e.g. China), a universalist retailer must recognise the importance of building relationships and trust. On the other hand, multinational teams consisting of members from neutral and emotional cultures should be carefully managed to avoid misunderstandings and conflicts. In addition, managers from specific cultures may need to be aware of how their criticism is perceived in a diffuse culture. By understanding these cultural dimensions, UK clothing retailers can more effectively navigate cultural differences and facilitate successful cross-cultural collaboration.</w:t>
      </w: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
      <w:pPr>
        <w:pStyle w:val="2"/>
        <w:bidi w:val="0"/>
      </w:pPr>
      <w:bookmarkStart w:id="18" w:name="_Toc27272"/>
      <w:r>
        <w:t xml:space="preserve">3.0 </w:t>
      </w:r>
      <w:r>
        <w:rPr>
          <w:rFonts w:hint="eastAsia" w:eastAsia="宋体"/>
          <w:lang w:val="en-US" w:eastAsia="zh-CN"/>
        </w:rPr>
        <w:t xml:space="preserve"> </w:t>
      </w:r>
      <w:r>
        <w:t>Conclusions</w:t>
      </w:r>
      <w:bookmarkEnd w:id="18"/>
    </w:p>
    <w:p/>
    <w:p>
      <w:r>
        <w:rPr>
          <w:rFonts w:hint="eastAsia"/>
        </w:rPr>
        <w:t>In this report, the concept of international business communication and the skills required to expand a business into the global marketplace are first discussed. This is followed by an exploration of the importance of building professional relationships and the impact that potential causes of failure may have on the relationship building process. The importance of culture is explained by discussing the definition of culture in cross-cultural communication and it is found that culture is a complex concept that includes many different components such as high and low culture and Trompenaar's 7 cultural dimensions. When building professional relationships with Asian partners, clients should be aware of these cultural differences in order to maintain good communication and build trust. When expanding into global markets, clients need to focus on international business communication skills and methods, as well as being aware of cultural differences. By acquiring these skills, clients can more effectively build good professional relationships with their diverse global partners and thus successfully expand their business.</w:t>
      </w:r>
    </w:p>
    <w:p/>
    <w:p/>
    <w:p/>
    <w:p/>
    <w:p/>
    <w:p/>
    <w:p/>
    <w:p/>
    <w:p/>
    <w:p/>
    <w:p/>
    <w:p/>
    <w:p/>
    <w:p/>
    <w:p/>
    <w:p/>
    <w:p/>
    <w:p/>
    <w:p/>
    <w:p/>
    <w:p/>
    <w:p>
      <w:pPr>
        <w:pStyle w:val="2"/>
        <w:bidi w:val="0"/>
      </w:pPr>
      <w:bookmarkStart w:id="19" w:name="_Toc2393"/>
      <w:r>
        <w:rPr>
          <w:rFonts w:hint="eastAsia" w:eastAsia="宋体"/>
          <w:lang w:val="en-US" w:eastAsia="zh-CN"/>
        </w:rPr>
        <w:t xml:space="preserve">4.0 </w:t>
      </w:r>
      <w:r>
        <w:t>Recommendations</w:t>
      </w:r>
      <w:bookmarkEnd w:id="19"/>
    </w:p>
    <w:p>
      <w:pPr>
        <w:rPr>
          <w:rFonts w:hint="eastAsia"/>
        </w:rPr>
      </w:pPr>
    </w:p>
    <w:p>
      <w:pPr>
        <w:rPr>
          <w:rFonts w:hint="eastAsia"/>
        </w:rPr>
      </w:pPr>
      <w:r>
        <w:rPr>
          <w:rFonts w:hint="eastAsia"/>
        </w:rPr>
        <w:t>Create a cross-cultural communication strategy. Clients should consider developing a clear intercultural communication strategy in order to be successful in cross-cultural business activities. This can include identifying the components of the other culture and how to adapt to different communication styles and values. In addition, clients should also consider the use of effective communication skills in cross-cultural communication, such as listening, expressing ideas clearly and being aware of the language used.</w:t>
      </w:r>
    </w:p>
    <w:p>
      <w:pPr>
        <w:rPr>
          <w:rFonts w:hint="eastAsia"/>
        </w:rPr>
      </w:pPr>
      <w:r>
        <w:rPr>
          <w:rFonts w:hint="eastAsia"/>
        </w:rPr>
        <w:t>Be aware of cultural differences. Cultural differences are an important factor in cross-cultural communication. Clients should be aware of the high and low contexts in different cultures, as well as the 7 cultural dimensions of Trompenaar, and give due consideration to these differences in the communication process. In addition, your client should be aware of the components of culture such as values, customs, beliefs, language, etc. Understanding these factors can help your client to better understand and respect the other culture in cross-cultural communication.</w:t>
      </w:r>
    </w:p>
    <w:p>
      <w:pPr>
        <w:rPr>
          <w:rFonts w:hint="eastAsia"/>
        </w:rPr>
      </w:pPr>
      <w:r>
        <w:rPr>
          <w:rFonts w:hint="eastAsia"/>
        </w:rPr>
        <w:t>Building trust. Building trust is the key to successful intercultural communication. Clients should be aware of how to build trust in communication, for example, by respecting each other, showing sincerity and maintaining commitment. In addition, clients can build trust by avoiding misunderstandings and conflicts in communication and by sharing resources with each other. Building trust is the key to a good cross-cultural business relationship.</w:t>
      </w:r>
    </w:p>
    <w:p>
      <w:r>
        <w:rPr>
          <w:rFonts w:hint="eastAsia"/>
        </w:rPr>
        <w:t>Avoid communication failures. While successful cross-cultural communication can build good relationships for business, communication failure is also a possible outcome. Clients should be aware of the possible reasons for communication failure, such as cultural differences, misunderstandings and inadequate communication skills. To avoid communication failures, clients can develop a cross-cultural communication strategy and ensure that good communication skills are followed during the communication process.</w:t>
      </w:r>
    </w:p>
    <w:p/>
    <w:p/>
    <w:p/>
    <w:p/>
    <w:p/>
    <w:p/>
    <w:p/>
    <w:p/>
    <w:p/>
    <w:p/>
    <w:p/>
    <w:p/>
    <w:p/>
    <w:p>
      <w:pPr>
        <w:pStyle w:val="2"/>
        <w:bidi w:val="0"/>
      </w:pPr>
      <w:bookmarkStart w:id="20" w:name="_Toc23270"/>
      <w:r>
        <w:t>References</w:t>
      </w:r>
      <w:bookmarkEnd w:id="20"/>
    </w:p>
    <w:p/>
    <w:p>
      <w:pPr>
        <w:numPr>
          <w:ilvl w:val="0"/>
          <w:numId w:val="2"/>
        </w:numPr>
        <w:ind w:left="454" w:leftChars="0" w:firstLine="440" w:firstLineChars="200"/>
        <w:rPr>
          <w:rFonts w:hint="eastAsia"/>
        </w:rPr>
      </w:pPr>
      <w:r>
        <w:rPr>
          <w:rFonts w:hint="eastAsia"/>
        </w:rPr>
        <w:t>Ainsworth, L. (2013). Business languages for intercultural and international business communication: A Canadian case study. Business Communication Quarterly, 76(1), 28-50.</w:t>
      </w:r>
    </w:p>
    <w:p>
      <w:pPr>
        <w:numPr>
          <w:ilvl w:val="0"/>
          <w:numId w:val="2"/>
        </w:numPr>
        <w:ind w:left="454" w:leftChars="0" w:firstLine="440" w:firstLineChars="200"/>
        <w:rPr>
          <w:rFonts w:hint="eastAsia"/>
        </w:rPr>
      </w:pPr>
      <w:r>
        <w:rPr>
          <w:rFonts w:hint="eastAsia"/>
        </w:rPr>
        <w:t>Bloch, B., &amp; Starks, D. (1999). The many faces of English: intra‐language variation and its implications for international business. Corporate Communications: An International Journal.</w:t>
      </w:r>
    </w:p>
    <w:p>
      <w:pPr>
        <w:numPr>
          <w:ilvl w:val="0"/>
          <w:numId w:val="2"/>
        </w:numPr>
        <w:ind w:left="454" w:leftChars="0" w:firstLine="440" w:firstLineChars="200"/>
        <w:rPr>
          <w:rFonts w:hint="eastAsia"/>
        </w:rPr>
      </w:pPr>
      <w:r>
        <w:rPr>
          <w:rFonts w:hint="eastAsia"/>
        </w:rPr>
        <w:t>Begley, P.A. (2003). Communication with Egyptians. In L.A. Samovar and R.E. Porter (eds.), Intercultural Communication: A Reader (pp. 87-93). Belmont, CA: Thomson Wadsworth.</w:t>
      </w:r>
    </w:p>
    <w:p>
      <w:pPr>
        <w:numPr>
          <w:ilvl w:val="0"/>
          <w:numId w:val="2"/>
        </w:numPr>
        <w:ind w:left="454" w:leftChars="0" w:firstLine="440" w:firstLineChars="200"/>
        <w:rPr>
          <w:rFonts w:hint="eastAsia"/>
        </w:rPr>
      </w:pPr>
      <w:r>
        <w:rPr>
          <w:rFonts w:hint="eastAsia"/>
        </w:rPr>
        <w:t>Chaney, L.H. and Martin, J.S. (2004). Intercultural Business Communication, 3rd edn. London: Pearson Education.</w:t>
      </w:r>
    </w:p>
    <w:p>
      <w:pPr>
        <w:numPr>
          <w:ilvl w:val="0"/>
          <w:numId w:val="2"/>
        </w:numPr>
        <w:ind w:left="454" w:leftChars="0" w:firstLine="440" w:firstLineChars="200"/>
        <w:rPr>
          <w:rFonts w:hint="eastAsia"/>
        </w:rPr>
      </w:pPr>
      <w:r>
        <w:rPr>
          <w:rFonts w:hint="eastAsia"/>
        </w:rPr>
        <w:t>Denny, S. (2009). Communicate to win: Learn the secrets of successful communication and presentation (2nd ed.). Kogan Page.</w:t>
      </w:r>
    </w:p>
    <w:p>
      <w:pPr>
        <w:numPr>
          <w:ilvl w:val="0"/>
          <w:numId w:val="2"/>
        </w:numPr>
        <w:ind w:left="454" w:leftChars="0" w:firstLine="440" w:firstLineChars="200"/>
        <w:rPr>
          <w:rFonts w:hint="eastAsia"/>
        </w:rPr>
      </w:pPr>
      <w:r>
        <w:rPr>
          <w:rFonts w:hint="eastAsia"/>
        </w:rPr>
        <w:t>Gudykunst, W.B. and Kim, Y.Y. (1988). Theories in Intercultural Communication. Sage.</w:t>
      </w:r>
    </w:p>
    <w:p>
      <w:pPr>
        <w:numPr>
          <w:ilvl w:val="0"/>
          <w:numId w:val="2"/>
        </w:numPr>
        <w:ind w:left="454" w:leftChars="0" w:firstLine="440" w:firstLineChars="200"/>
        <w:rPr>
          <w:rFonts w:hint="eastAsia"/>
        </w:rPr>
      </w:pPr>
      <w:r>
        <w:rPr>
          <w:rFonts w:hint="eastAsia"/>
        </w:rPr>
        <w:t>Griffith, D.A. (2002). The Role of Communication Competencies in International Business Relationship Development. Journal of World Business: JWB, 37(4), 256–265.</w:t>
      </w:r>
    </w:p>
    <w:p>
      <w:pPr>
        <w:numPr>
          <w:ilvl w:val="0"/>
          <w:numId w:val="2"/>
        </w:numPr>
        <w:ind w:left="454" w:leftChars="0" w:firstLine="440" w:firstLineChars="200"/>
        <w:rPr>
          <w:rFonts w:hint="eastAsia"/>
        </w:rPr>
      </w:pPr>
      <w:r>
        <w:rPr>
          <w:rFonts w:hint="eastAsia"/>
        </w:rPr>
        <w:t>Gallois, C., Liu, S., and Volčič, Z. (2015). Introducing Intercultural Communication: Global Cultures and Contexts (2nd ed.). Sage Publications.</w:t>
      </w:r>
    </w:p>
    <w:p>
      <w:pPr>
        <w:numPr>
          <w:ilvl w:val="0"/>
          <w:numId w:val="2"/>
        </w:numPr>
        <w:ind w:left="454" w:leftChars="0" w:firstLine="440" w:firstLineChars="200"/>
        <w:rPr>
          <w:rFonts w:hint="eastAsia"/>
        </w:rPr>
      </w:pPr>
      <w:r>
        <w:rPr>
          <w:rFonts w:hint="eastAsia"/>
        </w:rPr>
        <w:t>Hall, E.T. (1959). The Silent Language. Garden City, NY: Doubleday.</w:t>
      </w:r>
    </w:p>
    <w:p>
      <w:pPr>
        <w:numPr>
          <w:ilvl w:val="0"/>
          <w:numId w:val="2"/>
        </w:numPr>
        <w:ind w:left="454" w:leftChars="0" w:firstLine="440" w:firstLineChars="200"/>
        <w:rPr>
          <w:rFonts w:hint="eastAsia"/>
        </w:rPr>
      </w:pPr>
      <w:r>
        <w:rPr>
          <w:rFonts w:hint="eastAsia"/>
        </w:rPr>
        <w:t>Hall, E.T. (1989). Beyond Culture. Anchor Books.</w:t>
      </w:r>
    </w:p>
    <w:p>
      <w:pPr>
        <w:numPr>
          <w:ilvl w:val="0"/>
          <w:numId w:val="2"/>
        </w:numPr>
        <w:ind w:left="454" w:leftChars="0" w:firstLine="440" w:firstLineChars="200"/>
        <w:rPr>
          <w:rFonts w:hint="eastAsia"/>
        </w:rPr>
      </w:pPr>
      <w:r>
        <w:rPr>
          <w:rFonts w:hint="eastAsia"/>
        </w:rPr>
        <w:t>Hofstede, G. and Hofstede, G.J. (1982). Dimensions of National Cultures. Diversity and Unity in Cross-Cultural Psychology, 173-187.</w:t>
      </w:r>
    </w:p>
    <w:p>
      <w:pPr>
        <w:numPr>
          <w:ilvl w:val="0"/>
          <w:numId w:val="2"/>
        </w:numPr>
        <w:ind w:left="454" w:leftChars="0" w:firstLine="440" w:firstLineChars="200"/>
        <w:rPr>
          <w:rFonts w:hint="eastAsia"/>
        </w:rPr>
      </w:pPr>
      <w:r>
        <w:rPr>
          <w:rFonts w:hint="eastAsia"/>
        </w:rPr>
        <w:t>Hofstede, G. (1994). Cultures and Organizations: Software of the Mind (New ed.). HarperCollins.</w:t>
      </w:r>
    </w:p>
    <w:p>
      <w:pPr>
        <w:numPr>
          <w:ilvl w:val="0"/>
          <w:numId w:val="2"/>
        </w:numPr>
        <w:ind w:left="454" w:leftChars="0" w:firstLine="440" w:firstLineChars="200"/>
        <w:rPr>
          <w:rFonts w:hint="eastAsia"/>
        </w:rPr>
      </w:pPr>
      <w:r>
        <w:rPr>
          <w:rFonts w:hint="eastAsia"/>
        </w:rPr>
        <w:t>Hofstede, G., &amp; Søndergaard, M. (2001). Culture's consequences: comparing values, behaviors, institutions, and organizations across nations. International Journal of Cross Cultural Management, 1(2), 243-246.</w:t>
      </w:r>
    </w:p>
    <w:p>
      <w:pPr>
        <w:numPr>
          <w:ilvl w:val="0"/>
          <w:numId w:val="2"/>
        </w:numPr>
        <w:ind w:left="454" w:leftChars="0" w:firstLine="440" w:firstLineChars="200"/>
        <w:rPr>
          <w:rFonts w:hint="eastAsia"/>
        </w:rPr>
      </w:pPr>
      <w:r>
        <w:rPr>
          <w:rFonts w:hint="eastAsia"/>
        </w:rPr>
        <w:t>Kroeber, A.L. and Kluckhohn, C. (1952). Culture: A Critical Review of Concepts and Definitions. Papers. Peabody Museum of Archaeology &amp; Ethnology, Harvard University, 47(1), viii, 223.</w:t>
      </w:r>
    </w:p>
    <w:p>
      <w:pPr>
        <w:numPr>
          <w:ilvl w:val="0"/>
          <w:numId w:val="2"/>
        </w:numPr>
        <w:ind w:left="454" w:leftChars="0" w:firstLine="440" w:firstLineChars="200"/>
        <w:rPr>
          <w:rFonts w:hint="eastAsia"/>
        </w:rPr>
      </w:pPr>
      <w:r>
        <w:rPr>
          <w:rFonts w:hint="eastAsia"/>
        </w:rPr>
        <w:t>Liu, Z., Volčič, Z. and Gallois, C. (2019). Introducing Intercultural Communication: Global Cultures and Contexts (Third edition.). SAGE.</w:t>
      </w:r>
    </w:p>
    <w:p>
      <w:pPr>
        <w:numPr>
          <w:ilvl w:val="0"/>
          <w:numId w:val="2"/>
        </w:numPr>
        <w:ind w:left="454" w:leftChars="0" w:firstLine="440" w:firstLineChars="200"/>
        <w:rPr>
          <w:rFonts w:hint="eastAsia"/>
        </w:rPr>
      </w:pPr>
      <w:r>
        <w:rPr>
          <w:rFonts w:hint="eastAsia"/>
        </w:rPr>
        <w:t>Nishiyama, K. (2000). Public speaking and presentations. In Doing business with Japan: Successful strategies for intercultural communication (pp. 135-154). University of Hawai'i Press.</w:t>
      </w:r>
    </w:p>
    <w:p>
      <w:pPr>
        <w:numPr>
          <w:ilvl w:val="0"/>
          <w:numId w:val="2"/>
        </w:numPr>
        <w:ind w:left="454" w:leftChars="0" w:firstLine="440" w:firstLineChars="200"/>
        <w:rPr>
          <w:rFonts w:hint="eastAsia"/>
        </w:rPr>
      </w:pPr>
      <w:r>
        <w:rPr>
          <w:rFonts w:hint="eastAsia"/>
        </w:rPr>
        <w:t>Nickerson, C., &amp; Planken, B. (2009). Europe: the state of the field. In F. Bargiela-Chiappini (Ed.), The handbook of business discourse (pp. 18-29). Edinburgh University Press.</w:t>
      </w:r>
    </w:p>
    <w:p>
      <w:pPr>
        <w:numPr>
          <w:ilvl w:val="0"/>
          <w:numId w:val="2"/>
        </w:numPr>
        <w:ind w:left="454" w:leftChars="0" w:firstLine="440" w:firstLineChars="200"/>
        <w:rPr>
          <w:rFonts w:hint="eastAsia"/>
        </w:rPr>
      </w:pPr>
      <w:r>
        <w:rPr>
          <w:rFonts w:hint="eastAsia"/>
        </w:rPr>
        <w:t>Piller, I. (2009). Intercultural communication. In F. Bargiela-Chiappini (Ed.), The handbook of business discourse (pp. 317-330). Edinburgh University Press.</w:t>
      </w:r>
    </w:p>
    <w:p>
      <w:pPr>
        <w:numPr>
          <w:ilvl w:val="0"/>
          <w:numId w:val="2"/>
        </w:numPr>
        <w:ind w:left="454" w:leftChars="0" w:firstLine="440" w:firstLineChars="200"/>
        <w:rPr>
          <w:rFonts w:hint="eastAsia"/>
        </w:rPr>
      </w:pPr>
      <w:r>
        <w:rPr>
          <w:rFonts w:hint="eastAsia"/>
        </w:rPr>
        <w:t xml:space="preserve">Pu, R., &amp; Tang, C. (2017). China-Malaysia cultural differences in international business relations. Malaysian </w:t>
      </w:r>
      <w:r>
        <w:rPr>
          <w:rFonts w:hint="eastAsia"/>
          <w:lang w:val="en-US" w:eastAsia="zh-CN"/>
        </w:rPr>
        <w:t xml:space="preserve">E </w:t>
      </w:r>
      <w:r>
        <w:rPr>
          <w:rFonts w:hint="eastAsia"/>
        </w:rPr>
        <w:t>Commerce Journal (MECJ), 1(2), 13-16.</w:t>
      </w:r>
    </w:p>
    <w:p>
      <w:pPr>
        <w:numPr>
          <w:ilvl w:val="0"/>
          <w:numId w:val="2"/>
        </w:numPr>
        <w:ind w:left="454" w:leftChars="0" w:firstLine="440" w:firstLineChars="200"/>
        <w:rPr>
          <w:rFonts w:hint="eastAsia"/>
        </w:rPr>
      </w:pPr>
      <w:r>
        <w:rPr>
          <w:rFonts w:hint="eastAsia"/>
        </w:rPr>
        <w:t>Skrynnikova, T., &amp; Grigorieva, E. G. (2019). Enhancing foreign language communication skills in international business environment. IOP Conference Series: Materials Science and Engineering, 483(1).</w:t>
      </w:r>
    </w:p>
    <w:p>
      <w:pPr>
        <w:numPr>
          <w:ilvl w:val="0"/>
          <w:numId w:val="2"/>
        </w:numPr>
        <w:ind w:left="454" w:leftChars="0" w:firstLine="440" w:firstLineChars="200"/>
        <w:rPr>
          <w:rFonts w:hint="eastAsia"/>
        </w:rPr>
      </w:pPr>
      <w:r>
        <w:rPr>
          <w:rFonts w:hint="eastAsia"/>
        </w:rPr>
        <w:t>Triandis, H.C. (2004). The Many Dimensions of Culture. Academy of Management Perspectives, 18(1), 88–93.</w:t>
      </w:r>
    </w:p>
    <w:p>
      <w:pPr>
        <w:numPr>
          <w:ilvl w:val="0"/>
          <w:numId w:val="2"/>
        </w:numPr>
        <w:ind w:left="454" w:leftChars="0" w:firstLine="440" w:firstLineChars="200"/>
        <w:rPr>
          <w:rFonts w:hint="eastAsia"/>
        </w:rPr>
      </w:pPr>
      <w:r>
        <w:rPr>
          <w:rFonts w:hint="eastAsia"/>
        </w:rPr>
        <w:t>Thompson, N. and Thompson, N. (2018). Effective Communication: A Guide for the People Professions (Third edition.). Palgrave Macmillan.</w:t>
      </w:r>
    </w:p>
    <w:p>
      <w:pPr>
        <w:numPr>
          <w:ilvl w:val="0"/>
          <w:numId w:val="2"/>
        </w:numPr>
        <w:ind w:left="454" w:leftChars="0" w:firstLine="440" w:firstLineChars="200"/>
        <w:rPr>
          <w:rFonts w:hint="eastAsia"/>
        </w:rPr>
      </w:pPr>
      <w:r>
        <w:rPr>
          <w:rFonts w:hint="eastAsia"/>
        </w:rPr>
        <w:t>Turner, H.C. and Trompernaars, F. (2020). Riding The Waves of Culture: Understanding Diversity in Global Business. McGraw Hill, USA.</w:t>
      </w:r>
    </w:p>
    <w:p>
      <w:pPr>
        <w:numPr>
          <w:ilvl w:val="0"/>
          <w:numId w:val="2"/>
        </w:numPr>
        <w:ind w:left="454" w:leftChars="0" w:firstLine="440" w:firstLineChars="200"/>
        <w:rPr>
          <w:rFonts w:hint="eastAsia"/>
        </w:rPr>
      </w:pPr>
      <w:r>
        <w:rPr>
          <w:rFonts w:hint="eastAsia"/>
        </w:rPr>
        <w:t>Wilson, J. (2002). International Staff Needs Effective Communication. (International Business). Business First (Columbus, Ohio), 18(23), B2-.</w:t>
      </w:r>
    </w:p>
    <w:p>
      <w:pPr>
        <w:numPr>
          <w:ilvl w:val="0"/>
          <w:numId w:val="2"/>
        </w:numPr>
        <w:ind w:left="454" w:leftChars="0" w:firstLine="440" w:firstLineChars="200"/>
        <w:rPr>
          <w:rFonts w:hint="eastAsia"/>
        </w:rPr>
      </w:pPr>
      <w:r>
        <w:rPr>
          <w:rFonts w:hint="eastAsia"/>
        </w:rPr>
        <w:t>Wang, D., Fan, D., Freeman, S., &amp; Zhu, C. J. (2017). Exploring cross-cultural skills for expatriate managers from Chinese multinationals: Congruence and contextualization. Asia Pacific Journal of Management, 34(1), 123-146.</w:t>
      </w:r>
    </w:p>
    <w:p>
      <w:pPr>
        <w:ind w:firstLine="720"/>
      </w:pPr>
    </w:p>
    <w:p>
      <w:pPr>
        <w:ind w:firstLine="720"/>
      </w:pPr>
    </w:p>
    <w:p>
      <w:pPr>
        <w:ind w:firstLine="720"/>
      </w:pPr>
    </w:p>
    <w:p>
      <w:pPr>
        <w:ind w:firstLine="720"/>
      </w:pPr>
    </w:p>
    <w:p/>
    <w:p/>
    <w:p/>
    <w:p/>
    <w:p/>
    <w:p/>
    <w:sectPr>
      <w:footerReference r:id="rId8" w:type="first"/>
      <w:footerReference r:id="rId7" w:type="default"/>
      <w:pgSz w:w="11906" w:h="16838"/>
      <w:pgMar w:top="1440" w:right="1440" w:bottom="1440" w:left="1440" w:header="708" w:footer="708" w:gutter="0"/>
      <w:pgNumType w:fmt="decimal"/>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AF10AA"/>
    <w:multiLevelType w:val="multilevel"/>
    <w:tmpl w:val="4CAF10AA"/>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abstractNum w:abstractNumId="1">
    <w:nsid w:val="7787ECBA"/>
    <w:multiLevelType w:val="singleLevel"/>
    <w:tmpl w:val="7787ECBA"/>
    <w:lvl w:ilvl="0" w:tentative="0">
      <w:start w:val="1"/>
      <w:numFmt w:val="decimal"/>
      <w:lvlText w:val="%1."/>
      <w:lvlJc w:val="left"/>
      <w:pPr>
        <w:tabs>
          <w:tab w:val="left" w:pos="397"/>
        </w:tabs>
        <w:ind w:left="454" w:leftChars="0" w:hanging="454"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M4OTQ4MmNhYjRlOGNmMjJmNDIxNGMyOTA4ZTMyZjQifQ=="/>
  </w:docVars>
  <w:rsids>
    <w:rsidRoot w:val="00571F12"/>
    <w:rsid w:val="00102068"/>
    <w:rsid w:val="001652C1"/>
    <w:rsid w:val="00390E8A"/>
    <w:rsid w:val="00571F12"/>
    <w:rsid w:val="007C4355"/>
    <w:rsid w:val="00D86589"/>
    <w:rsid w:val="00F81595"/>
    <w:rsid w:val="012D2227"/>
    <w:rsid w:val="01CE3A0A"/>
    <w:rsid w:val="028E568D"/>
    <w:rsid w:val="03B409DD"/>
    <w:rsid w:val="061C2827"/>
    <w:rsid w:val="07785AA7"/>
    <w:rsid w:val="0E662085"/>
    <w:rsid w:val="0E820FEE"/>
    <w:rsid w:val="0FDE2036"/>
    <w:rsid w:val="12A52565"/>
    <w:rsid w:val="13A207CA"/>
    <w:rsid w:val="14033AD1"/>
    <w:rsid w:val="17183D89"/>
    <w:rsid w:val="19333420"/>
    <w:rsid w:val="19943843"/>
    <w:rsid w:val="1BDD4B1E"/>
    <w:rsid w:val="1BF374BE"/>
    <w:rsid w:val="1D3C44CF"/>
    <w:rsid w:val="1E1251AF"/>
    <w:rsid w:val="1E3E561C"/>
    <w:rsid w:val="1E7741CC"/>
    <w:rsid w:val="1F903C55"/>
    <w:rsid w:val="1FBE2B89"/>
    <w:rsid w:val="221F7512"/>
    <w:rsid w:val="251F61A7"/>
    <w:rsid w:val="26C36427"/>
    <w:rsid w:val="28944B04"/>
    <w:rsid w:val="28AD0A89"/>
    <w:rsid w:val="2A8820F8"/>
    <w:rsid w:val="2BA20995"/>
    <w:rsid w:val="2CF27769"/>
    <w:rsid w:val="2EBA0CEE"/>
    <w:rsid w:val="30FA1876"/>
    <w:rsid w:val="33B73A4E"/>
    <w:rsid w:val="347512D6"/>
    <w:rsid w:val="36C4095C"/>
    <w:rsid w:val="372174B3"/>
    <w:rsid w:val="377203B8"/>
    <w:rsid w:val="378D324C"/>
    <w:rsid w:val="389C4783"/>
    <w:rsid w:val="3B554279"/>
    <w:rsid w:val="3CB274A9"/>
    <w:rsid w:val="3EEB27FE"/>
    <w:rsid w:val="40061FE5"/>
    <w:rsid w:val="41391F47"/>
    <w:rsid w:val="415D593F"/>
    <w:rsid w:val="47192FC6"/>
    <w:rsid w:val="475A2C17"/>
    <w:rsid w:val="47D862CC"/>
    <w:rsid w:val="4BD20FCE"/>
    <w:rsid w:val="4F0B098B"/>
    <w:rsid w:val="50303D46"/>
    <w:rsid w:val="50BE6A7A"/>
    <w:rsid w:val="51D94773"/>
    <w:rsid w:val="553E1DED"/>
    <w:rsid w:val="58F049EC"/>
    <w:rsid w:val="5E0314BA"/>
    <w:rsid w:val="5F4B136B"/>
    <w:rsid w:val="5F585836"/>
    <w:rsid w:val="5FE823F4"/>
    <w:rsid w:val="605D0B34"/>
    <w:rsid w:val="64CA2D32"/>
    <w:rsid w:val="665C2743"/>
    <w:rsid w:val="67B11F87"/>
    <w:rsid w:val="67C523C4"/>
    <w:rsid w:val="67F00651"/>
    <w:rsid w:val="690B0662"/>
    <w:rsid w:val="6AF9611F"/>
    <w:rsid w:val="6C4F6DA0"/>
    <w:rsid w:val="6E8403F6"/>
    <w:rsid w:val="7238752D"/>
    <w:rsid w:val="726C71D7"/>
    <w:rsid w:val="74075062"/>
    <w:rsid w:val="782C7B34"/>
    <w:rsid w:val="78D061B4"/>
    <w:rsid w:val="7AE96FF3"/>
    <w:rsid w:val="7BD65849"/>
    <w:rsid w:val="7C954160"/>
    <w:rsid w:val="7D7B73D9"/>
    <w:rsid w:val="7DB50C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cs="Calibri" w:asciiTheme="minorAscii" w:hAnsiTheme="minorAscii" w:eastAsiaTheme="minorAscii"/>
      <w:sz w:val="22"/>
      <w:szCs w:val="22"/>
      <w:lang w:val="en-GB" w:eastAsia="zh-CN" w:bidi="ar-SA"/>
    </w:rPr>
  </w:style>
  <w:style w:type="paragraph" w:styleId="2">
    <w:name w:val="heading 1"/>
    <w:next w:val="1"/>
    <w:link w:val="14"/>
    <w:qFormat/>
    <w:uiPriority w:val="9"/>
    <w:pPr>
      <w:keepNext/>
      <w:keepLines/>
      <w:spacing w:before="240" w:after="0"/>
      <w:outlineLvl w:val="0"/>
    </w:pPr>
    <w:rPr>
      <w:rFonts w:ascii="Calibri" w:hAnsi="Calibri" w:cs="Calibri" w:eastAsiaTheme="majorAscii"/>
      <w:b/>
      <w:color w:val="000000" w:themeColor="text1"/>
      <w:sz w:val="28"/>
      <w:szCs w:val="28"/>
      <w14:textFill>
        <w14:solidFill>
          <w14:schemeClr w14:val="tx1"/>
        </w14:solidFill>
      </w14:textFill>
    </w:rPr>
  </w:style>
  <w:style w:type="paragraph" w:styleId="3">
    <w:name w:val="heading 2"/>
    <w:basedOn w:val="2"/>
    <w:next w:val="1"/>
    <w:unhideWhenUsed/>
    <w:qFormat/>
    <w:uiPriority w:val="9"/>
    <w:pPr>
      <w:keepNext/>
      <w:keepLines/>
      <w:spacing w:before="260" w:after="260" w:line="416" w:lineRule="auto"/>
      <w:outlineLvl w:val="1"/>
    </w:pPr>
    <w:rPr>
      <w:rFonts w:ascii="Calibri" w:hAnsi="Calibri" w:cs="Calibri" w:eastAsiaTheme="majorAscii"/>
      <w:bCs/>
      <w:szCs w:val="28"/>
    </w:rPr>
  </w:style>
  <w:style w:type="paragraph" w:styleId="4">
    <w:name w:val="heading 3"/>
    <w:basedOn w:val="1"/>
    <w:next w:val="1"/>
    <w:unhideWhenUsed/>
    <w:qFormat/>
    <w:uiPriority w:val="9"/>
    <w:pPr>
      <w:keepNext/>
      <w:keepLines/>
      <w:spacing w:before="260" w:after="260" w:line="416" w:lineRule="auto"/>
      <w:outlineLvl w:val="2"/>
    </w:pPr>
    <w:rPr>
      <w:rFonts w:ascii="Calibri" w:hAnsi="Calibri" w:cs="Calibri" w:eastAsiaTheme="minorAscii"/>
      <w:b/>
      <w:bCs/>
      <w:sz w:val="28"/>
      <w:szCs w:val="28"/>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uiPriority w:val="99"/>
    <w:pPr>
      <w:jc w:val="left"/>
    </w:pPr>
  </w:style>
  <w:style w:type="paragraph" w:styleId="6">
    <w:name w:val="toc 3"/>
    <w:basedOn w:val="1"/>
    <w:next w:val="1"/>
    <w:semiHidden/>
    <w:unhideWhenUsed/>
    <w:uiPriority w:val="39"/>
    <w:pPr>
      <w:ind w:left="840" w:leftChars="400"/>
    </w:pPr>
  </w:style>
  <w:style w:type="paragraph" w:styleId="7">
    <w:name w:val="footer"/>
    <w:basedOn w:val="1"/>
    <w:semiHidden/>
    <w:unhideWhenUsed/>
    <w:uiPriority w:val="99"/>
    <w:pPr>
      <w:tabs>
        <w:tab w:val="center" w:pos="4153"/>
        <w:tab w:val="right" w:pos="8306"/>
      </w:tabs>
      <w:snapToGrid w:val="0"/>
      <w:jc w:val="left"/>
    </w:pPr>
    <w:rPr>
      <w:sz w:val="18"/>
    </w:rPr>
  </w:style>
  <w:style w:type="paragraph" w:styleId="8">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semiHidden/>
    <w:unhideWhenUsed/>
    <w:uiPriority w:val="39"/>
  </w:style>
  <w:style w:type="paragraph" w:styleId="10">
    <w:name w:val="toc 2"/>
    <w:basedOn w:val="1"/>
    <w:next w:val="1"/>
    <w:semiHidden/>
    <w:unhideWhenUsed/>
    <w:uiPriority w:val="39"/>
    <w:pPr>
      <w:ind w:left="420" w:leftChars="200"/>
    </w:p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14">
    <w:name w:val="Heading 1 Char"/>
    <w:basedOn w:val="13"/>
    <w:link w:val="2"/>
    <w:qFormat/>
    <w:uiPriority w:val="9"/>
    <w:rPr>
      <w:rFonts w:ascii="Calibri" w:hAnsi="Calibri" w:cs="Calibri" w:eastAsiaTheme="majorAscii"/>
      <w:b/>
      <w:color w:val="000000" w:themeColor="text1"/>
      <w:sz w:val="28"/>
      <w:szCs w:val="28"/>
      <w14:textFill>
        <w14:solidFill>
          <w14:schemeClr w14:val="tx1"/>
        </w14:solidFill>
      </w14:textFill>
    </w:rPr>
  </w:style>
  <w:style w:type="paragraph" w:styleId="15">
    <w:name w:val="No Spacing"/>
    <w:link w:val="16"/>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6">
    <w:name w:val="No Spacing Char"/>
    <w:basedOn w:val="13"/>
    <w:link w:val="15"/>
    <w:qFormat/>
    <w:uiPriority w:val="1"/>
    <w:rPr>
      <w:lang w:val="en-US" w:eastAsia="en-US"/>
    </w:rPr>
  </w:style>
  <w:style w:type="paragraph" w:styleId="17">
    <w:name w:val="List Paragraph"/>
    <w:basedOn w:val="1"/>
    <w:qFormat/>
    <w:uiPriority w:val="34"/>
    <w:pPr>
      <w:ind w:left="720"/>
      <w:contextualSpacing/>
    </w:pPr>
  </w:style>
  <w:style w:type="paragraph" w:customStyle="1" w:styleId="18">
    <w:name w:val="TOC Heading"/>
    <w:basedOn w:val="2"/>
    <w:next w:val="1"/>
    <w:unhideWhenUsed/>
    <w:qFormat/>
    <w:uiPriority w:val="39"/>
    <w:pPr>
      <w:outlineLvl w:val="9"/>
    </w:pPr>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14</Pages>
  <Words>3797</Words>
  <Characters>24021</Characters>
  <Lines>9</Lines>
  <Paragraphs>2</Paragraphs>
  <TotalTime>0</TotalTime>
  <ScaleCrop>false</ScaleCrop>
  <LinksUpToDate>false</LinksUpToDate>
  <CharactersWithSpaces>27738</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International Business Communication</cp:category>
  <dcterms:created xsi:type="dcterms:W3CDTF">2022-11-11T10:34:00Z</dcterms:created>
  <dc:creator>CHUSHUAI JIN 2206276</dc:creator>
  <cp:lastModifiedBy>套中人</cp:lastModifiedBy>
  <dcterms:modified xsi:type="dcterms:W3CDTF">2022-12-22T23:27:13Z</dcterms:modified>
  <dc:title>Intercultural Communication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EE1913AE22294C6DB2CD5F7A27AA6F67</vt:lpwstr>
  </property>
</Properties>
</file>