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2144769864"/>
        <w:docPartObj>
          <w:docPartGallery w:val="Cover Pages"/>
          <w:docPartUnique/>
        </w:docPartObj>
      </w:sdtPr>
      <w:sdtContent>
        <w:p w14:paraId="357231B1" w14:textId="174C64F4" w:rsidR="00C66722" w:rsidRDefault="00C66722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78E92951" wp14:editId="23E2F659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6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0BA0C402" id="Group 149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7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551179CA" wp14:editId="1A7A22D6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16E1FBEE" w14:textId="0955401F" w:rsidR="00C66722" w:rsidRDefault="00C66722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Jack Banner (2200212)</w:t>
                                    </w:r>
                                  </w:p>
                                </w:sdtContent>
                              </w:sdt>
                              <w:p w14:paraId="768AA789" w14:textId="6BB26E9F" w:rsidR="00C66722" w:rsidRDefault="00C66722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Content>
                                    <w:r w:rsidR="00AB2A20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>2200212@student.</w:t>
                                    </w:r>
                                    <w:r w:rsidR="00DA19FF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>uwtsd.ac.uk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551179CA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2" o:spid="_x0000_s1026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16E1FBEE" w14:textId="0955401F" w:rsidR="00C66722" w:rsidRDefault="00C66722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Jack Banner (2200212)</w:t>
                              </w:r>
                            </w:p>
                          </w:sdtContent>
                        </w:sdt>
                        <w:p w14:paraId="768AA789" w14:textId="6BB26E9F" w:rsidR="00C66722" w:rsidRDefault="00C66722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Content>
                              <w:r w:rsidR="00AB2A20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>2200212@student.</w:t>
                              </w:r>
                              <w:r w:rsidR="00DA19FF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>uwtsd.ac.uk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14784042" wp14:editId="68C9A48D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7F5BC72E" w14:textId="234F383A" w:rsidR="00C66722" w:rsidRDefault="00C66722">
                                <w:pPr>
                                  <w:jc w:val="right"/>
                                  <w:rPr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D</w:t>
                                    </w:r>
                                    <w:r w:rsidR="009B2A13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i</w:t>
                                    </w:r>
                                    <w:r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minished Responsibility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7EF519E1" w14:textId="361A7A1C" w:rsidR="00C66722" w:rsidRDefault="006B63BE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BMPL4009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14784042" id="Text Box 154" o:spid="_x0000_s1027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" filled="f" stroked="f" strokeweight=".5pt">
                    <v:textbox inset="126pt,0,54pt,0">
                      <w:txbxContent>
                        <w:p w14:paraId="7F5BC72E" w14:textId="234F383A" w:rsidR="00C66722" w:rsidRDefault="00C66722">
                          <w:pPr>
                            <w:jc w:val="right"/>
                            <w:rPr>
                              <w:color w:val="4472C4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>D</w:t>
                              </w:r>
                              <w:r w:rsidR="009B2A13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>i</w:t>
                              </w:r>
                              <w:r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>minished Responsibility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7EF519E1" w14:textId="361A7A1C" w:rsidR="00C66722" w:rsidRDefault="006B63BE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BMPL4009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5E5787A5" w14:textId="64E06066" w:rsidR="00C66722" w:rsidRDefault="00C66722">
          <w:r>
            <w:br w:type="page"/>
          </w:r>
        </w:p>
      </w:sdtContent>
    </w:sdt>
    <w:sdt>
      <w:sdtPr>
        <w:id w:val="-64802624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sz w:val="22"/>
          <w:szCs w:val="22"/>
          <w:lang w:val="en-GB"/>
        </w:rPr>
      </w:sdtEndPr>
      <w:sdtContent>
        <w:p w14:paraId="50B40BC7" w14:textId="54A2A148" w:rsidR="00DA19FF" w:rsidRDefault="00DA19FF">
          <w:pPr>
            <w:pStyle w:val="TOCHeading"/>
          </w:pPr>
          <w:r>
            <w:t>Contents</w:t>
          </w:r>
        </w:p>
        <w:p w14:paraId="0AC0BC31" w14:textId="55B15D9B" w:rsidR="006B7580" w:rsidRDefault="00DA19F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29383693" w:history="1">
            <w:r w:rsidR="006B7580" w:rsidRPr="002646C8">
              <w:rPr>
                <w:rStyle w:val="Hyperlink"/>
                <w:noProof/>
              </w:rPr>
              <w:t>Introduction</w:t>
            </w:r>
            <w:r w:rsidR="006B7580">
              <w:rPr>
                <w:noProof/>
                <w:webHidden/>
              </w:rPr>
              <w:tab/>
            </w:r>
            <w:r w:rsidR="006B7580">
              <w:rPr>
                <w:noProof/>
                <w:webHidden/>
              </w:rPr>
              <w:fldChar w:fldCharType="begin"/>
            </w:r>
            <w:r w:rsidR="006B7580">
              <w:rPr>
                <w:noProof/>
                <w:webHidden/>
              </w:rPr>
              <w:instrText xml:space="preserve"> PAGEREF _Toc129383693 \h </w:instrText>
            </w:r>
            <w:r w:rsidR="006B7580">
              <w:rPr>
                <w:noProof/>
                <w:webHidden/>
              </w:rPr>
            </w:r>
            <w:r w:rsidR="006B7580">
              <w:rPr>
                <w:noProof/>
                <w:webHidden/>
              </w:rPr>
              <w:fldChar w:fldCharType="separate"/>
            </w:r>
            <w:r w:rsidR="006B7580">
              <w:rPr>
                <w:noProof/>
                <w:webHidden/>
              </w:rPr>
              <w:t>2</w:t>
            </w:r>
            <w:r w:rsidR="006B7580">
              <w:rPr>
                <w:noProof/>
                <w:webHidden/>
              </w:rPr>
              <w:fldChar w:fldCharType="end"/>
            </w:r>
          </w:hyperlink>
        </w:p>
        <w:p w14:paraId="1F004DB0" w14:textId="7A1CCDF6" w:rsidR="006B7580" w:rsidRDefault="006B758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9383694" w:history="1">
            <w:r w:rsidRPr="002646C8">
              <w:rPr>
                <w:rStyle w:val="Hyperlink"/>
                <w:noProof/>
              </w:rPr>
              <w:t>Main Body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_Toc129383694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9B12104" w14:textId="47138579" w:rsidR="006B7580" w:rsidRDefault="006B758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9383695" w:history="1">
            <w:r w:rsidRPr="002646C8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_Toc129383695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B4C8C9D" w14:textId="750C467C" w:rsidR="006B7580" w:rsidRDefault="006B758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9383696" w:history="1">
            <w:r w:rsidRPr="002646C8">
              <w:rPr>
                <w:rStyle w:val="Hyperlink"/>
                <w:noProof/>
              </w:rPr>
              <w:t>Bibliography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_Toc129383696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634AE81" w14:textId="52BB4E08" w:rsidR="00DA19FF" w:rsidRDefault="00DA19FF">
          <w:r>
            <w:rPr>
              <w:b/>
              <w:bCs/>
              <w:noProof/>
            </w:rPr>
            <w:fldChar w:fldCharType="end"/>
          </w:r>
        </w:p>
      </w:sdtContent>
    </w:sdt>
    <w:p w14:paraId="773559C2" w14:textId="02FC10B8" w:rsidR="00DA19FF" w:rsidRDefault="00DA19FF"/>
    <w:p w14:paraId="1B1A1C77" w14:textId="77777777" w:rsidR="00DA19FF" w:rsidRDefault="00DA19FF">
      <w:r>
        <w:br w:type="page"/>
      </w:r>
    </w:p>
    <w:p w14:paraId="6E4FB5BD" w14:textId="5214BEEF" w:rsidR="000E24BB" w:rsidRDefault="000E24BB" w:rsidP="000E24BB">
      <w:pPr>
        <w:pStyle w:val="Heading1"/>
      </w:pPr>
      <w:bookmarkStart w:id="0" w:name="_Toc129383693"/>
      <w:r>
        <w:lastRenderedPageBreak/>
        <w:t>Introduction</w:t>
      </w:r>
      <w:bookmarkEnd w:id="0"/>
    </w:p>
    <w:p w14:paraId="00EDC98B" w14:textId="0C8617BF" w:rsidR="000E27DF" w:rsidRDefault="000E27DF" w:rsidP="000E27DF">
      <w:r>
        <w:t xml:space="preserve">     Throughout this document</w:t>
      </w:r>
      <w:r w:rsidR="009D22DF">
        <w:t>,</w:t>
      </w:r>
      <w:r>
        <w:t xml:space="preserve"> I plan to explore </w:t>
      </w:r>
      <w:r w:rsidR="00101F3D">
        <w:t xml:space="preserve">the </w:t>
      </w:r>
      <w:r w:rsidR="00E41B82">
        <w:t>defence</w:t>
      </w:r>
      <w:r w:rsidR="00101F3D">
        <w:t xml:space="preserve"> of diminished responsibility including, what it is, where it </w:t>
      </w:r>
      <w:r w:rsidR="009D22DF">
        <w:t>comes</w:t>
      </w:r>
      <w:r w:rsidR="00101F3D">
        <w:t xml:space="preserve"> from,</w:t>
      </w:r>
      <w:r w:rsidR="009D22DF">
        <w:t xml:space="preserve"> the adjustments made to it throughout the recent years, and whether this was for better or worse.</w:t>
      </w:r>
    </w:p>
    <w:p w14:paraId="533AE177" w14:textId="14E88074" w:rsidR="009D22DF" w:rsidRDefault="009D22DF" w:rsidP="000E27DF"/>
    <w:p w14:paraId="36949D09" w14:textId="34FAFB06" w:rsidR="009D22DF" w:rsidRDefault="004D2479" w:rsidP="009D22DF">
      <w:pPr>
        <w:pStyle w:val="Heading1"/>
      </w:pPr>
      <w:bookmarkStart w:id="1" w:name="_Toc129383694"/>
      <w:r>
        <w:t>Main Body</w:t>
      </w:r>
      <w:bookmarkEnd w:id="1"/>
    </w:p>
    <w:p w14:paraId="34470147" w14:textId="14959A37" w:rsidR="000D525D" w:rsidRDefault="009B2A13" w:rsidP="0099078E">
      <w:r>
        <w:t xml:space="preserve">     </w:t>
      </w:r>
      <w:r w:rsidR="00E41B82">
        <w:t>According to</w:t>
      </w:r>
      <w:r w:rsidR="00814A92">
        <w:t xml:space="preserve"> </w:t>
      </w:r>
      <w:r w:rsidR="00814A92" w:rsidRPr="00814A92">
        <w:t>Herring (2022)</w:t>
      </w:r>
      <w:r w:rsidR="00814A92">
        <w:t>, “d</w:t>
      </w:r>
      <w:r w:rsidR="00814A92" w:rsidRPr="00814A92">
        <w:t>iminished responsibility is a defence only to murder and, if successful, reduces the charge to manslaughter</w:t>
      </w:r>
      <w:r w:rsidR="00814A92">
        <w:t>”</w:t>
      </w:r>
      <w:r w:rsidR="00586EDC">
        <w:t xml:space="preserve"> and in which the defendant must show that they suffered from </w:t>
      </w:r>
      <w:r w:rsidR="0013019B">
        <w:t xml:space="preserve">what he refers to as an “abnormality of mental functioning”, that would have </w:t>
      </w:r>
      <w:r w:rsidR="000244CE">
        <w:t xml:space="preserve">surfaced as a result of an unknown underlying mental condition which </w:t>
      </w:r>
      <w:r w:rsidR="00FA3412">
        <w:t>explains</w:t>
      </w:r>
      <w:r w:rsidR="000244CE">
        <w:t xml:space="preserve"> the killing.</w:t>
      </w:r>
      <w:r w:rsidR="00BE42D8">
        <w:t xml:space="preserve"> </w:t>
      </w:r>
      <w:r w:rsidR="00402094">
        <w:t xml:space="preserve">It is also necessary for it to be proven that this would have </w:t>
      </w:r>
      <w:r w:rsidR="00FA3412">
        <w:t xml:space="preserve">a </w:t>
      </w:r>
      <w:r w:rsidR="00402094">
        <w:t>majo</w:t>
      </w:r>
      <w:r w:rsidR="00883B0B">
        <w:t xml:space="preserve">r impairment </w:t>
      </w:r>
      <w:r w:rsidR="00FA3412">
        <w:t>on</w:t>
      </w:r>
      <w:r w:rsidR="00883B0B">
        <w:t xml:space="preserve"> their ability to realise the nature of their conduct</w:t>
      </w:r>
      <w:r w:rsidR="00FA3412">
        <w:t xml:space="preserve"> and to form rational judgments</w:t>
      </w:r>
      <w:r w:rsidR="0038352C">
        <w:t xml:space="preserve"> with exercised </w:t>
      </w:r>
      <w:r w:rsidR="00F20771">
        <w:t>self-control</w:t>
      </w:r>
      <w:r w:rsidR="0038352C">
        <w:t>.</w:t>
      </w:r>
      <w:r w:rsidR="00F20771">
        <w:t xml:space="preserve"> It is also important to note that under diminished responsibility </w:t>
      </w:r>
      <w:r w:rsidR="003E099A">
        <w:t xml:space="preserve">the question of other parties would still amount to murder </w:t>
      </w:r>
      <w:r w:rsidR="000D0B5E">
        <w:t xml:space="preserve">as set out in </w:t>
      </w:r>
      <w:r w:rsidR="00D5187F">
        <w:t xml:space="preserve">section two </w:t>
      </w:r>
      <w:r w:rsidR="007C2F71">
        <w:t xml:space="preserve">of </w:t>
      </w:r>
      <w:r w:rsidR="000D0B5E">
        <w:t>the legislation</w:t>
      </w:r>
      <w:r w:rsidR="00FA1438">
        <w:t xml:space="preserve"> that establishes diminished responsibility</w:t>
      </w:r>
      <w:r w:rsidR="001B2423">
        <w:t xml:space="preserve"> the homicide act and the newer coroners and justice act</w:t>
      </w:r>
      <w:r w:rsidR="000D0B5E">
        <w:t xml:space="preserve"> (Homicide Act </w:t>
      </w:r>
      <w:r w:rsidR="00295693">
        <w:t>1957) (</w:t>
      </w:r>
      <w:r w:rsidR="001B2423">
        <w:t>Co</w:t>
      </w:r>
      <w:r w:rsidR="00625129">
        <w:t>roners and Justice Act 2009)</w:t>
      </w:r>
      <w:r w:rsidR="00FA1438">
        <w:t>.</w:t>
      </w:r>
      <w:r w:rsidR="002E3B28">
        <w:t xml:space="preserve"> According to </w:t>
      </w:r>
      <w:r w:rsidR="001E2F7A" w:rsidRPr="001E2F7A">
        <w:t>Kennefick (2011)</w:t>
      </w:r>
      <w:r w:rsidR="001E2F7A">
        <w:t xml:space="preserve">, the change to the defence of diminished responsibility came </w:t>
      </w:r>
      <w:r w:rsidR="00925AEF">
        <w:t xml:space="preserve">with pressure from mental health professionals, </w:t>
      </w:r>
      <w:r w:rsidR="00C15C6C">
        <w:t>practitioners</w:t>
      </w:r>
      <w:r w:rsidR="00925AEF">
        <w:t xml:space="preserve"> and academics to</w:t>
      </w:r>
      <w:r w:rsidR="00DA2010">
        <w:t xml:space="preserve"> reword the legislation, which came under section 52</w:t>
      </w:r>
      <w:r w:rsidR="00C15C6C">
        <w:t xml:space="preserve"> of the </w:t>
      </w:r>
      <w:r w:rsidR="00C15C6C" w:rsidRPr="00C15C6C">
        <w:t>Coroners and Justice Act 2009</w:t>
      </w:r>
      <w:r w:rsidR="00C15C6C">
        <w:t xml:space="preserve">. </w:t>
      </w:r>
    </w:p>
    <w:p w14:paraId="43429601" w14:textId="77777777" w:rsidR="00AA32A9" w:rsidRDefault="000D525D" w:rsidP="0099078E">
      <w:r>
        <w:t xml:space="preserve">     </w:t>
      </w:r>
      <w:r w:rsidR="00C15C6C">
        <w:t xml:space="preserve">Before we look into this act, I think it is important to ask why </w:t>
      </w:r>
      <w:r w:rsidR="002E4180">
        <w:t xml:space="preserve">a need for this change was there. </w:t>
      </w:r>
      <w:r w:rsidR="00C26077">
        <w:t xml:space="preserve">According to Kenny (1986), </w:t>
      </w:r>
      <w:r w:rsidR="004579DE">
        <w:t>section 2 of the homicide act is “</w:t>
      </w:r>
      <w:r w:rsidR="004579DE" w:rsidRPr="004579DE">
        <w:t>indefensible</w:t>
      </w:r>
      <w:r w:rsidR="004579DE">
        <w:t xml:space="preserve">”, </w:t>
      </w:r>
      <w:r w:rsidR="00007526">
        <w:t xml:space="preserve">describing mental responsibility and outlined in the </w:t>
      </w:r>
      <w:r w:rsidR="00193399">
        <w:t xml:space="preserve">act as a hybrid. This turns a present psychiatrist witness into either </w:t>
      </w:r>
      <w:r w:rsidR="006D0B91">
        <w:t xml:space="preserve">a thirteenth juryman or a spare barrister. </w:t>
      </w:r>
      <w:r w:rsidR="007F5A0E">
        <w:t xml:space="preserve">As </w:t>
      </w:r>
      <w:r w:rsidR="00460024">
        <w:t xml:space="preserve">a spare barrister, the jury </w:t>
      </w:r>
      <w:r w:rsidR="006363A3">
        <w:t>is</w:t>
      </w:r>
      <w:r w:rsidR="00460024">
        <w:t xml:space="preserve"> left with insufficient guidance</w:t>
      </w:r>
      <w:r w:rsidR="005F35C5">
        <w:t xml:space="preserve"> and when acting as a thirteenth juryman it </w:t>
      </w:r>
      <w:r w:rsidR="006363A3">
        <w:t>brings</w:t>
      </w:r>
      <w:r w:rsidR="00792EE7">
        <w:t xml:space="preserve"> back what is a bad policy of the 18</w:t>
      </w:r>
      <w:r w:rsidR="00792EE7" w:rsidRPr="00792EE7">
        <w:rPr>
          <w:vertAlign w:val="superscript"/>
        </w:rPr>
        <w:t>th</w:t>
      </w:r>
      <w:r w:rsidR="00792EE7">
        <w:t xml:space="preserve"> century </w:t>
      </w:r>
      <w:r w:rsidR="004B6988">
        <w:t xml:space="preserve">where mental illness is not a factor of determining </w:t>
      </w:r>
      <w:r w:rsidR="006363A3">
        <w:t>responsibility, but a status used for exemption from that responsibility.</w:t>
      </w:r>
      <w:r w:rsidR="00BD2102">
        <w:t xml:space="preserve"> </w:t>
      </w:r>
      <w:r w:rsidR="00795150">
        <w:t xml:space="preserve">There have also been a number of controversial cases under section 2 of the homicide act including that of </w:t>
      </w:r>
      <w:r w:rsidR="00A45504">
        <w:t>R v B</w:t>
      </w:r>
      <w:r w:rsidR="00047CDE">
        <w:t xml:space="preserve">yrne [1960]. </w:t>
      </w:r>
      <w:r w:rsidR="00C06250">
        <w:t xml:space="preserve">According to </w:t>
      </w:r>
      <w:r w:rsidR="00CA25D9" w:rsidRPr="00CA25D9">
        <w:t>Oxbridge Notes (2020)</w:t>
      </w:r>
      <w:r w:rsidR="00CA25D9">
        <w:t>, the fact of this case is that the man “</w:t>
      </w:r>
      <w:r w:rsidR="00CA25D9" w:rsidRPr="00CA25D9">
        <w:t>raped, killed and mutilated a girl</w:t>
      </w:r>
      <w:r w:rsidR="00CA25D9">
        <w:t xml:space="preserve">” and proceeded to </w:t>
      </w:r>
      <w:r w:rsidR="006E1A68">
        <w:t>plead diminished responsibility after feeling a strong sexual impulse that was hard to resist</w:t>
      </w:r>
      <w:r w:rsidR="007A4F37">
        <w:t xml:space="preserve">. </w:t>
      </w:r>
      <w:r w:rsidR="008B1766">
        <w:t xml:space="preserve">After being convicted of manslaughter instead of murder despite a history of violence, </w:t>
      </w:r>
      <w:r w:rsidR="00246E48">
        <w:t>c</w:t>
      </w:r>
      <w:r w:rsidR="00246E48" w:rsidRPr="00246E48">
        <w:t xml:space="preserve">ritics </w:t>
      </w:r>
      <w:r w:rsidR="00246E48">
        <w:t>have</w:t>
      </w:r>
      <w:r w:rsidR="00246E48" w:rsidRPr="00246E48">
        <w:t xml:space="preserve"> argue</w:t>
      </w:r>
      <w:r w:rsidR="00246E48">
        <w:t>d</w:t>
      </w:r>
      <w:r w:rsidR="00246E48" w:rsidRPr="00246E48">
        <w:t xml:space="preserve"> that it can be too easily manipulated and that it may be used by defendants to escape a murder conviction even when their actions are deliberate and premeditated.</w:t>
      </w:r>
      <w:r w:rsidR="001D18C7">
        <w:t xml:space="preserve"> Because of the building pressure, changes were then made under </w:t>
      </w:r>
      <w:r w:rsidR="009B7850">
        <w:t>section 52 of the Coroners and Justice Act 2009.</w:t>
      </w:r>
      <w:r w:rsidR="00D3517C">
        <w:t xml:space="preserve"> </w:t>
      </w:r>
    </w:p>
    <w:p w14:paraId="7A27BF4F" w14:textId="06A46FA7" w:rsidR="0099078E" w:rsidRDefault="00AA32A9" w:rsidP="0099078E">
      <w:r>
        <w:t xml:space="preserve">     </w:t>
      </w:r>
      <w:r w:rsidR="00D3517C">
        <w:t xml:space="preserve">The sentencing of the partial defence hasn’t changed; however, </w:t>
      </w:r>
      <w:r w:rsidR="0024200A">
        <w:t xml:space="preserve">a modernised definition </w:t>
      </w:r>
      <w:r w:rsidR="00A833CC">
        <w:t>replaced</w:t>
      </w:r>
      <w:r w:rsidR="0024200A">
        <w:t xml:space="preserve"> section 2(1) of the homicide act with </w:t>
      </w:r>
      <w:r w:rsidR="009730E4">
        <w:t xml:space="preserve">new </w:t>
      </w:r>
      <w:r w:rsidR="00FB6935">
        <w:t>subsection</w:t>
      </w:r>
      <w:r w:rsidR="00A833CC">
        <w:t>s</w:t>
      </w:r>
      <w:r w:rsidR="009730E4">
        <w:t xml:space="preserve"> (1) to (1b)</w:t>
      </w:r>
      <w:r w:rsidR="00FB6935">
        <w:t xml:space="preserve">. </w:t>
      </w:r>
      <w:r w:rsidR="00FB468E">
        <w:t xml:space="preserve">Looking into the legislation, the amended (1) </w:t>
      </w:r>
      <w:r w:rsidR="00E05A10">
        <w:t>outlines the conviction of murder if</w:t>
      </w:r>
      <w:r w:rsidR="00B13658">
        <w:t xml:space="preserve"> the defendant is found to be suffering from “</w:t>
      </w:r>
      <w:r w:rsidR="00B13658" w:rsidRPr="00B13658">
        <w:t>an abnormality of mental functioning</w:t>
      </w:r>
      <w:r w:rsidR="00B13658">
        <w:t xml:space="preserve">” </w:t>
      </w:r>
      <w:r w:rsidR="00CA0BDE">
        <w:t>which arises from three things.</w:t>
      </w:r>
      <w:r w:rsidR="0099078E">
        <w:t xml:space="preserve"> These are</w:t>
      </w:r>
      <w:r w:rsidR="007C6542">
        <w:t>,</w:t>
      </w:r>
      <w:r w:rsidR="000C53F6">
        <w:t xml:space="preserve"> from a recognised mental condition</w:t>
      </w:r>
      <w:r w:rsidR="007C6542">
        <w:t>,</w:t>
      </w:r>
      <w:r w:rsidR="00A820F5">
        <w:t xml:space="preserve"> that </w:t>
      </w:r>
      <w:r w:rsidR="00CD2F8A">
        <w:t xml:space="preserve">has a substantial </w:t>
      </w:r>
      <w:r w:rsidR="00E13D98">
        <w:t>impairment on what is mentioned in (1a)</w:t>
      </w:r>
      <w:r w:rsidR="007C6542">
        <w:t xml:space="preserve">, </w:t>
      </w:r>
      <w:r w:rsidR="00860C64">
        <w:t>which</w:t>
      </w:r>
      <w:r w:rsidR="007C6542">
        <w:t xml:space="preserve"> provides explanations </w:t>
      </w:r>
      <w:r w:rsidR="00AE4E0C">
        <w:t xml:space="preserve">for the </w:t>
      </w:r>
      <w:r w:rsidR="00860C64">
        <w:t>defendant’s</w:t>
      </w:r>
      <w:r w:rsidR="00AE4E0C">
        <w:t xml:space="preserve"> actions and omissions </w:t>
      </w:r>
      <w:r w:rsidR="00860C64">
        <w:t>in being a party to the killing.</w:t>
      </w:r>
      <w:r w:rsidR="005E3AC6">
        <w:t xml:space="preserve"> The </w:t>
      </w:r>
      <w:r w:rsidR="001518F1">
        <w:t xml:space="preserve">things mentioned </w:t>
      </w:r>
      <w:r w:rsidR="005B78AD">
        <w:t>in</w:t>
      </w:r>
      <w:r w:rsidR="001518F1">
        <w:t xml:space="preserve"> (1a) </w:t>
      </w:r>
      <w:r w:rsidR="00C83659">
        <w:t xml:space="preserve">are an </w:t>
      </w:r>
      <w:r w:rsidR="001518F1">
        <w:t xml:space="preserve">understanding of the nature of their actions, the ability to form rational decisions and judgement and </w:t>
      </w:r>
      <w:r w:rsidR="005B78AD">
        <w:t xml:space="preserve">the ability to exercise self-control (Coroners and Justice Act </w:t>
      </w:r>
      <w:r w:rsidR="00E1094E">
        <w:t>2009)</w:t>
      </w:r>
      <w:r w:rsidR="005B78AD">
        <w:t>.</w:t>
      </w:r>
      <w:r w:rsidR="000A3E62">
        <w:t xml:space="preserve"> From what we </w:t>
      </w:r>
      <w:proofErr w:type="gramStart"/>
      <w:r w:rsidR="000A3E62">
        <w:t>are able to</w:t>
      </w:r>
      <w:proofErr w:type="gramEnd"/>
      <w:r w:rsidR="000A3E62">
        <w:t xml:space="preserve"> see, it is instantly </w:t>
      </w:r>
      <w:r w:rsidR="00F05DCE">
        <w:t xml:space="preserve">the </w:t>
      </w:r>
      <w:r>
        <w:t>increased</w:t>
      </w:r>
      <w:r w:rsidR="00F05DCE">
        <w:t xml:space="preserve"> complexity given by the </w:t>
      </w:r>
      <w:r>
        <w:t>revised definitions of the defence. In the original section of the Homicide Act</w:t>
      </w:r>
      <w:r w:rsidR="00625129">
        <w:t>,</w:t>
      </w:r>
      <w:r>
        <w:t xml:space="preserve"> </w:t>
      </w:r>
      <w:r w:rsidR="0076710E">
        <w:t xml:space="preserve">there </w:t>
      </w:r>
      <w:r w:rsidR="00625129">
        <w:t xml:space="preserve">is </w:t>
      </w:r>
      <w:r w:rsidR="0076710E">
        <w:t>very little specific detail given</w:t>
      </w:r>
      <w:r w:rsidR="007C2F71">
        <w:t xml:space="preserve">. Throughout, the only key areas I pick out are </w:t>
      </w:r>
      <w:r w:rsidR="00A52D6D">
        <w:t>“</w:t>
      </w:r>
      <w:r w:rsidR="00A52D6D" w:rsidRPr="00A52D6D">
        <w:t>abnormality of mind</w:t>
      </w:r>
      <w:r w:rsidR="00A52D6D">
        <w:t>” and “</w:t>
      </w:r>
      <w:r w:rsidR="00A52D6D" w:rsidRPr="00A52D6D">
        <w:t>substantially impaired his mental responsibility</w:t>
      </w:r>
      <w:r w:rsidR="00A52D6D">
        <w:t xml:space="preserve">”. This leaves far more to question during </w:t>
      </w:r>
      <w:r w:rsidR="00D6255E">
        <w:t xml:space="preserve">a </w:t>
      </w:r>
      <w:r w:rsidR="00A52D6D">
        <w:t xml:space="preserve">legal proceeding, giving little </w:t>
      </w:r>
      <w:r w:rsidR="00A52D6D">
        <w:lastRenderedPageBreak/>
        <w:t xml:space="preserve">guidelines for </w:t>
      </w:r>
      <w:r w:rsidR="00D6255E">
        <w:t xml:space="preserve">juries and legal professionals alike. Along with the problems brought by the </w:t>
      </w:r>
      <w:r w:rsidR="00F37A6B">
        <w:t xml:space="preserve">accompanying psychiatric witness that we discussed earlier, this leaves a lot open for the guideline to be manipulated by the defence. The new additions set out in the Coroners and Justice Act </w:t>
      </w:r>
      <w:r w:rsidR="00295693">
        <w:t>leave</w:t>
      </w:r>
      <w:r w:rsidR="00F37A6B">
        <w:t xml:space="preserve"> less open to interpretation, giving more actual guidance and layers to the partial defence and </w:t>
      </w:r>
      <w:r w:rsidR="00295693">
        <w:t>making it far harder to manipulate a plea of diminished responsibility.</w:t>
      </w:r>
      <w:r w:rsidR="00CF2727">
        <w:t xml:space="preserve"> </w:t>
      </w:r>
      <w:r w:rsidR="00237DE6">
        <w:t>According to the Crown Pro</w:t>
      </w:r>
      <w:r w:rsidR="00EA0E27">
        <w:t>secution Service (</w:t>
      </w:r>
      <w:r w:rsidR="00A54D51">
        <w:t xml:space="preserve">2022), </w:t>
      </w:r>
      <w:r w:rsidR="00A83485">
        <w:t xml:space="preserve">in a </w:t>
      </w:r>
      <w:r w:rsidR="00244E4E">
        <w:t>trial</w:t>
      </w:r>
      <w:r w:rsidR="00A83485">
        <w:t xml:space="preserve"> with a murder charge</w:t>
      </w:r>
      <w:r w:rsidR="008F0107">
        <w:t>,</w:t>
      </w:r>
      <w:r w:rsidR="00A83485">
        <w:t xml:space="preserve"> the burden of proof is upon the </w:t>
      </w:r>
      <w:r w:rsidR="00244E4E">
        <w:t>defendant</w:t>
      </w:r>
      <w:r w:rsidR="00A83485">
        <w:t xml:space="preserve"> </w:t>
      </w:r>
      <w:r w:rsidR="008F0107">
        <w:t xml:space="preserve">to prove that the defendant is not liable </w:t>
      </w:r>
      <w:proofErr w:type="gramStart"/>
      <w:r w:rsidR="008F0107">
        <w:t>on the basis of</w:t>
      </w:r>
      <w:proofErr w:type="gramEnd"/>
      <w:r w:rsidR="008F0107">
        <w:t xml:space="preserve"> diminished responsibility</w:t>
      </w:r>
      <w:r w:rsidR="00307EB0">
        <w:t xml:space="preserve"> as set out in </w:t>
      </w:r>
      <w:r w:rsidR="00A63D69">
        <w:t>section 2(2) and 2(3) of the Homicide Act</w:t>
      </w:r>
      <w:r w:rsidR="008F0107">
        <w:t>.</w:t>
      </w:r>
      <w:r w:rsidR="00520AC8">
        <w:t xml:space="preserve"> “</w:t>
      </w:r>
      <w:r w:rsidR="00520AC8" w:rsidRPr="00520AC8">
        <w:t>It is for the defence to establish the defence, on the balance of probabilities</w:t>
      </w:r>
      <w:r w:rsidR="00520AC8">
        <w:t xml:space="preserve">”. </w:t>
      </w:r>
      <w:r w:rsidR="008F0107">
        <w:t xml:space="preserve"> Through statute, the coroners and justice act </w:t>
      </w:r>
      <w:r w:rsidR="00244E4E">
        <w:t>provide</w:t>
      </w:r>
      <w:r w:rsidR="008F0107">
        <w:t xml:space="preserve"> a better </w:t>
      </w:r>
      <w:r w:rsidR="00244E4E">
        <w:t>guideline</w:t>
      </w:r>
      <w:r w:rsidR="008F0107">
        <w:t xml:space="preserve"> and a wider scope </w:t>
      </w:r>
      <w:r w:rsidR="00244E4E">
        <w:t xml:space="preserve">for the defence to prove when trying to fight with the partial defence. </w:t>
      </w:r>
      <w:r w:rsidR="000C0133">
        <w:t xml:space="preserve">This again will mean that diminished responsibility is harder to manipulate </w:t>
      </w:r>
      <w:r w:rsidR="00191A50">
        <w:t xml:space="preserve">and allows for it to be used in the correct situations. Still, the question </w:t>
      </w:r>
      <w:r w:rsidR="00520AC8">
        <w:t>of</w:t>
      </w:r>
      <w:r w:rsidR="00191A50">
        <w:t xml:space="preserve"> whether this is the correct approach is </w:t>
      </w:r>
      <w:r w:rsidR="00307EB0">
        <w:t xml:space="preserve">something that we will touch on further </w:t>
      </w:r>
      <w:r w:rsidR="00520AC8">
        <w:t>in</w:t>
      </w:r>
      <w:r w:rsidR="00307EB0">
        <w:t xml:space="preserve"> this text.</w:t>
      </w:r>
      <w:r w:rsidR="00D55EAB">
        <w:t xml:space="preserve"> </w:t>
      </w:r>
    </w:p>
    <w:p w14:paraId="6D5C0A68" w14:textId="4833D9B7" w:rsidR="00566D45" w:rsidRDefault="00566D45" w:rsidP="0099078E">
      <w:r>
        <w:t xml:space="preserve">     There is always going to be </w:t>
      </w:r>
      <w:r w:rsidR="00443FDD">
        <w:t xml:space="preserve">a </w:t>
      </w:r>
      <w:r>
        <w:t xml:space="preserve">debate when it comes to a legal doctrine of this nature. </w:t>
      </w:r>
      <w:r w:rsidR="00C534BF">
        <w:t>One</w:t>
      </w:r>
      <w:r w:rsidR="00443FDD">
        <w:t xml:space="preserve"> side is the consideration of those with </w:t>
      </w:r>
      <w:r w:rsidR="00C534BF">
        <w:t xml:space="preserve">a </w:t>
      </w:r>
      <w:r w:rsidR="00443FDD">
        <w:t xml:space="preserve">psychiatric problem and their potential inability to control their actions. I believe this is </w:t>
      </w:r>
      <w:r w:rsidR="00C534BF">
        <w:t>what</w:t>
      </w:r>
      <w:r w:rsidR="00443FDD">
        <w:t xml:space="preserve"> diminished</w:t>
      </w:r>
      <w:r w:rsidR="00C534BF">
        <w:t xml:space="preserve"> </w:t>
      </w:r>
      <w:r w:rsidR="00443FDD">
        <w:t>responsibility</w:t>
      </w:r>
      <w:r w:rsidR="00C534BF">
        <w:t xml:space="preserve"> </w:t>
      </w:r>
      <w:r w:rsidR="00443FDD">
        <w:t xml:space="preserve">was made for. People may argue </w:t>
      </w:r>
      <w:r w:rsidR="00C534BF">
        <w:t xml:space="preserve">that they didn’t have the cognitive ability to rationalise and form malicious intentions and that they shouldn’t be held to account for murder. </w:t>
      </w:r>
      <w:r w:rsidR="00F64C85">
        <w:t xml:space="preserve">Another case I would like to mention is R v Brennan [2014]. </w:t>
      </w:r>
      <w:r w:rsidR="00D03A32">
        <w:t>In this case</w:t>
      </w:r>
      <w:r w:rsidR="000D6E86">
        <w:t>,</w:t>
      </w:r>
      <w:r w:rsidR="00D03A32">
        <w:t xml:space="preserve"> the defendant, who had </w:t>
      </w:r>
      <w:r w:rsidR="000D6E86">
        <w:t xml:space="preserve">a </w:t>
      </w:r>
      <w:r w:rsidR="00D03A32">
        <w:t xml:space="preserve">history </w:t>
      </w:r>
      <w:r w:rsidR="00452A8C">
        <w:t>of mental health and personality problems stabbed a victim to death.</w:t>
      </w:r>
      <w:r w:rsidR="00B05C13">
        <w:t xml:space="preserve"> The defence claimed, that in her opinion, the defendants had satisfied the </w:t>
      </w:r>
      <w:r w:rsidR="000D6E86">
        <w:t>necessary requirements for the partial defence of diminished responsibility.</w:t>
      </w:r>
      <w:r w:rsidR="00B03814">
        <w:t xml:space="preserve"> Despite this</w:t>
      </w:r>
      <w:r w:rsidR="001C6393">
        <w:t>,</w:t>
      </w:r>
      <w:r w:rsidR="00B03814">
        <w:t xml:space="preserve"> the jury rejected </w:t>
      </w:r>
      <w:r w:rsidR="00267702">
        <w:t xml:space="preserve">the plea of diminished </w:t>
      </w:r>
      <w:r w:rsidR="00FC7A50">
        <w:t>responsibility,</w:t>
      </w:r>
      <w:r w:rsidR="00267702">
        <w:t xml:space="preserve"> and the defendant was convicted of murder.</w:t>
      </w:r>
      <w:r w:rsidR="00927E34">
        <w:t xml:space="preserve"> On appeal, the conviction was quashed </w:t>
      </w:r>
      <w:r w:rsidR="001C6393">
        <w:t>and substituted with manslaughter through a diminished responsibility plea</w:t>
      </w:r>
      <w:r w:rsidR="00D102C9">
        <w:t xml:space="preserve"> </w:t>
      </w:r>
      <w:r w:rsidR="00CC4882" w:rsidRPr="00CC4882">
        <w:t>(Macdonald, 2018)</w:t>
      </w:r>
      <w:r w:rsidR="001C6393">
        <w:t>. Where this was legally a correct deci</w:t>
      </w:r>
      <w:r w:rsidR="00FC7A50">
        <w:t>sion, many will ask if it is an ethical one.</w:t>
      </w:r>
      <w:r w:rsidR="001C6393">
        <w:t xml:space="preserve"> </w:t>
      </w:r>
      <w:r w:rsidR="00FE4505">
        <w:t xml:space="preserve">On the other hand of the argument, is the defence of diminished responsibility </w:t>
      </w:r>
      <w:r w:rsidR="002A65A3">
        <w:t>fair for the public? Despite the argument of fair treatment</w:t>
      </w:r>
      <w:r w:rsidR="00C73A2F">
        <w:t xml:space="preserve"> of those with mental ailments, within my rational thought</w:t>
      </w:r>
      <w:r w:rsidR="00441E09">
        <w:t>,</w:t>
      </w:r>
      <w:r w:rsidR="00C73A2F">
        <w:t xml:space="preserve"> I am left to consider whether this comes </w:t>
      </w:r>
      <w:r w:rsidR="00441E09">
        <w:t>at</w:t>
      </w:r>
      <w:r w:rsidR="00C73A2F">
        <w:t xml:space="preserve"> the cost of public safety. </w:t>
      </w:r>
      <w:r w:rsidR="00B37660">
        <w:t xml:space="preserve">If individuals who have killed under a mental ailment genuinely meet the </w:t>
      </w:r>
      <w:r w:rsidR="00882EC1">
        <w:t xml:space="preserve">requirements of diminished responsibility, I want to consider the possibility that allowing individuals that are not physically able to control their negative impulses back onto the street in less time. </w:t>
      </w:r>
      <w:r w:rsidR="00F1102D">
        <w:t xml:space="preserve">One solution to this </w:t>
      </w:r>
      <w:r w:rsidR="00BB11DE">
        <w:t xml:space="preserve">could be to prescribe a course of </w:t>
      </w:r>
      <w:r w:rsidR="005F144B">
        <w:t xml:space="preserve">psychiatric treatment in a dedicated </w:t>
      </w:r>
      <w:r w:rsidR="0028155A">
        <w:t>facility</w:t>
      </w:r>
      <w:r w:rsidR="00C84B23">
        <w:t xml:space="preserve">. From here provision of a sentence can be given on diminished responsibility with the charge of manslaughter; however, there could be </w:t>
      </w:r>
      <w:r w:rsidR="00441E09">
        <w:t xml:space="preserve">the </w:t>
      </w:r>
      <w:r w:rsidR="00C84B23">
        <w:t xml:space="preserve">facilitation of further </w:t>
      </w:r>
      <w:r w:rsidR="00441E09">
        <w:t>holding within this facility until the individual is deemed to be safe to the public by a professional in the field.</w:t>
      </w:r>
      <w:r w:rsidR="0028155A">
        <w:t xml:space="preserve"> </w:t>
      </w:r>
      <w:r w:rsidR="00525595">
        <w:t>Nonetheless</w:t>
      </w:r>
      <w:r w:rsidR="00C91FBF">
        <w:t>, as stated by</w:t>
      </w:r>
      <w:r w:rsidR="0054145B">
        <w:t xml:space="preserve"> </w:t>
      </w:r>
      <w:r w:rsidR="0054145B" w:rsidRPr="0054145B">
        <w:t>Sparks (1964)</w:t>
      </w:r>
      <w:r w:rsidR="0054145B">
        <w:t xml:space="preserve">, it is unfair, both in criminal law and everyday life, to </w:t>
      </w:r>
      <w:r w:rsidR="00AD2419">
        <w:t xml:space="preserve">blame and punish an individual for an act unless they have both the opportunity and ability </w:t>
      </w:r>
      <w:r w:rsidR="0050455D">
        <w:t xml:space="preserve">to refrain from or avoid committing it, which leaves the subject in a real moral grey area. </w:t>
      </w:r>
      <w:r w:rsidR="00C5135D">
        <w:t>In criminal law</w:t>
      </w:r>
      <w:r w:rsidR="003816A6">
        <w:t>,</w:t>
      </w:r>
      <w:r w:rsidR="00C5135D">
        <w:t xml:space="preserve"> there is something called </w:t>
      </w:r>
      <w:r w:rsidR="00B66827">
        <w:t xml:space="preserve">“mens rea” which translates to guilty mind in </w:t>
      </w:r>
      <w:r w:rsidR="003816A6">
        <w:t>Latin and refers to the guilty intent of the individual</w:t>
      </w:r>
      <w:r w:rsidR="00320F11">
        <w:t xml:space="preserve"> </w:t>
      </w:r>
      <w:r w:rsidR="00320F11" w:rsidRPr="00320F11">
        <w:t>(Cornell Law School, 2023)</w:t>
      </w:r>
      <w:r w:rsidR="00B66827">
        <w:t>.</w:t>
      </w:r>
      <w:r w:rsidR="00320F11">
        <w:t xml:space="preserve"> The actus reus</w:t>
      </w:r>
      <w:r w:rsidR="00BE7625">
        <w:t xml:space="preserve"> which is the act or omission of the crime is present </w:t>
      </w:r>
      <w:r w:rsidR="00403103" w:rsidRPr="00403103">
        <w:t>(Cornell Law School, 2022)</w:t>
      </w:r>
      <w:r w:rsidR="00403103">
        <w:t xml:space="preserve">; however, can you pin the </w:t>
      </w:r>
      <w:r w:rsidR="00946AE4">
        <w:t>mens</w:t>
      </w:r>
      <w:r w:rsidR="00403103">
        <w:t xml:space="preserve"> rea to an individual</w:t>
      </w:r>
      <w:r w:rsidR="00AD1F4D">
        <w:t xml:space="preserve"> if they were mentally impaired? It is my opinion, that purely in the eyes of the law you </w:t>
      </w:r>
      <w:r w:rsidR="00946AE4">
        <w:t>cannot,</w:t>
      </w:r>
      <w:r w:rsidR="00AD1F4D">
        <w:t xml:space="preserve"> and this is the purpose of </w:t>
      </w:r>
      <w:r w:rsidR="00946AE4">
        <w:t>diminished responsibility.</w:t>
      </w:r>
    </w:p>
    <w:p w14:paraId="08341EEB" w14:textId="5292E441" w:rsidR="00946AE4" w:rsidRDefault="00946AE4" w:rsidP="0099078E"/>
    <w:p w14:paraId="5697B7AE" w14:textId="77777777" w:rsidR="006B7580" w:rsidRDefault="006B7580" w:rsidP="00946AE4">
      <w:pPr>
        <w:pStyle w:val="Heading1"/>
      </w:pPr>
    </w:p>
    <w:p w14:paraId="684B6502" w14:textId="430FF786" w:rsidR="00946AE4" w:rsidRDefault="00946AE4" w:rsidP="00946AE4">
      <w:pPr>
        <w:pStyle w:val="Heading1"/>
      </w:pPr>
      <w:bookmarkStart w:id="2" w:name="_Toc129383695"/>
      <w:r>
        <w:t>Conclusion</w:t>
      </w:r>
      <w:bookmarkEnd w:id="2"/>
    </w:p>
    <w:p w14:paraId="0FFB6B3F" w14:textId="3E3CF1AB" w:rsidR="00946AE4" w:rsidRPr="00946AE4" w:rsidRDefault="00946AE4" w:rsidP="00946AE4">
      <w:r>
        <w:t xml:space="preserve">     </w:t>
      </w:r>
      <w:r w:rsidR="00E02FBB">
        <w:t xml:space="preserve">After exploring the Homicide Act, Coroners and Justice Acts and some cases of diminished responsibility it is no easier to come up with a solution that is both adherent to UK law and that can keep everybody happy. </w:t>
      </w:r>
      <w:r w:rsidR="00AA390C">
        <w:t xml:space="preserve">In my opinion, with the lack of mens rea in somebody that lacks the mental capacity to make that rational decision it would be unfair to </w:t>
      </w:r>
      <w:r w:rsidR="00C0603E">
        <w:t>give a conviction of murder. I do however realise the potential public danger if an individual without that mental capacity</w:t>
      </w:r>
      <w:r w:rsidR="007461CC">
        <w:t xml:space="preserve"> is allowed to roam the streets again. In my opinion, we need to make better use of psychiatric facilities. With this, offenders charged with </w:t>
      </w:r>
      <w:r w:rsidR="006B7580">
        <w:t>manslaughter</w:t>
      </w:r>
      <w:r w:rsidR="007461CC">
        <w:t xml:space="preserve"> through diminished </w:t>
      </w:r>
      <w:r w:rsidR="00BD0F3A">
        <w:t xml:space="preserve">responsibility spend a minimum of </w:t>
      </w:r>
      <w:r w:rsidR="00BC03EE">
        <w:t xml:space="preserve">half the prescribed time before assessment by professionals for parole assuming good behaviour up until that point. In the case they are not </w:t>
      </w:r>
      <w:r w:rsidR="0066792A">
        <w:t xml:space="preserve">they are to be held for their full </w:t>
      </w:r>
      <w:r w:rsidR="006B7580">
        <w:t>term;</w:t>
      </w:r>
      <w:r w:rsidR="0066792A">
        <w:t xml:space="preserve"> on completion they can be again assessed. For public </w:t>
      </w:r>
      <w:r w:rsidR="006B7580">
        <w:t>interest</w:t>
      </w:r>
      <w:r w:rsidR="0066792A">
        <w:t xml:space="preserve">, these individuals should remain </w:t>
      </w:r>
      <w:r w:rsidR="006B7580">
        <w:t>inside of the facility with proper care until they can be determined as safe for the public to avoid a future incident. This may not sound ideal to most, but with the information I have available, I feel that this is the best way to be fair while protecting the interests of the public.</w:t>
      </w:r>
    </w:p>
    <w:p w14:paraId="12C253D3" w14:textId="77777777" w:rsidR="000E24BB" w:rsidRDefault="000E24BB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366B66B7" w14:textId="68EAC165" w:rsidR="007B3489" w:rsidRDefault="000E27DF" w:rsidP="000E24BB">
      <w:pPr>
        <w:pStyle w:val="Heading1"/>
      </w:pPr>
      <w:bookmarkStart w:id="3" w:name="_Toc129383696"/>
      <w:r>
        <w:lastRenderedPageBreak/>
        <w:t>Bibliography</w:t>
      </w:r>
      <w:bookmarkEnd w:id="3"/>
    </w:p>
    <w:p w14:paraId="110A3482" w14:textId="184268B4" w:rsidR="004D6CBD" w:rsidRDefault="004D6CBD" w:rsidP="004D6CBD"/>
    <w:p w14:paraId="04C5C485" w14:textId="0383CCB8" w:rsidR="003816A6" w:rsidRDefault="003816A6" w:rsidP="003816A6">
      <w:pPr>
        <w:pStyle w:val="NormalWeb"/>
        <w:spacing w:before="0" w:beforeAutospacing="0" w:after="240" w:afterAutospacing="0" w:line="360" w:lineRule="auto"/>
      </w:pPr>
      <w:r>
        <w:t xml:space="preserve">Cornell Law School (2023). </w:t>
      </w:r>
      <w:r>
        <w:rPr>
          <w:i/>
          <w:iCs/>
        </w:rPr>
        <w:t>Mens Rea</w:t>
      </w:r>
      <w:r>
        <w:t xml:space="preserve">. [online] Available at: </w:t>
      </w:r>
      <w:hyperlink r:id="rId8" w:history="1">
        <w:r w:rsidRPr="005A66EA">
          <w:rPr>
            <w:rStyle w:val="Hyperlink"/>
          </w:rPr>
          <w:t>https://www.law.cornell.edu/wex/mens_rea</w:t>
        </w:r>
      </w:hyperlink>
      <w:r>
        <w:t xml:space="preserve"> </w:t>
      </w:r>
      <w:r>
        <w:t>[Accessed 10 Mar. 2023].</w:t>
      </w:r>
    </w:p>
    <w:p w14:paraId="46B78EDE" w14:textId="4CC46011" w:rsidR="003816A6" w:rsidRDefault="003816A6" w:rsidP="004D6CBD"/>
    <w:p w14:paraId="3D3DE6AA" w14:textId="74335257" w:rsidR="00BE7625" w:rsidRDefault="00BE7625" w:rsidP="00BE7625">
      <w:pPr>
        <w:pStyle w:val="NormalWeb"/>
        <w:spacing w:before="0" w:beforeAutospacing="0" w:after="240" w:afterAutospacing="0" w:line="360" w:lineRule="auto"/>
      </w:pPr>
      <w:r>
        <w:t xml:space="preserve">Cornell Law School (2022). </w:t>
      </w:r>
      <w:r>
        <w:rPr>
          <w:i/>
          <w:iCs/>
        </w:rPr>
        <w:t>Actus Reus</w:t>
      </w:r>
      <w:r>
        <w:t xml:space="preserve">. [online] Available at: </w:t>
      </w:r>
      <w:hyperlink r:id="rId9" w:history="1">
        <w:r w:rsidRPr="005A66EA">
          <w:rPr>
            <w:rStyle w:val="Hyperlink"/>
          </w:rPr>
          <w:t>https://www.law.cornell.edu/wex/actus_reus#:~:text=Actus%20reus%20refers%20to%20the,causing%20a%20criminally%20proscribed%20result</w:t>
        </w:r>
      </w:hyperlink>
      <w:r>
        <w:t xml:space="preserve"> </w:t>
      </w:r>
      <w:r>
        <w:t>[Accessed 10 Mar. 2023].</w:t>
      </w:r>
    </w:p>
    <w:p w14:paraId="24A639BB" w14:textId="77777777" w:rsidR="00BE7625" w:rsidRDefault="00BE7625" w:rsidP="004D6CBD"/>
    <w:p w14:paraId="4A79623B" w14:textId="623EA7E6" w:rsidR="00893C25" w:rsidRDefault="00893C25" w:rsidP="00893C25">
      <w:pPr>
        <w:pStyle w:val="NormalWeb"/>
        <w:spacing w:before="0" w:beforeAutospacing="0" w:after="240" w:afterAutospacing="0" w:line="360" w:lineRule="auto"/>
      </w:pPr>
      <w:r>
        <w:rPr>
          <w:i/>
          <w:iCs/>
        </w:rPr>
        <w:t>Coroners and Justice Act 2009</w:t>
      </w:r>
      <w:r>
        <w:t xml:space="preserve">. Available at: </w:t>
      </w:r>
      <w:hyperlink r:id="rId10" w:history="1">
        <w:r w:rsidRPr="005A66EA">
          <w:rPr>
            <w:rStyle w:val="Hyperlink"/>
          </w:rPr>
          <w:t>https://www.legislation.gov.uk/ukpga/2009/25/section/52</w:t>
        </w:r>
      </w:hyperlink>
      <w:r>
        <w:t xml:space="preserve"> </w:t>
      </w:r>
      <w:r>
        <w:t>[Accessed 10 Mar. 2023].</w:t>
      </w:r>
    </w:p>
    <w:p w14:paraId="7347BD28" w14:textId="77777777" w:rsidR="00893C25" w:rsidRDefault="00893C25" w:rsidP="004D6CBD"/>
    <w:p w14:paraId="24AA3B85" w14:textId="02B05DBD" w:rsidR="00E41B82" w:rsidRDefault="00E41B82" w:rsidP="00E41B82">
      <w:pPr>
        <w:pStyle w:val="NormalWeb"/>
        <w:spacing w:before="0" w:beforeAutospacing="0" w:after="240" w:afterAutospacing="0" w:line="360" w:lineRule="auto"/>
      </w:pPr>
      <w:r>
        <w:t xml:space="preserve">Herring, J. (2022). </w:t>
      </w:r>
      <w:r>
        <w:rPr>
          <w:i/>
          <w:iCs/>
        </w:rPr>
        <w:t>Criminal Law: Text, Cases, &amp; Materials</w:t>
      </w:r>
      <w:r>
        <w:t xml:space="preserve">. [online] Oxford University Press. Available at: </w:t>
      </w:r>
      <w:hyperlink r:id="rId11" w:history="1">
        <w:r w:rsidRPr="005A66EA">
          <w:rPr>
            <w:rStyle w:val="Hyperlink"/>
          </w:rPr>
          <w:t>https://bibliu.com/app/#/view/books/9780192668523/epub/OEBPS/018_chapter_sec1.html#page_246</w:t>
        </w:r>
      </w:hyperlink>
      <w:r>
        <w:t xml:space="preserve"> </w:t>
      </w:r>
      <w:r>
        <w:t>[Accessed 10 Mar. 2023].</w:t>
      </w:r>
    </w:p>
    <w:p w14:paraId="4308D761" w14:textId="453B752A" w:rsidR="00D5187F" w:rsidRDefault="00D5187F" w:rsidP="00E41B82">
      <w:pPr>
        <w:pStyle w:val="NormalWeb"/>
        <w:spacing w:before="0" w:beforeAutospacing="0" w:after="240" w:afterAutospacing="0" w:line="360" w:lineRule="auto"/>
      </w:pPr>
    </w:p>
    <w:p w14:paraId="2A4ED343" w14:textId="21203362" w:rsidR="00D5187F" w:rsidRDefault="00D5187F" w:rsidP="00D5187F">
      <w:pPr>
        <w:pStyle w:val="NormalWeb"/>
        <w:spacing w:before="0" w:beforeAutospacing="0" w:after="240" w:afterAutospacing="0" w:line="360" w:lineRule="auto"/>
      </w:pPr>
      <w:r>
        <w:rPr>
          <w:i/>
          <w:iCs/>
        </w:rPr>
        <w:t>Homicide Act 1957</w:t>
      </w:r>
      <w:r>
        <w:t>. Available at: https://www.legislation.gov.uk/ukpga/Eliz2/5-6/11/section/2/enacted [Accessed 10 Mar. 2023].</w:t>
      </w:r>
    </w:p>
    <w:p w14:paraId="6B5FF683" w14:textId="5B80FD78" w:rsidR="002E3B28" w:rsidRDefault="002E3B28" w:rsidP="00D5187F">
      <w:pPr>
        <w:pStyle w:val="NormalWeb"/>
        <w:spacing w:before="0" w:beforeAutospacing="0" w:after="240" w:afterAutospacing="0" w:line="360" w:lineRule="auto"/>
      </w:pPr>
    </w:p>
    <w:p w14:paraId="1B80805F" w14:textId="31DFAB68" w:rsidR="002E3B28" w:rsidRDefault="002E3B28" w:rsidP="002E3B28">
      <w:pPr>
        <w:pStyle w:val="NormalWeb"/>
        <w:spacing w:before="0" w:beforeAutospacing="0" w:after="240" w:afterAutospacing="0" w:line="360" w:lineRule="auto"/>
      </w:pPr>
      <w:r>
        <w:t xml:space="preserve">Kennefick, L. (2011). Introducing a New Diminished Responsibility Defence for England and Wales. </w:t>
      </w:r>
      <w:r>
        <w:rPr>
          <w:i/>
          <w:iCs/>
        </w:rPr>
        <w:t>The Modern Law Review</w:t>
      </w:r>
      <w:r>
        <w:t xml:space="preserve">, [online] 74(5). Available at: </w:t>
      </w:r>
      <w:hyperlink r:id="rId12" w:history="1">
        <w:r w:rsidRPr="005A66EA">
          <w:rPr>
            <w:rStyle w:val="Hyperlink"/>
          </w:rPr>
          <w:t>https://www.jstor.org/stable/4509023</w:t>
        </w:r>
      </w:hyperlink>
      <w:r>
        <w:t xml:space="preserve"> </w:t>
      </w:r>
      <w:r>
        <w:t>[Accessed 10 Mar. 2023].</w:t>
      </w:r>
    </w:p>
    <w:p w14:paraId="7E88C46C" w14:textId="0DC66E86" w:rsidR="002E3B28" w:rsidRDefault="002E3B28" w:rsidP="00D5187F">
      <w:pPr>
        <w:pStyle w:val="NormalWeb"/>
        <w:spacing w:before="0" w:beforeAutospacing="0" w:after="240" w:afterAutospacing="0" w:line="360" w:lineRule="auto"/>
      </w:pPr>
    </w:p>
    <w:p w14:paraId="196AB7D9" w14:textId="764DF67A" w:rsidR="000B762A" w:rsidRDefault="000B762A" w:rsidP="000B762A">
      <w:pPr>
        <w:pStyle w:val="NormalWeb"/>
        <w:spacing w:before="0" w:beforeAutospacing="0" w:after="240" w:afterAutospacing="0" w:line="360" w:lineRule="auto"/>
      </w:pPr>
      <w:r>
        <w:t xml:space="preserve">Kenny, A. (1986). Anomalies of Section 2 of the Homicide Act 1957. </w:t>
      </w:r>
      <w:r>
        <w:rPr>
          <w:i/>
          <w:iCs/>
        </w:rPr>
        <w:t>Journal of medical ethics</w:t>
      </w:r>
      <w:r>
        <w:t>, 12(1).</w:t>
      </w:r>
    </w:p>
    <w:p w14:paraId="27F5A480" w14:textId="7758E70D" w:rsidR="0042269C" w:rsidRDefault="0042269C" w:rsidP="000B762A">
      <w:pPr>
        <w:pStyle w:val="NormalWeb"/>
        <w:spacing w:before="0" w:beforeAutospacing="0" w:after="240" w:afterAutospacing="0" w:line="360" w:lineRule="auto"/>
      </w:pPr>
    </w:p>
    <w:p w14:paraId="41384621" w14:textId="632869A9" w:rsidR="0007026B" w:rsidRDefault="0007026B" w:rsidP="0007026B">
      <w:pPr>
        <w:pStyle w:val="NormalWeb"/>
        <w:spacing w:before="0" w:beforeAutospacing="0" w:after="240" w:afterAutospacing="0" w:line="360" w:lineRule="auto"/>
      </w:pPr>
      <w:r>
        <w:lastRenderedPageBreak/>
        <w:t xml:space="preserve">Macdonald, S. (2018). </w:t>
      </w:r>
      <w:r>
        <w:rPr>
          <w:i/>
          <w:iCs/>
        </w:rPr>
        <w:t>Text, cases and materials on criminal law</w:t>
      </w:r>
      <w:r>
        <w:t xml:space="preserve">. [online] Pearson Education. Available at: </w:t>
      </w:r>
      <w:hyperlink r:id="rId13" w:history="1">
        <w:r w:rsidRPr="005A66EA">
          <w:rPr>
            <w:rStyle w:val="Hyperlink"/>
          </w:rPr>
          <w:t>https://www-vlebooks-com.ezproxy.uwtsd.ac.uk/Product/Index/2011230?page=0</w:t>
        </w:r>
      </w:hyperlink>
      <w:r>
        <w:t xml:space="preserve"> </w:t>
      </w:r>
      <w:r>
        <w:t>[Accessed 10 Mar. 2023].</w:t>
      </w:r>
    </w:p>
    <w:p w14:paraId="28A4C713" w14:textId="77777777" w:rsidR="0007026B" w:rsidRDefault="0007026B" w:rsidP="000B762A">
      <w:pPr>
        <w:pStyle w:val="NormalWeb"/>
        <w:spacing w:before="0" w:beforeAutospacing="0" w:after="240" w:afterAutospacing="0" w:line="360" w:lineRule="auto"/>
      </w:pPr>
    </w:p>
    <w:p w14:paraId="2EE67FA9" w14:textId="77777777" w:rsidR="0007026B" w:rsidRDefault="0007026B" w:rsidP="00A833CC">
      <w:pPr>
        <w:pStyle w:val="NormalWeb"/>
        <w:spacing w:before="0" w:beforeAutospacing="0" w:after="240" w:afterAutospacing="0" w:line="360" w:lineRule="auto"/>
      </w:pPr>
    </w:p>
    <w:p w14:paraId="06D5DF7F" w14:textId="206A73BB" w:rsidR="00A833CC" w:rsidRDefault="00A833CC" w:rsidP="00A833CC">
      <w:pPr>
        <w:pStyle w:val="NormalWeb"/>
        <w:spacing w:before="0" w:beforeAutospacing="0" w:after="240" w:afterAutospacing="0" w:line="360" w:lineRule="auto"/>
      </w:pPr>
      <w:r>
        <w:t xml:space="preserve">Ministry of Justice (2010). </w:t>
      </w:r>
      <w:r>
        <w:rPr>
          <w:i/>
          <w:iCs/>
        </w:rPr>
        <w:t>Partial defences to murder: loss of control and diminished responsibility; and infanticide: Implementation of Sections 52, and 54 to 57 of the Coroners and Justice Act 2009</w:t>
      </w:r>
      <w:r>
        <w:t xml:space="preserve">. [online] Available at: </w:t>
      </w:r>
      <w:hyperlink r:id="rId14" w:history="1">
        <w:r w:rsidRPr="005A66EA">
          <w:rPr>
            <w:rStyle w:val="Hyperlink"/>
          </w:rPr>
          <w:t>https://www.justice.gov.uk/downloads/legislation/bills-acts/circulars/moj/2010/circular-12-2010-coroners-justice-act-homicide-provisions.pdf</w:t>
        </w:r>
      </w:hyperlink>
      <w:r>
        <w:t xml:space="preserve"> </w:t>
      </w:r>
      <w:r>
        <w:t>[Accessed 10 Mar. 2023].</w:t>
      </w:r>
    </w:p>
    <w:p w14:paraId="69D1557C" w14:textId="77777777" w:rsidR="00A63C24" w:rsidRDefault="00A63C24" w:rsidP="000B762A">
      <w:pPr>
        <w:pStyle w:val="NormalWeb"/>
        <w:spacing w:before="0" w:beforeAutospacing="0" w:after="240" w:afterAutospacing="0" w:line="360" w:lineRule="auto"/>
      </w:pPr>
    </w:p>
    <w:p w14:paraId="62E1D085" w14:textId="4C83CFB2" w:rsidR="0042269C" w:rsidRDefault="0042269C" w:rsidP="0042269C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Oxbridge Notes (2020). </w:t>
      </w:r>
      <w:r>
        <w:rPr>
          <w:i/>
          <w:iCs/>
          <w:color w:val="000000"/>
        </w:rPr>
        <w:t>R v Byrne [1960] 2 QB 396</w:t>
      </w:r>
      <w:r>
        <w:rPr>
          <w:color w:val="000000"/>
        </w:rPr>
        <w:t xml:space="preserve">. [online] Oxbridgenotes.co.uk. Available at: </w:t>
      </w:r>
      <w:hyperlink r:id="rId15" w:history="1">
        <w:r w:rsidRPr="005A66EA">
          <w:rPr>
            <w:rStyle w:val="Hyperlink"/>
          </w:rPr>
          <w:t>https://www.oxbridgenotes.co.uk/law_cases/r-v-byrne</w:t>
        </w:r>
      </w:hyperlink>
      <w:r>
        <w:rPr>
          <w:color w:val="000000"/>
        </w:rPr>
        <w:t xml:space="preserve"> </w:t>
      </w:r>
      <w:r>
        <w:rPr>
          <w:color w:val="000000"/>
        </w:rPr>
        <w:t>[Accessed 10 Mar. 2023].</w:t>
      </w:r>
    </w:p>
    <w:p w14:paraId="0C09735C" w14:textId="25597348" w:rsidR="0042269C" w:rsidRDefault="0042269C" w:rsidP="0042269C">
      <w:pPr>
        <w:pStyle w:val="NormalWeb"/>
        <w:rPr>
          <w:color w:val="000000"/>
        </w:rPr>
      </w:pPr>
      <w:r>
        <w:rPr>
          <w:color w:val="000000"/>
        </w:rPr>
        <w:t>‌</w:t>
      </w:r>
    </w:p>
    <w:p w14:paraId="650CABC4" w14:textId="1E568E66" w:rsidR="00573D41" w:rsidRDefault="00573D41" w:rsidP="00573D41">
      <w:pPr>
        <w:pStyle w:val="NormalWeb"/>
        <w:spacing w:before="0" w:beforeAutospacing="0" w:after="240" w:afterAutospacing="0" w:line="360" w:lineRule="auto"/>
      </w:pPr>
      <w:r>
        <w:t xml:space="preserve">Sparks, R.F. (1964). ‘Diminished Responsibility’ in Theory and Practice. </w:t>
      </w:r>
      <w:r>
        <w:rPr>
          <w:i/>
          <w:iCs/>
        </w:rPr>
        <w:t>The Modern Law Review</w:t>
      </w:r>
      <w:r>
        <w:t xml:space="preserve">, [online] 27(1). Available at: </w:t>
      </w:r>
      <w:hyperlink r:id="rId16" w:history="1">
        <w:r w:rsidRPr="005A66EA">
          <w:rPr>
            <w:rStyle w:val="Hyperlink"/>
          </w:rPr>
          <w:t>https://www.jstor.org/stable/1092254</w:t>
        </w:r>
      </w:hyperlink>
      <w:r>
        <w:t xml:space="preserve"> </w:t>
      </w:r>
      <w:r>
        <w:t>[Accessed 10 Mar. 2023].</w:t>
      </w:r>
    </w:p>
    <w:p w14:paraId="73A85E54" w14:textId="77777777" w:rsidR="00573D41" w:rsidRDefault="00573D41" w:rsidP="0042269C">
      <w:pPr>
        <w:pStyle w:val="NormalWeb"/>
        <w:rPr>
          <w:color w:val="000000"/>
        </w:rPr>
      </w:pPr>
    </w:p>
    <w:p w14:paraId="72A18729" w14:textId="4FF1AA22" w:rsidR="00A54D51" w:rsidRDefault="00A54D51" w:rsidP="00A54D51">
      <w:pPr>
        <w:pStyle w:val="NormalWeb"/>
        <w:spacing w:before="0" w:beforeAutospacing="0" w:after="240" w:afterAutospacing="0" w:line="360" w:lineRule="auto"/>
      </w:pPr>
      <w:r>
        <w:t xml:space="preserve">The Crown Prosecution Service (2022). </w:t>
      </w:r>
      <w:r>
        <w:rPr>
          <w:i/>
          <w:iCs/>
        </w:rPr>
        <w:t>Homicide: Murder and Manslaughter</w:t>
      </w:r>
      <w:r>
        <w:t xml:space="preserve">. [online] Available at: </w:t>
      </w:r>
      <w:hyperlink r:id="rId17" w:history="1">
        <w:r w:rsidRPr="005A66EA">
          <w:rPr>
            <w:rStyle w:val="Hyperlink"/>
          </w:rPr>
          <w:t>https://www.cps.gov.uk/legal-guidance/homicide-murder-and-manslaughter#:~:text=Burden%20of%20Proof,on%20the%20balance%20of%20probabilities</w:t>
        </w:r>
      </w:hyperlink>
      <w:r>
        <w:t xml:space="preserve"> </w:t>
      </w:r>
      <w:r>
        <w:t>[Accessed 10 Mar. 2023].</w:t>
      </w:r>
    </w:p>
    <w:p w14:paraId="0E5D0FDE" w14:textId="77777777" w:rsidR="00A54D51" w:rsidRDefault="00A54D51" w:rsidP="0042269C">
      <w:pPr>
        <w:pStyle w:val="NormalWeb"/>
        <w:rPr>
          <w:color w:val="000000"/>
        </w:rPr>
      </w:pPr>
    </w:p>
    <w:p w14:paraId="4C320F09" w14:textId="77777777" w:rsidR="0042269C" w:rsidRDefault="0042269C" w:rsidP="000B762A">
      <w:pPr>
        <w:pStyle w:val="NormalWeb"/>
        <w:spacing w:before="0" w:beforeAutospacing="0" w:after="240" w:afterAutospacing="0" w:line="360" w:lineRule="auto"/>
      </w:pPr>
    </w:p>
    <w:p w14:paraId="108AB312" w14:textId="77777777" w:rsidR="000B762A" w:rsidRDefault="000B762A" w:rsidP="00D5187F">
      <w:pPr>
        <w:pStyle w:val="NormalWeb"/>
        <w:spacing w:before="0" w:beforeAutospacing="0" w:after="240" w:afterAutospacing="0" w:line="360" w:lineRule="auto"/>
      </w:pPr>
    </w:p>
    <w:p w14:paraId="150A9D55" w14:textId="77777777" w:rsidR="00D5187F" w:rsidRDefault="00D5187F" w:rsidP="00E41B82">
      <w:pPr>
        <w:pStyle w:val="NormalWeb"/>
        <w:spacing w:before="0" w:beforeAutospacing="0" w:after="240" w:afterAutospacing="0" w:line="360" w:lineRule="auto"/>
      </w:pPr>
    </w:p>
    <w:sectPr w:rsidR="00D5187F" w:rsidSect="00C66722">
      <w:pgSz w:w="11906" w:h="16838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2E33407"/>
    <w:multiLevelType w:val="hybridMultilevel"/>
    <w:tmpl w:val="598CA9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0684110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3FAFE055"/>
    <w:rsid w:val="00007526"/>
    <w:rsid w:val="000244CE"/>
    <w:rsid w:val="00047CDE"/>
    <w:rsid w:val="0007026B"/>
    <w:rsid w:val="000A3E62"/>
    <w:rsid w:val="000B762A"/>
    <w:rsid w:val="000C0133"/>
    <w:rsid w:val="000C53F6"/>
    <w:rsid w:val="000D0B5E"/>
    <w:rsid w:val="000D525D"/>
    <w:rsid w:val="000D6E86"/>
    <w:rsid w:val="000E24BB"/>
    <w:rsid w:val="000E27DF"/>
    <w:rsid w:val="00101F3D"/>
    <w:rsid w:val="0013019B"/>
    <w:rsid w:val="001518F1"/>
    <w:rsid w:val="00191A50"/>
    <w:rsid w:val="00193399"/>
    <w:rsid w:val="001B2423"/>
    <w:rsid w:val="001C080A"/>
    <w:rsid w:val="001C6393"/>
    <w:rsid w:val="001D18C7"/>
    <w:rsid w:val="001E2F7A"/>
    <w:rsid w:val="00237DE6"/>
    <w:rsid w:val="0024200A"/>
    <w:rsid w:val="00244E4E"/>
    <w:rsid w:val="00246E48"/>
    <w:rsid w:val="002547E4"/>
    <w:rsid w:val="00267702"/>
    <w:rsid w:val="0028155A"/>
    <w:rsid w:val="00295693"/>
    <w:rsid w:val="002A65A3"/>
    <w:rsid w:val="002E3B28"/>
    <w:rsid w:val="002E4180"/>
    <w:rsid w:val="00307EB0"/>
    <w:rsid w:val="00320F11"/>
    <w:rsid w:val="003816A6"/>
    <w:rsid w:val="0038352C"/>
    <w:rsid w:val="003E099A"/>
    <w:rsid w:val="00402094"/>
    <w:rsid w:val="00403103"/>
    <w:rsid w:val="0042269C"/>
    <w:rsid w:val="00441E09"/>
    <w:rsid w:val="00443FDD"/>
    <w:rsid w:val="00452A8C"/>
    <w:rsid w:val="004579DE"/>
    <w:rsid w:val="00460024"/>
    <w:rsid w:val="004B6988"/>
    <w:rsid w:val="004D2479"/>
    <w:rsid w:val="004D6CBD"/>
    <w:rsid w:val="0050455D"/>
    <w:rsid w:val="00520AC8"/>
    <w:rsid w:val="00524F15"/>
    <w:rsid w:val="00525595"/>
    <w:rsid w:val="0054145B"/>
    <w:rsid w:val="00566D45"/>
    <w:rsid w:val="00573D41"/>
    <w:rsid w:val="00586EDC"/>
    <w:rsid w:val="005B78AD"/>
    <w:rsid w:val="005E3AC6"/>
    <w:rsid w:val="005F144B"/>
    <w:rsid w:val="005F35C5"/>
    <w:rsid w:val="00625129"/>
    <w:rsid w:val="006363A3"/>
    <w:rsid w:val="00650EC3"/>
    <w:rsid w:val="0066792A"/>
    <w:rsid w:val="0068649A"/>
    <w:rsid w:val="006B63BE"/>
    <w:rsid w:val="006B7580"/>
    <w:rsid w:val="006D0B91"/>
    <w:rsid w:val="006E1A68"/>
    <w:rsid w:val="007461CC"/>
    <w:rsid w:val="0076710E"/>
    <w:rsid w:val="00792EE7"/>
    <w:rsid w:val="00795150"/>
    <w:rsid w:val="007A4F37"/>
    <w:rsid w:val="007B3489"/>
    <w:rsid w:val="007C2F71"/>
    <w:rsid w:val="007C6542"/>
    <w:rsid w:val="007F5A0E"/>
    <w:rsid w:val="00814A92"/>
    <w:rsid w:val="00860C64"/>
    <w:rsid w:val="00882EC1"/>
    <w:rsid w:val="00883B0B"/>
    <w:rsid w:val="00893C25"/>
    <w:rsid w:val="008B1766"/>
    <w:rsid w:val="008F0107"/>
    <w:rsid w:val="00925AEF"/>
    <w:rsid w:val="00927E34"/>
    <w:rsid w:val="00946AE4"/>
    <w:rsid w:val="009730E4"/>
    <w:rsid w:val="0099078E"/>
    <w:rsid w:val="009B2A13"/>
    <w:rsid w:val="009B7850"/>
    <w:rsid w:val="009D22DF"/>
    <w:rsid w:val="00A45504"/>
    <w:rsid w:val="00A52D6D"/>
    <w:rsid w:val="00A54D51"/>
    <w:rsid w:val="00A63C24"/>
    <w:rsid w:val="00A63D69"/>
    <w:rsid w:val="00A820F5"/>
    <w:rsid w:val="00A833CC"/>
    <w:rsid w:val="00A83485"/>
    <w:rsid w:val="00AA32A9"/>
    <w:rsid w:val="00AA390C"/>
    <w:rsid w:val="00AB2A20"/>
    <w:rsid w:val="00AD1F4D"/>
    <w:rsid w:val="00AD2419"/>
    <w:rsid w:val="00AE4E0C"/>
    <w:rsid w:val="00B03814"/>
    <w:rsid w:val="00B05C13"/>
    <w:rsid w:val="00B13658"/>
    <w:rsid w:val="00B37660"/>
    <w:rsid w:val="00B66827"/>
    <w:rsid w:val="00BB11DE"/>
    <w:rsid w:val="00BC03EE"/>
    <w:rsid w:val="00BD0F3A"/>
    <w:rsid w:val="00BD2102"/>
    <w:rsid w:val="00BE42D8"/>
    <w:rsid w:val="00BE7625"/>
    <w:rsid w:val="00C0603E"/>
    <w:rsid w:val="00C06250"/>
    <w:rsid w:val="00C15C6C"/>
    <w:rsid w:val="00C26077"/>
    <w:rsid w:val="00C5135D"/>
    <w:rsid w:val="00C534BF"/>
    <w:rsid w:val="00C66722"/>
    <w:rsid w:val="00C73A2F"/>
    <w:rsid w:val="00C83659"/>
    <w:rsid w:val="00C84B23"/>
    <w:rsid w:val="00C91FBF"/>
    <w:rsid w:val="00CA0BDE"/>
    <w:rsid w:val="00CA25D9"/>
    <w:rsid w:val="00CC4882"/>
    <w:rsid w:val="00CD2F8A"/>
    <w:rsid w:val="00CF2727"/>
    <w:rsid w:val="00D03A32"/>
    <w:rsid w:val="00D102C9"/>
    <w:rsid w:val="00D3517C"/>
    <w:rsid w:val="00D5187F"/>
    <w:rsid w:val="00D55EAB"/>
    <w:rsid w:val="00D6255E"/>
    <w:rsid w:val="00DA19FF"/>
    <w:rsid w:val="00DA2010"/>
    <w:rsid w:val="00DE086A"/>
    <w:rsid w:val="00E02FBB"/>
    <w:rsid w:val="00E05A10"/>
    <w:rsid w:val="00E1094E"/>
    <w:rsid w:val="00E13D98"/>
    <w:rsid w:val="00E41B82"/>
    <w:rsid w:val="00EA0E27"/>
    <w:rsid w:val="00F05DCE"/>
    <w:rsid w:val="00F1102D"/>
    <w:rsid w:val="00F20771"/>
    <w:rsid w:val="00F37A6B"/>
    <w:rsid w:val="00F64C85"/>
    <w:rsid w:val="00F92839"/>
    <w:rsid w:val="00FA1438"/>
    <w:rsid w:val="00FA3412"/>
    <w:rsid w:val="00FB468E"/>
    <w:rsid w:val="00FB6935"/>
    <w:rsid w:val="00FC7A50"/>
    <w:rsid w:val="00FE4505"/>
    <w:rsid w:val="3FAFE05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AFE055"/>
  <w15:chartTrackingRefBased/>
  <w15:docId w15:val="{676246D4-AE9F-4795-AEB9-3EB7BF598D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A19FF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C66722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C66722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DA19FF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DA19FF"/>
    <w:pPr>
      <w:outlineLvl w:val="9"/>
    </w:pPr>
    <w:rPr>
      <w:lang w:val="en-US"/>
    </w:rPr>
  </w:style>
  <w:style w:type="paragraph" w:styleId="NormalWeb">
    <w:name w:val="Normal (Web)"/>
    <w:basedOn w:val="Normal"/>
    <w:uiPriority w:val="99"/>
    <w:semiHidden/>
    <w:unhideWhenUsed/>
    <w:rsid w:val="00E41B8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E41B8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41B82"/>
    <w:rPr>
      <w:color w:val="605E5C"/>
      <w:shd w:val="clear" w:color="auto" w:fill="E1DFDD"/>
    </w:rPr>
  </w:style>
  <w:style w:type="paragraph" w:styleId="TOC1">
    <w:name w:val="toc 1"/>
    <w:basedOn w:val="Normal"/>
    <w:next w:val="Normal"/>
    <w:autoRedefine/>
    <w:uiPriority w:val="39"/>
    <w:unhideWhenUsed/>
    <w:rsid w:val="00A833CC"/>
    <w:pPr>
      <w:spacing w:after="100"/>
    </w:pPr>
  </w:style>
  <w:style w:type="paragraph" w:styleId="ListParagraph">
    <w:name w:val="List Paragraph"/>
    <w:basedOn w:val="Normal"/>
    <w:uiPriority w:val="34"/>
    <w:qFormat/>
    <w:rsid w:val="0099078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8742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317680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6940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675646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95191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86713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5433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55022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30792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088937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22295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763326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5223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25690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87272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709167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24703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849183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447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83422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15281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0289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47880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22651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481835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law.cornell.edu/wex/mens_rea" TargetMode="External"/><Relationship Id="rId13" Type="http://schemas.openxmlformats.org/officeDocument/2006/relationships/hyperlink" Target="https://www-vlebooks-com.ezproxy.uwtsd.ac.uk/Product/Index/2011230?page=0" TargetMode="External"/><Relationship Id="rId1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12" Type="http://schemas.openxmlformats.org/officeDocument/2006/relationships/hyperlink" Target="https://www.jstor.org/stable/4509023" TargetMode="External"/><Relationship Id="rId17" Type="http://schemas.openxmlformats.org/officeDocument/2006/relationships/hyperlink" Target="https://www.cps.gov.uk/legal-guidance/homicide-murder-and-manslaughter#:~:text=Burden%20of%20Proof,on%20the%20balance%20of%20probabilities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jstor.org/stable/1092254" TargetMode="Externa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hyperlink" Target="https://bibliu.com/app/#/view/books/9780192668523/epub/OEBPS/018_chapter_sec1.html#page_246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oxbridgenotes.co.uk/law_cases/r-v-byrne" TargetMode="External"/><Relationship Id="rId10" Type="http://schemas.openxmlformats.org/officeDocument/2006/relationships/hyperlink" Target="https://www.legislation.gov.uk/ukpga/2009/25/section/52" TargetMode="External"/><Relationship Id="rId19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hyperlink" Target="https://www.law.cornell.edu/wex/actus_reus#:~:text=Actus%20reus%20refers%20to%20the,causing%20a%20criminally%20proscribed%20result" TargetMode="External"/><Relationship Id="rId14" Type="http://schemas.openxmlformats.org/officeDocument/2006/relationships/hyperlink" Target="https://www.justice.gov.uk/downloads/legislation/bills-acts/circulars/moj/2010/circular-12-2010-coroners-justice-act-homicide-provisions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>2200212@student.uwtsd.ac.uk</CompanyEmail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171</TotalTime>
  <Pages>7</Pages>
  <Words>1930</Words>
  <Characters>11003</Characters>
  <Application>Microsoft Office Word</Application>
  <DocSecurity>0</DocSecurity>
  <Lines>91</Lines>
  <Paragraphs>25</Paragraphs>
  <ScaleCrop>false</ScaleCrop>
  <Company/>
  <LinksUpToDate>false</LinksUpToDate>
  <CharactersWithSpaces>12908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Diminished Responsibility</dc:title>
  <dc:subject>BMPL4009</dc:subject>
  <dc:creator>Jack Banner (2200212)</dc:creator>
  <cp:keywords/>
  <dc:description/>
  <cp:lastModifiedBy>Joe Webber</cp:lastModifiedBy>
  <cp:revision>163</cp:revision>
  <dcterms:created xsi:type="dcterms:W3CDTF">2023-03-10T20:43:00Z</dcterms:created>
  <dcterms:modified xsi:type="dcterms:W3CDTF">2023-03-10T23:35:00Z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4c7915c57bd9bf84f3d0e44819b80d2c16a06595a235c9a5472a82b59cb78f4a</vt:lpwstr>
  </property>
</Properties>
</file>