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left"/>
        <w:rPr>
          <w:b w:val="1"/>
        </w:rPr>
      </w:pPr>
      <w:r w:rsidDel="00000000" w:rsidR="00000000" w:rsidRPr="00000000">
        <w:rPr>
          <w:rtl w:val="0"/>
        </w:rPr>
      </w:r>
    </w:p>
    <w:p w:rsidR="00000000" w:rsidDel="00000000" w:rsidP="00000000" w:rsidRDefault="00000000" w:rsidRPr="00000000" w14:paraId="00000001">
      <w:pPr>
        <w:contextualSpacing w:val="0"/>
        <w:rPr>
          <w:b w:val="1"/>
        </w:rPr>
      </w:pPr>
      <w:r w:rsidDel="00000000" w:rsidR="00000000" w:rsidRPr="00000000">
        <w:rPr>
          <w:rtl w:val="0"/>
        </w:rPr>
      </w:r>
    </w:p>
    <w:p w:rsidR="00000000" w:rsidDel="00000000" w:rsidP="00000000" w:rsidRDefault="00000000" w:rsidRPr="00000000" w14:paraId="00000002">
      <w:pPr>
        <w:contextualSpacing w:val="0"/>
        <w:rPr>
          <w:b w:val="1"/>
        </w:rPr>
      </w:pPr>
      <w:r w:rsidDel="00000000" w:rsidR="00000000" w:rsidRPr="00000000">
        <w:rPr>
          <w:rtl w:val="0"/>
        </w:rPr>
      </w:r>
    </w:p>
    <w:p w:rsidR="00000000" w:rsidDel="00000000" w:rsidP="00000000" w:rsidRDefault="00000000" w:rsidRPr="00000000" w14:paraId="00000003">
      <w:pPr>
        <w:contextualSpacing w:val="0"/>
        <w:rPr>
          <w:b w:val="1"/>
        </w:rPr>
      </w:pPr>
      <w:r w:rsidDel="00000000" w:rsidR="00000000" w:rsidRPr="00000000">
        <w:rPr>
          <w:rtl w:val="0"/>
        </w:rPr>
      </w:r>
    </w:p>
    <w:p w:rsidR="00000000" w:rsidDel="00000000" w:rsidP="00000000" w:rsidRDefault="00000000" w:rsidRPr="00000000" w14:paraId="00000004">
      <w:pPr>
        <w:contextualSpacing w:val="0"/>
        <w:rPr>
          <w:b w:val="1"/>
        </w:rPr>
      </w:pPr>
      <w:r w:rsidDel="00000000" w:rsidR="00000000" w:rsidRPr="00000000">
        <w:rPr>
          <w:rtl w:val="0"/>
        </w:rPr>
      </w:r>
    </w:p>
    <w:p w:rsidR="00000000" w:rsidDel="00000000" w:rsidP="00000000" w:rsidRDefault="00000000" w:rsidRPr="00000000" w14:paraId="00000005">
      <w:pPr>
        <w:contextualSpacing w:val="0"/>
        <w:jc w:val="center"/>
        <w:rPr>
          <w:b w:val="1"/>
        </w:rPr>
      </w:pPr>
      <w:r w:rsidDel="00000000" w:rsidR="00000000" w:rsidRPr="00000000">
        <w:rPr>
          <w:b w:val="1"/>
          <w:rtl w:val="0"/>
        </w:rPr>
        <w:t xml:space="preserve">International Financial Management</w:t>
      </w:r>
    </w:p>
    <w:p w:rsidR="00000000" w:rsidDel="00000000" w:rsidP="00000000" w:rsidRDefault="00000000" w:rsidRPr="00000000" w14:paraId="00000006">
      <w:pPr>
        <w:contextualSpacing w:val="0"/>
        <w:rPr>
          <w:b w:val="1"/>
        </w:rPr>
      </w:pPr>
      <w:r w:rsidDel="00000000" w:rsidR="00000000" w:rsidRPr="00000000">
        <w:rPr>
          <w:b w:val="1"/>
          <w:rtl w:val="0"/>
        </w:rPr>
        <w:t xml:space="preserve">Student name: Ivan Todorov</w:t>
      </w:r>
    </w:p>
    <w:p w:rsidR="00000000" w:rsidDel="00000000" w:rsidP="00000000" w:rsidRDefault="00000000" w:rsidRPr="00000000" w14:paraId="00000007">
      <w:pPr>
        <w:contextualSpacing w:val="0"/>
        <w:rPr>
          <w:b w:val="1"/>
        </w:rPr>
      </w:pPr>
      <w:r w:rsidDel="00000000" w:rsidR="00000000" w:rsidRPr="00000000">
        <w:rPr>
          <w:b w:val="1"/>
          <w:rtl w:val="0"/>
        </w:rPr>
        <w:t xml:space="preserve">Student ID: 2023561</w:t>
      </w:r>
    </w:p>
    <w:p w:rsidR="00000000" w:rsidDel="00000000" w:rsidP="00000000" w:rsidRDefault="00000000" w:rsidRPr="00000000" w14:paraId="00000008">
      <w:pPr>
        <w:contextualSpacing w:val="0"/>
        <w:rPr>
          <w:b w:val="1"/>
        </w:rPr>
      </w:pPr>
      <w:r w:rsidDel="00000000" w:rsidR="00000000" w:rsidRPr="00000000">
        <w:rPr>
          <w:rtl w:val="0"/>
        </w:rPr>
      </w:r>
    </w:p>
    <w:p w:rsidR="00000000" w:rsidDel="00000000" w:rsidP="00000000" w:rsidRDefault="00000000" w:rsidRPr="00000000" w14:paraId="00000009">
      <w:pPr>
        <w:contextualSpacing w:val="0"/>
        <w:rPr>
          <w:b w:val="1"/>
        </w:rPr>
      </w:pPr>
      <w:r w:rsidDel="00000000" w:rsidR="00000000" w:rsidRPr="00000000">
        <w:rPr>
          <w:rtl w:val="0"/>
        </w:rPr>
      </w:r>
    </w:p>
    <w:p w:rsidR="00000000" w:rsidDel="00000000" w:rsidP="00000000" w:rsidRDefault="00000000" w:rsidRPr="00000000" w14:paraId="0000000A">
      <w:pPr>
        <w:contextualSpacing w:val="0"/>
        <w:rPr>
          <w:b w:val="1"/>
        </w:rPr>
      </w:pPr>
      <w:r w:rsidDel="00000000" w:rsidR="00000000" w:rsidRPr="00000000">
        <w:rPr>
          <w:rtl w:val="0"/>
        </w:rPr>
      </w:r>
    </w:p>
    <w:p w:rsidR="00000000" w:rsidDel="00000000" w:rsidP="00000000" w:rsidRDefault="00000000" w:rsidRPr="00000000" w14:paraId="0000000B">
      <w:pPr>
        <w:contextualSpacing w:val="0"/>
        <w:rPr>
          <w:b w:val="1"/>
        </w:rPr>
      </w:pPr>
      <w:r w:rsidDel="00000000" w:rsidR="00000000" w:rsidRPr="00000000">
        <w:rPr>
          <w:rtl w:val="0"/>
        </w:rPr>
      </w:r>
    </w:p>
    <w:p w:rsidR="00000000" w:rsidDel="00000000" w:rsidP="00000000" w:rsidRDefault="00000000" w:rsidRPr="00000000" w14:paraId="0000000C">
      <w:pPr>
        <w:contextualSpacing w:val="0"/>
        <w:rPr>
          <w:b w:val="1"/>
        </w:rPr>
      </w:pPr>
      <w:r w:rsidDel="00000000" w:rsidR="00000000" w:rsidRPr="00000000">
        <w:rPr>
          <w:rtl w:val="0"/>
        </w:rPr>
      </w:r>
    </w:p>
    <w:p w:rsidR="00000000" w:rsidDel="00000000" w:rsidP="00000000" w:rsidRDefault="00000000" w:rsidRPr="00000000" w14:paraId="0000000D">
      <w:pPr>
        <w:contextualSpacing w:val="0"/>
        <w:rPr>
          <w:b w:val="1"/>
        </w:rPr>
      </w:pPr>
      <w:r w:rsidDel="00000000" w:rsidR="00000000" w:rsidRPr="00000000">
        <w:rPr>
          <w:rtl w:val="0"/>
        </w:rPr>
      </w:r>
    </w:p>
    <w:p w:rsidR="00000000" w:rsidDel="00000000" w:rsidP="00000000" w:rsidRDefault="00000000" w:rsidRPr="00000000" w14:paraId="0000000E">
      <w:pPr>
        <w:contextualSpacing w:val="0"/>
        <w:rPr>
          <w:b w:val="1"/>
        </w:rPr>
      </w:pPr>
      <w:r w:rsidDel="00000000" w:rsidR="00000000" w:rsidRPr="00000000">
        <w:rPr>
          <w:rtl w:val="0"/>
        </w:rPr>
      </w:r>
    </w:p>
    <w:p w:rsidR="00000000" w:rsidDel="00000000" w:rsidP="00000000" w:rsidRDefault="00000000" w:rsidRPr="00000000" w14:paraId="0000000F">
      <w:pPr>
        <w:contextualSpacing w:val="0"/>
        <w:rPr>
          <w:b w:val="1"/>
        </w:rPr>
      </w:pPr>
      <w:r w:rsidDel="00000000" w:rsidR="00000000" w:rsidRPr="00000000">
        <w:rPr>
          <w:rtl w:val="0"/>
        </w:rPr>
      </w:r>
    </w:p>
    <w:p w:rsidR="00000000" w:rsidDel="00000000" w:rsidP="00000000" w:rsidRDefault="00000000" w:rsidRPr="00000000" w14:paraId="00000010">
      <w:pPr>
        <w:contextualSpacing w:val="0"/>
        <w:rPr>
          <w:b w:val="1"/>
        </w:rPr>
      </w:pPr>
      <w:r w:rsidDel="00000000" w:rsidR="00000000" w:rsidRPr="00000000">
        <w:rPr>
          <w:rtl w:val="0"/>
        </w:rPr>
      </w:r>
    </w:p>
    <w:p w:rsidR="00000000" w:rsidDel="00000000" w:rsidP="00000000" w:rsidRDefault="00000000" w:rsidRPr="00000000" w14:paraId="00000011">
      <w:pPr>
        <w:contextualSpacing w:val="0"/>
        <w:rPr>
          <w:b w:val="1"/>
        </w:rPr>
      </w:pPr>
      <w:r w:rsidDel="00000000" w:rsidR="00000000" w:rsidRPr="00000000">
        <w:rPr>
          <w:rtl w:val="0"/>
        </w:rPr>
      </w:r>
    </w:p>
    <w:p w:rsidR="00000000" w:rsidDel="00000000" w:rsidP="00000000" w:rsidRDefault="00000000" w:rsidRPr="00000000" w14:paraId="00000012">
      <w:pPr>
        <w:contextualSpacing w:val="0"/>
        <w:rPr>
          <w:b w:val="1"/>
        </w:rPr>
      </w:pPr>
      <w:r w:rsidDel="00000000" w:rsidR="00000000" w:rsidRPr="00000000">
        <w:rPr>
          <w:rtl w:val="0"/>
        </w:rPr>
      </w:r>
    </w:p>
    <w:p w:rsidR="00000000" w:rsidDel="00000000" w:rsidP="00000000" w:rsidRDefault="00000000" w:rsidRPr="00000000" w14:paraId="00000013">
      <w:pPr>
        <w:contextualSpacing w:val="0"/>
        <w:rPr>
          <w:b w:val="1"/>
        </w:rPr>
      </w:pPr>
      <w:r w:rsidDel="00000000" w:rsidR="00000000" w:rsidRPr="00000000">
        <w:rPr>
          <w:rtl w:val="0"/>
        </w:rPr>
      </w:r>
    </w:p>
    <w:p w:rsidR="00000000" w:rsidDel="00000000" w:rsidP="00000000" w:rsidRDefault="00000000" w:rsidRPr="00000000" w14:paraId="00000014">
      <w:pPr>
        <w:contextualSpacing w:val="0"/>
        <w:rPr>
          <w:b w:val="1"/>
        </w:rPr>
      </w:pPr>
      <w:r w:rsidDel="00000000" w:rsidR="00000000" w:rsidRPr="00000000">
        <w:rPr>
          <w:rtl w:val="0"/>
        </w:rPr>
      </w:r>
    </w:p>
    <w:p w:rsidR="00000000" w:rsidDel="00000000" w:rsidP="00000000" w:rsidRDefault="00000000" w:rsidRPr="00000000" w14:paraId="00000015">
      <w:pPr>
        <w:contextualSpacing w:val="0"/>
        <w:rPr>
          <w:b w:val="1"/>
        </w:rPr>
      </w:pPr>
      <w:r w:rsidDel="00000000" w:rsidR="00000000" w:rsidRPr="00000000">
        <w:rPr>
          <w:rtl w:val="0"/>
        </w:rPr>
      </w:r>
    </w:p>
    <w:p w:rsidR="00000000" w:rsidDel="00000000" w:rsidP="00000000" w:rsidRDefault="00000000" w:rsidRPr="00000000" w14:paraId="00000016">
      <w:pPr>
        <w:contextualSpacing w:val="0"/>
        <w:rPr>
          <w:b w:val="1"/>
        </w:rPr>
      </w:pPr>
      <w:r w:rsidDel="00000000" w:rsidR="00000000" w:rsidRPr="00000000">
        <w:rPr>
          <w:rtl w:val="0"/>
        </w:rPr>
      </w:r>
    </w:p>
    <w:p w:rsidR="00000000" w:rsidDel="00000000" w:rsidP="00000000" w:rsidRDefault="00000000" w:rsidRPr="00000000" w14:paraId="00000017">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contextualSpacing w:val="0"/>
        <w:jc w:val="left"/>
        <w:rPr>
          <w:rFonts w:ascii="Calibri" w:cs="Calibri" w:eastAsia="Calibri" w:hAnsi="Calibri"/>
          <w:b w:val="1"/>
          <w:i w:val="0"/>
          <w:smallCaps w:val="0"/>
          <w:strike w:val="0"/>
          <w:color w:val="2e75b5"/>
          <w:sz w:val="28"/>
          <w:szCs w:val="28"/>
          <w:u w:val="none"/>
          <w:shd w:fill="auto" w:val="clear"/>
          <w:vertAlign w:val="baseline"/>
        </w:rPr>
      </w:pPr>
      <w:r w:rsidDel="00000000" w:rsidR="00000000" w:rsidRPr="00000000">
        <w:rPr>
          <w:rFonts w:ascii="Calibri" w:cs="Calibri" w:eastAsia="Calibri" w:hAnsi="Calibri"/>
          <w:b w:val="1"/>
          <w:i w:val="0"/>
          <w:smallCaps w:val="0"/>
          <w:strike w:val="0"/>
          <w:color w:val="2e75b5"/>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360" w:lineRule="auto"/>
            <w:ind w:left="0" w:right="0" w:firstLine="0"/>
            <w:contextualSpacing w:val="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360" w:lineRule="auto"/>
            <w:ind w:left="0" w:right="0" w:firstLine="0"/>
            <w:contextualSpacing w:val="0"/>
            <w:jc w:val="left"/>
            <w:rPr>
              <w:rFonts w:ascii="Calibri" w:cs="Calibri" w:eastAsia="Calibri" w:hAnsi="Calibri"/>
              <w:b w:val="0"/>
              <w:i w:val="0"/>
              <w:smallCaps w:val="0"/>
              <w:strike w:val="0"/>
              <w:color w:val="000000"/>
              <w:sz w:val="24"/>
              <w:szCs w:val="24"/>
              <w:u w:val="none"/>
              <w:shd w:fill="auto" w:val="clear"/>
              <w:vertAlign w:val="baseline"/>
            </w:rPr>
          </w:pPr>
          <w:hyperlink w:anchor="_30j0zll">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Critically analyzing and evaluating the dividend distribution policies that are being followed by HSBC</w:t>
              <w:tab/>
              <w:t xml:space="preserve">3</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360" w:lineRule="auto"/>
            <w:ind w:left="0" w:right="0" w:firstLine="0"/>
            <w:contextualSpacing w:val="0"/>
            <w:jc w:val="left"/>
            <w:rPr>
              <w:rFonts w:ascii="Calibri" w:cs="Calibri" w:eastAsia="Calibri" w:hAnsi="Calibri"/>
              <w:b w:val="0"/>
              <w:i w:val="0"/>
              <w:smallCaps w:val="0"/>
              <w:strike w:val="0"/>
              <w:color w:val="000000"/>
              <w:sz w:val="24"/>
              <w:szCs w:val="24"/>
              <w:u w:val="none"/>
              <w:shd w:fill="auto" w:val="clear"/>
              <w:vertAlign w:val="baseline"/>
            </w:rPr>
          </w:pPr>
          <w:hyperlink w:anchor="_1fob9te">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Critically analyzing the efficient market hypothesis theory based on the operational activities of HSBC</w:t>
              <w:tab/>
              <w:t xml:space="preserve">4</w:t>
            </w:r>
          </w:hyperlink>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360" w:lineRule="auto"/>
            <w:ind w:left="0" w:right="0" w:firstLine="0"/>
            <w:contextualSpacing w:val="0"/>
            <w:jc w:val="left"/>
            <w:rPr>
              <w:rFonts w:ascii="Calibri" w:cs="Calibri" w:eastAsia="Calibri" w:hAnsi="Calibri"/>
              <w:b w:val="0"/>
              <w:i w:val="0"/>
              <w:smallCaps w:val="0"/>
              <w:strike w:val="0"/>
              <w:color w:val="000000"/>
              <w:sz w:val="24"/>
              <w:szCs w:val="24"/>
              <w:u w:val="none"/>
              <w:shd w:fill="auto" w:val="clear"/>
              <w:vertAlign w:val="baseline"/>
            </w:rPr>
          </w:pPr>
          <w:hyperlink w:anchor="_3znysh7">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Critically analyzing and evaluating HSBC’s methods of appraising projects</w:t>
              <w:tab/>
              <w:t xml:space="preserve">4</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360" w:lineRule="auto"/>
            <w:ind w:left="0" w:right="0" w:firstLine="0"/>
            <w:contextualSpacing w:val="0"/>
            <w:jc w:val="left"/>
            <w:rPr>
              <w:rFonts w:ascii="Calibri" w:cs="Calibri" w:eastAsia="Calibri" w:hAnsi="Calibri"/>
              <w:b w:val="0"/>
              <w:i w:val="0"/>
              <w:smallCaps w:val="0"/>
              <w:strike w:val="0"/>
              <w:color w:val="000000"/>
              <w:sz w:val="24"/>
              <w:szCs w:val="24"/>
              <w:u w:val="none"/>
              <w:shd w:fill="auto" w:val="clear"/>
              <w:vertAlign w:val="baseline"/>
            </w:rPr>
          </w:pPr>
          <w:hyperlink w:anchor="_2et92p0">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0" w:before="120" w:line="360" w:lineRule="auto"/>
            <w:ind w:left="0" w:right="0" w:firstLine="0"/>
            <w:contextualSpacing w:val="0"/>
            <w:jc w:val="left"/>
            <w:rPr>
              <w:rFonts w:ascii="Calibri" w:cs="Calibri" w:eastAsia="Calibri" w:hAnsi="Calibri"/>
              <w:b w:val="0"/>
              <w:i w:val="0"/>
              <w:smallCaps w:val="0"/>
              <w:strike w:val="0"/>
              <w:color w:val="000000"/>
              <w:sz w:val="24"/>
              <w:szCs w:val="24"/>
              <w:u w:val="none"/>
              <w:shd w:fill="auto" w:val="clear"/>
              <w:vertAlign w:val="baseline"/>
            </w:rPr>
          </w:pPr>
          <w:hyperlink w:anchor="_tyjcwt">
            <w:r w:rsidDel="00000000" w:rsidR="00000000" w:rsidRPr="00000000">
              <w:rPr>
                <w:rFonts w:ascii="Calibri" w:cs="Calibri" w:eastAsia="Calibri" w:hAnsi="Calibri"/>
                <w:b w:val="1"/>
                <w:i w:val="1"/>
                <w:smallCaps w:val="0"/>
                <w:strike w:val="0"/>
                <w:color w:val="000000"/>
                <w:sz w:val="24"/>
                <w:szCs w:val="24"/>
                <w:u w:val="none"/>
                <w:shd w:fill="auto" w:val="clear"/>
                <w:vertAlign w:val="baseline"/>
                <w:rtl w:val="0"/>
              </w:rPr>
              <w:t xml:space="preserve">Reference</w:t>
              <w:tab/>
              <w:t xml:space="preserve">6</w:t>
            </w:r>
          </w:hyperlink>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contextualSpacing w:val="0"/>
        <w:rPr/>
      </w:pPr>
      <w:bookmarkStart w:colFirst="0" w:colLast="0" w:name="_gjdgxs" w:id="0"/>
      <w:bookmarkEnd w:id="0"/>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contextualSpacing w:val="0"/>
        <w:rPr/>
      </w:pPr>
      <w:r w:rsidDel="00000000" w:rsidR="00000000" w:rsidRPr="00000000">
        <w:rPr>
          <w:rtl w:val="0"/>
        </w:rPr>
      </w:r>
    </w:p>
    <w:p w:rsidR="00000000" w:rsidDel="00000000" w:rsidP="00000000" w:rsidRDefault="00000000" w:rsidRPr="00000000" w14:paraId="00000025">
      <w:pPr>
        <w:contextualSpacing w:val="0"/>
        <w:rPr/>
      </w:pPr>
      <w:r w:rsidDel="00000000" w:rsidR="00000000" w:rsidRPr="00000000">
        <w:rPr>
          <w:rtl w:val="0"/>
        </w:rPr>
      </w:r>
    </w:p>
    <w:p w:rsidR="00000000" w:rsidDel="00000000" w:rsidP="00000000" w:rsidRDefault="00000000" w:rsidRPr="00000000" w14:paraId="00000026">
      <w:pPr>
        <w:contextualSpacing w:val="0"/>
        <w:rPr/>
      </w:pPr>
      <w:r w:rsidDel="00000000" w:rsidR="00000000" w:rsidRPr="00000000">
        <w:rPr>
          <w:rtl w:val="0"/>
        </w:rPr>
      </w:r>
    </w:p>
    <w:p w:rsidR="00000000" w:rsidDel="00000000" w:rsidP="00000000" w:rsidRDefault="00000000" w:rsidRPr="00000000" w14:paraId="00000027">
      <w:pPr>
        <w:contextualSpacing w:val="0"/>
        <w:rPr/>
      </w:pPr>
      <w:r w:rsidDel="00000000" w:rsidR="00000000" w:rsidRPr="00000000">
        <w:rPr>
          <w:rtl w:val="0"/>
        </w:rPr>
      </w:r>
    </w:p>
    <w:p w:rsidR="00000000" w:rsidDel="00000000" w:rsidP="00000000" w:rsidRDefault="00000000" w:rsidRPr="00000000" w14:paraId="00000028">
      <w:pPr>
        <w:contextualSpacing w:val="0"/>
        <w:rPr/>
      </w:pPr>
      <w:r w:rsidDel="00000000" w:rsidR="00000000" w:rsidRPr="00000000">
        <w:rPr>
          <w:rtl w:val="0"/>
        </w:rPr>
      </w:r>
    </w:p>
    <w:p w:rsidR="00000000" w:rsidDel="00000000" w:rsidP="00000000" w:rsidRDefault="00000000" w:rsidRPr="00000000" w14:paraId="00000029">
      <w:pPr>
        <w:pStyle w:val="Heading1"/>
        <w:contextualSpacing w:val="0"/>
        <w:rPr/>
      </w:pPr>
      <w:r w:rsidDel="00000000" w:rsidR="00000000" w:rsidRPr="00000000">
        <w:rPr>
          <w:rtl w:val="0"/>
        </w:rPr>
        <w:t xml:space="preserve">Introduction </w:t>
      </w:r>
    </w:p>
    <w:p w:rsidR="00000000" w:rsidDel="00000000" w:rsidP="00000000" w:rsidRDefault="00000000" w:rsidRPr="00000000" w14:paraId="0000002A">
      <w:pPr>
        <w:contextualSpacing w:val="0"/>
        <w:rPr/>
      </w:pPr>
      <w:r w:rsidDel="00000000" w:rsidR="00000000" w:rsidRPr="00000000">
        <w:rPr>
          <w:rtl w:val="0"/>
        </w:rPr>
        <w:t xml:space="preserve">The abbreviation of HSBC stands for The Hong Kong and Shanghai Banking Corporation Limited which was established back in the year 1865 for financing the trades that were taking place among China, Europe, and India</w:t>
      </w:r>
      <w:r w:rsidDel="00000000" w:rsidR="00000000" w:rsidRPr="00000000">
        <w:rPr>
          <w:rFonts w:ascii="Arial" w:cs="Arial" w:eastAsia="Arial" w:hAnsi="Arial"/>
          <w:color w:val="006621"/>
          <w:sz w:val="20"/>
          <w:szCs w:val="20"/>
          <w:highlight w:val="white"/>
          <w:rtl w:val="0"/>
        </w:rPr>
        <w:t xml:space="preserve"> (</w:t>
      </w:r>
      <w:r w:rsidDel="00000000" w:rsidR="00000000" w:rsidRPr="00000000">
        <w:rPr>
          <w:rtl w:val="0"/>
        </w:rPr>
        <w:t xml:space="preserve">Msiwa, 2017). The industry in which this bank is operating its business is called financial services and the headquarter of HSBC is situated in London. The bank is operating its banking operation in different locations worldwide with the help of around 2,00,000 employees which is assisting one of the largest financial service providers in the world to operate its business in different locations worldwide</w:t>
      </w:r>
      <w:r w:rsidDel="00000000" w:rsidR="00000000" w:rsidRPr="00000000">
        <w:rPr>
          <w:rFonts w:ascii="Arial" w:cs="Arial" w:eastAsia="Arial" w:hAnsi="Arial"/>
          <w:color w:val="006621"/>
          <w:sz w:val="20"/>
          <w:szCs w:val="20"/>
          <w:highlight w:val="white"/>
          <w:rtl w:val="0"/>
        </w:rPr>
        <w:t xml:space="preserve"> (</w:t>
      </w:r>
      <w:r w:rsidDel="00000000" w:rsidR="00000000" w:rsidRPr="00000000">
        <w:rPr>
          <w:rtl w:val="0"/>
        </w:rPr>
        <w:t xml:space="preserve">Nayak and Lai, 2021). The bank has seen upgrading its policies to be in a better place to operate and provide the customers with better financial services than the previous time. The dividend distribution policies have been one of the most crucial financial services that the organization has to provide to compete in this highly competitive industry base. This essay will analyze HSBC’s different aspects of international financial management activities based using different sorts of international financial management theories. There will also be a brief discussion of different methods that the organization has been using to appraise different projects as well. </w:t>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pStyle w:val="Heading1"/>
        <w:contextualSpacing w:val="0"/>
        <w:rPr/>
      </w:pPr>
      <w:bookmarkStart w:colFirst="0" w:colLast="0" w:name="_30j0zll" w:id="1"/>
      <w:bookmarkEnd w:id="1"/>
      <w:r w:rsidDel="00000000" w:rsidR="00000000" w:rsidRPr="00000000">
        <w:rPr>
          <w:rtl w:val="0"/>
        </w:rPr>
        <w:t xml:space="preserve">Critically analyzing and evaluating the dividend distribution policies that are being followed by HSBC </w:t>
      </w:r>
    </w:p>
    <w:p w:rsidR="00000000" w:rsidDel="00000000" w:rsidP="00000000" w:rsidRDefault="00000000" w:rsidRPr="00000000" w14:paraId="0000002D">
      <w:pPr>
        <w:contextualSpacing w:val="0"/>
        <w:rPr/>
      </w:pPr>
      <w:r w:rsidDel="00000000" w:rsidR="00000000" w:rsidRPr="00000000">
        <w:rPr>
          <w:rtl w:val="0"/>
        </w:rPr>
        <w:t xml:space="preserve">HSBC has been facing an increasing level of scrutiny over the years for how it has been taking care of its financial services, for example, the dividend policies that the business has been following over the years. The reasons behind the criticism that the bank has to face are the financial performances of the banks over the years which has been not up to the mark as expected, different sorts of issues related to different factors of regulations, and how the bank is responding to the deploying market condition over the years (Levi, 2015). Among all the other criticism that the bank faced when the central bank of England put restrictions on all the banks in the U.K. not to pay any sort of dividends so that capital can be conserved.  Following the regulatory restrictions that had been put on HSBC, the bank had to face criticism from the investors, according to whom the bank should have continued to make the dividend payments. While in the past, the bank has seen pay a high percentage over the years based on the dividend policies that the organization has been following, the crucial one is that the bank has acted very liberally though the bank has reported having poor financial performances in the past. Bank in the year 2019, when the bank faced a huge drop in profits which was around 33% but then the bank still chose to pay $12.6 billion as a dividend</w:t>
      </w:r>
      <w:r w:rsidDel="00000000" w:rsidR="00000000" w:rsidRPr="00000000">
        <w:rPr>
          <w:rFonts w:ascii="Arial" w:cs="Arial" w:eastAsia="Arial" w:hAnsi="Arial"/>
          <w:color w:val="006621"/>
          <w:sz w:val="20"/>
          <w:szCs w:val="20"/>
          <w:highlight w:val="white"/>
          <w:rtl w:val="0"/>
        </w:rPr>
        <w:t xml:space="preserve"> </w:t>
      </w:r>
      <w:r w:rsidDel="00000000" w:rsidR="00000000" w:rsidRPr="00000000">
        <w:rPr>
          <w:rtl w:val="0"/>
        </w:rPr>
        <w:t xml:space="preserve">(Naheem, 2020). In the year 2020, dividends were somewhat around 70 to 90% but the bank has decided to resume paying the dividends withdrawing the restrictions that have been put on the dividend payment in the pandemic the percentage of the dividend payments has gotten lower than in the past</w:t>
      </w:r>
      <w:r w:rsidDel="00000000" w:rsidR="00000000" w:rsidRPr="00000000">
        <w:rPr>
          <w:rFonts w:ascii="Arial" w:cs="Arial" w:eastAsia="Arial" w:hAnsi="Arial"/>
          <w:color w:val="006621"/>
          <w:sz w:val="20"/>
          <w:szCs w:val="20"/>
          <w:highlight w:val="white"/>
          <w:rtl w:val="0"/>
        </w:rPr>
        <w:t xml:space="preserve"> </w:t>
      </w:r>
      <w:r w:rsidDel="00000000" w:rsidR="00000000" w:rsidRPr="00000000">
        <w:rPr>
          <w:rtl w:val="0"/>
        </w:rPr>
        <w:t xml:space="preserve">(Sivaprasad and  Mathew, 2021). At present that bank has decided to pay dividends something between 40% to 55% (Prather-Kinsey et al., 2022). </w:t>
      </w:r>
    </w:p>
    <w:p w:rsidR="00000000" w:rsidDel="00000000" w:rsidP="00000000" w:rsidRDefault="00000000" w:rsidRPr="00000000" w14:paraId="0000002E">
      <w:pPr>
        <w:contextualSpacing w:val="0"/>
        <w:rPr/>
      </w:pPr>
      <w:r w:rsidDel="00000000" w:rsidR="00000000" w:rsidRPr="00000000">
        <w:rPr>
          <w:rtl w:val="0"/>
        </w:rPr>
        <w:t xml:space="preserve">So it can be said that the issues with the dividend policies of HSBS are mismanagement and misalignment with the bank’s financial performance. The bank is required to maintain a balance in the organization’s dividend distribution policies and financial performances to ensure the bank’s future growth and stability are in check. </w:t>
      </w:r>
    </w:p>
    <w:p w:rsidR="00000000" w:rsidDel="00000000" w:rsidP="00000000" w:rsidRDefault="00000000" w:rsidRPr="00000000" w14:paraId="0000002F">
      <w:pPr>
        <w:pStyle w:val="Heading1"/>
        <w:contextualSpacing w:val="0"/>
        <w:rPr/>
      </w:pPr>
      <w:bookmarkStart w:colFirst="0" w:colLast="0" w:name="_1fob9te" w:id="2"/>
      <w:bookmarkEnd w:id="2"/>
      <w:r w:rsidDel="00000000" w:rsidR="00000000" w:rsidRPr="00000000">
        <w:rPr>
          <w:rtl w:val="0"/>
        </w:rPr>
        <w:t xml:space="preserve">Critically analyzing the efficient market hypothesis theory based on the operational activities of HSBC</w:t>
      </w:r>
    </w:p>
    <w:p w:rsidR="00000000" w:rsidDel="00000000" w:rsidP="00000000" w:rsidRDefault="00000000" w:rsidRPr="00000000" w14:paraId="00000030">
      <w:pPr>
        <w:contextualSpacing w:val="0"/>
        <w:rPr/>
      </w:pPr>
      <w:r w:rsidDel="00000000" w:rsidR="00000000" w:rsidRPr="00000000">
        <w:rPr>
          <w:rtl w:val="0"/>
        </w:rPr>
        <w:t xml:space="preserve">The basic idea of the efficient market hypothesis theory which is a financial theory is that when a stock is out in the market, all the information related to the stock price also become available in the market</w:t>
      </w:r>
      <w:r w:rsidDel="00000000" w:rsidR="00000000" w:rsidRPr="00000000">
        <w:rPr>
          <w:rFonts w:ascii="Arial" w:cs="Arial" w:eastAsia="Arial" w:hAnsi="Arial"/>
          <w:color w:val="006621"/>
          <w:sz w:val="20"/>
          <w:szCs w:val="20"/>
          <w:highlight w:val="white"/>
          <w:rtl w:val="0"/>
        </w:rPr>
        <w:t xml:space="preserve"> (</w:t>
      </w:r>
      <w:r w:rsidDel="00000000" w:rsidR="00000000" w:rsidRPr="00000000">
        <w:rPr>
          <w:rtl w:val="0"/>
        </w:rPr>
        <w:t xml:space="preserve">Nayak and Lai, 2021). This leads to no amount of technical or financial analysis that can assist in generating a return that will be more than the actual average market return based on the risk that is adjusted. This finance theory has been a matter of argument between the proponents and the critics. According to the proponents that this theory has the potential to efficiently reflect on the actual financial situation of the market. On the other hand, critics have stated that a perfectly efficient market does not exist and there are always enough opportunities that do exist in the market to earn profit. Analyzing the operational activities of HSBC, one thing that can be said is that the efficient market hypothesis cannot accurately represent the market’s financial reality. The accusations that are being put against HSBC that they are involved in money laundering and fraudulent activities are the reflection of the unavailability of information related to HSBC in the financial market. The lack of transparency of the actual scenario of HSBC’s financial condition in the market does not let the investors make informed decisions according to the actual financial condition of the bank. The regulatory body also lacked in properly reflecting on the actual financial condition of the bank as the way the bank has been penalized and fined because of its different sorts of activities. While the basic idea of the efficient market hypothesis theory is that all the information that is available in public regarding the asset will always reflect on the price of the asset but in case of the HSBC’s controversies and the scandals, it can be said that it cannot hold in account in every other case</w:t>
      </w:r>
      <w:r w:rsidDel="00000000" w:rsidR="00000000" w:rsidRPr="00000000">
        <w:rPr>
          <w:rFonts w:ascii="Arial" w:cs="Arial" w:eastAsia="Arial" w:hAnsi="Arial"/>
          <w:color w:val="006621"/>
          <w:sz w:val="20"/>
          <w:szCs w:val="20"/>
          <w:highlight w:val="white"/>
          <w:rtl w:val="0"/>
        </w:rPr>
        <w:t xml:space="preserve"> (</w:t>
      </w:r>
      <w:r w:rsidDel="00000000" w:rsidR="00000000" w:rsidRPr="00000000">
        <w:rPr>
          <w:rtl w:val="0"/>
        </w:rPr>
        <w:t xml:space="preserve">Fakhry, 2016). Based on HSBC’s case, it can be said that there is a high chance that all information related to the asset will not always be available and to be more focused on the short-term gains investors tend to ignore to have an in-depth analysis of the financial reality of the organization. </w:t>
      </w:r>
    </w:p>
    <w:p w:rsidR="00000000" w:rsidDel="00000000" w:rsidP="00000000" w:rsidRDefault="00000000" w:rsidRPr="00000000" w14:paraId="00000031">
      <w:pPr>
        <w:pStyle w:val="Heading1"/>
        <w:contextualSpacing w:val="0"/>
        <w:rPr/>
      </w:pPr>
      <w:bookmarkStart w:colFirst="0" w:colLast="0" w:name="_3znysh7" w:id="3"/>
      <w:bookmarkEnd w:id="3"/>
      <w:r w:rsidDel="00000000" w:rsidR="00000000" w:rsidRPr="00000000">
        <w:rPr>
          <w:rtl w:val="0"/>
        </w:rPr>
        <w:t xml:space="preserve">Critically analyzing and evaluating HSBC’s methods of appraising projects </w:t>
      </w:r>
    </w:p>
    <w:p w:rsidR="00000000" w:rsidDel="00000000" w:rsidP="00000000" w:rsidRDefault="00000000" w:rsidRPr="00000000" w14:paraId="00000032">
      <w:pPr>
        <w:contextualSpacing w:val="0"/>
        <w:rPr/>
      </w:pPr>
      <w:r w:rsidDel="00000000" w:rsidR="00000000" w:rsidRPr="00000000">
        <w:rPr>
          <w:rtl w:val="0"/>
        </w:rPr>
        <w:t xml:space="preserve">HSBS is one of the world’s leading financial organizations which is popular for providing a wide range of financial services to its customers. Other than financial services of different sorts, the business is also providing its services of project appraisal through project financing. Project appraisal is being done to assess the credibility of the project before finalizing the investment on this particular project. For the project appraisal, the bank has established well-maintained approaches and different sorts of computerized tools and software have been used for this purpose. While analyzing and evaluating the whole project appraisal method of HSBC, the strengths and the weaknesses that are associated with the whole process have been identified. Here in this part of the report, there will be a brief discussion about HSBC’s whole project appraisal approaches,</w:t>
      </w:r>
    </w:p>
    <w:p w:rsidR="00000000" w:rsidDel="00000000" w:rsidP="00000000" w:rsidRDefault="00000000" w:rsidRPr="00000000" w14:paraId="00000033">
      <w:pPr>
        <w:contextualSpacing w:val="0"/>
        <w:rPr/>
      </w:pPr>
      <w:r w:rsidDel="00000000" w:rsidR="00000000" w:rsidRPr="00000000">
        <w:rPr>
          <w:b w:val="1"/>
          <w:rtl w:val="0"/>
        </w:rPr>
        <w:t xml:space="preserve">Strengths: </w:t>
      </w:r>
      <w:r w:rsidDel="00000000" w:rsidR="00000000" w:rsidRPr="00000000">
        <w:rPr>
          <w:rtl w:val="0"/>
        </w:rPr>
        <w:t xml:space="preserve">The most significant strength of HSBC’s whole project appraisal approach is that it takes a holistic approach by assessing the project from all possible aspects. This includes assessing the project from the feasibility of technologies to be used, compliances related to the legal and regulatory bodies, financial viability, and the impact of the project on the environment</w:t>
      </w:r>
      <w:r w:rsidDel="00000000" w:rsidR="00000000" w:rsidRPr="00000000">
        <w:rPr>
          <w:rFonts w:ascii="Arial" w:cs="Arial" w:eastAsia="Arial" w:hAnsi="Arial"/>
          <w:color w:val="006621"/>
          <w:sz w:val="20"/>
          <w:szCs w:val="20"/>
          <w:highlight w:val="white"/>
          <w:rtl w:val="0"/>
        </w:rPr>
        <w:t xml:space="preserve"> (</w:t>
      </w:r>
      <w:r w:rsidDel="00000000" w:rsidR="00000000" w:rsidRPr="00000000">
        <w:rPr>
          <w:rtl w:val="0"/>
        </w:rPr>
        <w:t xml:space="preserve">Quantrill, 2018). This particular approach has proven that the bank does not only operate to earn profit but also operates its business from its responsibility towards society as well. The bank has also seen to be very specific about its risk assessment process and this whole process has been very robust. The reason behind banks being very careful about assessing the risks that are associated with the project is that this way the bank can identify the risk and take actions to mitigate them. This way HSBC will be able to protect its capital and investment. </w:t>
      </w:r>
    </w:p>
    <w:p w:rsidR="00000000" w:rsidDel="00000000" w:rsidP="00000000" w:rsidRDefault="00000000" w:rsidRPr="00000000" w14:paraId="00000034">
      <w:pPr>
        <w:contextualSpacing w:val="0"/>
        <w:rPr/>
      </w:pPr>
      <w:r w:rsidDel="00000000" w:rsidR="00000000" w:rsidRPr="00000000">
        <w:rPr>
          <w:b w:val="1"/>
          <w:rtl w:val="0"/>
        </w:rPr>
        <w:t xml:space="preserve">Weaknesses: </w:t>
      </w:r>
      <w:r w:rsidDel="00000000" w:rsidR="00000000" w:rsidRPr="00000000">
        <w:rPr>
          <w:rtl w:val="0"/>
        </w:rPr>
        <w:t xml:space="preserve">Lack of transparency in the action has been the most significant allegation that has been claimed against HSBC which has been considered one of the world’s largest financial service providers. Other than the lack of transparency, HSBC has been accused of being biased too. HSBC has been accused of not maintaining transparency in its project appraisal methods as the bank has seen not provided information about the project appraisal methodology that it has been used for the project appraisal process (Poshakwale et al., 2020). It has also been accused that the bank’s investment decision tends to get influenced by the bank’s relationship with the sponsor of the project.</w:t>
      </w:r>
    </w:p>
    <w:p w:rsidR="00000000" w:rsidDel="00000000" w:rsidP="00000000" w:rsidRDefault="00000000" w:rsidRPr="00000000" w14:paraId="00000035">
      <w:pPr>
        <w:pStyle w:val="Heading1"/>
        <w:contextualSpacing w:val="0"/>
        <w:rPr/>
      </w:pPr>
      <w:bookmarkStart w:colFirst="0" w:colLast="0" w:name="_2et92p0" w:id="4"/>
      <w:bookmarkEnd w:id="4"/>
      <w:r w:rsidDel="00000000" w:rsidR="00000000" w:rsidRPr="00000000">
        <w:rPr>
          <w:rtl w:val="0"/>
        </w:rPr>
        <w:t xml:space="preserve">Conclusion </w:t>
      </w:r>
    </w:p>
    <w:p w:rsidR="00000000" w:rsidDel="00000000" w:rsidP="00000000" w:rsidRDefault="00000000" w:rsidRPr="00000000" w14:paraId="00000036">
      <w:pPr>
        <w:contextualSpacing w:val="0"/>
        <w:rPr/>
      </w:pPr>
      <w:r w:rsidDel="00000000" w:rsidR="00000000" w:rsidRPr="00000000">
        <w:rPr>
          <w:rtl w:val="0"/>
        </w:rPr>
        <w:t xml:space="preserve">International finance management approaches are being designed for the business organizations that operate their business in the financial service industry that too even on a global scale to assess the resources available and associated risks of the business</w:t>
      </w:r>
      <w:r w:rsidDel="00000000" w:rsidR="00000000" w:rsidRPr="00000000">
        <w:rPr>
          <w:rFonts w:ascii="Arial" w:cs="Arial" w:eastAsia="Arial" w:hAnsi="Arial"/>
          <w:color w:val="006621"/>
          <w:sz w:val="20"/>
          <w:szCs w:val="20"/>
          <w:highlight w:val="white"/>
          <w:rtl w:val="0"/>
        </w:rPr>
        <w:t xml:space="preserve"> (</w:t>
      </w:r>
      <w:r w:rsidDel="00000000" w:rsidR="00000000" w:rsidRPr="00000000">
        <w:rPr>
          <w:rtl w:val="0"/>
        </w:rPr>
        <w:t xml:space="preserve">Madura, 2020). HSBC, an organization that operates its business worldwide in the financial service industry has been criticized for its dividend policies which were not designed to keep a balance between the organization’s profits. Analyzing the bank’s overall financial situation, it can also be said that the primary idea of the EMH theory that the information regarding the stocks will always be available once the stock is out in the market also not true in every case. The project appraisal methods of HSBC have their strengths and weaknesses which the bank needs to address to sustain and keep the trust of the customers over the bank in this turbulent market situation. </w:t>
      </w:r>
    </w:p>
    <w:p w:rsidR="00000000" w:rsidDel="00000000" w:rsidP="00000000" w:rsidRDefault="00000000" w:rsidRPr="00000000" w14:paraId="00000037">
      <w:pPr>
        <w:contextualSpacing w:val="0"/>
        <w:rPr>
          <w:b w:val="1"/>
        </w:rPr>
      </w:pPr>
      <w:r w:rsidDel="00000000" w:rsidR="00000000" w:rsidRPr="00000000">
        <w:rPr>
          <w:rtl w:val="0"/>
        </w:rPr>
      </w:r>
    </w:p>
    <w:p w:rsidR="00000000" w:rsidDel="00000000" w:rsidP="00000000" w:rsidRDefault="00000000" w:rsidRPr="00000000" w14:paraId="00000038">
      <w:pPr>
        <w:contextualSpacing w:val="0"/>
        <w:rPr>
          <w:b w:val="1"/>
        </w:rPr>
      </w:pPr>
      <w:r w:rsidDel="00000000" w:rsidR="00000000" w:rsidRPr="00000000">
        <w:rPr>
          <w:rtl w:val="0"/>
        </w:rPr>
      </w:r>
    </w:p>
    <w:p w:rsidR="00000000" w:rsidDel="00000000" w:rsidP="00000000" w:rsidRDefault="00000000" w:rsidRPr="00000000" w14:paraId="00000039">
      <w:pPr>
        <w:contextualSpacing w:val="0"/>
        <w:rPr>
          <w:b w:val="1"/>
        </w:rPr>
      </w:pPr>
      <w:r w:rsidDel="00000000" w:rsidR="00000000" w:rsidRPr="00000000">
        <w:rPr>
          <w:rtl w:val="0"/>
        </w:rPr>
      </w:r>
    </w:p>
    <w:p w:rsidR="00000000" w:rsidDel="00000000" w:rsidP="00000000" w:rsidRDefault="00000000" w:rsidRPr="00000000" w14:paraId="0000003A">
      <w:pPr>
        <w:contextualSpacing w:val="0"/>
        <w:rPr>
          <w:b w:val="1"/>
        </w:rPr>
      </w:pPr>
      <w:r w:rsidDel="00000000" w:rsidR="00000000" w:rsidRPr="00000000">
        <w:rPr>
          <w:rtl w:val="0"/>
        </w:rPr>
      </w:r>
    </w:p>
    <w:p w:rsidR="00000000" w:rsidDel="00000000" w:rsidP="00000000" w:rsidRDefault="00000000" w:rsidRPr="00000000" w14:paraId="0000003B">
      <w:pPr>
        <w:contextualSpacing w:val="0"/>
        <w:rPr>
          <w:b w:val="1"/>
        </w:rPr>
      </w:pPr>
      <w:r w:rsidDel="00000000" w:rsidR="00000000" w:rsidRPr="00000000">
        <w:rPr>
          <w:rtl w:val="0"/>
        </w:rPr>
      </w:r>
    </w:p>
    <w:p w:rsidR="00000000" w:rsidDel="00000000" w:rsidP="00000000" w:rsidRDefault="00000000" w:rsidRPr="00000000" w14:paraId="0000003C">
      <w:pPr>
        <w:pStyle w:val="Heading1"/>
        <w:contextualSpacing w:val="0"/>
        <w:rPr/>
      </w:pPr>
      <w:bookmarkStart w:colFirst="0" w:colLast="0" w:name="_tyjcwt" w:id="5"/>
      <w:bookmarkEnd w:id="5"/>
      <w:r w:rsidDel="00000000" w:rsidR="00000000" w:rsidRPr="00000000">
        <w:rPr>
          <w:rtl w:val="0"/>
        </w:rPr>
        <w:t xml:space="preserve">Reference</w:t>
      </w:r>
    </w:p>
    <w:p w:rsidR="00000000" w:rsidDel="00000000" w:rsidP="00000000" w:rsidRDefault="00000000" w:rsidRPr="00000000" w14:paraId="0000003D">
      <w:pPr>
        <w:contextualSpacing w:val="0"/>
        <w:rPr/>
      </w:pPr>
      <w:r w:rsidDel="00000000" w:rsidR="00000000" w:rsidRPr="00000000">
        <w:rPr>
          <w:rtl w:val="0"/>
        </w:rPr>
        <w:t xml:space="preserve">Fakhry, B. (2016). A literature review of the efficient market hypothesis. </w:t>
      </w:r>
      <w:r w:rsidDel="00000000" w:rsidR="00000000" w:rsidRPr="00000000">
        <w:rPr>
          <w:i w:val="1"/>
          <w:rtl w:val="0"/>
        </w:rPr>
        <w:t xml:space="preserve">Turkish Economic Review</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(3), 431-442.</w:t>
      </w:r>
    </w:p>
    <w:p w:rsidR="00000000" w:rsidDel="00000000" w:rsidP="00000000" w:rsidRDefault="00000000" w:rsidRPr="00000000" w14:paraId="0000003E">
      <w:pPr>
        <w:contextualSpacing w:val="0"/>
        <w:rPr/>
      </w:pPr>
      <w:r w:rsidDel="00000000" w:rsidR="00000000" w:rsidRPr="00000000">
        <w:rPr>
          <w:rtl w:val="0"/>
        </w:rPr>
        <w:t xml:space="preserve">Levi, M. D. (2015). </w:t>
      </w:r>
      <w:r w:rsidDel="00000000" w:rsidR="00000000" w:rsidRPr="00000000">
        <w:rPr>
          <w:i w:val="1"/>
          <w:rtl w:val="0"/>
        </w:rPr>
        <w:t xml:space="preserve">International finance</w:t>
      </w:r>
      <w:r w:rsidDel="00000000" w:rsidR="00000000" w:rsidRPr="00000000">
        <w:rPr>
          <w:rtl w:val="0"/>
        </w:rPr>
        <w:t xml:space="preserve">. Psychology Press.</w:t>
      </w:r>
    </w:p>
    <w:p w:rsidR="00000000" w:rsidDel="00000000" w:rsidP="00000000" w:rsidRDefault="00000000" w:rsidRPr="00000000" w14:paraId="0000003F">
      <w:pPr>
        <w:contextualSpacing w:val="0"/>
        <w:rPr/>
      </w:pPr>
      <w:r w:rsidDel="00000000" w:rsidR="00000000" w:rsidRPr="00000000">
        <w:rPr>
          <w:rtl w:val="0"/>
        </w:rPr>
        <w:t xml:space="preserve">Madura, J. (2020). </w:t>
      </w:r>
      <w:r w:rsidDel="00000000" w:rsidR="00000000" w:rsidRPr="00000000">
        <w:rPr>
          <w:i w:val="1"/>
          <w:rtl w:val="0"/>
        </w:rPr>
        <w:t xml:space="preserve">International financial management</w:t>
      </w:r>
      <w:r w:rsidDel="00000000" w:rsidR="00000000" w:rsidRPr="00000000">
        <w:rPr>
          <w:rtl w:val="0"/>
        </w:rPr>
        <w:t xml:space="preserve">. Cengage Learning.</w:t>
      </w:r>
    </w:p>
    <w:p w:rsidR="00000000" w:rsidDel="00000000" w:rsidP="00000000" w:rsidRDefault="00000000" w:rsidRPr="00000000" w14:paraId="00000040">
      <w:pPr>
        <w:contextualSpacing w:val="0"/>
        <w:rPr/>
      </w:pPr>
      <w:r w:rsidDel="00000000" w:rsidR="00000000" w:rsidRPr="00000000">
        <w:rPr>
          <w:rtl w:val="0"/>
        </w:rPr>
        <w:t xml:space="preserve">Msiwa, T. G. Z. (2017). HSBC Audited financial statements to 30 June 2016.</w:t>
      </w:r>
    </w:p>
    <w:p w:rsidR="00000000" w:rsidDel="00000000" w:rsidP="00000000" w:rsidRDefault="00000000" w:rsidRPr="00000000" w14:paraId="00000041">
      <w:pPr>
        <w:contextualSpacing w:val="0"/>
        <w:rPr/>
      </w:pPr>
      <w:r w:rsidDel="00000000" w:rsidR="00000000" w:rsidRPr="00000000">
        <w:rPr>
          <w:rtl w:val="0"/>
        </w:rPr>
        <w:t xml:space="preserve">Naheem, M. A. (2019). Illicit financial flows: HSBC case study. </w:t>
      </w:r>
      <w:r w:rsidDel="00000000" w:rsidR="00000000" w:rsidRPr="00000000">
        <w:rPr>
          <w:i w:val="1"/>
          <w:rtl w:val="0"/>
        </w:rPr>
        <w:t xml:space="preserve">Journal of Money Laundering Control</w:t>
      </w:r>
      <w:r w:rsidDel="00000000" w:rsidR="00000000" w:rsidRPr="00000000">
        <w:rPr>
          <w:rtl w:val="0"/>
        </w:rPr>
        <w:t xml:space="preserve">, </w:t>
      </w:r>
      <w:r w:rsidDel="00000000" w:rsidR="00000000" w:rsidRPr="00000000">
        <w:rPr>
          <w:i w:val="1"/>
          <w:rtl w:val="0"/>
        </w:rPr>
        <w:t xml:space="preserve">21</w:t>
      </w:r>
      <w:r w:rsidDel="00000000" w:rsidR="00000000" w:rsidRPr="00000000">
        <w:rPr>
          <w:rtl w:val="0"/>
        </w:rPr>
        <w:t xml:space="preserve">(2), 231-246.</w:t>
      </w:r>
    </w:p>
    <w:p w:rsidR="00000000" w:rsidDel="00000000" w:rsidP="00000000" w:rsidRDefault="00000000" w:rsidRPr="00000000" w14:paraId="00000042">
      <w:pPr>
        <w:contextualSpacing w:val="0"/>
        <w:rPr/>
      </w:pPr>
      <w:r w:rsidDel="00000000" w:rsidR="00000000" w:rsidRPr="00000000">
        <w:rPr>
          <w:rtl w:val="0"/>
        </w:rPr>
        <w:t xml:space="preserve">Nayak, B. S., and Lai, H. (2021). Strategies and Transformations in Chinese Banking Industry: A Study of the HSBC Bank (China) Ltd. from 2010 to 2019. </w:t>
      </w:r>
      <w:r w:rsidDel="00000000" w:rsidR="00000000" w:rsidRPr="00000000">
        <w:rPr>
          <w:i w:val="1"/>
          <w:rtl w:val="0"/>
        </w:rPr>
        <w:t xml:space="preserve">China: The Bankable State</w:t>
      </w:r>
      <w:r w:rsidDel="00000000" w:rsidR="00000000" w:rsidRPr="00000000">
        <w:rPr>
          <w:rtl w:val="0"/>
        </w:rPr>
        <w:t xml:space="preserve">, 37-71.</w:t>
      </w:r>
    </w:p>
    <w:p w:rsidR="00000000" w:rsidDel="00000000" w:rsidP="00000000" w:rsidRDefault="00000000" w:rsidRPr="00000000" w14:paraId="00000043">
      <w:pPr>
        <w:contextualSpacing w:val="0"/>
        <w:rPr/>
      </w:pPr>
      <w:r w:rsidDel="00000000" w:rsidR="00000000" w:rsidRPr="00000000">
        <w:rPr>
          <w:rtl w:val="0"/>
        </w:rPr>
        <w:t xml:space="preserve">Prather-Kinsey, J., De Luca, F., and Phan, H. T. P. (2022). Improving the global comparability of IFRS-based financial reporting through global enforcement: a proposed organizational dynamic. </w:t>
      </w:r>
      <w:r w:rsidDel="00000000" w:rsidR="00000000" w:rsidRPr="00000000">
        <w:rPr>
          <w:i w:val="1"/>
          <w:rtl w:val="0"/>
        </w:rPr>
        <w:t xml:space="preserve">International Journal of Disclosure and Governance</w:t>
      </w:r>
      <w:r w:rsidDel="00000000" w:rsidR="00000000" w:rsidRPr="00000000">
        <w:rPr>
          <w:rtl w:val="0"/>
        </w:rPr>
        <w:t xml:space="preserve">, </w:t>
      </w:r>
      <w:r w:rsidDel="00000000" w:rsidR="00000000" w:rsidRPr="00000000">
        <w:rPr>
          <w:i w:val="1"/>
          <w:rtl w:val="0"/>
        </w:rPr>
        <w:t xml:space="preserve">19</w:t>
      </w:r>
      <w:r w:rsidDel="00000000" w:rsidR="00000000" w:rsidRPr="00000000">
        <w:rPr>
          <w:rtl w:val="0"/>
        </w:rPr>
        <w:t xml:space="preserve">(3), 330-351.</w:t>
      </w:r>
    </w:p>
    <w:p w:rsidR="00000000" w:rsidDel="00000000" w:rsidP="00000000" w:rsidRDefault="00000000" w:rsidRPr="00000000" w14:paraId="00000044">
      <w:pPr>
        <w:contextualSpacing w:val="0"/>
        <w:rPr/>
      </w:pPr>
      <w:r w:rsidDel="00000000" w:rsidR="00000000" w:rsidRPr="00000000">
        <w:rPr>
          <w:rtl w:val="0"/>
        </w:rPr>
        <w:t xml:space="preserve">Poshakwale, S., Aghanya, D., and Agarwal, V. (2020). The impact of regulations on compliance costs, risk-taking, and reporting quality of the EU banks. </w:t>
      </w:r>
      <w:r w:rsidDel="00000000" w:rsidR="00000000" w:rsidRPr="00000000">
        <w:rPr>
          <w:i w:val="1"/>
          <w:rtl w:val="0"/>
        </w:rPr>
        <w:t xml:space="preserve">International Review of Financial Analysis</w:t>
      </w:r>
      <w:r w:rsidDel="00000000" w:rsidR="00000000" w:rsidRPr="00000000">
        <w:rPr>
          <w:rtl w:val="0"/>
        </w:rPr>
        <w:t xml:space="preserve">, </w:t>
      </w:r>
      <w:r w:rsidDel="00000000" w:rsidR="00000000" w:rsidRPr="00000000">
        <w:rPr>
          <w:i w:val="1"/>
          <w:rtl w:val="0"/>
        </w:rPr>
        <w:t xml:space="preserve">68</w:t>
      </w:r>
      <w:r w:rsidDel="00000000" w:rsidR="00000000" w:rsidRPr="00000000">
        <w:rPr>
          <w:rtl w:val="0"/>
        </w:rPr>
        <w:t xml:space="preserve">, 101431.</w:t>
      </w:r>
    </w:p>
    <w:p w:rsidR="00000000" w:rsidDel="00000000" w:rsidP="00000000" w:rsidRDefault="00000000" w:rsidRPr="00000000" w14:paraId="00000045">
      <w:pPr>
        <w:contextualSpacing w:val="0"/>
        <w:rPr/>
      </w:pPr>
      <w:r w:rsidDel="00000000" w:rsidR="00000000" w:rsidRPr="00000000">
        <w:rPr>
          <w:rtl w:val="0"/>
        </w:rPr>
        <w:t xml:space="preserve">Sivaprasad, S., and Mathew, S. (2021). Corporate governance practices and the pandemic crisis: UK evidence. </w:t>
      </w:r>
      <w:r w:rsidDel="00000000" w:rsidR="00000000" w:rsidRPr="00000000">
        <w:rPr>
          <w:i w:val="1"/>
          <w:rtl w:val="0"/>
        </w:rPr>
        <w:t xml:space="preserve">Corporate Governance: The international journal of business in society</w:t>
      </w:r>
      <w:r w:rsidDel="00000000" w:rsidR="00000000" w:rsidRPr="00000000">
        <w:rPr>
          <w:rtl w:val="0"/>
        </w:rPr>
        <w:t xml:space="preserve">.</w:t>
      </w:r>
    </w:p>
    <w:p w:rsidR="00000000" w:rsidDel="00000000" w:rsidP="00000000" w:rsidRDefault="00000000" w:rsidRPr="00000000" w14:paraId="00000046">
      <w:pPr>
        <w:contextualSpacing w:val="0"/>
        <w:rPr/>
      </w:pPr>
      <w:r w:rsidDel="00000000" w:rsidR="00000000" w:rsidRPr="00000000">
        <w:rPr>
          <w:rtl w:val="0"/>
        </w:rPr>
        <w:t xml:space="preserve">Quantrill, A. (2018). The value of enclosure and the business of banking. </w:t>
      </w:r>
      <w:r w:rsidDel="00000000" w:rsidR="00000000" w:rsidRPr="00000000">
        <w:rPr>
          <w:i w:val="1"/>
          <w:rtl w:val="0"/>
        </w:rPr>
        <w:t xml:space="preserve">Grey Room</w:t>
      </w:r>
      <w:r w:rsidDel="00000000" w:rsidR="00000000" w:rsidRPr="00000000">
        <w:rPr>
          <w:rtl w:val="0"/>
        </w:rPr>
        <w:t xml:space="preserve">, (71), 116-137.</w:t>
      </w:r>
    </w:p>
    <w:sectPr>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644DE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BB5B72"/>
    <w:pPr>
      <w:keepNext w:val="1"/>
      <w:keepLines w:val="1"/>
      <w:spacing w:after="0" w:before="240"/>
      <w:outlineLvl w:val="0"/>
    </w:pPr>
    <w:rPr>
      <w:rFonts w:asciiTheme="majorHAnsi" w:cstheme="majorBidi" w:eastAsiaTheme="majorEastAsia" w:hAnsiTheme="majorHAnsi"/>
      <w:color w:val="2e74b5" w:themeColor="accent1" w:themeShade="0000BF"/>
      <w:sz w:val="32"/>
      <w:szCs w:val="4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00F23F46"/>
    <w:rPr>
      <w:color w:val="0563c1" w:themeColor="hyperlink"/>
      <w:u w:val="single"/>
    </w:rPr>
  </w:style>
  <w:style w:type="character" w:styleId="Heading1Char" w:customStyle="1">
    <w:name w:val="Heading 1 Char"/>
    <w:basedOn w:val="DefaultParagraphFont"/>
    <w:link w:val="Heading1"/>
    <w:uiPriority w:val="9"/>
    <w:rsid w:val="00BB5B72"/>
    <w:rPr>
      <w:rFonts w:asciiTheme="majorHAnsi" w:cstheme="majorBidi" w:eastAsiaTheme="majorEastAsia" w:hAnsiTheme="majorHAnsi"/>
      <w:color w:val="2e74b5" w:themeColor="accent1" w:themeShade="0000BF"/>
      <w:sz w:val="32"/>
      <w:szCs w:val="40"/>
    </w:rPr>
  </w:style>
  <w:style w:type="paragraph" w:styleId="TOCHeading">
    <w:name w:val="TOC Heading"/>
    <w:basedOn w:val="Heading1"/>
    <w:next w:val="Normal"/>
    <w:uiPriority w:val="39"/>
    <w:unhideWhenUsed w:val="1"/>
    <w:qFormat w:val="1"/>
    <w:rsid w:val="00BB5B72"/>
    <w:pPr>
      <w:spacing w:before="480" w:line="276" w:lineRule="auto"/>
      <w:jc w:val="left"/>
      <w:outlineLvl w:val="9"/>
    </w:pPr>
    <w:rPr>
      <w:b w:val="1"/>
      <w:bCs w:val="1"/>
      <w:sz w:val="28"/>
      <w:szCs w:val="28"/>
      <w:lang w:bidi="ar-SA"/>
    </w:rPr>
  </w:style>
  <w:style w:type="paragraph" w:styleId="TOC1">
    <w:name w:val="toc 1"/>
    <w:basedOn w:val="Normal"/>
    <w:next w:val="Normal"/>
    <w:autoRedefine w:val="1"/>
    <w:uiPriority w:val="39"/>
    <w:unhideWhenUsed w:val="1"/>
    <w:rsid w:val="00BB5B72"/>
    <w:pPr>
      <w:spacing w:after="0" w:before="120"/>
      <w:jc w:val="left"/>
    </w:pPr>
    <w:rPr>
      <w:rFonts w:cs="Vrinda" w:asciiTheme="minorHAnsi" w:hAnsiTheme="minorHAnsi"/>
      <w:b w:val="1"/>
      <w:bCs w:val="1"/>
      <w:i w:val="1"/>
      <w:iCs w:val="1"/>
      <w:szCs w:val="24"/>
    </w:rPr>
  </w:style>
  <w:style w:type="paragraph" w:styleId="TOC2">
    <w:name w:val="toc 2"/>
    <w:basedOn w:val="Normal"/>
    <w:next w:val="Normal"/>
    <w:autoRedefine w:val="1"/>
    <w:uiPriority w:val="39"/>
    <w:semiHidden w:val="1"/>
    <w:unhideWhenUsed w:val="1"/>
    <w:rsid w:val="00BB5B72"/>
    <w:pPr>
      <w:spacing w:after="0" w:before="120"/>
      <w:ind w:left="240"/>
      <w:jc w:val="left"/>
    </w:pPr>
    <w:rPr>
      <w:rFonts w:cs="Vrinda" w:asciiTheme="minorHAnsi" w:hAnsiTheme="minorHAnsi"/>
      <w:b w:val="1"/>
      <w:bCs w:val="1"/>
      <w:sz w:val="22"/>
      <w:szCs w:val="22"/>
    </w:rPr>
  </w:style>
  <w:style w:type="paragraph" w:styleId="TOC3">
    <w:name w:val="toc 3"/>
    <w:basedOn w:val="Normal"/>
    <w:next w:val="Normal"/>
    <w:autoRedefine w:val="1"/>
    <w:uiPriority w:val="39"/>
    <w:semiHidden w:val="1"/>
    <w:unhideWhenUsed w:val="1"/>
    <w:rsid w:val="00BB5B72"/>
    <w:pPr>
      <w:spacing w:after="0"/>
      <w:ind w:left="480"/>
      <w:jc w:val="left"/>
    </w:pPr>
    <w:rPr>
      <w:rFonts w:cs="Vrinda" w:asciiTheme="minorHAnsi" w:hAnsiTheme="minorHAnsi"/>
      <w:sz w:val="20"/>
      <w:szCs w:val="20"/>
    </w:rPr>
  </w:style>
  <w:style w:type="paragraph" w:styleId="TOC4">
    <w:name w:val="toc 4"/>
    <w:basedOn w:val="Normal"/>
    <w:next w:val="Normal"/>
    <w:autoRedefine w:val="1"/>
    <w:uiPriority w:val="39"/>
    <w:semiHidden w:val="1"/>
    <w:unhideWhenUsed w:val="1"/>
    <w:rsid w:val="00BB5B72"/>
    <w:pPr>
      <w:spacing w:after="0"/>
      <w:ind w:left="720"/>
      <w:jc w:val="left"/>
    </w:pPr>
    <w:rPr>
      <w:rFonts w:cs="Vrinda" w:asciiTheme="minorHAnsi" w:hAnsiTheme="minorHAnsi"/>
      <w:sz w:val="20"/>
      <w:szCs w:val="20"/>
    </w:rPr>
  </w:style>
  <w:style w:type="paragraph" w:styleId="TOC5">
    <w:name w:val="toc 5"/>
    <w:basedOn w:val="Normal"/>
    <w:next w:val="Normal"/>
    <w:autoRedefine w:val="1"/>
    <w:uiPriority w:val="39"/>
    <w:semiHidden w:val="1"/>
    <w:unhideWhenUsed w:val="1"/>
    <w:rsid w:val="00BB5B72"/>
    <w:pPr>
      <w:spacing w:after="0"/>
      <w:ind w:left="960"/>
      <w:jc w:val="left"/>
    </w:pPr>
    <w:rPr>
      <w:rFonts w:cs="Vrinda" w:asciiTheme="minorHAnsi" w:hAnsiTheme="minorHAnsi"/>
      <w:sz w:val="20"/>
      <w:szCs w:val="20"/>
    </w:rPr>
  </w:style>
  <w:style w:type="paragraph" w:styleId="TOC6">
    <w:name w:val="toc 6"/>
    <w:basedOn w:val="Normal"/>
    <w:next w:val="Normal"/>
    <w:autoRedefine w:val="1"/>
    <w:uiPriority w:val="39"/>
    <w:semiHidden w:val="1"/>
    <w:unhideWhenUsed w:val="1"/>
    <w:rsid w:val="00BB5B72"/>
    <w:pPr>
      <w:spacing w:after="0"/>
      <w:ind w:left="1200"/>
      <w:jc w:val="left"/>
    </w:pPr>
    <w:rPr>
      <w:rFonts w:cs="Vrinda" w:asciiTheme="minorHAnsi" w:hAnsiTheme="minorHAnsi"/>
      <w:sz w:val="20"/>
      <w:szCs w:val="20"/>
    </w:rPr>
  </w:style>
  <w:style w:type="paragraph" w:styleId="TOC7">
    <w:name w:val="toc 7"/>
    <w:basedOn w:val="Normal"/>
    <w:next w:val="Normal"/>
    <w:autoRedefine w:val="1"/>
    <w:uiPriority w:val="39"/>
    <w:semiHidden w:val="1"/>
    <w:unhideWhenUsed w:val="1"/>
    <w:rsid w:val="00BB5B72"/>
    <w:pPr>
      <w:spacing w:after="0"/>
      <w:ind w:left="1440"/>
      <w:jc w:val="left"/>
    </w:pPr>
    <w:rPr>
      <w:rFonts w:cs="Vrinda" w:asciiTheme="minorHAnsi" w:hAnsiTheme="minorHAnsi"/>
      <w:sz w:val="20"/>
      <w:szCs w:val="20"/>
    </w:rPr>
  </w:style>
  <w:style w:type="paragraph" w:styleId="TOC8">
    <w:name w:val="toc 8"/>
    <w:basedOn w:val="Normal"/>
    <w:next w:val="Normal"/>
    <w:autoRedefine w:val="1"/>
    <w:uiPriority w:val="39"/>
    <w:semiHidden w:val="1"/>
    <w:unhideWhenUsed w:val="1"/>
    <w:rsid w:val="00BB5B72"/>
    <w:pPr>
      <w:spacing w:after="0"/>
      <w:ind w:left="1680"/>
      <w:jc w:val="left"/>
    </w:pPr>
    <w:rPr>
      <w:rFonts w:cs="Vrinda" w:asciiTheme="minorHAnsi" w:hAnsiTheme="minorHAnsi"/>
      <w:sz w:val="20"/>
      <w:szCs w:val="20"/>
    </w:rPr>
  </w:style>
  <w:style w:type="paragraph" w:styleId="TOC9">
    <w:name w:val="toc 9"/>
    <w:basedOn w:val="Normal"/>
    <w:next w:val="Normal"/>
    <w:autoRedefine w:val="1"/>
    <w:uiPriority w:val="39"/>
    <w:semiHidden w:val="1"/>
    <w:unhideWhenUsed w:val="1"/>
    <w:rsid w:val="00BB5B72"/>
    <w:pPr>
      <w:spacing w:after="0"/>
      <w:ind w:left="1920"/>
      <w:jc w:val="left"/>
    </w:pPr>
    <w:rPr>
      <w:rFonts w:cs="Vrinda" w:asciiTheme="minorHAnsi" w:hAnsiTheme="minorHAnsi"/>
      <w:sz w:val="20"/>
      <w:szCs w:val="20"/>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