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286735"/>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5D17EE2" w:rsidR="7908378C" w:rsidRDefault="7908378C" w:rsidP="33572C6E">
            <w:pPr>
              <w:ind w:right="237"/>
              <w:rPr>
                <w:b/>
                <w:bCs/>
                <w:color w:val="auto"/>
                <w:sz w:val="32"/>
                <w:szCs w:val="32"/>
              </w:rPr>
            </w:pPr>
            <w:r w:rsidRPr="33572C6E">
              <w:rPr>
                <w:b/>
                <w:bCs/>
                <w:color w:val="auto"/>
                <w:sz w:val="32"/>
                <w:szCs w:val="32"/>
              </w:rPr>
              <w:t xml:space="preserve">Learner name: </w:t>
            </w:r>
            <w:r w:rsidR="00962199">
              <w:rPr>
                <w:b/>
                <w:bCs/>
                <w:color w:val="auto"/>
                <w:sz w:val="32"/>
                <w:szCs w:val="32"/>
              </w:rPr>
              <w:t>KATE ELISABETH JONES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40CB0D74" w:rsidR="33572C6E" w:rsidRDefault="00962199" w:rsidP="33572C6E">
            <w:pPr>
              <w:ind w:right="237"/>
              <w:rPr>
                <w:b/>
                <w:bCs/>
                <w:color w:val="auto"/>
                <w:sz w:val="32"/>
                <w:szCs w:val="32"/>
              </w:rPr>
            </w:pPr>
            <w:r>
              <w:rPr>
                <w:b/>
                <w:bCs/>
                <w:color w:val="auto"/>
                <w:sz w:val="32"/>
                <w:szCs w:val="32"/>
              </w:rPr>
              <w:t>2134312</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901A6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37B362FB" w14:textId="77777777" w:rsidR="002A59E7" w:rsidRDefault="002A59E7" w:rsidP="002A59E7">
      <w:pPr>
        <w:ind w:right="237"/>
        <w:jc w:val="both"/>
        <w:rPr>
          <w:rFonts w:eastAsia="Arial"/>
          <w:color w:val="000000" w:themeColor="text1"/>
          <w:sz w:val="24"/>
          <w:szCs w:val="24"/>
        </w:rPr>
      </w:pPr>
      <w:r w:rsidRPr="002A59E7">
        <w:rPr>
          <w:rFonts w:eastAsia="Arial"/>
          <w:color w:val="000000" w:themeColor="text1"/>
          <w:sz w:val="24"/>
          <w:szCs w:val="24"/>
        </w:rPr>
        <w:t xml:space="preserve">Policing in the 20th century has developed in relation to what calls officers attend and the complexity of the incidents that we deal with. Therefore, it is paramount that there are different approaches to each incident and each one is treated as its own. In this essay I will set out to use a tool known as Borton Model of Reflection which is a reflective tool that will help to structure this essay (Rolfe et al., 2014). The first section is the ‘what?’ which will involve me describing an incident that I attended where I played a significant role with a victim which will include any legislative, cultural, ethnicity and language issues that were apparent. The second section which is the ‘so what?’ will look at evaluating the approaches used to support the victim. The third section is the ‘now what?’ which will look to explore how evidence-based policing has and can help with repeat victimisation in relation to the victim of my incident. </w:t>
      </w:r>
    </w:p>
    <w:p w14:paraId="62442307" w14:textId="77777777" w:rsidR="002A59E7" w:rsidRPr="002A59E7" w:rsidRDefault="002A59E7" w:rsidP="002A59E7">
      <w:pPr>
        <w:ind w:right="237"/>
        <w:jc w:val="both"/>
        <w:rPr>
          <w:rFonts w:eastAsia="Arial"/>
          <w:color w:val="000000" w:themeColor="text1"/>
          <w:sz w:val="24"/>
          <w:szCs w:val="24"/>
        </w:rPr>
      </w:pPr>
    </w:p>
    <w:p w14:paraId="77E8F79E" w14:textId="77777777" w:rsidR="002A59E7" w:rsidRPr="002A59E7" w:rsidRDefault="002A59E7" w:rsidP="002A59E7">
      <w:pPr>
        <w:ind w:right="237"/>
        <w:jc w:val="both"/>
        <w:rPr>
          <w:rFonts w:eastAsia="Arial"/>
          <w:color w:val="000000" w:themeColor="text1"/>
          <w:sz w:val="24"/>
          <w:szCs w:val="24"/>
        </w:rPr>
      </w:pPr>
      <w:r w:rsidRPr="002A59E7">
        <w:rPr>
          <w:rFonts w:eastAsia="Arial"/>
          <w:color w:val="000000" w:themeColor="text1"/>
          <w:sz w:val="24"/>
          <w:szCs w:val="24"/>
        </w:rPr>
        <w:t>‘What’?</w:t>
      </w:r>
    </w:p>
    <w:p w14:paraId="3F7070B2" w14:textId="77777777" w:rsidR="002A59E7" w:rsidRDefault="002A59E7" w:rsidP="002A59E7">
      <w:pPr>
        <w:ind w:right="237"/>
        <w:jc w:val="both"/>
        <w:rPr>
          <w:rFonts w:eastAsia="Arial"/>
          <w:color w:val="000000" w:themeColor="text1"/>
          <w:sz w:val="24"/>
          <w:szCs w:val="24"/>
        </w:rPr>
      </w:pPr>
      <w:r w:rsidRPr="002A59E7">
        <w:rPr>
          <w:rFonts w:eastAsia="Arial"/>
          <w:color w:val="000000" w:themeColor="text1"/>
          <w:sz w:val="24"/>
          <w:szCs w:val="24"/>
        </w:rPr>
        <w:t xml:space="preserve">The circumstances of the incident in this essay and one that I played a significant role with the victim is that the victim and the suspect live in shared accommodation and their rooms are next to each other. The suspect has been harassing the victim for months by knocking on her wall, looking through her window and knocking her door which has caused the victim to feel like she must leave her phone on record to capture anything that the suspect does. More recently the suspect has been heard committing a hate related public order offence in the communal area by using a term that is offensive in relation to the victim being transgender. There were no relevant cultural, ethnicity or language issues to note that were apparent in this incident. This incident has a very pertinent social context as the hate crime aspect is like no other. </w:t>
      </w:r>
      <w:r w:rsidRPr="002A59E7">
        <w:rPr>
          <w:rFonts w:eastAsia="Arial"/>
          <w:color w:val="000000" w:themeColor="text1"/>
          <w:sz w:val="24"/>
          <w:szCs w:val="24"/>
        </w:rPr>
        <w:lastRenderedPageBreak/>
        <w:t xml:space="preserve">By saying these hurtful words towards an individual in this context, it is not just showing hostility towards the victim but as a result shows hostility to a group identity (Perry, 2014). Therefore, has rightly created a social culture that despises this sort of behaviour. In relation to legislative context, a hate crime is based off race, religion, disability, sexual orientation and transgender identity and ANY crime can be treated as a hate crime if the individual commits the crime and demonstrates hostility or is motivated by hostility towards those 5 aspects. In this case it is public order motivated by hate crime. Legislation for hate crime is vast and must only be perceived by the victim as a hate crime (CPS. 2019). </w:t>
      </w:r>
    </w:p>
    <w:p w14:paraId="157C7DEB" w14:textId="77777777" w:rsidR="002A59E7" w:rsidRPr="002A59E7" w:rsidRDefault="002A59E7" w:rsidP="002A59E7">
      <w:pPr>
        <w:ind w:right="237"/>
        <w:jc w:val="both"/>
        <w:rPr>
          <w:rFonts w:eastAsia="Arial"/>
          <w:color w:val="000000" w:themeColor="text1"/>
          <w:sz w:val="24"/>
          <w:szCs w:val="24"/>
        </w:rPr>
      </w:pPr>
    </w:p>
    <w:p w14:paraId="57A01FB9" w14:textId="77777777" w:rsidR="002A59E7" w:rsidRPr="002A59E7" w:rsidRDefault="002A59E7" w:rsidP="002A59E7">
      <w:pPr>
        <w:ind w:right="237"/>
        <w:jc w:val="both"/>
        <w:rPr>
          <w:rFonts w:eastAsia="Arial"/>
          <w:color w:val="000000" w:themeColor="text1"/>
          <w:sz w:val="24"/>
          <w:szCs w:val="24"/>
        </w:rPr>
      </w:pPr>
      <w:r w:rsidRPr="002A59E7">
        <w:rPr>
          <w:rFonts w:eastAsia="Arial"/>
          <w:color w:val="000000" w:themeColor="text1"/>
          <w:sz w:val="24"/>
          <w:szCs w:val="24"/>
        </w:rPr>
        <w:t>‘</w:t>
      </w:r>
      <w:proofErr w:type="gramStart"/>
      <w:r w:rsidRPr="002A59E7">
        <w:rPr>
          <w:rFonts w:eastAsia="Arial"/>
          <w:color w:val="000000" w:themeColor="text1"/>
          <w:sz w:val="24"/>
          <w:szCs w:val="24"/>
        </w:rPr>
        <w:t>So</w:t>
      </w:r>
      <w:proofErr w:type="gramEnd"/>
      <w:r w:rsidRPr="002A59E7">
        <w:rPr>
          <w:rFonts w:eastAsia="Arial"/>
          <w:color w:val="000000" w:themeColor="text1"/>
          <w:sz w:val="24"/>
          <w:szCs w:val="24"/>
        </w:rPr>
        <w:t xml:space="preserve"> what’?</w:t>
      </w:r>
    </w:p>
    <w:p w14:paraId="34EDEBDA" w14:textId="0937C636" w:rsidR="002A59E7" w:rsidRDefault="002A59E7" w:rsidP="002A59E7">
      <w:pPr>
        <w:ind w:right="237"/>
        <w:jc w:val="both"/>
        <w:rPr>
          <w:rFonts w:eastAsia="Arial"/>
          <w:color w:val="000000" w:themeColor="text1"/>
          <w:sz w:val="24"/>
          <w:szCs w:val="24"/>
        </w:rPr>
      </w:pPr>
      <w:r w:rsidRPr="002A59E7">
        <w:rPr>
          <w:rFonts w:eastAsia="Arial"/>
          <w:color w:val="000000" w:themeColor="text1"/>
          <w:sz w:val="24"/>
          <w:szCs w:val="24"/>
        </w:rPr>
        <w:t xml:space="preserve">There are many approaches that can be taken by police and other professionals in relation to incidents of this nature. It is important to critically evaluate these approaches. The first approach I will be investigating is a multi-agency approach. Multi-agency approach has been described as “The coordinated response of the public sector agencies to address crime, social disorder and community safety.” (Sage Knowledge, 2024). In essence it means the police working with other agencies such as social services, housing, and healthcare to tackle a specific issue. In this incident although as police we looked at the criminal side and arrested the suspect it was not appropriate to solely do that. It has been found that re-offending rates have increased and in October 2021, 33.1% of individuals released from custody reoffended (GOV.uk, 2023). This would indicate that arresting alone is not sufficient. In this case this was one of many reports made by the victim, so it was evident that arresting alone was not enough. As a result, it was appropriate to use a multi-agency approach and more specifically work closely with housing due to them living next to each other in a shared accommodation supported by support workers. I worked closely with housing asking for them to rehouse the suspect due to bail conditions being difficult to put in place when they live next to each other and the fact that this type of incident keeps happening. This goal seemed achievable however I came across some issues. Firstly, the problem with multi-agency working and one that was significant in this is to me that objective was clear and realistic however when it came to housing it was not. They stated that they are in that specific location for a reason and their care is met there and is the most appropriate place for both. A study was done that found that when multi-agency working is used it is most effective when clear and realistic objectives were met by both agencies. A negative to this study is that it was focused on social services however it can be used in relation to all agencies (Sloper et at 2004). Therefore, what I thought was realistic was not realistic for housing and it as a result created a barrier in supporting a vulnerable victim. However, a positive that made the approach appropriate was the fact that using a multi-agency approach meant the victim got support in more ways than one. Part of the multi-agency approach by the police is using what is known as a ‘Public Protection Notice’ which is submitted on behalf of the victim outlining their needs and it gets past to different agencies. This was appropriate due to the victim having a wide range of needs including housing, mental health and financial and it meant that all the agencies that she needed help from contacted her and it was not just purely about arresting the male which was one of the many outcomes needed. However, a downside to a ‘PPN’ is that it involves the consent of the victim for it to be shared with agencies. Although in this case she consented, in many cases they do not so they would not get the support needed. The focus is on the victim consenting which can create a barrier in supporting them. However, I was </w:t>
      </w:r>
      <w:r w:rsidRPr="002A59E7">
        <w:rPr>
          <w:rFonts w:eastAsia="Arial"/>
          <w:color w:val="000000" w:themeColor="text1"/>
          <w:sz w:val="24"/>
          <w:szCs w:val="24"/>
        </w:rPr>
        <w:lastRenderedPageBreak/>
        <w:t>aware of the need for a multi-agency approach and its importance in relation to long-term solutions and ‘…initiating the process of, joint working</w:t>
      </w:r>
      <w:proofErr w:type="gramStart"/>
      <w:r w:rsidRPr="002A59E7">
        <w:rPr>
          <w:rFonts w:eastAsia="Arial"/>
          <w:color w:val="000000" w:themeColor="text1"/>
          <w:sz w:val="24"/>
          <w:szCs w:val="24"/>
        </w:rPr>
        <w:t>.”(</w:t>
      </w:r>
      <w:proofErr w:type="gramEnd"/>
      <w:r w:rsidRPr="002A59E7">
        <w:rPr>
          <w:rFonts w:eastAsia="Arial"/>
          <w:color w:val="000000" w:themeColor="text1"/>
          <w:sz w:val="24"/>
          <w:szCs w:val="24"/>
        </w:rPr>
        <w:t xml:space="preserve">VKPP, 2020 PP. 8) allowed me to create a discussion between agencies by using my professional judgement to support the victim. </w:t>
      </w:r>
    </w:p>
    <w:p w14:paraId="232D33F0" w14:textId="77777777" w:rsidR="002A59E7" w:rsidRPr="002A59E7" w:rsidRDefault="002A59E7" w:rsidP="002A59E7">
      <w:pPr>
        <w:ind w:right="237"/>
        <w:jc w:val="both"/>
        <w:rPr>
          <w:rFonts w:eastAsia="Arial"/>
          <w:color w:val="000000" w:themeColor="text1"/>
          <w:sz w:val="24"/>
          <w:szCs w:val="24"/>
        </w:rPr>
      </w:pPr>
    </w:p>
    <w:p w14:paraId="267DD666" w14:textId="77777777" w:rsidR="002A59E7" w:rsidRDefault="002A59E7" w:rsidP="002A59E7">
      <w:pPr>
        <w:ind w:right="237"/>
        <w:jc w:val="both"/>
        <w:rPr>
          <w:rFonts w:eastAsia="Arial"/>
          <w:color w:val="000000" w:themeColor="text1"/>
          <w:sz w:val="24"/>
          <w:szCs w:val="24"/>
        </w:rPr>
      </w:pPr>
      <w:r w:rsidRPr="002A59E7">
        <w:rPr>
          <w:rFonts w:eastAsia="Arial"/>
          <w:color w:val="000000" w:themeColor="text1"/>
          <w:sz w:val="24"/>
          <w:szCs w:val="24"/>
        </w:rPr>
        <w:t xml:space="preserve">The second approach I will be critically evaluating is the approach used by myself and other agencies which is focused on vulnerability and it being the basis of decisions made. Vulnerability is a term used in modern day policing that depicts the growing demand for police attending calls where the victim could/has been at risk of serious harm (College of Policing, 2024). Vulnerability focused as police and other agencies as a result has many positives and negatives. It is an appropriate approach because the police have developed ways to manage the vulnerability. The one main way is through what is known as the ‘enhanced service’. The enhanced service is where victims who are classed as vulnerable are entitled to extra support. For example, having more regular updates from the police and being referred to agencies like victim focus. What this is based off is Victims Code which states that “…police must take all reasonable steps to identify vulnerable or intimidates victims…” (College of Policing, no date pp.6). So, it is evident that there are processes in place to identify the vulnerability of an individual however I cannot help but think that my measurement of vulnerability will be different to one of my colleagues or someone from another agency. This changes its effectiveness as a result. An inspection was carried out on several police forces in relation to vulnerability and one of the findings was that many police officers defined vulnerability differently which led to inconsistencies. Furthermore, I was able to see the individual in this case as vulnerable however another officer might have seen it differently. Which is down to what each individual police officer may class as vulnerability is different to another and therefore has a detrimental effect on its appropriateness (Her Majesty’s Inspectorate of Constabulary, 2015). However, being focused on risk for the victim is appropriate as it enables the victim to have a service and support that is tailored to them and their needs even though it can be blurred sometimes as to what vulnerability is, “… achieving the right outcome for victims…” is at the heart of the approach and one that I found to be useful in ensuring that victims are supported (Her Majesty’s Inspectorate of Constabulary, 2015 pp.9). </w:t>
      </w:r>
    </w:p>
    <w:p w14:paraId="2C035C08" w14:textId="77777777" w:rsidR="00A100E5" w:rsidRPr="002A59E7" w:rsidRDefault="00A100E5" w:rsidP="002A59E7">
      <w:pPr>
        <w:ind w:right="237"/>
        <w:jc w:val="both"/>
        <w:rPr>
          <w:rFonts w:eastAsia="Arial"/>
          <w:color w:val="000000" w:themeColor="text1"/>
          <w:sz w:val="24"/>
          <w:szCs w:val="24"/>
        </w:rPr>
      </w:pPr>
    </w:p>
    <w:p w14:paraId="4496D67B" w14:textId="77777777" w:rsidR="002A59E7" w:rsidRDefault="002A59E7" w:rsidP="002A59E7">
      <w:pPr>
        <w:ind w:right="237"/>
        <w:jc w:val="both"/>
        <w:rPr>
          <w:rFonts w:eastAsia="Arial"/>
          <w:color w:val="000000" w:themeColor="text1"/>
          <w:sz w:val="24"/>
          <w:szCs w:val="24"/>
        </w:rPr>
      </w:pPr>
      <w:r w:rsidRPr="002A59E7">
        <w:rPr>
          <w:rFonts w:eastAsia="Arial"/>
          <w:color w:val="000000" w:themeColor="text1"/>
          <w:sz w:val="24"/>
          <w:szCs w:val="24"/>
        </w:rPr>
        <w:t>‘Now what’?</w:t>
      </w:r>
    </w:p>
    <w:p w14:paraId="69AEF4D6" w14:textId="1B43C3B7" w:rsidR="002A59E7" w:rsidRDefault="002A59E7" w:rsidP="002A59E7">
      <w:pPr>
        <w:ind w:right="237"/>
        <w:jc w:val="both"/>
        <w:rPr>
          <w:rFonts w:eastAsia="Arial"/>
          <w:color w:val="000000" w:themeColor="text1"/>
          <w:sz w:val="24"/>
          <w:szCs w:val="24"/>
        </w:rPr>
      </w:pPr>
      <w:r w:rsidRPr="002A59E7">
        <w:rPr>
          <w:rFonts w:eastAsia="Arial"/>
          <w:color w:val="000000" w:themeColor="text1"/>
          <w:sz w:val="24"/>
          <w:szCs w:val="24"/>
        </w:rPr>
        <w:t>In relation to what works regarding tackling repeat victimisation/repeat reoffending this has been known to be investigated through evidence-based policing. Firstly, evidence-based policing is using evidence to challenge and inform policing policies, practices, and decisions (College of Policing, no date). This as a result informs how victimisation and repeat offending is managed. A positive of evidence-based policing is that it improves efficiency within the police force which gives the police more time and specialism when dealing with a victim. There is evidence in what works so that is used so it saves time and therefore gives the victim a better ‘service. For example, there is evidence that ‘DASH</w:t>
      </w:r>
      <w:proofErr w:type="gramStart"/>
      <w:r w:rsidRPr="002A59E7">
        <w:rPr>
          <w:rFonts w:eastAsia="Arial"/>
          <w:color w:val="000000" w:themeColor="text1"/>
          <w:sz w:val="24"/>
          <w:szCs w:val="24"/>
        </w:rPr>
        <w:t>’</w:t>
      </w:r>
      <w:r w:rsidR="00A100E5">
        <w:rPr>
          <w:rFonts w:eastAsia="Arial"/>
          <w:color w:val="000000" w:themeColor="text1"/>
          <w:sz w:val="24"/>
          <w:szCs w:val="24"/>
        </w:rPr>
        <w:t>(</w:t>
      </w:r>
      <w:proofErr w:type="gramEnd"/>
      <w:r w:rsidR="00A100E5">
        <w:rPr>
          <w:rFonts w:eastAsia="Arial"/>
          <w:color w:val="000000" w:themeColor="text1"/>
          <w:sz w:val="24"/>
          <w:szCs w:val="24"/>
        </w:rPr>
        <w:t>domestic abuse, stalking and honour based violence assessmen</w:t>
      </w:r>
      <w:r w:rsidR="00481ECF">
        <w:rPr>
          <w:rFonts w:eastAsia="Arial"/>
          <w:color w:val="000000" w:themeColor="text1"/>
          <w:sz w:val="24"/>
          <w:szCs w:val="24"/>
        </w:rPr>
        <w:t>t)</w:t>
      </w:r>
      <w:r w:rsidRPr="002A59E7">
        <w:rPr>
          <w:rFonts w:eastAsia="Arial"/>
          <w:color w:val="000000" w:themeColor="text1"/>
          <w:sz w:val="24"/>
          <w:szCs w:val="24"/>
        </w:rPr>
        <w:t xml:space="preserve"> safeguards victims, so it is highly used. However, it is important to look at the negatives of evidence-based policing (Pepper, I., Rogers, C. and Martin, H., et al 2020.) Firstly, its reliability can be questioned as often evidence-based policing is based on what the professionals i.e., the police believe it a good outcome rather than the user. This is exampled in a study that found that in relation to a study on the effectiveness of multi-agency working it was based on </w:t>
      </w:r>
      <w:r w:rsidRPr="002A59E7">
        <w:rPr>
          <w:rFonts w:eastAsia="Arial"/>
          <w:color w:val="000000" w:themeColor="text1"/>
          <w:sz w:val="24"/>
          <w:szCs w:val="24"/>
        </w:rPr>
        <w:lastRenderedPageBreak/>
        <w:t>what the professional believed was a good outcome and as a result did not provide valid evidence on outcomes of the users (Sloper et al 2004). Furthermore, it has been found that how police inte</w:t>
      </w:r>
      <w:r w:rsidR="00481ECF">
        <w:rPr>
          <w:rFonts w:eastAsia="Arial"/>
          <w:color w:val="000000" w:themeColor="text1"/>
          <w:sz w:val="24"/>
          <w:szCs w:val="24"/>
        </w:rPr>
        <w:t>rpret</w:t>
      </w:r>
      <w:r w:rsidRPr="002A59E7">
        <w:rPr>
          <w:rFonts w:eastAsia="Arial"/>
          <w:color w:val="000000" w:themeColor="text1"/>
          <w:sz w:val="24"/>
          <w:szCs w:val="24"/>
        </w:rPr>
        <w:t xml:space="preserve"> things differently. For example, vulnerability and its definition has been interpreted in many ways and a study was done that found that the definition of vulnerability was interpreted differently by different police officers which as a result has led to inaccurate crime reports on who is a vulnerable victim and who is not (Her Majesty’s Inspectorate of Constabulary, 2015). Therefore, who is vulnerable and who is not? Was my understanding of the victim being vulnerable in this situation not based on the right definition? These are all questions that come about from evidence-based policing and therefore influence what works in relation to repeat victimisation and re-offending as is the data we are basing it off inaccurate? Evidence-based policing provides a good bases on how to tackle certain crimes however it must be brought to light that the data needs to be accurate and </w:t>
      </w:r>
      <w:r w:rsidR="00901A66" w:rsidRPr="002A59E7">
        <w:rPr>
          <w:rFonts w:eastAsia="Arial"/>
          <w:color w:val="000000" w:themeColor="text1"/>
          <w:sz w:val="24"/>
          <w:szCs w:val="24"/>
        </w:rPr>
        <w:t>reliable,</w:t>
      </w:r>
      <w:r w:rsidR="00481ECF">
        <w:rPr>
          <w:rFonts w:eastAsia="Arial"/>
          <w:color w:val="000000" w:themeColor="text1"/>
          <w:sz w:val="24"/>
          <w:szCs w:val="24"/>
        </w:rPr>
        <w:t xml:space="preserve"> and definitions need to be commonly used by all police. </w:t>
      </w:r>
    </w:p>
    <w:p w14:paraId="0EF547FB" w14:textId="77777777" w:rsidR="002A59E7" w:rsidRPr="002A59E7" w:rsidRDefault="002A59E7" w:rsidP="002A59E7">
      <w:pPr>
        <w:ind w:right="237"/>
        <w:jc w:val="both"/>
        <w:rPr>
          <w:rFonts w:eastAsia="Arial"/>
          <w:color w:val="000000" w:themeColor="text1"/>
          <w:sz w:val="24"/>
          <w:szCs w:val="24"/>
        </w:rPr>
      </w:pPr>
    </w:p>
    <w:p w14:paraId="77F3B2DF" w14:textId="77777777" w:rsidR="002A59E7" w:rsidRDefault="002A59E7" w:rsidP="002A59E7">
      <w:pPr>
        <w:ind w:right="237"/>
        <w:jc w:val="both"/>
        <w:rPr>
          <w:rFonts w:eastAsia="Arial"/>
          <w:color w:val="000000" w:themeColor="text1"/>
          <w:sz w:val="24"/>
          <w:szCs w:val="24"/>
        </w:rPr>
      </w:pPr>
      <w:r w:rsidRPr="002A59E7">
        <w:rPr>
          <w:rFonts w:eastAsia="Arial"/>
          <w:color w:val="000000" w:themeColor="text1"/>
          <w:sz w:val="24"/>
          <w:szCs w:val="24"/>
        </w:rPr>
        <w:t xml:space="preserve">In conclusion supporting and managing individuals who are vulnerable and at risk of harm is not a linear approach. Exampled are several approaches however everyone is different, and their needs are different. In this case it was clear the victim was vulnerable, and the approaches used were useful however what worked for this victim may not work for another. This is why evidence-based policing also plays a role as what has worked with victims who are vulnerable before can be used time and time again as a basis of how to provide the best ‘service’. No doubt there are many improvements to be made in how this victim was approached however I believe I did the best I could with the information that I had, and I was able to use my experience and knowledge to help a victim who needed support. I hope that as I move on in my career a police officer, I use this incident as a basis of how I should conduct myself and inform my colleagues of what worked and what did not. The end goal is to protect a victim and to prevent them being a victim again and this incident resulted in the suspect being remanded to court which was a positive result and depicted that the approaches used were effective. </w:t>
      </w:r>
    </w:p>
    <w:p w14:paraId="40220184" w14:textId="77777777" w:rsidR="002A59E7" w:rsidRDefault="002A59E7" w:rsidP="002A59E7">
      <w:pPr>
        <w:ind w:right="237"/>
        <w:jc w:val="both"/>
        <w:rPr>
          <w:rFonts w:eastAsia="Arial"/>
          <w:color w:val="000000" w:themeColor="text1"/>
          <w:sz w:val="24"/>
          <w:szCs w:val="24"/>
        </w:rPr>
      </w:pPr>
    </w:p>
    <w:p w14:paraId="034CF88F" w14:textId="6819AEAF" w:rsidR="002A59E7" w:rsidRPr="002A59E7" w:rsidRDefault="002A59E7" w:rsidP="002A59E7">
      <w:pPr>
        <w:ind w:right="237"/>
        <w:jc w:val="both"/>
        <w:rPr>
          <w:rFonts w:eastAsia="Arial"/>
          <w:b/>
          <w:bCs/>
          <w:color w:val="000000" w:themeColor="text1"/>
          <w:sz w:val="44"/>
          <w:szCs w:val="44"/>
        </w:rPr>
      </w:pPr>
      <w:r w:rsidRPr="002A59E7">
        <w:rPr>
          <w:rFonts w:eastAsia="Arial"/>
          <w:b/>
          <w:bCs/>
          <w:color w:val="000000" w:themeColor="text1"/>
          <w:sz w:val="44"/>
          <w:szCs w:val="44"/>
        </w:rPr>
        <w:t>1999 words</w:t>
      </w:r>
    </w:p>
    <w:p w14:paraId="5B21FBE3" w14:textId="77777777" w:rsidR="002A59E7" w:rsidRPr="002A59E7" w:rsidRDefault="002A59E7" w:rsidP="002A59E7">
      <w:pPr>
        <w:ind w:right="237"/>
        <w:jc w:val="both"/>
        <w:rPr>
          <w:rFonts w:eastAsia="Arial"/>
          <w:color w:val="000000" w:themeColor="text1"/>
          <w:sz w:val="24"/>
          <w:szCs w:val="24"/>
        </w:rPr>
      </w:pPr>
    </w:p>
    <w:p w14:paraId="41C91C71" w14:textId="77777777" w:rsidR="002A59E7" w:rsidRPr="002A59E7" w:rsidRDefault="002A59E7" w:rsidP="002A59E7">
      <w:pPr>
        <w:ind w:right="237"/>
        <w:jc w:val="both"/>
        <w:rPr>
          <w:rFonts w:eastAsia="Arial"/>
          <w:color w:val="000000" w:themeColor="text1"/>
          <w:sz w:val="24"/>
          <w:szCs w:val="24"/>
        </w:rPr>
      </w:pPr>
    </w:p>
    <w:p w14:paraId="5F79A506" w14:textId="77777777" w:rsidR="002A59E7" w:rsidRPr="00E676F7" w:rsidRDefault="002A59E7"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6B0989EF" w14:textId="10BD2A29" w:rsidR="00025650" w:rsidRPr="00E676F7" w:rsidRDefault="00A221AB" w:rsidP="00795B5B">
      <w:pPr>
        <w:pStyle w:val="paragraph"/>
        <w:spacing w:before="0" w:beforeAutospacing="0" w:after="0" w:afterAutospacing="0"/>
        <w:rPr>
          <w:b/>
          <w:bCs/>
        </w:rPr>
      </w:pPr>
      <w:r w:rsidRPr="5CE196A1">
        <w:rPr>
          <w:rStyle w:val="eop"/>
          <w:rFonts w:ascii="Arial" w:hAnsi="Arial" w:cs="Arial"/>
          <w:color w:val="000000" w:themeColor="text1"/>
        </w:rPr>
        <w:t> </w:t>
      </w:r>
      <w:r w:rsidR="5B843AF0" w:rsidRPr="5CE196A1">
        <w:rPr>
          <w:b/>
          <w:bCs/>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bookmarkStart w:id="0" w:name="_Hlk145333424"/>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bookmarkEnd w:id="0"/>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lastRenderedPageBreak/>
        <w:t>ANSWER:</w:t>
      </w:r>
    </w:p>
    <w:p w14:paraId="3F1FF625" w14:textId="77777777" w:rsidR="007025EB" w:rsidRDefault="007025EB" w:rsidP="5CE196A1">
      <w:pPr>
        <w:ind w:right="237"/>
        <w:jc w:val="both"/>
        <w:rPr>
          <w:b/>
          <w:bCs/>
          <w:sz w:val="24"/>
          <w:szCs w:val="24"/>
        </w:rPr>
      </w:pPr>
    </w:p>
    <w:p w14:paraId="4852F308" w14:textId="7430C99E" w:rsidR="007025EB" w:rsidRDefault="007025EB" w:rsidP="007025EB">
      <w:pPr>
        <w:ind w:right="237"/>
        <w:jc w:val="both"/>
        <w:rPr>
          <w:sz w:val="24"/>
          <w:szCs w:val="24"/>
        </w:rPr>
      </w:pPr>
      <w:r w:rsidRPr="007025EB">
        <w:rPr>
          <w:sz w:val="24"/>
          <w:szCs w:val="24"/>
        </w:rPr>
        <w:t>The Polices</w:t>
      </w:r>
      <w:r w:rsidR="00F35493">
        <w:rPr>
          <w:sz w:val="24"/>
          <w:szCs w:val="24"/>
        </w:rPr>
        <w:t xml:space="preserve"> and its</w:t>
      </w:r>
      <w:r w:rsidRPr="007025EB">
        <w:rPr>
          <w:sz w:val="24"/>
          <w:szCs w:val="24"/>
        </w:rPr>
        <w:t xml:space="preserve"> response to domestic abuse has been described by academics as “The public nature of private violence…” (Fineman, M. 2013). This sentence depicts the ever so true nature of domestic abuse and the idea that it is often occurs behind closed doors. Therefore, policing domestic abuse is uniquely different to any other crime due to its foundation of being covert. A survey from the Office of National Statistics (ONS) </w:t>
      </w:r>
      <w:r w:rsidR="00F35493">
        <w:rPr>
          <w:sz w:val="24"/>
          <w:szCs w:val="24"/>
        </w:rPr>
        <w:t>conveys</w:t>
      </w:r>
      <w:r w:rsidRPr="007025EB">
        <w:rPr>
          <w:sz w:val="24"/>
          <w:szCs w:val="24"/>
        </w:rPr>
        <w:t xml:space="preserve"> that the year ending March 2022 around 10.4 million adults over 16 had experienced domestic abuse since the age of 16 (ONS, 2022). I will be using Borton Model of Reflection as the structure of the essay (Rolfe et al., 2018). The ‘what?’ section will look to define domestic abuse and an incident that I dealt with in my policing career. The ‘so what?’ section will outline the challenges I faced and the strategies I used to overcome them. Lastly, the ‘now what?’ will look to </w:t>
      </w:r>
      <w:proofErr w:type="gramStart"/>
      <w:r w:rsidRPr="007025EB">
        <w:rPr>
          <w:sz w:val="24"/>
          <w:szCs w:val="24"/>
        </w:rPr>
        <w:t>compare and contrast</w:t>
      </w:r>
      <w:proofErr w:type="gramEnd"/>
      <w:r w:rsidRPr="007025EB">
        <w:rPr>
          <w:sz w:val="24"/>
          <w:szCs w:val="24"/>
        </w:rPr>
        <w:t xml:space="preserve"> the challenges and strategies used so that I can look at what went well and what did not and learn for my future career in policing. </w:t>
      </w:r>
    </w:p>
    <w:p w14:paraId="3FD41289" w14:textId="77777777" w:rsidR="007025EB" w:rsidRPr="007025EB" w:rsidRDefault="007025EB" w:rsidP="007025EB">
      <w:pPr>
        <w:ind w:right="237"/>
        <w:jc w:val="both"/>
        <w:rPr>
          <w:sz w:val="24"/>
          <w:szCs w:val="24"/>
        </w:rPr>
      </w:pPr>
    </w:p>
    <w:p w14:paraId="31426115" w14:textId="77777777" w:rsidR="007025EB" w:rsidRDefault="007025EB" w:rsidP="007025EB">
      <w:pPr>
        <w:ind w:right="237"/>
        <w:jc w:val="both"/>
        <w:rPr>
          <w:b/>
          <w:bCs/>
          <w:sz w:val="24"/>
          <w:szCs w:val="24"/>
        </w:rPr>
      </w:pPr>
      <w:r w:rsidRPr="007025EB">
        <w:rPr>
          <w:b/>
          <w:bCs/>
          <w:sz w:val="24"/>
          <w:szCs w:val="24"/>
        </w:rPr>
        <w:t xml:space="preserve">The ‘what?’ </w:t>
      </w:r>
    </w:p>
    <w:p w14:paraId="07C70DBA" w14:textId="77777777" w:rsidR="007025EB" w:rsidRPr="007025EB" w:rsidRDefault="007025EB" w:rsidP="007025EB">
      <w:pPr>
        <w:ind w:right="237"/>
        <w:jc w:val="both"/>
        <w:rPr>
          <w:b/>
          <w:bCs/>
          <w:sz w:val="24"/>
          <w:szCs w:val="24"/>
        </w:rPr>
      </w:pPr>
    </w:p>
    <w:p w14:paraId="5A93410A" w14:textId="77777777" w:rsidR="007025EB" w:rsidRPr="007025EB" w:rsidRDefault="007025EB" w:rsidP="007025EB">
      <w:pPr>
        <w:ind w:right="237"/>
        <w:jc w:val="both"/>
        <w:rPr>
          <w:sz w:val="24"/>
          <w:szCs w:val="24"/>
        </w:rPr>
      </w:pPr>
      <w:r w:rsidRPr="007025EB">
        <w:rPr>
          <w:sz w:val="24"/>
          <w:szCs w:val="24"/>
        </w:rPr>
        <w:t>Domestic abuse has been defined in many ways over the years. It was not until 2021 that legislation was put into place defining domestic abuse. The definition of domestic abuse is now one that covers all people. It has now been established that domestic abuse is not just male to women in a sexual relationship, but it has been recognised that it occurs between same sex relationships, female to male and between family members (personally connected in definition). It goes far beyond just physical violence (Donovan and Hester, 2015). The official definition as described in Section 1 Domestic Abuse Act 2021 is lengthy, but the main part is as follows.</w:t>
      </w:r>
    </w:p>
    <w:p w14:paraId="5E32F160" w14:textId="77777777" w:rsidR="007025EB" w:rsidRPr="007025EB" w:rsidRDefault="007025EB" w:rsidP="007025EB">
      <w:pPr>
        <w:ind w:right="237"/>
        <w:jc w:val="both"/>
        <w:rPr>
          <w:sz w:val="24"/>
          <w:szCs w:val="24"/>
        </w:rPr>
      </w:pPr>
      <w:r w:rsidRPr="007025EB">
        <w:rPr>
          <w:sz w:val="24"/>
          <w:szCs w:val="24"/>
        </w:rPr>
        <w:t>This section defines “domestic abuse” for the purposes of this Act.</w:t>
      </w:r>
    </w:p>
    <w:p w14:paraId="6362DA6C" w14:textId="77777777" w:rsidR="007025EB" w:rsidRPr="007025EB" w:rsidRDefault="007025EB" w:rsidP="007025EB">
      <w:pPr>
        <w:ind w:right="237"/>
        <w:jc w:val="both"/>
        <w:rPr>
          <w:sz w:val="24"/>
          <w:szCs w:val="24"/>
        </w:rPr>
      </w:pPr>
      <w:r w:rsidRPr="007025EB">
        <w:rPr>
          <w:sz w:val="24"/>
          <w:szCs w:val="24"/>
        </w:rPr>
        <w:t>(2) Behaviour of a person (“A”) towards another person (“B”) is “domestic abuse” if—</w:t>
      </w:r>
    </w:p>
    <w:p w14:paraId="62624650" w14:textId="77777777" w:rsidR="007025EB" w:rsidRPr="007025EB" w:rsidRDefault="007025EB" w:rsidP="007025EB">
      <w:pPr>
        <w:ind w:right="237"/>
        <w:jc w:val="both"/>
        <w:rPr>
          <w:sz w:val="24"/>
          <w:szCs w:val="24"/>
        </w:rPr>
      </w:pPr>
      <w:r w:rsidRPr="007025EB">
        <w:rPr>
          <w:sz w:val="24"/>
          <w:szCs w:val="24"/>
        </w:rPr>
        <w:t>(a)A and B are each aged 16 or over and are personally connected to each other, and</w:t>
      </w:r>
    </w:p>
    <w:p w14:paraId="6F30462C" w14:textId="77777777" w:rsidR="007025EB" w:rsidRPr="007025EB" w:rsidRDefault="007025EB" w:rsidP="007025EB">
      <w:pPr>
        <w:ind w:right="237"/>
        <w:jc w:val="both"/>
        <w:rPr>
          <w:sz w:val="24"/>
          <w:szCs w:val="24"/>
        </w:rPr>
      </w:pPr>
      <w:r w:rsidRPr="007025EB">
        <w:rPr>
          <w:sz w:val="24"/>
          <w:szCs w:val="24"/>
        </w:rPr>
        <w:t>(b)the behaviour is abusive.</w:t>
      </w:r>
    </w:p>
    <w:p w14:paraId="2A010165" w14:textId="77777777" w:rsidR="007025EB" w:rsidRPr="007025EB" w:rsidRDefault="007025EB" w:rsidP="007025EB">
      <w:pPr>
        <w:ind w:right="237"/>
        <w:jc w:val="both"/>
        <w:rPr>
          <w:sz w:val="24"/>
          <w:szCs w:val="24"/>
        </w:rPr>
      </w:pPr>
      <w:r w:rsidRPr="007025EB">
        <w:rPr>
          <w:sz w:val="24"/>
          <w:szCs w:val="24"/>
        </w:rPr>
        <w:t>(</w:t>
      </w:r>
      <w:proofErr w:type="gramStart"/>
      <w:r w:rsidRPr="007025EB">
        <w:rPr>
          <w:sz w:val="24"/>
          <w:szCs w:val="24"/>
        </w:rPr>
        <w:t>3)Behaviour</w:t>
      </w:r>
      <w:proofErr w:type="gramEnd"/>
      <w:r w:rsidRPr="007025EB">
        <w:rPr>
          <w:sz w:val="24"/>
          <w:szCs w:val="24"/>
        </w:rPr>
        <w:t xml:space="preserve"> is “abusive” if it consists of any of the following—</w:t>
      </w:r>
    </w:p>
    <w:p w14:paraId="039F3977" w14:textId="77777777" w:rsidR="007025EB" w:rsidRPr="007025EB" w:rsidRDefault="007025EB" w:rsidP="007025EB">
      <w:pPr>
        <w:ind w:right="237"/>
        <w:jc w:val="both"/>
        <w:rPr>
          <w:sz w:val="24"/>
          <w:szCs w:val="24"/>
        </w:rPr>
      </w:pPr>
      <w:r w:rsidRPr="007025EB">
        <w:rPr>
          <w:sz w:val="24"/>
          <w:szCs w:val="24"/>
        </w:rPr>
        <w:t xml:space="preserve">(a)physical or sexual </w:t>
      </w:r>
      <w:proofErr w:type="gramStart"/>
      <w:r w:rsidRPr="007025EB">
        <w:rPr>
          <w:sz w:val="24"/>
          <w:szCs w:val="24"/>
        </w:rPr>
        <w:t>abuse;</w:t>
      </w:r>
      <w:proofErr w:type="gramEnd"/>
    </w:p>
    <w:p w14:paraId="0E6C3F6F" w14:textId="77777777" w:rsidR="007025EB" w:rsidRPr="007025EB" w:rsidRDefault="007025EB" w:rsidP="007025EB">
      <w:pPr>
        <w:ind w:right="237"/>
        <w:jc w:val="both"/>
        <w:rPr>
          <w:sz w:val="24"/>
          <w:szCs w:val="24"/>
        </w:rPr>
      </w:pPr>
      <w:r w:rsidRPr="007025EB">
        <w:rPr>
          <w:sz w:val="24"/>
          <w:szCs w:val="24"/>
        </w:rPr>
        <w:t xml:space="preserve">(b)violent or threatening </w:t>
      </w:r>
      <w:proofErr w:type="gramStart"/>
      <w:r w:rsidRPr="007025EB">
        <w:rPr>
          <w:sz w:val="24"/>
          <w:szCs w:val="24"/>
        </w:rPr>
        <w:t>behaviour;</w:t>
      </w:r>
      <w:proofErr w:type="gramEnd"/>
    </w:p>
    <w:p w14:paraId="69CA3773" w14:textId="77777777" w:rsidR="007025EB" w:rsidRPr="007025EB" w:rsidRDefault="007025EB" w:rsidP="007025EB">
      <w:pPr>
        <w:ind w:right="237"/>
        <w:jc w:val="both"/>
        <w:rPr>
          <w:sz w:val="24"/>
          <w:szCs w:val="24"/>
        </w:rPr>
      </w:pPr>
      <w:r w:rsidRPr="007025EB">
        <w:rPr>
          <w:sz w:val="24"/>
          <w:szCs w:val="24"/>
        </w:rPr>
        <w:t xml:space="preserve">(c)controlling or coercive </w:t>
      </w:r>
      <w:proofErr w:type="gramStart"/>
      <w:r w:rsidRPr="007025EB">
        <w:rPr>
          <w:sz w:val="24"/>
          <w:szCs w:val="24"/>
        </w:rPr>
        <w:t>behaviour;</w:t>
      </w:r>
      <w:proofErr w:type="gramEnd"/>
    </w:p>
    <w:p w14:paraId="0DBE247A" w14:textId="77777777" w:rsidR="007025EB" w:rsidRPr="007025EB" w:rsidRDefault="007025EB" w:rsidP="007025EB">
      <w:pPr>
        <w:ind w:right="237"/>
        <w:jc w:val="both"/>
        <w:rPr>
          <w:sz w:val="24"/>
          <w:szCs w:val="24"/>
        </w:rPr>
      </w:pPr>
      <w:r w:rsidRPr="007025EB">
        <w:rPr>
          <w:sz w:val="24"/>
          <w:szCs w:val="24"/>
        </w:rPr>
        <w:t>(d)economic abuse (see subsection (4)</w:t>
      </w:r>
      <w:proofErr w:type="gramStart"/>
      <w:r w:rsidRPr="007025EB">
        <w:rPr>
          <w:sz w:val="24"/>
          <w:szCs w:val="24"/>
        </w:rPr>
        <w:t>);</w:t>
      </w:r>
      <w:proofErr w:type="gramEnd"/>
    </w:p>
    <w:p w14:paraId="528A0CCC" w14:textId="77777777" w:rsidR="007025EB" w:rsidRPr="007025EB" w:rsidRDefault="007025EB" w:rsidP="007025EB">
      <w:pPr>
        <w:ind w:right="237"/>
        <w:jc w:val="both"/>
        <w:rPr>
          <w:sz w:val="24"/>
          <w:szCs w:val="24"/>
        </w:rPr>
      </w:pPr>
      <w:r w:rsidRPr="007025EB">
        <w:rPr>
          <w:sz w:val="24"/>
          <w:szCs w:val="24"/>
        </w:rPr>
        <w:t xml:space="preserve">(e)psychological, emotional or other </w:t>
      </w:r>
      <w:proofErr w:type="spellStart"/>
      <w:proofErr w:type="gramStart"/>
      <w:r w:rsidRPr="007025EB">
        <w:rPr>
          <w:sz w:val="24"/>
          <w:szCs w:val="24"/>
        </w:rPr>
        <w:t>abuse;and</w:t>
      </w:r>
      <w:proofErr w:type="spellEnd"/>
      <w:proofErr w:type="gramEnd"/>
      <w:r w:rsidRPr="007025EB">
        <w:rPr>
          <w:sz w:val="24"/>
          <w:szCs w:val="24"/>
        </w:rPr>
        <w:t xml:space="preserve"> it does not matter whether the behaviour consists of a single incident or a course of conduct.</w:t>
      </w:r>
    </w:p>
    <w:p w14:paraId="1519DBF5" w14:textId="77777777" w:rsidR="007025EB" w:rsidRPr="007025EB" w:rsidRDefault="007025EB" w:rsidP="007025EB">
      <w:pPr>
        <w:ind w:right="237"/>
        <w:jc w:val="both"/>
        <w:rPr>
          <w:sz w:val="24"/>
          <w:szCs w:val="24"/>
        </w:rPr>
      </w:pPr>
      <w:r w:rsidRPr="007025EB">
        <w:rPr>
          <w:sz w:val="24"/>
          <w:szCs w:val="24"/>
        </w:rPr>
        <w:t>(</w:t>
      </w:r>
      <w:proofErr w:type="gramStart"/>
      <w:r w:rsidRPr="007025EB">
        <w:rPr>
          <w:sz w:val="24"/>
          <w:szCs w:val="24"/>
        </w:rPr>
        <w:t>4)“</w:t>
      </w:r>
      <w:proofErr w:type="gramEnd"/>
      <w:r w:rsidRPr="007025EB">
        <w:rPr>
          <w:sz w:val="24"/>
          <w:szCs w:val="24"/>
        </w:rPr>
        <w:t>Economic abuse” means any behaviour that has a substantial adverse effect on B’s ability to—</w:t>
      </w:r>
    </w:p>
    <w:p w14:paraId="1C18046C" w14:textId="77777777" w:rsidR="007025EB" w:rsidRPr="007025EB" w:rsidRDefault="007025EB" w:rsidP="007025EB">
      <w:pPr>
        <w:ind w:right="237"/>
        <w:jc w:val="both"/>
        <w:rPr>
          <w:sz w:val="24"/>
          <w:szCs w:val="24"/>
        </w:rPr>
      </w:pPr>
      <w:r w:rsidRPr="007025EB">
        <w:rPr>
          <w:sz w:val="24"/>
          <w:szCs w:val="24"/>
        </w:rPr>
        <w:t xml:space="preserve">(a)acquire, </w:t>
      </w:r>
      <w:proofErr w:type="gramStart"/>
      <w:r w:rsidRPr="007025EB">
        <w:rPr>
          <w:sz w:val="24"/>
          <w:szCs w:val="24"/>
        </w:rPr>
        <w:t>use</w:t>
      </w:r>
      <w:proofErr w:type="gramEnd"/>
      <w:r w:rsidRPr="007025EB">
        <w:rPr>
          <w:sz w:val="24"/>
          <w:szCs w:val="24"/>
        </w:rPr>
        <w:t xml:space="preserve"> or maintain money or other property, or</w:t>
      </w:r>
    </w:p>
    <w:p w14:paraId="606E6279" w14:textId="77777777" w:rsidR="007025EB" w:rsidRPr="007025EB" w:rsidRDefault="007025EB" w:rsidP="007025EB">
      <w:pPr>
        <w:ind w:right="237"/>
        <w:jc w:val="both"/>
        <w:rPr>
          <w:sz w:val="24"/>
          <w:szCs w:val="24"/>
        </w:rPr>
      </w:pPr>
      <w:r w:rsidRPr="007025EB">
        <w:rPr>
          <w:sz w:val="24"/>
          <w:szCs w:val="24"/>
        </w:rPr>
        <w:t>(b)obtain goods or services.</w:t>
      </w:r>
    </w:p>
    <w:p w14:paraId="05C4A17D" w14:textId="77777777" w:rsidR="007025EB" w:rsidRPr="007025EB" w:rsidRDefault="007025EB" w:rsidP="007025EB">
      <w:pPr>
        <w:ind w:right="237"/>
        <w:jc w:val="both"/>
        <w:rPr>
          <w:sz w:val="24"/>
          <w:szCs w:val="24"/>
        </w:rPr>
      </w:pPr>
      <w:r w:rsidRPr="007025EB">
        <w:rPr>
          <w:sz w:val="24"/>
          <w:szCs w:val="24"/>
        </w:rPr>
        <w:t>(Legislation.gov.uk, 2021 pg. 1)</w:t>
      </w:r>
    </w:p>
    <w:p w14:paraId="6373F09B" w14:textId="77777777" w:rsidR="007025EB" w:rsidRPr="007025EB" w:rsidRDefault="007025EB" w:rsidP="007025EB">
      <w:pPr>
        <w:ind w:right="237"/>
        <w:jc w:val="both"/>
        <w:rPr>
          <w:sz w:val="24"/>
          <w:szCs w:val="24"/>
        </w:rPr>
      </w:pPr>
    </w:p>
    <w:p w14:paraId="71E24CFD" w14:textId="77777777" w:rsidR="007025EB" w:rsidRDefault="007025EB" w:rsidP="007025EB">
      <w:pPr>
        <w:ind w:right="237"/>
        <w:jc w:val="both"/>
        <w:rPr>
          <w:sz w:val="24"/>
          <w:szCs w:val="24"/>
        </w:rPr>
      </w:pPr>
      <w:r w:rsidRPr="007025EB">
        <w:rPr>
          <w:sz w:val="24"/>
          <w:szCs w:val="24"/>
        </w:rPr>
        <w:t xml:space="preserve">The incident that I will be basing this essay on and the second part of the ‘what?’ section of Borton Reflective Model of Reflection is a domestic assault I attended. The circumstances were that a call came in as an immediate response to attend an address because a female had rung in to say her on and off partner had hit her over </w:t>
      </w:r>
      <w:r w:rsidRPr="007025EB">
        <w:rPr>
          <w:sz w:val="24"/>
          <w:szCs w:val="24"/>
        </w:rPr>
        <w:lastRenderedPageBreak/>
        <w:t xml:space="preserve">the head with a hoover after a verbal argument. On attendance, the female had visible injuries to her face and the male had already left the scene. </w:t>
      </w:r>
    </w:p>
    <w:p w14:paraId="41637B53" w14:textId="77777777" w:rsidR="007025EB" w:rsidRPr="007025EB" w:rsidRDefault="007025EB" w:rsidP="007025EB">
      <w:pPr>
        <w:ind w:right="237"/>
        <w:jc w:val="both"/>
        <w:rPr>
          <w:sz w:val="24"/>
          <w:szCs w:val="24"/>
        </w:rPr>
      </w:pPr>
    </w:p>
    <w:p w14:paraId="11B06838" w14:textId="77777777" w:rsidR="007025EB" w:rsidRDefault="007025EB" w:rsidP="007025EB">
      <w:pPr>
        <w:ind w:right="237"/>
        <w:jc w:val="both"/>
        <w:rPr>
          <w:b/>
          <w:bCs/>
          <w:sz w:val="24"/>
          <w:szCs w:val="24"/>
        </w:rPr>
      </w:pPr>
      <w:r w:rsidRPr="007025EB">
        <w:rPr>
          <w:sz w:val="24"/>
          <w:szCs w:val="24"/>
        </w:rPr>
        <w:t>‘</w:t>
      </w:r>
      <w:proofErr w:type="gramStart"/>
      <w:r w:rsidRPr="007025EB">
        <w:rPr>
          <w:b/>
          <w:bCs/>
          <w:sz w:val="24"/>
          <w:szCs w:val="24"/>
        </w:rPr>
        <w:t>So</w:t>
      </w:r>
      <w:proofErr w:type="gramEnd"/>
      <w:r w:rsidRPr="007025EB">
        <w:rPr>
          <w:b/>
          <w:bCs/>
          <w:sz w:val="24"/>
          <w:szCs w:val="24"/>
        </w:rPr>
        <w:t xml:space="preserve"> what &amp; now what?’</w:t>
      </w:r>
    </w:p>
    <w:p w14:paraId="427EF5CF" w14:textId="77777777" w:rsidR="007025EB" w:rsidRPr="007025EB" w:rsidRDefault="007025EB" w:rsidP="007025EB">
      <w:pPr>
        <w:ind w:right="237"/>
        <w:jc w:val="both"/>
        <w:rPr>
          <w:sz w:val="24"/>
          <w:szCs w:val="24"/>
        </w:rPr>
      </w:pPr>
    </w:p>
    <w:p w14:paraId="379AEBCF" w14:textId="694D1433" w:rsidR="007025EB" w:rsidRDefault="007025EB" w:rsidP="007025EB">
      <w:pPr>
        <w:ind w:right="237"/>
        <w:jc w:val="both"/>
        <w:rPr>
          <w:sz w:val="24"/>
          <w:szCs w:val="24"/>
        </w:rPr>
      </w:pPr>
      <w:r w:rsidRPr="007025EB">
        <w:rPr>
          <w:sz w:val="24"/>
          <w:szCs w:val="24"/>
        </w:rPr>
        <w:t>A challenge that I faced when dealing with the above incident was the victim stating that she feared the rep</w:t>
      </w:r>
      <w:r w:rsidR="007F7D99">
        <w:rPr>
          <w:sz w:val="24"/>
          <w:szCs w:val="24"/>
        </w:rPr>
        <w:t>ercussions</w:t>
      </w:r>
      <w:r w:rsidRPr="007025EB">
        <w:rPr>
          <w:sz w:val="24"/>
          <w:szCs w:val="24"/>
        </w:rPr>
        <w:t xml:space="preserve"> of giving a statement and worrying that no one would believe her. A study conducted on Nottinghamshire Constabulary found that many women after reporting to the police the domestic abuse they faced worsened and the abuse and harassment from the perpetrators increased (Wright et al 1998). This shows how much time I had to put in with the victim so that she would feel confident enough with me to provide a statement. The negative of this study is that it only focused on female victims abused by male partners therefore is not a representation of all domestic abuse victims however fits into my incident due to the female being victim and the perpetrator male. Furthermore, a study found that only 40% of female victims report domestic abuse therefore I felt some sort of responsibility to really engage with the female in my incident as she was nervous about making a statement and I did not want her to be part of the 60% who do not report (Shackelford, 2020). However, although I felt I had a deep responsibility to help the female engage with the police, I also felt I had to be honest with her and how the process works. One of South Wales Policing principles is ‘honesty’ (College of Policing, 2014) which is the bases in every action I take. A study has been done that highlighted the idea that the police’ idea of individuals are based on how much they are willing to cooperate with them (Punch,2003). Within domestic abuse cases like this one that could not be more opposite to the reality. So, if we are basing domestic incidents on how much the victim is cooperating with us then that would lead to no outcome due to female reporting domestic abuse decreasing over time (OFN,2018). However, honesty regardless of how the female was engaging with me was vital in overcoming the barrier and a strategy that I utilised greatly. A strength of this was the that the female knew what to expect moving forward so she was not anxious about what was going to happen and could make an informed decision on how she wanted to progress. </w:t>
      </w:r>
    </w:p>
    <w:p w14:paraId="36128F0D" w14:textId="77777777" w:rsidR="007025EB" w:rsidRPr="007025EB" w:rsidRDefault="007025EB" w:rsidP="007025EB">
      <w:pPr>
        <w:ind w:right="237"/>
        <w:jc w:val="both"/>
        <w:rPr>
          <w:sz w:val="24"/>
          <w:szCs w:val="24"/>
        </w:rPr>
      </w:pPr>
    </w:p>
    <w:p w14:paraId="4D553845" w14:textId="4229E73A" w:rsidR="007025EB" w:rsidRDefault="007025EB" w:rsidP="007025EB">
      <w:pPr>
        <w:ind w:right="237"/>
        <w:jc w:val="both"/>
        <w:rPr>
          <w:sz w:val="24"/>
          <w:szCs w:val="24"/>
        </w:rPr>
      </w:pPr>
      <w:r w:rsidRPr="007025EB">
        <w:rPr>
          <w:sz w:val="24"/>
          <w:szCs w:val="24"/>
        </w:rPr>
        <w:t>Furthermore, another challenge associated with attending domestic abuse incidents and was evident in this example is the idea that when speaking with the female on attendance she was extremely shaken and shocked. This led to the women being unable to really go into the situation and stated often “it is fine, do not worry”. When I attended, I was the first police officer to speak to her after the incident and got the initial disclosure. This proved challenging to get any sort of information from her. As a result, I had to put my training into practice. A model that is often used with domestic abuse cases is the ‘DASH’ model</w:t>
      </w:r>
      <w:r w:rsidR="00CA3E5C">
        <w:rPr>
          <w:sz w:val="24"/>
          <w:szCs w:val="24"/>
        </w:rPr>
        <w:t xml:space="preserve"> which is ‘domestic abuse, stalking and </w:t>
      </w:r>
      <w:proofErr w:type="gramStart"/>
      <w:r w:rsidR="00CA3E5C">
        <w:rPr>
          <w:sz w:val="24"/>
          <w:szCs w:val="24"/>
        </w:rPr>
        <w:t>honour based</w:t>
      </w:r>
      <w:proofErr w:type="gramEnd"/>
      <w:r w:rsidR="00CA3E5C">
        <w:rPr>
          <w:sz w:val="24"/>
          <w:szCs w:val="24"/>
        </w:rPr>
        <w:t xml:space="preserve"> violence risk assessment’.</w:t>
      </w:r>
      <w:r w:rsidRPr="007025EB">
        <w:rPr>
          <w:sz w:val="24"/>
          <w:szCs w:val="24"/>
        </w:rPr>
        <w:t xml:space="preserve"> Although a risk assessment tool, I would say it I used it as a strategy to really get information from the female. ‘DASH’ is a set of questions that officers asked the victim that relates to domestic abuse. I found this extremely helpful as the female was given a structure and specific questions which helped her in her shocked state, and I could really explain the questions to her which helped me face the challenge of her being in a shocked state. However, although ‘DASH’ was extremely helpful in this situation it is also important to look at the negatives. A study was carried out (Myhill, Hohl, Johnson et al 2023) on ‘DASH’ which found that often officers would focus on the ‘physical abuse’ side of the </w:t>
      </w:r>
      <w:r w:rsidRPr="007025EB">
        <w:rPr>
          <w:sz w:val="24"/>
          <w:szCs w:val="24"/>
        </w:rPr>
        <w:lastRenderedPageBreak/>
        <w:t xml:space="preserve">questions more than the questions that involved harassment, coercive control etc. In this incident this was possibly a downside to my attendance as the physical side of the abuse was so evident due to the injuries and maybe I did not focus enough on the harassment side. Furthermore, ‘DASH’ questions of harassment often present themselves in a way that is open to interpretation by officers. This can lead to officers not really understanding and assessing it right. For example, one of the questions states ‘are you ‘constantly’ being harassed? What does constantly mean and how is that measured? Is my measurement of constantly different to the victims? This could have led to my assessment being flawed however ‘DASH’ gave a structure that was so evidently needed when she was not giving any information at all and provided a good bases to ensure she was able to feel comfortable to answer the questions when she was already nervous and scared of the repercussions of speaking to the police. </w:t>
      </w:r>
    </w:p>
    <w:p w14:paraId="792F5D28" w14:textId="77777777" w:rsidR="007025EB" w:rsidRPr="007025EB" w:rsidRDefault="007025EB" w:rsidP="007025EB">
      <w:pPr>
        <w:ind w:right="237"/>
        <w:jc w:val="both"/>
        <w:rPr>
          <w:sz w:val="24"/>
          <w:szCs w:val="24"/>
        </w:rPr>
      </w:pPr>
    </w:p>
    <w:p w14:paraId="595C8143" w14:textId="06B447BF" w:rsidR="007025EB" w:rsidRDefault="007025EB" w:rsidP="007025EB">
      <w:pPr>
        <w:ind w:right="237"/>
        <w:jc w:val="both"/>
        <w:rPr>
          <w:sz w:val="24"/>
          <w:szCs w:val="24"/>
        </w:rPr>
      </w:pPr>
      <w:r w:rsidRPr="007025EB">
        <w:rPr>
          <w:sz w:val="24"/>
          <w:szCs w:val="24"/>
        </w:rPr>
        <w:t>The victim in this case was giving the impression that she did not see herself as a victim and this is not the first incident I have attended where the victim feels this way and is an extreme challenge as how can officers help someone who feels they do not deserve to be helped? A well-known study has been conducted by Christie,1986 which outlines the idea of the ‘ideal victim’. Essentially this is the idea that society portrays a certain individual as a victim and anything that is outside of that they do not have the legitimacy of being a victim. For example, the offender being ‘big and bad’ will often give the victim legitimacy in society (Duggan, 2018). In this incident the victim did not portray the suspect as being big and bad. She portrayed him as ‘making a mistake’ and believed that people looking in would laugh at her as he came across as kind and gentle to others. This as a result compromised her thoughts of being a genuine victim as she believed society did not think she was a victim due to not fitting the stereotype. This was a challenge as already noted, how can you help someone who does not believe they need help? A strategy I used to overcome this was one associated with “…victims must be protected, their voices must be heard, their memory honoured, their anger expressed, their fears addressed’.” (Garland, 2001 cited in Duggan, 2018 pp. 301). This was done by ensuring that I did not make assumptions based on what society believes is an ideal victim and in relation to what she said, challenge it and help her to think differently. For example, the victim stated on more than one occasion that the suspect made one mistake and that she is the one with markers for violence. In relation to markers for violence, this also fits the idea that she is not the ‘ideal victim’. However, I challenged her and stated that no matter what, she does not deserve what has happened to her due to her past. I had to try and get this ‘not the ideal victim’ mentality out of her head so she was able to spea</w:t>
      </w:r>
      <w:r w:rsidR="001F30B1">
        <w:rPr>
          <w:sz w:val="24"/>
          <w:szCs w:val="24"/>
        </w:rPr>
        <w:t xml:space="preserve">k </w:t>
      </w:r>
      <w:r w:rsidRPr="007025EB">
        <w:rPr>
          <w:sz w:val="24"/>
          <w:szCs w:val="24"/>
        </w:rPr>
        <w:t xml:space="preserve">freely to me. Giving her the opportunity to express he fears and be open with me but also addressing her fears. For example, her stating she had markers for violence I was able to be honest with her and say that although she has markers, each incident is treated on an individual bases and just because she has violence markers it does not automatically mean no one will believe her and what had happened in the incident. Breaking that barrier and spending time with the victim was something that helped her with her thought process of not being the ‘ideal victim’ which is a common phenomenon in domestic abuse cases and as a result makes it difficult to police. </w:t>
      </w:r>
    </w:p>
    <w:p w14:paraId="4226A565" w14:textId="77777777" w:rsidR="007025EB" w:rsidRPr="007025EB" w:rsidRDefault="007025EB" w:rsidP="007025EB">
      <w:pPr>
        <w:ind w:right="237"/>
        <w:jc w:val="both"/>
        <w:rPr>
          <w:sz w:val="24"/>
          <w:szCs w:val="24"/>
        </w:rPr>
      </w:pPr>
    </w:p>
    <w:p w14:paraId="4CD7CB25" w14:textId="73EAC524" w:rsidR="007025EB" w:rsidRPr="007025EB" w:rsidRDefault="007025EB" w:rsidP="007025EB">
      <w:pPr>
        <w:ind w:right="237"/>
        <w:jc w:val="both"/>
        <w:rPr>
          <w:sz w:val="24"/>
          <w:szCs w:val="24"/>
        </w:rPr>
      </w:pPr>
      <w:r w:rsidRPr="007025EB">
        <w:rPr>
          <w:sz w:val="24"/>
          <w:szCs w:val="24"/>
        </w:rPr>
        <w:t xml:space="preserve">In conclusion, domestic abuse is one of the most challenging and complex situations that a police officer must deal with. This is due to the complex nature of domestic </w:t>
      </w:r>
      <w:r w:rsidRPr="007025EB">
        <w:rPr>
          <w:sz w:val="24"/>
          <w:szCs w:val="24"/>
        </w:rPr>
        <w:lastRenderedPageBreak/>
        <w:t>abuse, being physical, mental, emotional, social. Domestic abuse is often hidden, and victims do not feel they can report to police as they fear what will happen as a result. There were many challenges to this incident that I needed to overcome by being open with the victim and really taking time to speak with her and address her concerns, it really helped her to feel comfortable when talking to me and expressing the situation. Furthermore, domestic abuse is extremely complex and as noted above comes with many challenges that are going to be independent to each incident. It is about developing strategies that work best with the victim being dealt with at the time and being able to notice of they are scared, nervous</w:t>
      </w:r>
      <w:r w:rsidR="001F30B1">
        <w:rPr>
          <w:sz w:val="24"/>
          <w:szCs w:val="24"/>
        </w:rPr>
        <w:t xml:space="preserve"> and </w:t>
      </w:r>
      <w:r w:rsidRPr="007025EB">
        <w:rPr>
          <w:sz w:val="24"/>
          <w:szCs w:val="24"/>
        </w:rPr>
        <w:t xml:space="preserve">apprehensive which is what myself as a police officer has learnt to do as I gain more experience and understanding of domestic abuse and the challenges that come along with it. Domestic abuse is something that has gained great attention over the years and as a police officer, my strategies helped the victim with the whole process and as a result gained a positive conviction and furthermore safeguarded a vulnerable victim from a dangerous perpetrator. </w:t>
      </w:r>
    </w:p>
    <w:p w14:paraId="0D992230" w14:textId="77777777" w:rsidR="007025EB" w:rsidRPr="007025EB" w:rsidRDefault="007025EB" w:rsidP="007025EB">
      <w:pPr>
        <w:ind w:right="237"/>
        <w:jc w:val="both"/>
        <w:rPr>
          <w:sz w:val="24"/>
          <w:szCs w:val="24"/>
        </w:rPr>
      </w:pPr>
    </w:p>
    <w:p w14:paraId="46C13373" w14:textId="4FB2A81C" w:rsidR="007025EB" w:rsidRPr="00494611" w:rsidRDefault="00494611" w:rsidP="007025EB">
      <w:pPr>
        <w:ind w:right="237"/>
        <w:jc w:val="both"/>
        <w:rPr>
          <w:b/>
          <w:bCs/>
          <w:sz w:val="24"/>
          <w:szCs w:val="24"/>
        </w:rPr>
      </w:pPr>
      <w:r w:rsidRPr="00494611">
        <w:rPr>
          <w:b/>
          <w:bCs/>
          <w:sz w:val="24"/>
          <w:szCs w:val="24"/>
        </w:rPr>
        <w:t>2025 words</w:t>
      </w:r>
    </w:p>
    <w:p w14:paraId="7CDF9C77" w14:textId="77777777" w:rsidR="007025EB" w:rsidRPr="007025EB" w:rsidRDefault="007025EB" w:rsidP="007025EB">
      <w:pPr>
        <w:ind w:right="237"/>
        <w:jc w:val="both"/>
        <w:rPr>
          <w:sz w:val="24"/>
          <w:szCs w:val="24"/>
        </w:rPr>
      </w:pPr>
    </w:p>
    <w:p w14:paraId="29826B55" w14:textId="77777777" w:rsidR="007025EB" w:rsidRPr="007025EB" w:rsidRDefault="007025EB" w:rsidP="007025EB">
      <w:pPr>
        <w:ind w:right="237"/>
        <w:jc w:val="both"/>
        <w:rPr>
          <w:sz w:val="24"/>
          <w:szCs w:val="24"/>
        </w:rPr>
      </w:pPr>
    </w:p>
    <w:p w14:paraId="0B5C5727" w14:textId="77777777" w:rsidR="007025EB" w:rsidRPr="007025EB" w:rsidRDefault="007025EB" w:rsidP="007025EB">
      <w:pPr>
        <w:ind w:right="237"/>
        <w:jc w:val="both"/>
        <w:rPr>
          <w:sz w:val="24"/>
          <w:szCs w:val="24"/>
        </w:rPr>
      </w:pPr>
    </w:p>
    <w:p w14:paraId="70881A47" w14:textId="77777777" w:rsidR="007025EB" w:rsidRPr="007025EB" w:rsidRDefault="007025EB" w:rsidP="007025EB">
      <w:pPr>
        <w:ind w:right="237"/>
        <w:jc w:val="both"/>
        <w:rPr>
          <w:sz w:val="24"/>
          <w:szCs w:val="24"/>
        </w:rPr>
      </w:pPr>
    </w:p>
    <w:p w14:paraId="30650EF4" w14:textId="77777777" w:rsidR="007025EB" w:rsidRPr="007025EB" w:rsidRDefault="007025EB" w:rsidP="007025EB">
      <w:pPr>
        <w:ind w:right="237"/>
        <w:jc w:val="both"/>
        <w:rPr>
          <w:sz w:val="24"/>
          <w:szCs w:val="24"/>
        </w:rPr>
      </w:pPr>
    </w:p>
    <w:p w14:paraId="2FFB758B" w14:textId="77777777" w:rsidR="007025EB" w:rsidRPr="007025EB" w:rsidRDefault="007025EB" w:rsidP="007025EB">
      <w:pPr>
        <w:ind w:right="237"/>
        <w:jc w:val="both"/>
        <w:rPr>
          <w:sz w:val="24"/>
          <w:szCs w:val="24"/>
        </w:rPr>
      </w:pPr>
    </w:p>
    <w:p w14:paraId="5CD9133C" w14:textId="77777777" w:rsidR="007025EB" w:rsidRPr="007025EB" w:rsidRDefault="007025EB" w:rsidP="007025EB">
      <w:pPr>
        <w:ind w:right="237"/>
        <w:jc w:val="both"/>
        <w:rPr>
          <w:sz w:val="24"/>
          <w:szCs w:val="24"/>
        </w:rPr>
      </w:pPr>
    </w:p>
    <w:p w14:paraId="0EC3D86A" w14:textId="77777777" w:rsidR="007025EB" w:rsidRPr="007025EB" w:rsidRDefault="007025EB" w:rsidP="007025EB">
      <w:pPr>
        <w:ind w:right="237"/>
        <w:jc w:val="both"/>
        <w:rPr>
          <w:sz w:val="24"/>
          <w:szCs w:val="24"/>
        </w:rPr>
      </w:pPr>
    </w:p>
    <w:p w14:paraId="0A521867" w14:textId="77777777" w:rsidR="007025EB" w:rsidRPr="007025EB" w:rsidRDefault="007025EB" w:rsidP="007025EB">
      <w:pPr>
        <w:ind w:right="237"/>
        <w:jc w:val="both"/>
        <w:rPr>
          <w:sz w:val="24"/>
          <w:szCs w:val="24"/>
        </w:rPr>
      </w:pPr>
    </w:p>
    <w:p w14:paraId="5CFC2407" w14:textId="77777777" w:rsidR="007025EB" w:rsidRPr="007025EB" w:rsidRDefault="007025EB" w:rsidP="5CE196A1">
      <w:pPr>
        <w:ind w:right="237"/>
        <w:jc w:val="both"/>
        <w:rPr>
          <w:sz w:val="24"/>
          <w:szCs w:val="24"/>
        </w:rPr>
      </w:pPr>
    </w:p>
    <w:p w14:paraId="1E05796E" w14:textId="77777777" w:rsidR="005C76DE" w:rsidRPr="007025EB" w:rsidRDefault="005C76DE" w:rsidP="005C76DE">
      <w:pPr>
        <w:ind w:right="237"/>
        <w:jc w:val="both"/>
        <w:rPr>
          <w:sz w:val="24"/>
          <w:szCs w:val="24"/>
        </w:rPr>
      </w:pPr>
    </w:p>
    <w:p w14:paraId="042CB012" w14:textId="7990B428" w:rsidR="00025650" w:rsidRPr="007025EB" w:rsidRDefault="00025650" w:rsidP="0FF883D4">
      <w:pPr>
        <w:ind w:right="237"/>
        <w:jc w:val="both"/>
        <w:rPr>
          <w:color w:val="000000" w:themeColor="text1"/>
          <w:sz w:val="24"/>
          <w:szCs w:val="24"/>
        </w:rPr>
      </w:pPr>
    </w:p>
    <w:p w14:paraId="77185B9A" w14:textId="5DE3C839" w:rsidR="00025650" w:rsidRPr="007025EB" w:rsidRDefault="00025650" w:rsidP="0FF883D4">
      <w:pPr>
        <w:ind w:right="237"/>
        <w:jc w:val="both"/>
        <w:rPr>
          <w:color w:val="000000" w:themeColor="text1"/>
          <w:sz w:val="24"/>
          <w:szCs w:val="24"/>
        </w:rPr>
      </w:pPr>
    </w:p>
    <w:p w14:paraId="00BED0F7" w14:textId="4DDE863A" w:rsidR="00025650" w:rsidRPr="007025EB" w:rsidRDefault="00025650" w:rsidP="0FF883D4">
      <w:pPr>
        <w:ind w:right="237"/>
        <w:jc w:val="both"/>
        <w:rPr>
          <w:color w:val="000000" w:themeColor="text1"/>
          <w:sz w:val="24"/>
          <w:szCs w:val="24"/>
        </w:rPr>
      </w:pPr>
    </w:p>
    <w:p w14:paraId="2E902B8F" w14:textId="04D4B231" w:rsidR="00025650" w:rsidRPr="007025EB" w:rsidRDefault="00025650" w:rsidP="0FF883D4">
      <w:pPr>
        <w:ind w:right="237"/>
        <w:jc w:val="both"/>
        <w:rPr>
          <w:color w:val="000000" w:themeColor="text1"/>
          <w:sz w:val="24"/>
          <w:szCs w:val="24"/>
        </w:rPr>
      </w:pPr>
    </w:p>
    <w:p w14:paraId="72529F42" w14:textId="291D3A23" w:rsidR="00025650" w:rsidRPr="007025EB"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lastRenderedPageBreak/>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1BA6705" w:rsidR="0FF883D4" w:rsidRDefault="5CE196A1" w:rsidP="5CE196A1">
      <w:r w:rsidRPr="5CE196A1">
        <w:rPr>
          <w:rFonts w:eastAsia="Arial"/>
          <w:b/>
          <w:bCs/>
          <w:color w:val="000000" w:themeColor="text1"/>
          <w:sz w:val="24"/>
          <w:szCs w:val="24"/>
        </w:rPr>
        <w:t xml:space="preserve">Signed: </w:t>
      </w:r>
      <w:r w:rsidR="00795B5B">
        <w:rPr>
          <w:rFonts w:eastAsia="Arial"/>
          <w:b/>
          <w:bCs/>
          <w:color w:val="000000" w:themeColor="text1"/>
          <w:sz w:val="24"/>
          <w:szCs w:val="24"/>
        </w:rPr>
        <w:t>KEJONES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77929292" w:rsidR="0FF883D4" w:rsidRPr="00AF63E3" w:rsidRDefault="5CE196A1" w:rsidP="00AF63E3">
      <w:pPr>
        <w:sectPr w:rsidR="0FF883D4" w:rsidRPr="00AF63E3"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AF63E3">
        <w:t xml:space="preserve"> </w:t>
      </w:r>
      <w:r w:rsidR="00795B5B">
        <w:rPr>
          <w:b/>
          <w:bCs/>
          <w:sz w:val="24"/>
          <w:szCs w:val="24"/>
          <w:lang w:eastAsia="zh-TW"/>
        </w:rPr>
        <w:t>22/01/2023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53B1DEAD"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College of Policing (2014) Code of Ethics. Available at: </w:t>
      </w:r>
      <w:hyperlink r:id="rId16" w:history="1">
        <w:r w:rsidRPr="001436F4">
          <w:rPr>
            <w:rFonts w:asciiTheme="minorHAnsi" w:eastAsiaTheme="minorHAnsi" w:hAnsiTheme="minorHAnsi" w:cstheme="minorBidi"/>
            <w:color w:val="0563C1" w:themeColor="hyperlink"/>
            <w:kern w:val="2"/>
            <w:sz w:val="22"/>
            <w:szCs w:val="22"/>
            <w:u w:val="single"/>
            <w:lang w:eastAsia="en-US"/>
            <w14:ligatures w14:val="standardContextual"/>
          </w:rPr>
          <w:t>https://assets.college.police.uk/s3fs-public/2021-02/code_of_ethics.pdf</w:t>
        </w:r>
      </w:hyperlink>
      <w:r w:rsidRPr="001436F4">
        <w:rPr>
          <w:rFonts w:asciiTheme="minorHAnsi" w:eastAsiaTheme="minorHAnsi" w:hAnsiTheme="minorHAnsi" w:cstheme="minorBidi"/>
          <w:color w:val="auto"/>
          <w:kern w:val="2"/>
          <w:sz w:val="22"/>
          <w:szCs w:val="22"/>
          <w:lang w:eastAsia="en-US"/>
          <w14:ligatures w14:val="standardContextual"/>
        </w:rPr>
        <w:t xml:space="preserve"> [Accessed 20 September 2023]. </w:t>
      </w:r>
    </w:p>
    <w:p w14:paraId="69B876A6"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College of Policing (2024). Forward, vulnerability-related risks. Available at: </w:t>
      </w:r>
      <w:hyperlink r:id="rId17" w:history="1">
        <w:r w:rsidRPr="001436F4">
          <w:rPr>
            <w:rFonts w:asciiTheme="minorHAnsi" w:eastAsiaTheme="minorHAnsi" w:hAnsiTheme="minorHAnsi" w:cstheme="minorBidi"/>
            <w:color w:val="0563C1" w:themeColor="hyperlink"/>
            <w:kern w:val="2"/>
            <w:sz w:val="22"/>
            <w:szCs w:val="22"/>
            <w:u w:val="single"/>
            <w:lang w:eastAsia="en-US"/>
            <w14:ligatures w14:val="standardContextual"/>
          </w:rPr>
          <w:t>https://www.college.police.uk/guidance/vulnerability-related-risks</w:t>
        </w:r>
      </w:hyperlink>
      <w:r w:rsidRPr="001436F4">
        <w:rPr>
          <w:rFonts w:asciiTheme="minorHAnsi" w:eastAsiaTheme="minorHAnsi" w:hAnsiTheme="minorHAnsi" w:cstheme="minorBidi"/>
          <w:color w:val="auto"/>
          <w:kern w:val="2"/>
          <w:sz w:val="22"/>
          <w:szCs w:val="22"/>
          <w:lang w:eastAsia="en-US"/>
          <w14:ligatures w14:val="standardContextual"/>
        </w:rPr>
        <w:t xml:space="preserve"> [Accessed 18 January 2024]. </w:t>
      </w:r>
    </w:p>
    <w:p w14:paraId="64ACBC68"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College of Policing (no date) Evidence Based Policing. Available at: </w:t>
      </w:r>
      <w:hyperlink r:id="rId18" w:history="1">
        <w:r w:rsidRPr="001436F4">
          <w:rPr>
            <w:rFonts w:asciiTheme="minorHAnsi" w:eastAsiaTheme="minorHAnsi" w:hAnsiTheme="minorHAnsi" w:cstheme="minorBidi"/>
            <w:color w:val="0563C1" w:themeColor="hyperlink"/>
            <w:kern w:val="2"/>
            <w:sz w:val="22"/>
            <w:szCs w:val="22"/>
            <w:u w:val="single"/>
            <w:lang w:eastAsia="en-US"/>
            <w14:ligatures w14:val="standardContextual"/>
          </w:rPr>
          <w:t>https://www.college.police.uk/research/evidence-based-policing-EBP</w:t>
        </w:r>
      </w:hyperlink>
      <w:r w:rsidRPr="001436F4">
        <w:rPr>
          <w:rFonts w:asciiTheme="minorHAnsi" w:eastAsiaTheme="minorHAnsi" w:hAnsiTheme="minorHAnsi" w:cstheme="minorBidi"/>
          <w:color w:val="auto"/>
          <w:kern w:val="2"/>
          <w:sz w:val="22"/>
          <w:szCs w:val="22"/>
          <w:lang w:eastAsia="en-US"/>
          <w14:ligatures w14:val="standardContextual"/>
        </w:rPr>
        <w:t xml:space="preserve"> [Accessed 17 January 2024]. </w:t>
      </w:r>
    </w:p>
    <w:p w14:paraId="51C4D685"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College of Policing (no date). Early special measures discussions between the police and the Crown Prosecution Service. Available at: </w:t>
      </w:r>
      <w:hyperlink r:id="rId19" w:history="1">
        <w:r w:rsidRPr="001436F4">
          <w:rPr>
            <w:rFonts w:asciiTheme="minorHAnsi" w:eastAsiaTheme="minorHAnsi" w:hAnsiTheme="minorHAnsi" w:cstheme="minorBidi"/>
            <w:color w:val="0563C1" w:themeColor="hyperlink"/>
            <w:kern w:val="2"/>
            <w:sz w:val="22"/>
            <w:szCs w:val="22"/>
            <w:u w:val="single"/>
            <w:lang w:eastAsia="en-US"/>
            <w14:ligatures w14:val="standardContextual"/>
          </w:rPr>
          <w:t>https://library.college.police.uk/docs/cps/Early_special_measures_discussions_between_the_police_and_the_CPS.pdf</w:t>
        </w:r>
      </w:hyperlink>
      <w:r w:rsidRPr="001436F4">
        <w:rPr>
          <w:rFonts w:asciiTheme="minorHAnsi" w:eastAsiaTheme="minorHAnsi" w:hAnsiTheme="minorHAnsi" w:cstheme="minorBidi"/>
          <w:color w:val="auto"/>
          <w:kern w:val="2"/>
          <w:sz w:val="22"/>
          <w:szCs w:val="22"/>
          <w:lang w:eastAsia="en-US"/>
          <w14:ligatures w14:val="standardContextual"/>
        </w:rPr>
        <w:t xml:space="preserve"> [Accessed 10 January 2024]. </w:t>
      </w:r>
    </w:p>
    <w:p w14:paraId="07668602"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CPS (2019) Hate Crime. Available at: </w:t>
      </w:r>
      <w:hyperlink r:id="rId20" w:history="1">
        <w:r w:rsidRPr="001436F4">
          <w:rPr>
            <w:rFonts w:asciiTheme="minorHAnsi" w:eastAsiaTheme="minorHAnsi" w:hAnsiTheme="minorHAnsi" w:cstheme="minorBidi"/>
            <w:color w:val="0563C1" w:themeColor="hyperlink"/>
            <w:kern w:val="2"/>
            <w:sz w:val="22"/>
            <w:szCs w:val="22"/>
            <w:u w:val="single"/>
            <w:lang w:eastAsia="en-US"/>
            <w14:ligatures w14:val="standardContextual"/>
          </w:rPr>
          <w:t>https://www.cps.gov.uk/crime-info/hate-crime</w:t>
        </w:r>
      </w:hyperlink>
      <w:r w:rsidRPr="001436F4">
        <w:rPr>
          <w:rFonts w:asciiTheme="minorHAnsi" w:eastAsiaTheme="minorHAnsi" w:hAnsiTheme="minorHAnsi" w:cstheme="minorBidi"/>
          <w:color w:val="auto"/>
          <w:kern w:val="2"/>
          <w:sz w:val="22"/>
          <w:szCs w:val="22"/>
          <w:lang w:eastAsia="en-US"/>
          <w14:ligatures w14:val="standardContextual"/>
        </w:rPr>
        <w:t xml:space="preserve"> [Accessed 22 December 2023]. </w:t>
      </w:r>
    </w:p>
    <w:p w14:paraId="032FBE77"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Donovan, C and Hester, M. (2015). Domestic violence and sexuality: what's love got to do with </w:t>
      </w:r>
      <w:proofErr w:type="gramStart"/>
      <w:r w:rsidRPr="001436F4">
        <w:rPr>
          <w:rFonts w:asciiTheme="minorHAnsi" w:eastAsiaTheme="minorHAnsi" w:hAnsiTheme="minorHAnsi" w:cstheme="minorBidi"/>
          <w:color w:val="auto"/>
          <w:kern w:val="2"/>
          <w:sz w:val="22"/>
          <w:szCs w:val="22"/>
          <w:lang w:eastAsia="en-US"/>
          <w14:ligatures w14:val="standardContextual"/>
        </w:rPr>
        <w:t>it?.</w:t>
      </w:r>
      <w:proofErr w:type="gramEnd"/>
      <w:r w:rsidRPr="001436F4">
        <w:rPr>
          <w:rFonts w:asciiTheme="minorHAnsi" w:eastAsiaTheme="minorHAnsi" w:hAnsiTheme="minorHAnsi" w:cstheme="minorBidi"/>
          <w:color w:val="auto"/>
          <w:kern w:val="2"/>
          <w:sz w:val="22"/>
          <w:szCs w:val="22"/>
          <w:lang w:eastAsia="en-US"/>
          <w14:ligatures w14:val="standardContextual"/>
        </w:rPr>
        <w:t xml:space="preserve"> Bristol: Policy Press.</w:t>
      </w:r>
    </w:p>
    <w:p w14:paraId="59AA967F"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Duggan, M, E.D. 2018. Revisiting </w:t>
      </w:r>
      <w:proofErr w:type="spellStart"/>
      <w:r w:rsidRPr="001436F4">
        <w:rPr>
          <w:rFonts w:asciiTheme="minorHAnsi" w:eastAsiaTheme="minorHAnsi" w:hAnsiTheme="minorHAnsi" w:cstheme="minorBidi"/>
          <w:color w:val="auto"/>
          <w:kern w:val="2"/>
          <w:sz w:val="22"/>
          <w:szCs w:val="22"/>
          <w:lang w:eastAsia="en-US"/>
          <w14:ligatures w14:val="standardContextual"/>
        </w:rPr>
        <w:t>the'ideal</w:t>
      </w:r>
      <w:proofErr w:type="spellEnd"/>
      <w:r w:rsidRPr="001436F4">
        <w:rPr>
          <w:rFonts w:asciiTheme="minorHAnsi" w:eastAsiaTheme="minorHAnsi" w:hAnsiTheme="minorHAnsi" w:cstheme="minorBidi"/>
          <w:color w:val="auto"/>
          <w:kern w:val="2"/>
          <w:sz w:val="22"/>
          <w:szCs w:val="22"/>
          <w:lang w:eastAsia="en-US"/>
          <w14:ligatures w14:val="standardContextual"/>
        </w:rPr>
        <w:t xml:space="preserve"> victim': Developments in critical victimology. London: Policy Press.</w:t>
      </w:r>
    </w:p>
    <w:p w14:paraId="005C79FB"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i/>
          <w:iCs/>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Fineman, M.A (2013) </w:t>
      </w:r>
      <w:r w:rsidRPr="001436F4">
        <w:rPr>
          <w:rFonts w:asciiTheme="minorHAnsi" w:eastAsiaTheme="minorHAnsi" w:hAnsiTheme="minorHAnsi" w:cstheme="minorBidi"/>
          <w:i/>
          <w:iCs/>
          <w:color w:val="auto"/>
          <w:kern w:val="2"/>
          <w:sz w:val="22"/>
          <w:szCs w:val="22"/>
          <w:lang w:eastAsia="en-US"/>
          <w14:ligatures w14:val="standardContextual"/>
        </w:rPr>
        <w:t xml:space="preserve">The Public Nature of Private Violence. WOMEN and the discovery of abuse. </w:t>
      </w:r>
      <w:r w:rsidRPr="001436F4">
        <w:rPr>
          <w:rFonts w:asciiTheme="minorHAnsi" w:eastAsiaTheme="minorHAnsi" w:hAnsiTheme="minorHAnsi" w:cstheme="minorBidi"/>
          <w:color w:val="auto"/>
          <w:kern w:val="2"/>
          <w:sz w:val="22"/>
          <w:szCs w:val="22"/>
          <w:lang w:eastAsia="en-US"/>
          <w14:ligatures w14:val="standardContextual"/>
        </w:rPr>
        <w:t>United Kingdom: Routledge.</w:t>
      </w:r>
    </w:p>
    <w:p w14:paraId="76C0559E"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Gov.uk (2023) National statistics. Proven reoffending statistics: October to December 2021. Available at: </w:t>
      </w:r>
      <w:hyperlink r:id="rId21" w:history="1">
        <w:r w:rsidRPr="001436F4">
          <w:rPr>
            <w:rFonts w:asciiTheme="minorHAnsi" w:eastAsiaTheme="minorHAnsi" w:hAnsiTheme="minorHAnsi" w:cstheme="minorBidi"/>
            <w:color w:val="0563C1" w:themeColor="hyperlink"/>
            <w:kern w:val="2"/>
            <w:sz w:val="22"/>
            <w:szCs w:val="22"/>
            <w:u w:val="single"/>
            <w:lang w:eastAsia="en-US"/>
            <w14:ligatures w14:val="standardContextual"/>
          </w:rPr>
          <w:t>https://www.gov.uk/government/statistics/proven-reoffending-statistics-october-to-december-2021/proven-reoffending-statistics-october-to-december-2021</w:t>
        </w:r>
      </w:hyperlink>
      <w:r w:rsidRPr="001436F4">
        <w:rPr>
          <w:rFonts w:asciiTheme="minorHAnsi" w:eastAsiaTheme="minorHAnsi" w:hAnsiTheme="minorHAnsi" w:cstheme="minorBidi"/>
          <w:color w:val="auto"/>
          <w:kern w:val="2"/>
          <w:sz w:val="22"/>
          <w:szCs w:val="22"/>
          <w:lang w:eastAsia="en-US"/>
          <w14:ligatures w14:val="standardContextual"/>
        </w:rPr>
        <w:t xml:space="preserve"> [Accessed on 18 January 2024]. </w:t>
      </w:r>
    </w:p>
    <w:p w14:paraId="4BA17A85"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bookmarkStart w:id="1" w:name="_Hlk157374544"/>
      <w:r w:rsidRPr="001436F4">
        <w:rPr>
          <w:rFonts w:asciiTheme="minorHAnsi" w:eastAsiaTheme="minorHAnsi" w:hAnsiTheme="minorHAnsi" w:cstheme="minorBidi"/>
          <w:color w:val="auto"/>
          <w:kern w:val="2"/>
          <w:sz w:val="22"/>
          <w:szCs w:val="22"/>
          <w:lang w:eastAsia="en-US"/>
          <w14:ligatures w14:val="standardContextual"/>
        </w:rPr>
        <w:t>Her Majesty’s Inspectorate of Constabulary, 2015</w:t>
      </w:r>
      <w:bookmarkEnd w:id="1"/>
      <w:r w:rsidRPr="001436F4">
        <w:rPr>
          <w:rFonts w:asciiTheme="minorHAnsi" w:eastAsiaTheme="minorHAnsi" w:hAnsiTheme="minorHAnsi" w:cstheme="minorBidi"/>
          <w:color w:val="auto"/>
          <w:kern w:val="2"/>
          <w:sz w:val="22"/>
          <w:szCs w:val="22"/>
          <w:lang w:eastAsia="en-US"/>
          <w14:ligatures w14:val="standardContextual"/>
        </w:rPr>
        <w:t xml:space="preserve">. PEEL: Police Effectiveness 2015 (Vulnerability) A National Overview. </w:t>
      </w:r>
    </w:p>
    <w:p w14:paraId="0CE62CBE"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Legislation.gov.uk (2021) Domestic Abuse Act 2021. Available at: </w:t>
      </w:r>
      <w:hyperlink r:id="rId22" w:history="1">
        <w:r w:rsidRPr="001436F4">
          <w:rPr>
            <w:rFonts w:asciiTheme="minorHAnsi" w:eastAsiaTheme="minorHAnsi" w:hAnsiTheme="minorHAnsi" w:cstheme="minorBidi"/>
            <w:color w:val="0563C1" w:themeColor="hyperlink"/>
            <w:kern w:val="2"/>
            <w:sz w:val="22"/>
            <w:szCs w:val="22"/>
            <w:u w:val="single"/>
            <w:lang w:eastAsia="en-US"/>
            <w14:ligatures w14:val="standardContextual"/>
          </w:rPr>
          <w:t>Domestic Abuse Act 2021 (legislation.gov.uk)</w:t>
        </w:r>
      </w:hyperlink>
      <w:r w:rsidRPr="001436F4">
        <w:rPr>
          <w:rFonts w:asciiTheme="minorHAnsi" w:eastAsiaTheme="minorHAnsi" w:hAnsiTheme="minorHAnsi" w:cstheme="minorBidi"/>
          <w:color w:val="auto"/>
          <w:kern w:val="2"/>
          <w:sz w:val="22"/>
          <w:szCs w:val="22"/>
          <w:lang w:eastAsia="en-US"/>
          <w14:ligatures w14:val="standardContextual"/>
        </w:rPr>
        <w:t xml:space="preserve"> [Accessed 12 September 2023]. </w:t>
      </w:r>
    </w:p>
    <w:p w14:paraId="754F2221"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Myhill, A. Hohl, K. Johnson, K. et al 2023 The ‘officer </w:t>
      </w:r>
      <w:proofErr w:type="spellStart"/>
      <w:r w:rsidRPr="001436F4">
        <w:rPr>
          <w:rFonts w:asciiTheme="minorHAnsi" w:eastAsiaTheme="minorHAnsi" w:hAnsiTheme="minorHAnsi" w:cstheme="minorBidi"/>
          <w:color w:val="auto"/>
          <w:kern w:val="2"/>
          <w:sz w:val="22"/>
          <w:szCs w:val="22"/>
          <w:lang w:eastAsia="en-US"/>
          <w14:ligatures w14:val="standardContextual"/>
        </w:rPr>
        <w:t>effect’in</w:t>
      </w:r>
      <w:proofErr w:type="spellEnd"/>
      <w:r w:rsidRPr="001436F4">
        <w:rPr>
          <w:rFonts w:asciiTheme="minorHAnsi" w:eastAsiaTheme="minorHAnsi" w:hAnsiTheme="minorHAnsi" w:cstheme="minorBidi"/>
          <w:color w:val="auto"/>
          <w:kern w:val="2"/>
          <w:sz w:val="22"/>
          <w:szCs w:val="22"/>
          <w:lang w:eastAsia="en-US"/>
          <w14:ligatures w14:val="standardContextual"/>
        </w:rPr>
        <w:t xml:space="preserve"> risk assessment for domestic abuse: Findings from a mixed methods study in England and Wales. European Journal of criminology, 20(3), pp. 856-877.</w:t>
      </w:r>
    </w:p>
    <w:p w14:paraId="77DD3329"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Office for National Statistics (2022) Domestic abuse in England and Wales overview: November 2022. Available at: </w:t>
      </w:r>
      <w:hyperlink r:id="rId23" w:anchor=":~:text=Domestic%20abuse%20in%20the%20last,women%20and%203.0%25%20men" w:history="1">
        <w:r w:rsidRPr="001436F4">
          <w:rPr>
            <w:rFonts w:asciiTheme="minorHAnsi" w:eastAsiaTheme="minorHAnsi" w:hAnsiTheme="minorHAnsi" w:cstheme="minorBidi"/>
            <w:color w:val="0563C1" w:themeColor="hyperlink"/>
            <w:kern w:val="2"/>
            <w:sz w:val="22"/>
            <w:szCs w:val="22"/>
            <w:u w:val="single"/>
            <w:lang w:eastAsia="en-US"/>
            <w14:ligatures w14:val="standardContextual"/>
          </w:rPr>
          <w:t>https://www.ons.gov.uk/peoplepopulationandcommunity/crimeandjustice/bulletins/domesticabuseinenglandandwalesoverview/november2022#:~:text=Domestic%20abuse%20in%20the%20last,women%20and%203.0%25%20men</w:t>
        </w:r>
      </w:hyperlink>
      <w:r w:rsidRPr="001436F4">
        <w:rPr>
          <w:rFonts w:asciiTheme="minorHAnsi" w:eastAsiaTheme="minorHAnsi" w:hAnsiTheme="minorHAnsi" w:cstheme="minorBidi"/>
          <w:color w:val="auto"/>
          <w:kern w:val="2"/>
          <w:sz w:val="22"/>
          <w:szCs w:val="22"/>
          <w:lang w:eastAsia="en-US"/>
          <w14:ligatures w14:val="standardContextual"/>
        </w:rPr>
        <w:t>). [Accessed 11 September 2023].</w:t>
      </w:r>
    </w:p>
    <w:p w14:paraId="7C00B0BD"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OFN (2018) Domestic abuse: findings from the Crime Survey for England and Wales: year ending March 2018. Available at: </w:t>
      </w:r>
      <w:hyperlink r:id="rId24" w:history="1">
        <w:r w:rsidRPr="001436F4">
          <w:rPr>
            <w:rFonts w:asciiTheme="minorHAnsi" w:eastAsiaTheme="minorHAnsi" w:hAnsiTheme="minorHAnsi" w:cstheme="minorBidi"/>
            <w:color w:val="0563C1" w:themeColor="hyperlink"/>
            <w:kern w:val="2"/>
            <w:sz w:val="22"/>
            <w:szCs w:val="22"/>
            <w:u w:val="single"/>
            <w:lang w:eastAsia="en-US"/>
            <w14:ligatures w14:val="standardContextual"/>
          </w:rPr>
          <w:t>https://backup.ons.gov.uk/wp-</w:t>
        </w:r>
        <w:r w:rsidRPr="001436F4">
          <w:rPr>
            <w:rFonts w:asciiTheme="minorHAnsi" w:eastAsiaTheme="minorHAnsi" w:hAnsiTheme="minorHAnsi" w:cstheme="minorBidi"/>
            <w:color w:val="0563C1" w:themeColor="hyperlink"/>
            <w:kern w:val="2"/>
            <w:sz w:val="22"/>
            <w:szCs w:val="22"/>
            <w:u w:val="single"/>
            <w:lang w:eastAsia="en-US"/>
            <w14:ligatures w14:val="standardContextual"/>
          </w:rPr>
          <w:lastRenderedPageBreak/>
          <w:t>content/uploads/sites/3/2018/11/Domestic-abuse-findings-from-the-Crime-Survey-for-England-and-Wales-year-ending-March-2018.pdf</w:t>
        </w:r>
      </w:hyperlink>
      <w:r w:rsidRPr="001436F4">
        <w:rPr>
          <w:rFonts w:asciiTheme="minorHAnsi" w:eastAsiaTheme="minorHAnsi" w:hAnsiTheme="minorHAnsi" w:cstheme="minorBidi"/>
          <w:color w:val="auto"/>
          <w:kern w:val="2"/>
          <w:sz w:val="22"/>
          <w:szCs w:val="22"/>
          <w:lang w:eastAsia="en-US"/>
          <w14:ligatures w14:val="standardContextual"/>
        </w:rPr>
        <w:t xml:space="preserve">. [Accessed 30 September 2023]. </w:t>
      </w:r>
    </w:p>
    <w:p w14:paraId="418944D0"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bookmarkStart w:id="2" w:name="_Hlk157422488"/>
      <w:r w:rsidRPr="001436F4">
        <w:rPr>
          <w:rFonts w:asciiTheme="minorHAnsi" w:eastAsiaTheme="minorHAnsi" w:hAnsiTheme="minorHAnsi" w:cstheme="minorBidi"/>
          <w:color w:val="auto"/>
          <w:kern w:val="2"/>
          <w:sz w:val="22"/>
          <w:szCs w:val="22"/>
          <w:lang w:eastAsia="en-US"/>
          <w14:ligatures w14:val="standardContextual"/>
        </w:rPr>
        <w:t>Pepper, I., Rogers, C. and Martin, H., et al (2020)</w:t>
      </w:r>
      <w:bookmarkEnd w:id="2"/>
      <w:r w:rsidRPr="001436F4">
        <w:rPr>
          <w:rFonts w:asciiTheme="minorHAnsi" w:eastAsiaTheme="minorHAnsi" w:hAnsiTheme="minorHAnsi" w:cstheme="minorBidi"/>
          <w:color w:val="auto"/>
          <w:kern w:val="2"/>
          <w:sz w:val="22"/>
          <w:szCs w:val="22"/>
          <w:lang w:eastAsia="en-US"/>
          <w14:ligatures w14:val="standardContextual"/>
        </w:rPr>
        <w:t>. Evidence based policing: a view on its development within the police service. Journal of Work-Applied Management, 12(1), pp.91-96.</w:t>
      </w:r>
    </w:p>
    <w:p w14:paraId="4A21A6AB"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Perry, B., 2014. Hate crime: Contexts and consequences. State of the world’s minorities and indigenous populations, pp.10-17. </w:t>
      </w:r>
    </w:p>
    <w:p w14:paraId="0803D66D"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Punch, M., 2003. Policing for London and “honest policing”. </w:t>
      </w:r>
      <w:proofErr w:type="spellStart"/>
      <w:r w:rsidRPr="001436F4">
        <w:rPr>
          <w:rFonts w:asciiTheme="minorHAnsi" w:eastAsiaTheme="minorHAnsi" w:hAnsiTheme="minorHAnsi" w:cstheme="minorBidi"/>
          <w:color w:val="auto"/>
          <w:kern w:val="2"/>
          <w:sz w:val="22"/>
          <w:szCs w:val="22"/>
          <w:lang w:eastAsia="en-US"/>
          <w14:ligatures w14:val="standardContextual"/>
        </w:rPr>
        <w:t>Polizei</w:t>
      </w:r>
      <w:proofErr w:type="spellEnd"/>
      <w:r w:rsidRPr="001436F4">
        <w:rPr>
          <w:rFonts w:asciiTheme="minorHAnsi" w:eastAsiaTheme="minorHAnsi" w:hAnsiTheme="minorHAnsi" w:cstheme="minorBidi"/>
          <w:color w:val="auto"/>
          <w:kern w:val="2"/>
          <w:sz w:val="22"/>
          <w:szCs w:val="22"/>
          <w:lang w:eastAsia="en-US"/>
          <w14:ligatures w14:val="standardContextual"/>
        </w:rPr>
        <w:t xml:space="preserve">-Newsletter. http://www. </w:t>
      </w:r>
      <w:proofErr w:type="spellStart"/>
      <w:r w:rsidRPr="001436F4">
        <w:rPr>
          <w:rFonts w:asciiTheme="minorHAnsi" w:eastAsiaTheme="minorHAnsi" w:hAnsiTheme="minorHAnsi" w:cstheme="minorBidi"/>
          <w:color w:val="auto"/>
          <w:kern w:val="2"/>
          <w:sz w:val="22"/>
          <w:szCs w:val="22"/>
          <w:lang w:eastAsia="en-US"/>
          <w14:ligatures w14:val="standardContextual"/>
        </w:rPr>
        <w:t>polizei</w:t>
      </w:r>
      <w:proofErr w:type="spellEnd"/>
      <w:r w:rsidRPr="001436F4">
        <w:rPr>
          <w:rFonts w:asciiTheme="minorHAnsi" w:eastAsiaTheme="minorHAnsi" w:hAnsiTheme="minorHAnsi" w:cstheme="minorBidi"/>
          <w:color w:val="auto"/>
          <w:kern w:val="2"/>
          <w:sz w:val="22"/>
          <w:szCs w:val="22"/>
          <w:lang w:eastAsia="en-US"/>
          <w14:ligatures w14:val="standardContextual"/>
        </w:rPr>
        <w:t>-newsletter. de.</w:t>
      </w:r>
    </w:p>
    <w:p w14:paraId="1645C115"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Rolfe, G. et al (2014) ‘Big Ideas Reach touch and teach Terry Borton’, Nurse Education Today, (34) pp. 488-489.</w:t>
      </w:r>
    </w:p>
    <w:p w14:paraId="0D0CFFEC"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Sage Knowledge (2024) Multi-Agency policing. Available at: </w:t>
      </w:r>
      <w:hyperlink r:id="rId25" w:anchor=":~:text=Definition,agency%20policing%20or%20partnership%20policing" w:history="1">
        <w:r w:rsidRPr="001436F4">
          <w:rPr>
            <w:rFonts w:asciiTheme="minorHAnsi" w:eastAsiaTheme="minorHAnsi" w:hAnsiTheme="minorHAnsi" w:cstheme="minorBidi"/>
            <w:color w:val="0563C1" w:themeColor="hyperlink"/>
            <w:kern w:val="2"/>
            <w:sz w:val="22"/>
            <w:szCs w:val="22"/>
            <w:u w:val="single"/>
            <w:lang w:eastAsia="en-US"/>
            <w14:ligatures w14:val="standardContextual"/>
          </w:rPr>
          <w:t>https://sk.sagepub.com/reference/the-sage-dictionary-of-policing/n79.xml#:~:text=Definition,agency%20policing%20or%20partnership%20policing</w:t>
        </w:r>
      </w:hyperlink>
      <w:r w:rsidRPr="001436F4">
        <w:rPr>
          <w:rFonts w:asciiTheme="minorHAnsi" w:eastAsiaTheme="minorHAnsi" w:hAnsiTheme="minorHAnsi" w:cstheme="minorBidi"/>
          <w:color w:val="auto"/>
          <w:kern w:val="2"/>
          <w:sz w:val="22"/>
          <w:szCs w:val="22"/>
          <w:lang w:eastAsia="en-US"/>
          <w14:ligatures w14:val="standardContextual"/>
        </w:rPr>
        <w:t xml:space="preserve">. [Accessed 17 January 2024]. </w:t>
      </w:r>
    </w:p>
    <w:p w14:paraId="46C2CA8A"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Shackelford, T.K.  2020. The SAGE handbook of domestic violence. London: Sage publications.</w:t>
      </w:r>
    </w:p>
    <w:p w14:paraId="39E0E6C0"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Sloper, P., 2004. Facilitators and barriers for co‐ordinated multi‐agency services. Child: care, </w:t>
      </w:r>
      <w:proofErr w:type="gramStart"/>
      <w:r w:rsidRPr="001436F4">
        <w:rPr>
          <w:rFonts w:asciiTheme="minorHAnsi" w:eastAsiaTheme="minorHAnsi" w:hAnsiTheme="minorHAnsi" w:cstheme="minorBidi"/>
          <w:color w:val="auto"/>
          <w:kern w:val="2"/>
          <w:sz w:val="22"/>
          <w:szCs w:val="22"/>
          <w:lang w:eastAsia="en-US"/>
          <w14:ligatures w14:val="standardContextual"/>
        </w:rPr>
        <w:t>health</w:t>
      </w:r>
      <w:proofErr w:type="gramEnd"/>
      <w:r w:rsidRPr="001436F4">
        <w:rPr>
          <w:rFonts w:asciiTheme="minorHAnsi" w:eastAsiaTheme="minorHAnsi" w:hAnsiTheme="minorHAnsi" w:cstheme="minorBidi"/>
          <w:color w:val="auto"/>
          <w:kern w:val="2"/>
          <w:sz w:val="22"/>
          <w:szCs w:val="22"/>
          <w:lang w:eastAsia="en-US"/>
          <w14:ligatures w14:val="standardContextual"/>
        </w:rPr>
        <w:t xml:space="preserve"> and development, 30(6), pp.571-580.</w:t>
      </w:r>
    </w:p>
    <w:p w14:paraId="04012CB2"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 xml:space="preserve">Vulnerability, </w:t>
      </w:r>
      <w:proofErr w:type="gramStart"/>
      <w:r w:rsidRPr="001436F4">
        <w:rPr>
          <w:rFonts w:asciiTheme="minorHAnsi" w:eastAsiaTheme="minorHAnsi" w:hAnsiTheme="minorHAnsi" w:cstheme="minorBidi"/>
          <w:color w:val="auto"/>
          <w:kern w:val="2"/>
          <w:sz w:val="22"/>
          <w:szCs w:val="22"/>
          <w:lang w:eastAsia="en-US"/>
          <w14:ligatures w14:val="standardContextual"/>
        </w:rPr>
        <w:t>knowledge</w:t>
      </w:r>
      <w:proofErr w:type="gramEnd"/>
      <w:r w:rsidRPr="001436F4">
        <w:rPr>
          <w:rFonts w:asciiTheme="minorHAnsi" w:eastAsiaTheme="minorHAnsi" w:hAnsiTheme="minorHAnsi" w:cstheme="minorBidi"/>
          <w:color w:val="auto"/>
          <w:kern w:val="2"/>
          <w:sz w:val="22"/>
          <w:szCs w:val="22"/>
          <w:lang w:eastAsia="en-US"/>
          <w14:ligatures w14:val="standardContextual"/>
        </w:rPr>
        <w:t xml:space="preserve"> and practice program (2020). Learning for the police from Safeguarding </w:t>
      </w:r>
      <w:proofErr w:type="gramStart"/>
      <w:r w:rsidRPr="001436F4">
        <w:rPr>
          <w:rFonts w:asciiTheme="minorHAnsi" w:eastAsiaTheme="minorHAnsi" w:hAnsiTheme="minorHAnsi" w:cstheme="minorBidi"/>
          <w:color w:val="auto"/>
          <w:kern w:val="2"/>
          <w:sz w:val="22"/>
          <w:szCs w:val="22"/>
          <w:lang w:eastAsia="en-US"/>
          <w14:ligatures w14:val="standardContextual"/>
        </w:rPr>
        <w:t>Adult  Reviews</w:t>
      </w:r>
      <w:proofErr w:type="gramEnd"/>
      <w:r w:rsidRPr="001436F4">
        <w:rPr>
          <w:rFonts w:asciiTheme="minorHAnsi" w:eastAsiaTheme="minorHAnsi" w:hAnsiTheme="minorHAnsi" w:cstheme="minorBidi"/>
          <w:color w:val="auto"/>
          <w:kern w:val="2"/>
          <w:sz w:val="22"/>
          <w:szCs w:val="22"/>
          <w:lang w:eastAsia="en-US"/>
          <w14:ligatures w14:val="standardContextual"/>
        </w:rPr>
        <w:t xml:space="preserve"> – January 2020. Available at: </w:t>
      </w:r>
      <w:hyperlink r:id="rId26" w:history="1">
        <w:r w:rsidRPr="001436F4">
          <w:rPr>
            <w:rFonts w:asciiTheme="minorHAnsi" w:eastAsiaTheme="minorHAnsi" w:hAnsiTheme="minorHAnsi" w:cstheme="minorBidi"/>
            <w:color w:val="0563C1" w:themeColor="hyperlink"/>
            <w:kern w:val="2"/>
            <w:sz w:val="22"/>
            <w:szCs w:val="22"/>
            <w:u w:val="single"/>
            <w:lang w:eastAsia="en-US"/>
            <w14:ligatures w14:val="standardContextual"/>
          </w:rPr>
          <w:t>https://www.vkpp.org.uk/assets/Files/Publications/VKPP-SAR-Briefing-Jan-2020.pdf</w:t>
        </w:r>
      </w:hyperlink>
      <w:r w:rsidRPr="001436F4">
        <w:rPr>
          <w:rFonts w:asciiTheme="minorHAnsi" w:eastAsiaTheme="minorHAnsi" w:hAnsiTheme="minorHAnsi" w:cstheme="minorBidi"/>
          <w:color w:val="auto"/>
          <w:kern w:val="2"/>
          <w:sz w:val="22"/>
          <w:szCs w:val="22"/>
          <w:lang w:eastAsia="en-US"/>
          <w14:ligatures w14:val="standardContextual"/>
        </w:rPr>
        <w:t xml:space="preserve"> [Accessed 17 January 2024]. </w:t>
      </w:r>
    </w:p>
    <w:p w14:paraId="3C1C4D14" w14:textId="77777777" w:rsidR="001436F4" w:rsidRPr="001436F4" w:rsidRDefault="001436F4" w:rsidP="001436F4">
      <w:pPr>
        <w:overflowPunct/>
        <w:autoSpaceDE/>
        <w:autoSpaceDN/>
        <w:adjustRightInd/>
        <w:spacing w:after="160" w:line="276" w:lineRule="auto"/>
        <w:textAlignment w:val="auto"/>
        <w:rPr>
          <w:rFonts w:asciiTheme="minorHAnsi" w:eastAsiaTheme="minorHAnsi" w:hAnsiTheme="minorHAnsi" w:cstheme="minorBidi"/>
          <w:color w:val="auto"/>
          <w:kern w:val="2"/>
          <w:sz w:val="22"/>
          <w:szCs w:val="22"/>
          <w:lang w:eastAsia="en-US"/>
          <w14:ligatures w14:val="standardContextual"/>
        </w:rPr>
      </w:pPr>
      <w:r w:rsidRPr="001436F4">
        <w:rPr>
          <w:rFonts w:asciiTheme="minorHAnsi" w:eastAsiaTheme="minorHAnsi" w:hAnsiTheme="minorHAnsi" w:cstheme="minorBidi"/>
          <w:color w:val="auto"/>
          <w:kern w:val="2"/>
          <w:sz w:val="22"/>
          <w:szCs w:val="22"/>
          <w:lang w:eastAsia="en-US"/>
          <w14:ligatures w14:val="standardContextual"/>
        </w:rPr>
        <w:t>Wright, S. et al. (1998). Policing domestic violence: A Nottingham case-study. The Journal of Social Welfare &amp; Family Law, 20(4), pp.397-408.</w:t>
      </w:r>
    </w:p>
    <w:p w14:paraId="0AB807FE" w14:textId="5092E4B8" w:rsidR="1E8636EB" w:rsidRDefault="1E8636EB" w:rsidP="00EA28F1">
      <w:pPr>
        <w:keepNext/>
        <w:spacing w:before="240" w:after="60"/>
        <w:ind w:right="237"/>
        <w:jc w:val="both"/>
      </w:pP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94B09342"/>
    <w:lvl w:ilvl="0" w:tplc="D494D4C6">
      <w:start w:val="1"/>
      <w:numFmt w:val="decimal"/>
      <w:lvlText w:val="%1."/>
      <w:lvlJc w:val="left"/>
      <w:pPr>
        <w:ind w:left="720" w:hanging="360"/>
      </w:pPr>
    </w:lvl>
    <w:lvl w:ilvl="1" w:tplc="6A5CC584">
      <w:start w:val="1"/>
      <w:numFmt w:val="lowerLetter"/>
      <w:lvlText w:val="%2."/>
      <w:lvlJc w:val="left"/>
      <w:pPr>
        <w:ind w:left="1440" w:hanging="360"/>
      </w:pPr>
    </w:lvl>
    <w:lvl w:ilvl="2" w:tplc="D5FCAB94">
      <w:start w:val="1"/>
      <w:numFmt w:val="lowerRoman"/>
      <w:lvlText w:val="%3."/>
      <w:lvlJc w:val="right"/>
      <w:pPr>
        <w:ind w:left="2160" w:hanging="180"/>
      </w:pPr>
    </w:lvl>
    <w:lvl w:ilvl="3" w:tplc="CE1A6196">
      <w:start w:val="1"/>
      <w:numFmt w:val="decimal"/>
      <w:lvlText w:val="%4."/>
      <w:lvlJc w:val="left"/>
      <w:pPr>
        <w:ind w:left="2880" w:hanging="360"/>
      </w:pPr>
    </w:lvl>
    <w:lvl w:ilvl="4" w:tplc="27B6C854">
      <w:start w:val="1"/>
      <w:numFmt w:val="lowerLetter"/>
      <w:lvlText w:val="%5."/>
      <w:lvlJc w:val="left"/>
      <w:pPr>
        <w:ind w:left="3600" w:hanging="360"/>
      </w:pPr>
    </w:lvl>
    <w:lvl w:ilvl="5" w:tplc="BCA243AA">
      <w:start w:val="1"/>
      <w:numFmt w:val="lowerRoman"/>
      <w:lvlText w:val="%6."/>
      <w:lvlJc w:val="right"/>
      <w:pPr>
        <w:ind w:left="4320" w:hanging="180"/>
      </w:pPr>
    </w:lvl>
    <w:lvl w:ilvl="6" w:tplc="5D5CF548">
      <w:start w:val="1"/>
      <w:numFmt w:val="decimal"/>
      <w:lvlText w:val="%7."/>
      <w:lvlJc w:val="left"/>
      <w:pPr>
        <w:ind w:left="5040" w:hanging="360"/>
      </w:pPr>
    </w:lvl>
    <w:lvl w:ilvl="7" w:tplc="7EBEE36C">
      <w:start w:val="1"/>
      <w:numFmt w:val="lowerLetter"/>
      <w:lvlText w:val="%8."/>
      <w:lvlJc w:val="left"/>
      <w:pPr>
        <w:ind w:left="5760" w:hanging="360"/>
      </w:pPr>
    </w:lvl>
    <w:lvl w:ilvl="8" w:tplc="380696A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3872C7C6"/>
    <w:lvl w:ilvl="0" w:tplc="737CBD00">
      <w:start w:val="1"/>
      <w:numFmt w:val="decimal"/>
      <w:lvlText w:val="%1."/>
      <w:lvlJc w:val="left"/>
      <w:pPr>
        <w:ind w:left="720" w:hanging="360"/>
      </w:pPr>
    </w:lvl>
    <w:lvl w:ilvl="1" w:tplc="5B9C0D8A">
      <w:start w:val="1"/>
      <w:numFmt w:val="decimal"/>
      <w:lvlText w:val="%2."/>
      <w:lvlJc w:val="left"/>
      <w:pPr>
        <w:ind w:left="1440" w:hanging="360"/>
      </w:pPr>
    </w:lvl>
    <w:lvl w:ilvl="2" w:tplc="DDC420C4">
      <w:start w:val="1"/>
      <w:numFmt w:val="lowerRoman"/>
      <w:lvlText w:val="%3."/>
      <w:lvlJc w:val="right"/>
      <w:pPr>
        <w:ind w:left="2160" w:hanging="180"/>
      </w:pPr>
    </w:lvl>
    <w:lvl w:ilvl="3" w:tplc="7A1292CE">
      <w:start w:val="1"/>
      <w:numFmt w:val="decimal"/>
      <w:lvlText w:val="%4."/>
      <w:lvlJc w:val="left"/>
      <w:pPr>
        <w:ind w:left="2880" w:hanging="360"/>
      </w:pPr>
    </w:lvl>
    <w:lvl w:ilvl="4" w:tplc="8BC6A88E">
      <w:start w:val="1"/>
      <w:numFmt w:val="lowerLetter"/>
      <w:lvlText w:val="%5."/>
      <w:lvlJc w:val="left"/>
      <w:pPr>
        <w:ind w:left="3600" w:hanging="360"/>
      </w:pPr>
    </w:lvl>
    <w:lvl w:ilvl="5" w:tplc="CBBC685A">
      <w:start w:val="1"/>
      <w:numFmt w:val="lowerRoman"/>
      <w:lvlText w:val="%6."/>
      <w:lvlJc w:val="right"/>
      <w:pPr>
        <w:ind w:left="4320" w:hanging="180"/>
      </w:pPr>
    </w:lvl>
    <w:lvl w:ilvl="6" w:tplc="DA208868">
      <w:start w:val="1"/>
      <w:numFmt w:val="decimal"/>
      <w:lvlText w:val="%7."/>
      <w:lvlJc w:val="left"/>
      <w:pPr>
        <w:ind w:left="5040" w:hanging="360"/>
      </w:pPr>
    </w:lvl>
    <w:lvl w:ilvl="7" w:tplc="9C7249C8">
      <w:start w:val="1"/>
      <w:numFmt w:val="lowerLetter"/>
      <w:lvlText w:val="%8."/>
      <w:lvlJc w:val="left"/>
      <w:pPr>
        <w:ind w:left="5760" w:hanging="360"/>
      </w:pPr>
    </w:lvl>
    <w:lvl w:ilvl="8" w:tplc="039CE44C">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8087897">
    <w:abstractNumId w:val="47"/>
  </w:num>
  <w:num w:numId="2" w16cid:durableId="2002198203">
    <w:abstractNumId w:val="10"/>
  </w:num>
  <w:num w:numId="3" w16cid:durableId="937327899">
    <w:abstractNumId w:val="1"/>
    <w:lvlOverride w:ilvl="0">
      <w:lvl w:ilvl="0">
        <w:start w:val="1"/>
        <w:numFmt w:val="bullet"/>
        <w:lvlText w:val=""/>
        <w:lvlJc w:val="left"/>
        <w:pPr>
          <w:ind w:left="720" w:hanging="360"/>
        </w:pPr>
        <w:rPr>
          <w:rFonts w:ascii="Symbol" w:hAnsi="Symbol" w:hint="default"/>
        </w:rPr>
      </w:lvl>
    </w:lvlOverride>
  </w:num>
  <w:num w:numId="4" w16cid:durableId="1585215699">
    <w:abstractNumId w:val="22"/>
  </w:num>
  <w:num w:numId="5" w16cid:durableId="656109255">
    <w:abstractNumId w:val="44"/>
  </w:num>
  <w:num w:numId="6" w16cid:durableId="881283836">
    <w:abstractNumId w:val="46"/>
  </w:num>
  <w:num w:numId="7" w16cid:durableId="1858619870">
    <w:abstractNumId w:val="34"/>
  </w:num>
  <w:num w:numId="8" w16cid:durableId="742726637">
    <w:abstractNumId w:val="32"/>
  </w:num>
  <w:num w:numId="9" w16cid:durableId="1080055246">
    <w:abstractNumId w:val="29"/>
  </w:num>
  <w:num w:numId="10" w16cid:durableId="393358191">
    <w:abstractNumId w:val="30"/>
  </w:num>
  <w:num w:numId="11" w16cid:durableId="677662975">
    <w:abstractNumId w:val="9"/>
  </w:num>
  <w:num w:numId="12" w16cid:durableId="1760329136">
    <w:abstractNumId w:val="33"/>
  </w:num>
  <w:num w:numId="13" w16cid:durableId="2052529991">
    <w:abstractNumId w:val="17"/>
  </w:num>
  <w:num w:numId="14" w16cid:durableId="1508716637">
    <w:abstractNumId w:val="16"/>
  </w:num>
  <w:num w:numId="15" w16cid:durableId="1733893201">
    <w:abstractNumId w:val="26"/>
  </w:num>
  <w:num w:numId="16" w16cid:durableId="1280647213">
    <w:abstractNumId w:val="7"/>
  </w:num>
  <w:num w:numId="17" w16cid:durableId="1912736739">
    <w:abstractNumId w:val="25"/>
  </w:num>
  <w:num w:numId="18" w16cid:durableId="1608730925">
    <w:abstractNumId w:val="15"/>
  </w:num>
  <w:num w:numId="19" w16cid:durableId="1085801810">
    <w:abstractNumId w:val="13"/>
  </w:num>
  <w:num w:numId="20" w16cid:durableId="82898327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38369486">
    <w:abstractNumId w:val="23"/>
  </w:num>
  <w:num w:numId="22" w16cid:durableId="480075954">
    <w:abstractNumId w:val="18"/>
  </w:num>
  <w:num w:numId="23" w16cid:durableId="223687288">
    <w:abstractNumId w:val="14"/>
  </w:num>
  <w:num w:numId="24" w16cid:durableId="917784179">
    <w:abstractNumId w:val="11"/>
  </w:num>
  <w:num w:numId="25" w16cid:durableId="958418657">
    <w:abstractNumId w:val="27"/>
  </w:num>
  <w:num w:numId="26" w16cid:durableId="957949929">
    <w:abstractNumId w:val="19"/>
  </w:num>
  <w:num w:numId="27" w16cid:durableId="223833436">
    <w:abstractNumId w:val="40"/>
  </w:num>
  <w:num w:numId="28" w16cid:durableId="1797990960">
    <w:abstractNumId w:val="35"/>
  </w:num>
  <w:num w:numId="29" w16cid:durableId="107237758">
    <w:abstractNumId w:val="39"/>
  </w:num>
  <w:num w:numId="30" w16cid:durableId="662898607">
    <w:abstractNumId w:val="20"/>
  </w:num>
  <w:num w:numId="31" w16cid:durableId="1182822094">
    <w:abstractNumId w:val="42"/>
  </w:num>
  <w:num w:numId="32" w16cid:durableId="1996448615">
    <w:abstractNumId w:val="31"/>
  </w:num>
  <w:num w:numId="33" w16cid:durableId="1756365805">
    <w:abstractNumId w:val="12"/>
  </w:num>
  <w:num w:numId="34" w16cid:durableId="592511678">
    <w:abstractNumId w:val="43"/>
  </w:num>
  <w:num w:numId="35" w16cid:durableId="267006480">
    <w:abstractNumId w:val="38"/>
  </w:num>
  <w:num w:numId="36" w16cid:durableId="1335450539">
    <w:abstractNumId w:val="4"/>
  </w:num>
  <w:num w:numId="37" w16cid:durableId="976688302">
    <w:abstractNumId w:val="45"/>
  </w:num>
  <w:num w:numId="38" w16cid:durableId="1284993298">
    <w:abstractNumId w:val="41"/>
  </w:num>
  <w:num w:numId="39" w16cid:durableId="847018813">
    <w:abstractNumId w:val="36"/>
  </w:num>
  <w:num w:numId="40" w16cid:durableId="1234856053">
    <w:abstractNumId w:val="37"/>
  </w:num>
  <w:num w:numId="41" w16cid:durableId="130053910">
    <w:abstractNumId w:val="3"/>
  </w:num>
  <w:num w:numId="42" w16cid:durableId="1584954386">
    <w:abstractNumId w:val="5"/>
  </w:num>
  <w:num w:numId="43" w16cid:durableId="839083713">
    <w:abstractNumId w:val="24"/>
  </w:num>
  <w:num w:numId="44" w16cid:durableId="90585371">
    <w:abstractNumId w:val="6"/>
  </w:num>
  <w:num w:numId="45" w16cid:durableId="1317346038">
    <w:abstractNumId w:val="2"/>
  </w:num>
  <w:num w:numId="46" w16cid:durableId="1044671016">
    <w:abstractNumId w:val="0"/>
  </w:num>
  <w:num w:numId="47" w16cid:durableId="1482842296">
    <w:abstractNumId w:val="21"/>
  </w:num>
  <w:num w:numId="48" w16cid:durableId="131748898">
    <w:abstractNumId w:val="28"/>
  </w:num>
  <w:num w:numId="49" w16cid:durableId="29197958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4167"/>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61B"/>
    <w:rsid w:val="00130E83"/>
    <w:rsid w:val="001347F8"/>
    <w:rsid w:val="00137BB5"/>
    <w:rsid w:val="00137E05"/>
    <w:rsid w:val="001436F4"/>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0B1"/>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86735"/>
    <w:rsid w:val="00291ADD"/>
    <w:rsid w:val="00294868"/>
    <w:rsid w:val="00295CA1"/>
    <w:rsid w:val="002A291A"/>
    <w:rsid w:val="002A5604"/>
    <w:rsid w:val="002A59E7"/>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1ECF"/>
    <w:rsid w:val="00482C17"/>
    <w:rsid w:val="004911B4"/>
    <w:rsid w:val="0049196A"/>
    <w:rsid w:val="004923DA"/>
    <w:rsid w:val="00493434"/>
    <w:rsid w:val="00494611"/>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222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25EB"/>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5B5B"/>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7F7D9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1A66"/>
    <w:rsid w:val="009079BD"/>
    <w:rsid w:val="00912BD9"/>
    <w:rsid w:val="00916CFB"/>
    <w:rsid w:val="00920E5B"/>
    <w:rsid w:val="009249F8"/>
    <w:rsid w:val="00926436"/>
    <w:rsid w:val="0093018C"/>
    <w:rsid w:val="00932CCA"/>
    <w:rsid w:val="009544C0"/>
    <w:rsid w:val="00954FA4"/>
    <w:rsid w:val="00956AE9"/>
    <w:rsid w:val="0096219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0E5"/>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3E3"/>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3E5C"/>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35493"/>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research/evidence-based-policing-EBP" TargetMode="External"/><Relationship Id="rId26" Type="http://schemas.openxmlformats.org/officeDocument/2006/relationships/hyperlink" Target="https://www.vkpp.org.uk/assets/Files/Publications/VKPP-SAR-Briefing-Jan-2020.pdf" TargetMode="External"/><Relationship Id="rId3" Type="http://schemas.openxmlformats.org/officeDocument/2006/relationships/customXml" Target="../customXml/item3.xml"/><Relationship Id="rId21" Type="http://schemas.openxmlformats.org/officeDocument/2006/relationships/hyperlink" Target="https://www.gov.uk/government/statistics/proven-reoffending-statistics-october-to-december-2021/proven-reoffending-statistics-october-to-december-202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vulnerability-related-risks" TargetMode="External"/><Relationship Id="rId25" Type="http://schemas.openxmlformats.org/officeDocument/2006/relationships/hyperlink" Target="https://sk.sagepub.com/reference/the-sage-dictionary-of-policing/n79.xml" TargetMode="External"/><Relationship Id="rId2" Type="http://schemas.openxmlformats.org/officeDocument/2006/relationships/customXml" Target="../customXml/item2.xml"/><Relationship Id="rId16" Type="http://schemas.openxmlformats.org/officeDocument/2006/relationships/hyperlink" Target="https://assets.college.police.uk/s3fs-public/2021-02/code_of_ethics.pdf" TargetMode="External"/><Relationship Id="rId20" Type="http://schemas.openxmlformats.org/officeDocument/2006/relationships/hyperlink" Target="https://www.cps.gov.uk/crime-info/hate-crime"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ackup.ons.gov.uk/wp-content/uploads/sites/3/2018/11/Domestic-abuse-findings-from-the-Crime-Survey-for-England-and-Wales-year-ending-March-2018.pdf"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ons.gov.uk/peoplepopulationandcommunity/crimeandjustice/bulletins/domesticabuseinenglandandwalesoverview/november2022"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library.college.police.uk/docs/cps/Early_special_measures_discussions_between_the_police_and_the_CP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legislation.gov.uk/ukpga/2021/17/section/1/enacte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22</Pages>
  <Words>6074</Words>
  <Characters>34412</Characters>
  <Application>Microsoft Office Word</Application>
  <DocSecurity>0</DocSecurity>
  <Lines>286</Lines>
  <Paragraphs>80</Paragraphs>
  <ScaleCrop>false</ScaleCrop>
  <Company>Powys County Council</Company>
  <LinksUpToDate>false</LinksUpToDate>
  <CharactersWithSpaces>40406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Jones,Kate swp8379</cp:lastModifiedBy>
  <cp:revision>19</cp:revision>
  <cp:lastPrinted>2014-08-26T08:55:00Z</cp:lastPrinted>
  <dcterms:created xsi:type="dcterms:W3CDTF">2023-07-18T17:39:00Z</dcterms:created>
  <dcterms:modified xsi:type="dcterms:W3CDTF">2024-01-29T13:07:00Z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2023-07-18T17:39:40Z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a8f40014-c8a2-4a24-9e21-e3d547027711</vt:lpwstr>
  </property>
  <property fmtid="{D5CDD505-2E9C-101B-9397-08002B2CF9AE}" pid="9" name="MSIP_Label_66cf8fe5-b7b7-4df7-b38d-1c61ac2f6639_ContentBits">
    <vt:lpwstr>0</vt:lpwstr>
  </property>
</Properties>
</file>