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DD4E32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539F" w:rsidRPr="0091539F">
              <w:rPr>
                <w:rFonts w:ascii="Times New Roman" w:hAnsi="Times New Roman" w:cs="Times New Roman"/>
                <w:bCs/>
                <w:color w:val="auto"/>
                <w:sz w:val="48"/>
              </w:rPr>
              <w:t>Helen Westermark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CBF246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539F">
              <w:rPr>
                <w:rFonts w:ascii="Times New Roman" w:hAnsi="Times New Roman" w:cs="Times New Roman"/>
                <w:b/>
                <w:color w:val="auto"/>
                <w:sz w:val="48"/>
              </w:rPr>
              <w:t xml:space="preserve"> </w:t>
            </w:r>
            <w:r w:rsidR="0091539F" w:rsidRPr="0091539F">
              <w:rPr>
                <w:rFonts w:ascii="Times New Roman" w:hAnsi="Times New Roman" w:cs="Times New Roman"/>
                <w:bCs/>
                <w:color w:val="auto"/>
                <w:sz w:val="48"/>
              </w:rPr>
              <w:t>2005605@student.uwtsd.ac.uk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DEC6FC9" w14:textId="1B6C93D7" w:rsidR="0091539F" w:rsidRPr="0091539F" w:rsidRDefault="0091539F" w:rsidP="005D3F07">
            <w:pPr>
              <w:overflowPunct/>
              <w:autoSpaceDE/>
              <w:autoSpaceDN/>
              <w:adjustRightInd/>
              <w:ind w:right="-957"/>
              <w:textAlignment w:val="auto"/>
              <w:rPr>
                <w:rFonts w:ascii="Times New Roman" w:hAnsi="Times New Roman" w:cs="Times New Roman"/>
                <w:bCs/>
                <w:color w:val="auto"/>
                <w:sz w:val="48"/>
              </w:rPr>
            </w:pPr>
            <w:r w:rsidRPr="0091539F">
              <w:rPr>
                <w:rFonts w:ascii="Times New Roman" w:hAnsi="Times New Roman" w:cs="Times New Roman"/>
                <w:bCs/>
                <w:color w:val="auto"/>
                <w:sz w:val="48"/>
              </w:rPr>
              <w:t>2005605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C6A59A3" w14:textId="77777777" w:rsidR="005319E1" w:rsidRDefault="005319E1" w:rsidP="005319E1">
            <w:pPr>
              <w:pStyle w:val="NormalWeb"/>
              <w:spacing w:line="360" w:lineRule="auto"/>
              <w:jc w:val="both"/>
              <w:rPr>
                <w:rFonts w:ascii="Arial" w:hAnsi="Arial" w:cs="Arial"/>
              </w:rPr>
            </w:pPr>
            <w:r w:rsidRPr="007450AD">
              <w:rPr>
                <w:rFonts w:ascii="Arial" w:hAnsi="Arial" w:cs="Arial"/>
              </w:rPr>
              <w:t>In this assignment, I will critically reflect on a case</w:t>
            </w:r>
            <w:r>
              <w:rPr>
                <w:rFonts w:ascii="Arial" w:hAnsi="Arial" w:cs="Arial"/>
              </w:rPr>
              <w:t xml:space="preserve"> within my second year of practice,</w:t>
            </w:r>
            <w:r w:rsidRPr="007450AD">
              <w:rPr>
                <w:rFonts w:ascii="Arial" w:hAnsi="Arial" w:cs="Arial"/>
              </w:rPr>
              <w:t xml:space="preserve"> in which I undertook a needs assessment with an adult service user, referred to as Person </w:t>
            </w:r>
            <w:r>
              <w:rPr>
                <w:rFonts w:ascii="Arial" w:hAnsi="Arial" w:cs="Arial"/>
              </w:rPr>
              <w:t>2</w:t>
            </w:r>
            <w:r w:rsidRPr="007450AD">
              <w:rPr>
                <w:rFonts w:ascii="Arial" w:hAnsi="Arial" w:cs="Arial"/>
              </w:rPr>
              <w:t xml:space="preserve"> (P</w:t>
            </w:r>
            <w:r>
              <w:rPr>
                <w:rFonts w:ascii="Arial" w:hAnsi="Arial" w:cs="Arial"/>
              </w:rPr>
              <w:t>2</w:t>
            </w:r>
            <w:r w:rsidRPr="007450AD">
              <w:rPr>
                <w:rFonts w:ascii="Arial" w:hAnsi="Arial" w:cs="Arial"/>
              </w:rPr>
              <w:t>), within Adult Social Services. The assessment was initiated following concerns raised by P</w:t>
            </w:r>
            <w:r>
              <w:rPr>
                <w:rFonts w:ascii="Arial" w:hAnsi="Arial" w:cs="Arial"/>
              </w:rPr>
              <w:t>2</w:t>
            </w:r>
            <w:r w:rsidRPr="007450AD">
              <w:rPr>
                <w:rFonts w:ascii="Arial" w:hAnsi="Arial" w:cs="Arial"/>
              </w:rPr>
              <w:t>’s support worker regarding escalating alcohol dependency, increasing indicators of self</w:t>
            </w:r>
            <w:r w:rsidRPr="007450AD">
              <w:rPr>
                <w:rFonts w:ascii="Arial" w:hAnsi="Arial" w:cs="Arial"/>
              </w:rPr>
              <w:noBreakHyphen/>
              <w:t>neglect, deterioration in physical health, environmental risks within the home, and P</w:t>
            </w:r>
            <w:r>
              <w:rPr>
                <w:rFonts w:ascii="Arial" w:hAnsi="Arial" w:cs="Arial"/>
              </w:rPr>
              <w:t>2</w:t>
            </w:r>
            <w:r w:rsidRPr="007450AD">
              <w:rPr>
                <w:rFonts w:ascii="Arial" w:hAnsi="Arial" w:cs="Arial"/>
              </w:rPr>
              <w:t xml:space="preserve">’s ongoing refusal to engage with support. </w:t>
            </w:r>
            <w:r>
              <w:rPr>
                <w:rFonts w:ascii="Arial" w:hAnsi="Arial" w:cs="Arial"/>
              </w:rPr>
              <w:t xml:space="preserve"> </w:t>
            </w:r>
            <w:r w:rsidRPr="007450AD">
              <w:rPr>
                <w:rFonts w:ascii="Arial" w:hAnsi="Arial" w:cs="Arial"/>
              </w:rPr>
              <w:t>These concerns suggested that P</w:t>
            </w:r>
            <w:r>
              <w:rPr>
                <w:rFonts w:ascii="Arial" w:hAnsi="Arial" w:cs="Arial"/>
              </w:rPr>
              <w:t>2</w:t>
            </w:r>
            <w:r w:rsidRPr="007450AD">
              <w:rPr>
                <w:rFonts w:ascii="Arial" w:hAnsi="Arial" w:cs="Arial"/>
              </w:rPr>
              <w:t xml:space="preserve"> me</w:t>
            </w:r>
            <w:r>
              <w:rPr>
                <w:rFonts w:ascii="Arial" w:hAnsi="Arial" w:cs="Arial"/>
              </w:rPr>
              <w:t>ets</w:t>
            </w:r>
            <w:r w:rsidRPr="007450AD">
              <w:rPr>
                <w:rFonts w:ascii="Arial" w:hAnsi="Arial" w:cs="Arial"/>
              </w:rPr>
              <w:t xml:space="preserve"> the criteria of an “adult at risk” under the Social Services and Well</w:t>
            </w:r>
            <w:r w:rsidRPr="007450AD">
              <w:rPr>
                <w:rFonts w:ascii="Arial" w:hAnsi="Arial" w:cs="Arial"/>
              </w:rPr>
              <w:noBreakHyphen/>
              <w:t>being (Wales) Act 2014,</w:t>
            </w:r>
            <w:r>
              <w:rPr>
                <w:rFonts w:ascii="Arial" w:hAnsi="Arial" w:cs="Arial"/>
              </w:rPr>
              <w:t xml:space="preserve"> part 3 duty to assess an adult at need,</w:t>
            </w:r>
            <w:r w:rsidRPr="007450AD">
              <w:rPr>
                <w:rFonts w:ascii="Arial" w:hAnsi="Arial" w:cs="Arial"/>
              </w:rPr>
              <w:t xml:space="preserve"> prompting the need for a safeguarding</w:t>
            </w:r>
            <w:r w:rsidRPr="007450AD">
              <w:rPr>
                <w:rFonts w:ascii="Arial" w:hAnsi="Arial" w:cs="Arial"/>
              </w:rPr>
              <w:noBreakHyphen/>
              <w:t>informed assessment of need</w:t>
            </w:r>
            <w:r>
              <w:rPr>
                <w:rFonts w:ascii="Arial" w:hAnsi="Arial" w:cs="Arial"/>
              </w:rPr>
              <w:t>.</w:t>
            </w:r>
          </w:p>
          <w:p w14:paraId="36FD73BE" w14:textId="77777777" w:rsidR="005319E1" w:rsidRPr="007450AD" w:rsidRDefault="005319E1" w:rsidP="005319E1">
            <w:pPr>
              <w:pStyle w:val="NormalWeb"/>
              <w:spacing w:line="360" w:lineRule="auto"/>
              <w:jc w:val="both"/>
              <w:rPr>
                <w:rFonts w:ascii="Arial" w:hAnsi="Arial" w:cs="Arial"/>
              </w:rPr>
            </w:pPr>
          </w:p>
          <w:p w14:paraId="344E1C56" w14:textId="77777777" w:rsidR="005319E1" w:rsidRDefault="005319E1" w:rsidP="005319E1">
            <w:pPr>
              <w:pStyle w:val="NormalWeb"/>
              <w:spacing w:line="360" w:lineRule="auto"/>
              <w:jc w:val="both"/>
              <w:rPr>
                <w:rFonts w:ascii="Arial" w:hAnsi="Arial" w:cs="Arial"/>
              </w:rPr>
            </w:pPr>
            <w:r w:rsidRPr="007450AD">
              <w:rPr>
                <w:rFonts w:ascii="Arial" w:hAnsi="Arial" w:cs="Arial"/>
              </w:rPr>
              <w:t xml:space="preserve">This case study will critically analyse the assessment process in relation to safeguarding legislation, policy and procedures in Wales, including the Wales Safeguarding Procedures (2019) and the statutory duties placed on local authorities under the </w:t>
            </w:r>
            <w:r>
              <w:rPr>
                <w:rFonts w:ascii="Arial" w:hAnsi="Arial" w:cs="Arial"/>
              </w:rPr>
              <w:t>Social Services and Well-</w:t>
            </w:r>
            <w:r>
              <w:rPr>
                <w:rFonts w:ascii="Arial" w:hAnsi="Arial" w:cs="Arial"/>
              </w:rPr>
              <w:lastRenderedPageBreak/>
              <w:t>being (Wales) Act 2014</w:t>
            </w:r>
            <w:r w:rsidRPr="007450AD">
              <w:rPr>
                <w:rFonts w:ascii="Arial" w:hAnsi="Arial" w:cs="Arial"/>
              </w:rPr>
              <w:t xml:space="preserve">. </w:t>
            </w:r>
            <w:r>
              <w:rPr>
                <w:rFonts w:ascii="Arial" w:hAnsi="Arial" w:cs="Arial"/>
              </w:rPr>
              <w:t xml:space="preserve"> </w:t>
            </w:r>
            <w:r w:rsidRPr="007450AD">
              <w:rPr>
                <w:rFonts w:ascii="Arial" w:hAnsi="Arial" w:cs="Arial"/>
              </w:rPr>
              <w:t>It will also consider the interface between Welsh safeguarding practice and wider UK and international frameworks, such as the Mental Capacity Act 2005, the Human Rights Act 1998 and the European Convention on Human Rights, which continue to shape rights</w:t>
            </w:r>
            <w:r w:rsidRPr="007450AD">
              <w:rPr>
                <w:rFonts w:ascii="Arial" w:hAnsi="Arial" w:cs="Arial"/>
              </w:rPr>
              <w:noBreakHyphen/>
              <w:t xml:space="preserve">based practice in Wales. </w:t>
            </w:r>
            <w:r>
              <w:rPr>
                <w:rFonts w:ascii="Arial" w:hAnsi="Arial" w:cs="Arial"/>
              </w:rPr>
              <w:t xml:space="preserve"> </w:t>
            </w:r>
            <w:r w:rsidRPr="007450AD">
              <w:rPr>
                <w:rFonts w:ascii="Arial" w:hAnsi="Arial" w:cs="Arial"/>
              </w:rPr>
              <w:t>Through examining the complexities of working with self</w:t>
            </w:r>
            <w:r w:rsidRPr="007450AD">
              <w:rPr>
                <w:rFonts w:ascii="Arial" w:hAnsi="Arial" w:cs="Arial"/>
              </w:rPr>
              <w:noBreakHyphen/>
              <w:t>neglect, fluctuating capacity and resistance to intervention, I will explore how professional judgement, multi</w:t>
            </w:r>
            <w:r w:rsidRPr="007450AD">
              <w:rPr>
                <w:rFonts w:ascii="Arial" w:hAnsi="Arial" w:cs="Arial"/>
              </w:rPr>
              <w:noBreakHyphen/>
              <w:t>agency collaboration and analytical reasoning informed my decision</w:t>
            </w:r>
            <w:r w:rsidRPr="007450AD">
              <w:rPr>
                <w:rFonts w:ascii="Arial" w:hAnsi="Arial" w:cs="Arial"/>
              </w:rPr>
              <w:noBreakHyphen/>
              <w:t xml:space="preserve">making. </w:t>
            </w:r>
            <w:r>
              <w:rPr>
                <w:rFonts w:ascii="Arial" w:hAnsi="Arial" w:cs="Arial"/>
              </w:rPr>
              <w:t xml:space="preserve"> </w:t>
            </w:r>
            <w:r w:rsidRPr="007450AD">
              <w:rPr>
                <w:rFonts w:ascii="Arial" w:hAnsi="Arial" w:cs="Arial"/>
              </w:rPr>
              <w:t>The reflection will draw on relevant social work theories and models of assessment to evaluate my practice and consider how the specific dimensions of working within the Welsh context influenced the approach taken.</w:t>
            </w:r>
          </w:p>
          <w:p w14:paraId="33A1E0B1" w14:textId="77777777" w:rsidR="005319E1" w:rsidRDefault="005319E1" w:rsidP="005319E1">
            <w:pPr>
              <w:pStyle w:val="NormalWeb"/>
              <w:spacing w:line="360" w:lineRule="auto"/>
              <w:jc w:val="both"/>
              <w:rPr>
                <w:rFonts w:ascii="Arial" w:hAnsi="Arial" w:cs="Arial"/>
              </w:rPr>
            </w:pPr>
          </w:p>
          <w:p w14:paraId="6435AAC9" w14:textId="77777777" w:rsidR="005319E1" w:rsidRDefault="005319E1" w:rsidP="005319E1">
            <w:pPr>
              <w:pStyle w:val="NormalWeb"/>
              <w:spacing w:line="360" w:lineRule="auto"/>
              <w:jc w:val="both"/>
              <w:rPr>
                <w:rFonts w:ascii="Arial" w:hAnsi="Arial" w:cs="Arial"/>
              </w:rPr>
            </w:pPr>
            <w:r>
              <w:rPr>
                <w:rFonts w:ascii="Arial" w:hAnsi="Arial" w:cs="Arial"/>
              </w:rPr>
              <w:t>P2 is 68 years old and has been alcohol dependent for many years.  P2 lives in supported living, in a project designed for homeless adults with significant alcohol dependencies.  P2 was referred into social services by the support worker at the supporting living, it was reported that he was self-neglecting, has unsafe home conditions, missing medical appointments, poor nutrition, is alcohol-dependent and is refusing all support.  The overarching law in Wales we follow as social workers is the Social Services and Well-being (Wales) Act 2014.  Under part 3 of the act, we have a duty as a local authority to assess and identify whether the adult requires care and support, and, if so, to determine the specific nature of those needs</w:t>
            </w:r>
            <w:r>
              <w:t xml:space="preserve">.  </w:t>
            </w:r>
            <w:r w:rsidRPr="006E5DC4">
              <w:rPr>
                <w:rFonts w:ascii="Arial" w:hAnsi="Arial" w:cs="Arial"/>
              </w:rPr>
              <w:t xml:space="preserve">We have a duty as a local authority to meet the needs under part 4 of the act.   </w:t>
            </w:r>
            <w:r>
              <w:rPr>
                <w:rFonts w:ascii="Arial" w:hAnsi="Arial" w:cs="Arial"/>
              </w:rPr>
              <w:t>Additionally, I will be using part 7 (126) of the act, to safeguard an adult at risk.  The principles of the act will also be adhered to which include well-being, voice and control, prevention and early intervention, co production and multi-agency working.</w:t>
            </w:r>
          </w:p>
          <w:p w14:paraId="79E5BB9B" w14:textId="77777777" w:rsidR="005319E1" w:rsidRDefault="005319E1" w:rsidP="005319E1">
            <w:pPr>
              <w:pStyle w:val="NormalWeb"/>
              <w:spacing w:line="360" w:lineRule="auto"/>
              <w:jc w:val="both"/>
              <w:rPr>
                <w:rFonts w:ascii="Arial" w:hAnsi="Arial" w:cs="Arial"/>
              </w:rPr>
            </w:pPr>
          </w:p>
          <w:p w14:paraId="7D5B1A4C" w14:textId="77777777" w:rsidR="005319E1" w:rsidRDefault="005319E1" w:rsidP="005319E1">
            <w:pPr>
              <w:pStyle w:val="NormalWeb"/>
              <w:spacing w:line="360" w:lineRule="auto"/>
              <w:jc w:val="both"/>
              <w:rPr>
                <w:rFonts w:ascii="Arial" w:hAnsi="Arial" w:cs="Arial"/>
              </w:rPr>
            </w:pPr>
            <w:r>
              <w:rPr>
                <w:rFonts w:ascii="Arial" w:hAnsi="Arial" w:cs="Arial"/>
              </w:rPr>
              <w:t xml:space="preserve">I made initial contact with P2 and the support worker to introduce myself and arrange a visit that was convenient to P2.  </w:t>
            </w:r>
            <w:r w:rsidRPr="00924DFE">
              <w:rPr>
                <w:rFonts w:ascii="Arial" w:hAnsi="Arial" w:cs="Arial"/>
              </w:rPr>
              <w:t>Enabling a service user to choose the day and time of a visit is an important aspect of social work practice, as it helps rebalance power, builds trust, and acknowledges the individual’s autonomy and role as the host within their own home</w:t>
            </w:r>
            <w:r>
              <w:rPr>
                <w:rFonts w:ascii="Arial" w:hAnsi="Arial" w:cs="Arial"/>
              </w:rPr>
              <w:t xml:space="preserve"> (Black, 2022)</w:t>
            </w:r>
            <w:r w:rsidRPr="00924DFE">
              <w:rPr>
                <w:rFonts w:ascii="Arial" w:hAnsi="Arial" w:cs="Arial"/>
              </w:rPr>
              <w:t>.</w:t>
            </w:r>
            <w:r>
              <w:rPr>
                <w:rFonts w:ascii="Arial" w:hAnsi="Arial" w:cs="Arial"/>
              </w:rPr>
              <w:t xml:space="preserve">  Additionally, P2 is having voice and control which is a key principle within the Social Services and Well-being (Wales) Act 2014.  When making contact I asked P2 if he would like </w:t>
            </w:r>
            <w:r>
              <w:rPr>
                <w:rFonts w:ascii="Arial" w:hAnsi="Arial" w:cs="Arial"/>
              </w:rPr>
              <w:lastRenderedPageBreak/>
              <w:t xml:space="preserve">his assessment in Welsh.  </w:t>
            </w:r>
            <w:r w:rsidRPr="002973F2">
              <w:rPr>
                <w:rFonts w:ascii="Arial" w:hAnsi="Arial" w:cs="Arial"/>
              </w:rPr>
              <w:t>The Active Offer refers to providing services in Welsh proactively, without requiring the individual to request them</w:t>
            </w:r>
            <w:r>
              <w:rPr>
                <w:rFonts w:ascii="Arial" w:hAnsi="Arial" w:cs="Arial"/>
              </w:rPr>
              <w:t xml:space="preserve"> (Social Care Wales, 2025a)</w:t>
            </w:r>
            <w:r w:rsidRPr="002973F2">
              <w:rPr>
                <w:rFonts w:ascii="Arial" w:hAnsi="Arial" w:cs="Arial"/>
              </w:rPr>
              <w:t>.</w:t>
            </w:r>
            <w:r>
              <w:rPr>
                <w:rFonts w:ascii="Arial" w:hAnsi="Arial" w:cs="Arial"/>
              </w:rPr>
              <w:t xml:space="preserve">  </w:t>
            </w:r>
            <w:r w:rsidRPr="006013B6">
              <w:rPr>
                <w:rStyle w:val="Strong"/>
                <w:rFonts w:ascii="Arial" w:hAnsi="Arial" w:cs="Arial"/>
                <w:b w:val="0"/>
                <w:bCs w:val="0"/>
              </w:rPr>
              <w:t>This is reinforced by the</w:t>
            </w:r>
            <w:r>
              <w:rPr>
                <w:rStyle w:val="Strong"/>
                <w:rFonts w:ascii="Arial" w:hAnsi="Arial" w:cs="Arial"/>
                <w:b w:val="0"/>
                <w:bCs w:val="0"/>
              </w:rPr>
              <w:t xml:space="preserve"> Welsh Language (Wales) Measure 2011 and the Welsh Government (2022) m</w:t>
            </w:r>
            <w:r w:rsidRPr="006013B6">
              <w:rPr>
                <w:rStyle w:val="Strong"/>
                <w:rFonts w:ascii="Arial" w:hAnsi="Arial" w:cs="Arial"/>
                <w:b w:val="0"/>
                <w:bCs w:val="0"/>
              </w:rPr>
              <w:t xml:space="preserve">ore </w:t>
            </w:r>
            <w:r>
              <w:rPr>
                <w:rStyle w:val="Strong"/>
                <w:rFonts w:ascii="Arial" w:hAnsi="Arial" w:cs="Arial"/>
                <w:b w:val="0"/>
                <w:bCs w:val="0"/>
              </w:rPr>
              <w:t>t</w:t>
            </w:r>
            <w:r w:rsidRPr="006013B6">
              <w:rPr>
                <w:rStyle w:val="Strong"/>
                <w:rFonts w:ascii="Arial" w:hAnsi="Arial" w:cs="Arial"/>
                <w:b w:val="0"/>
                <w:bCs w:val="0"/>
              </w:rPr>
              <w:t xml:space="preserve">han </w:t>
            </w:r>
            <w:r>
              <w:rPr>
                <w:rStyle w:val="Strong"/>
                <w:rFonts w:ascii="Arial" w:hAnsi="Arial" w:cs="Arial"/>
                <w:b w:val="0"/>
                <w:bCs w:val="0"/>
              </w:rPr>
              <w:t>j</w:t>
            </w:r>
            <w:r w:rsidRPr="006013B6">
              <w:rPr>
                <w:rStyle w:val="Strong"/>
                <w:rFonts w:ascii="Arial" w:hAnsi="Arial" w:cs="Arial"/>
                <w:b w:val="0"/>
                <w:bCs w:val="0"/>
              </w:rPr>
              <w:t xml:space="preserve">ust </w:t>
            </w:r>
            <w:r>
              <w:rPr>
                <w:rStyle w:val="Strong"/>
                <w:rFonts w:ascii="Arial" w:hAnsi="Arial" w:cs="Arial"/>
                <w:b w:val="0"/>
                <w:bCs w:val="0"/>
              </w:rPr>
              <w:t>w</w:t>
            </w:r>
            <w:r w:rsidRPr="006013B6">
              <w:rPr>
                <w:rStyle w:val="Strong"/>
                <w:rFonts w:ascii="Arial" w:hAnsi="Arial" w:cs="Arial"/>
                <w:b w:val="0"/>
                <w:bCs w:val="0"/>
              </w:rPr>
              <w:t>ord</w:t>
            </w:r>
            <w:r>
              <w:rPr>
                <w:rStyle w:val="Strong"/>
                <w:rFonts w:ascii="Arial" w:hAnsi="Arial" w:cs="Arial"/>
                <w:b w:val="0"/>
                <w:bCs w:val="0"/>
              </w:rPr>
              <w:t>s</w:t>
            </w:r>
            <w:r w:rsidRPr="006013B6">
              <w:rPr>
                <w:rStyle w:val="Strong"/>
                <w:rFonts w:ascii="Arial" w:hAnsi="Arial" w:cs="Arial"/>
                <w:b w:val="0"/>
                <w:bCs w:val="0"/>
              </w:rPr>
              <w:t xml:space="preserve"> framework, which emphasises the importance of offering Welsh</w:t>
            </w:r>
            <w:r w:rsidRPr="006013B6">
              <w:rPr>
                <w:rStyle w:val="Strong"/>
                <w:rFonts w:ascii="Arial" w:hAnsi="Arial" w:cs="Arial"/>
                <w:b w:val="0"/>
                <w:bCs w:val="0"/>
              </w:rPr>
              <w:noBreakHyphen/>
              <w:t>language services as a core element of person</w:t>
            </w:r>
            <w:r w:rsidRPr="006013B6">
              <w:rPr>
                <w:rStyle w:val="Strong"/>
                <w:rFonts w:ascii="Arial" w:hAnsi="Arial" w:cs="Arial"/>
                <w:b w:val="0"/>
                <w:bCs w:val="0"/>
              </w:rPr>
              <w:noBreakHyphen/>
              <w:t>centred, culturally sensitive practice.</w:t>
            </w:r>
            <w:r>
              <w:t xml:space="preserve"> </w:t>
            </w:r>
            <w:r>
              <w:rPr>
                <w:rFonts w:ascii="Arial" w:hAnsi="Arial" w:cs="Arial"/>
              </w:rPr>
              <w:t xml:space="preserve">  P2 informed me that he would prefer his assessment in English.</w:t>
            </w:r>
          </w:p>
          <w:p w14:paraId="2B0CD284" w14:textId="77777777" w:rsidR="005319E1" w:rsidRDefault="005319E1" w:rsidP="005319E1">
            <w:pPr>
              <w:pStyle w:val="NormalWeb"/>
              <w:spacing w:line="360" w:lineRule="auto"/>
              <w:jc w:val="both"/>
              <w:rPr>
                <w:rFonts w:ascii="Arial" w:hAnsi="Arial" w:cs="Arial"/>
              </w:rPr>
            </w:pPr>
          </w:p>
          <w:p w14:paraId="25F4E400" w14:textId="247436C7" w:rsidR="005319E1" w:rsidRDefault="005319E1" w:rsidP="005319E1">
            <w:pPr>
              <w:pStyle w:val="NormalWeb"/>
              <w:spacing w:line="360" w:lineRule="auto"/>
              <w:jc w:val="both"/>
              <w:rPr>
                <w:rFonts w:ascii="Arial" w:hAnsi="Arial" w:cs="Arial"/>
              </w:rPr>
            </w:pPr>
            <w:r>
              <w:rPr>
                <w:rFonts w:ascii="Arial" w:hAnsi="Arial" w:cs="Arial"/>
              </w:rPr>
              <w:t xml:space="preserve">To prepare for the visit I booked a consultation with our </w:t>
            </w:r>
            <w:r w:rsidR="00D14F4A">
              <w:rPr>
                <w:rFonts w:ascii="Arial" w:hAnsi="Arial" w:cs="Arial"/>
              </w:rPr>
              <w:t>a</w:t>
            </w:r>
            <w:r>
              <w:rPr>
                <w:rFonts w:ascii="Arial" w:hAnsi="Arial" w:cs="Arial"/>
              </w:rPr>
              <w:t xml:space="preserve">dult </w:t>
            </w:r>
            <w:r w:rsidR="00D14F4A">
              <w:rPr>
                <w:rFonts w:ascii="Arial" w:hAnsi="Arial" w:cs="Arial"/>
              </w:rPr>
              <w:t>s</w:t>
            </w:r>
            <w:r>
              <w:rPr>
                <w:rFonts w:ascii="Arial" w:hAnsi="Arial" w:cs="Arial"/>
              </w:rPr>
              <w:t xml:space="preserve">afeguarding team to discuss P2’s alcohol dependency and self-neglect.  According to Ferguson (2016) effective preparation for a home visit involves carrying out a risk assessment and identifying any potential hazards, which is essential for ensuring the safety of both the practitioner and the service user.  Reviewing previous case notes, clarifying the purpose of the visit, and setting clear objectives enables the social worker to remain focussed on key issues, such as the condition of the home or specific behavioural concerns.  This helps prevent a loss of direction within care planning.  Because home visits often involve entering unpredictable environments, gathering background information about the individual’s history and any prior incidents, supports the social worker to anticipate possible challenges and respond appropriately (Ferguson, 2016: Stanhope </w:t>
            </w:r>
            <w:r w:rsidRPr="0045269B">
              <w:rPr>
                <w:rFonts w:ascii="Arial" w:hAnsi="Arial" w:cs="Arial"/>
                <w:i/>
                <w:iCs/>
              </w:rPr>
              <w:t>et al</w:t>
            </w:r>
            <w:r>
              <w:rPr>
                <w:rFonts w:ascii="Arial" w:hAnsi="Arial" w:cs="Arial"/>
              </w:rPr>
              <w:t xml:space="preserve">., 2015).  Furthermore, The Welsh Government (2019) working together to safeguard people has stated that safeguarding is the responsibility of everyone and that professionals should seek advice from other practitioners when needed.  Additionally, share information with consent and respect the service users wishes if they do not give consent for their information to be shared.  It is important not to disclose the identity of the individual where consent has not been gained (Welsh Government, 2019), and in line with General Data Protection Regulation 2018.  </w:t>
            </w:r>
          </w:p>
          <w:p w14:paraId="3EDBA9DE" w14:textId="77777777" w:rsidR="005319E1" w:rsidRDefault="005319E1" w:rsidP="005319E1">
            <w:pPr>
              <w:pStyle w:val="NormalWeb"/>
              <w:spacing w:line="360" w:lineRule="auto"/>
              <w:jc w:val="both"/>
              <w:rPr>
                <w:rFonts w:ascii="Arial" w:hAnsi="Arial" w:cs="Arial"/>
              </w:rPr>
            </w:pPr>
          </w:p>
          <w:p w14:paraId="0C1089A3" w14:textId="77777777" w:rsidR="005319E1" w:rsidRPr="005D60C0" w:rsidRDefault="005319E1" w:rsidP="005319E1">
            <w:pPr>
              <w:pStyle w:val="NormalWeb"/>
              <w:spacing w:line="360" w:lineRule="auto"/>
              <w:jc w:val="both"/>
              <w:rPr>
                <w:rFonts w:ascii="Arial" w:hAnsi="Arial" w:cs="Arial"/>
              </w:rPr>
            </w:pPr>
            <w:r>
              <w:rPr>
                <w:rFonts w:ascii="Arial" w:hAnsi="Arial" w:cs="Arial"/>
              </w:rPr>
              <w:t>As a social worker in Wales, I will be following Wales Safeguarding Procedure (2019) adult at risk section 3 part 1 where I will be responding to a report about P2’s self-neglect, and West Glamorgan Safeguarding Board (2026) self-neglect policy and guidance.  Similarly, Braye and Orr (2017) and Mulcahy, Leahy-Warren and Day (2017) have stated s</w:t>
            </w:r>
            <w:r w:rsidRPr="005D60C0">
              <w:rPr>
                <w:rFonts w:ascii="Arial" w:hAnsi="Arial" w:cs="Arial"/>
              </w:rPr>
              <w:t>elf</w:t>
            </w:r>
            <w:r w:rsidRPr="005D60C0">
              <w:rPr>
                <w:rFonts w:ascii="Arial" w:hAnsi="Arial" w:cs="Arial"/>
              </w:rPr>
              <w:noBreakHyphen/>
              <w:t>neglect</w:t>
            </w:r>
            <w:r>
              <w:rPr>
                <w:rFonts w:ascii="Arial" w:hAnsi="Arial" w:cs="Arial"/>
              </w:rPr>
              <w:t xml:space="preserve">, </w:t>
            </w:r>
            <w:r w:rsidRPr="005D60C0">
              <w:rPr>
                <w:rFonts w:ascii="Arial" w:hAnsi="Arial" w:cs="Arial"/>
              </w:rPr>
              <w:t xml:space="preserve">where a </w:t>
            </w:r>
            <w:r w:rsidRPr="005D60C0">
              <w:rPr>
                <w:rFonts w:ascii="Arial" w:hAnsi="Arial" w:cs="Arial"/>
              </w:rPr>
              <w:lastRenderedPageBreak/>
              <w:t>person fails to look after their personal hygiene, health, or living environment</w:t>
            </w:r>
            <w:r>
              <w:rPr>
                <w:rFonts w:ascii="Arial" w:hAnsi="Arial" w:cs="Arial"/>
              </w:rPr>
              <w:t xml:space="preserve">, </w:t>
            </w:r>
            <w:r w:rsidRPr="005D60C0">
              <w:rPr>
                <w:rFonts w:ascii="Arial" w:hAnsi="Arial" w:cs="Arial"/>
              </w:rPr>
              <w:t>presents one of the most difficult challenges in adult social care, highlighting the ethical tension between respecting an individual’s autonomy and fulfilling a duty to protect them.</w:t>
            </w:r>
            <w:r>
              <w:rPr>
                <w:rFonts w:ascii="Arial" w:hAnsi="Arial" w:cs="Arial"/>
              </w:rPr>
              <w:t xml:space="preserve">  However, Mandelstam (2019) argues </w:t>
            </w:r>
            <w:r w:rsidRPr="00CA5A4E">
              <w:rPr>
                <w:rFonts w:ascii="Arial" w:hAnsi="Arial" w:cs="Arial"/>
              </w:rPr>
              <w:t>that self</w:t>
            </w:r>
            <w:r w:rsidRPr="00CA5A4E">
              <w:rPr>
                <w:rFonts w:ascii="Arial" w:hAnsi="Arial" w:cs="Arial"/>
              </w:rPr>
              <w:noBreakHyphen/>
              <w:t>neglect is often less about individual choice and more about systemic failure, poor inter</w:t>
            </w:r>
            <w:r w:rsidRPr="00CA5A4E">
              <w:rPr>
                <w:rFonts w:ascii="Arial" w:hAnsi="Arial" w:cs="Arial"/>
              </w:rPr>
              <w:noBreakHyphen/>
              <w:t xml:space="preserve">agency coordination, and inconsistent safeguarding responses. </w:t>
            </w:r>
            <w:r>
              <w:rPr>
                <w:rFonts w:ascii="Arial" w:hAnsi="Arial" w:cs="Arial"/>
              </w:rPr>
              <w:t xml:space="preserve"> </w:t>
            </w:r>
            <w:r w:rsidRPr="00CA5A4E">
              <w:rPr>
                <w:rFonts w:ascii="Arial" w:hAnsi="Arial" w:cs="Arial"/>
              </w:rPr>
              <w:t>He challenges the idea that the main issue is autonomy v</w:t>
            </w:r>
            <w:r>
              <w:rPr>
                <w:rFonts w:ascii="Arial" w:hAnsi="Arial" w:cs="Arial"/>
              </w:rPr>
              <w:t>ersus</w:t>
            </w:r>
            <w:r w:rsidRPr="00CA5A4E">
              <w:rPr>
                <w:rFonts w:ascii="Arial" w:hAnsi="Arial" w:cs="Arial"/>
              </w:rPr>
              <w:t xml:space="preserve"> protection, suggesting the real problem is organisational reluctance to intervene.</w:t>
            </w:r>
          </w:p>
          <w:p w14:paraId="717CD979" w14:textId="77777777" w:rsidR="005319E1" w:rsidRDefault="005319E1" w:rsidP="005319E1">
            <w:pPr>
              <w:pStyle w:val="NormalWeb"/>
              <w:spacing w:line="360" w:lineRule="auto"/>
              <w:jc w:val="both"/>
              <w:rPr>
                <w:rFonts w:ascii="Arial" w:hAnsi="Arial" w:cs="Arial"/>
              </w:rPr>
            </w:pPr>
          </w:p>
          <w:p w14:paraId="5DAFFE0D" w14:textId="77777777" w:rsidR="005319E1" w:rsidRDefault="005319E1" w:rsidP="005319E1">
            <w:pPr>
              <w:pStyle w:val="NormalWeb"/>
              <w:spacing w:line="360" w:lineRule="auto"/>
              <w:jc w:val="both"/>
              <w:rPr>
                <w:rFonts w:ascii="Arial" w:hAnsi="Arial" w:cs="Arial"/>
              </w:rPr>
            </w:pPr>
            <w:r>
              <w:rPr>
                <w:rFonts w:ascii="Arial" w:hAnsi="Arial" w:cs="Arial"/>
              </w:rPr>
              <w:t xml:space="preserve">To prepare further for the visit, I booked a consultation with the Mental Capacity Act Team for advice around fluctuating capacity because of P2’s alcohol misuse.  </w:t>
            </w:r>
            <w:r w:rsidRPr="00827C79">
              <w:rPr>
                <w:rFonts w:ascii="Arial" w:hAnsi="Arial" w:cs="Arial"/>
              </w:rPr>
              <w:t xml:space="preserve">Social workers rely on the </w:t>
            </w:r>
            <w:r w:rsidRPr="00827C79">
              <w:rPr>
                <w:rStyle w:val="Strong"/>
                <w:rFonts w:ascii="Arial" w:eastAsiaTheme="majorEastAsia" w:hAnsi="Arial" w:cs="Arial"/>
                <w:b w:val="0"/>
                <w:bCs w:val="0"/>
              </w:rPr>
              <w:t>Mental Capacity Act</w:t>
            </w:r>
            <w:r w:rsidRPr="00827C79">
              <w:rPr>
                <w:rStyle w:val="Strong"/>
                <w:rFonts w:ascii="Arial" w:eastAsiaTheme="majorEastAsia" w:hAnsi="Arial" w:cs="Arial"/>
              </w:rPr>
              <w:t xml:space="preserve"> </w:t>
            </w:r>
            <w:r w:rsidRPr="00827C79">
              <w:rPr>
                <w:rStyle w:val="Strong"/>
                <w:rFonts w:ascii="Arial" w:eastAsiaTheme="majorEastAsia" w:hAnsi="Arial" w:cs="Arial"/>
                <w:b w:val="0"/>
                <w:bCs w:val="0"/>
              </w:rPr>
              <w:t>2005</w:t>
            </w:r>
            <w:r>
              <w:rPr>
                <w:rStyle w:val="Strong"/>
                <w:rFonts w:ascii="Arial" w:eastAsiaTheme="majorEastAsia" w:hAnsi="Arial" w:cs="Arial"/>
                <w:b w:val="0"/>
                <w:bCs w:val="0"/>
              </w:rPr>
              <w:t xml:space="preserve"> </w:t>
            </w:r>
            <w:r w:rsidRPr="00827C79">
              <w:rPr>
                <w:rFonts w:ascii="Arial" w:hAnsi="Arial" w:cs="Arial"/>
              </w:rPr>
              <w:t xml:space="preserve">to support people aged 16 and over in making their own choices, while also providing a legal basis for acting in the </w:t>
            </w:r>
            <w:r w:rsidRPr="00827C79">
              <w:rPr>
                <w:rStyle w:val="Strong"/>
                <w:rFonts w:ascii="Arial" w:eastAsiaTheme="majorEastAsia" w:hAnsi="Arial" w:cs="Arial"/>
                <w:b w:val="0"/>
                <w:bCs w:val="0"/>
              </w:rPr>
              <w:t>best interests</w:t>
            </w:r>
            <w:r w:rsidRPr="00827C79">
              <w:rPr>
                <w:rFonts w:ascii="Arial" w:hAnsi="Arial" w:cs="Arial"/>
              </w:rPr>
              <w:t xml:space="preserve"> of those who are unable to decide for themselves. </w:t>
            </w:r>
            <w:r>
              <w:rPr>
                <w:rFonts w:ascii="Arial" w:hAnsi="Arial" w:cs="Arial"/>
              </w:rPr>
              <w:t xml:space="preserve"> </w:t>
            </w:r>
            <w:r w:rsidRPr="00827C79">
              <w:rPr>
                <w:rFonts w:ascii="Arial" w:hAnsi="Arial" w:cs="Arial"/>
              </w:rPr>
              <w:t xml:space="preserve">They work in line with the Act’s </w:t>
            </w:r>
            <w:r w:rsidRPr="00827C79">
              <w:rPr>
                <w:rStyle w:val="Strong"/>
                <w:rFonts w:ascii="Arial" w:eastAsiaTheme="majorEastAsia" w:hAnsi="Arial" w:cs="Arial"/>
                <w:b w:val="0"/>
                <w:bCs w:val="0"/>
              </w:rPr>
              <w:t>five key principles</w:t>
            </w:r>
            <w:r w:rsidRPr="00827C79">
              <w:rPr>
                <w:rFonts w:ascii="Arial" w:hAnsi="Arial" w:cs="Arial"/>
              </w:rPr>
              <w:t xml:space="preserve">, which include assuming a person has capacity, promoting their involvement, and choosing the </w:t>
            </w:r>
            <w:r w:rsidRPr="00827C79">
              <w:rPr>
                <w:rStyle w:val="Strong"/>
                <w:rFonts w:ascii="Arial" w:eastAsiaTheme="majorEastAsia" w:hAnsi="Arial" w:cs="Arial"/>
                <w:b w:val="0"/>
                <w:bCs w:val="0"/>
              </w:rPr>
              <w:t>least restrictive</w:t>
            </w:r>
            <w:r w:rsidRPr="00827C79">
              <w:rPr>
                <w:rFonts w:ascii="Arial" w:hAnsi="Arial" w:cs="Arial"/>
              </w:rPr>
              <w:t xml:space="preserve"> course of action. </w:t>
            </w:r>
            <w:r>
              <w:rPr>
                <w:rFonts w:ascii="Arial" w:hAnsi="Arial" w:cs="Arial"/>
              </w:rPr>
              <w:t xml:space="preserve"> </w:t>
            </w:r>
            <w:r w:rsidRPr="00827C79">
              <w:rPr>
                <w:rFonts w:ascii="Arial" w:hAnsi="Arial" w:cs="Arial"/>
              </w:rPr>
              <w:t>The</w:t>
            </w:r>
            <w:r>
              <w:rPr>
                <w:rFonts w:ascii="Arial" w:hAnsi="Arial" w:cs="Arial"/>
              </w:rPr>
              <w:t xml:space="preserve"> social worker’s</w:t>
            </w:r>
            <w:r w:rsidRPr="00827C79">
              <w:rPr>
                <w:rFonts w:ascii="Arial" w:hAnsi="Arial" w:cs="Arial"/>
              </w:rPr>
              <w:t xml:space="preserve"> role involves assessing an individual’s capacity for specific decisions, coordinating </w:t>
            </w:r>
            <w:r w:rsidRPr="00827C79">
              <w:rPr>
                <w:rStyle w:val="Strong"/>
                <w:rFonts w:ascii="Arial" w:eastAsiaTheme="majorEastAsia" w:hAnsi="Arial" w:cs="Arial"/>
                <w:b w:val="0"/>
                <w:bCs w:val="0"/>
              </w:rPr>
              <w:t>best</w:t>
            </w:r>
            <w:r w:rsidRPr="00827C79">
              <w:rPr>
                <w:rStyle w:val="Strong"/>
                <w:rFonts w:ascii="Arial" w:eastAsiaTheme="majorEastAsia" w:hAnsi="Arial" w:cs="Arial"/>
                <w:b w:val="0"/>
                <w:bCs w:val="0"/>
              </w:rPr>
              <w:noBreakHyphen/>
              <w:t>interest meetings</w:t>
            </w:r>
            <w:r w:rsidRPr="00827C79">
              <w:rPr>
                <w:rFonts w:ascii="Arial" w:hAnsi="Arial" w:cs="Arial"/>
              </w:rPr>
              <w:t xml:space="preserve">, and overseeing </w:t>
            </w:r>
            <w:r w:rsidRPr="00827C79">
              <w:rPr>
                <w:rStyle w:val="Strong"/>
                <w:rFonts w:ascii="Arial" w:eastAsiaTheme="majorEastAsia" w:hAnsi="Arial" w:cs="Arial"/>
                <w:b w:val="0"/>
                <w:bCs w:val="0"/>
              </w:rPr>
              <w:t>Deprivation of Liberty Safeguards (</w:t>
            </w:r>
            <w:proofErr w:type="spellStart"/>
            <w:r w:rsidRPr="00827C79">
              <w:rPr>
                <w:rStyle w:val="Strong"/>
                <w:rFonts w:ascii="Arial" w:eastAsiaTheme="majorEastAsia" w:hAnsi="Arial" w:cs="Arial"/>
                <w:b w:val="0"/>
                <w:bCs w:val="0"/>
              </w:rPr>
              <w:t>DoLS</w:t>
            </w:r>
            <w:proofErr w:type="spellEnd"/>
            <w:r w:rsidRPr="00827C79">
              <w:rPr>
                <w:rStyle w:val="Strong"/>
                <w:rFonts w:ascii="Arial" w:eastAsiaTheme="majorEastAsia" w:hAnsi="Arial" w:cs="Arial"/>
                <w:b w:val="0"/>
                <w:bCs w:val="0"/>
              </w:rPr>
              <w:t>)</w:t>
            </w:r>
            <w:r w:rsidRPr="00827C79">
              <w:rPr>
                <w:rFonts w:ascii="Arial" w:hAnsi="Arial" w:cs="Arial"/>
              </w:rPr>
              <w:t xml:space="preserve"> to ensure that people’s rights and freedoms are protected</w:t>
            </w:r>
            <w:r>
              <w:rPr>
                <w:rFonts w:ascii="Arial" w:hAnsi="Arial" w:cs="Arial"/>
              </w:rPr>
              <w:t xml:space="preserve"> (Social Care Institute for Excellence, 2022)</w:t>
            </w:r>
            <w:r w:rsidRPr="00827C79">
              <w:rPr>
                <w:rFonts w:ascii="Arial" w:hAnsi="Arial" w:cs="Arial"/>
              </w:rPr>
              <w:t>.</w:t>
            </w:r>
            <w:r>
              <w:rPr>
                <w:rFonts w:ascii="Arial" w:hAnsi="Arial" w:cs="Arial"/>
              </w:rPr>
              <w:t xml:space="preserve">  </w:t>
            </w:r>
          </w:p>
          <w:p w14:paraId="43B225BE" w14:textId="77777777" w:rsidR="005319E1" w:rsidRDefault="005319E1" w:rsidP="005319E1">
            <w:pPr>
              <w:pStyle w:val="NormalWeb"/>
              <w:spacing w:line="360" w:lineRule="auto"/>
              <w:jc w:val="both"/>
              <w:rPr>
                <w:rFonts w:ascii="Arial" w:hAnsi="Arial" w:cs="Arial"/>
              </w:rPr>
            </w:pPr>
          </w:p>
          <w:p w14:paraId="245ECEE1" w14:textId="77777777" w:rsidR="005319E1" w:rsidRDefault="005319E1" w:rsidP="005319E1">
            <w:pPr>
              <w:pStyle w:val="NormalWeb"/>
              <w:spacing w:line="360" w:lineRule="auto"/>
              <w:jc w:val="both"/>
              <w:rPr>
                <w:rFonts w:ascii="Arial" w:hAnsi="Arial" w:cs="Arial"/>
              </w:rPr>
            </w:pPr>
            <w:r>
              <w:rPr>
                <w:rFonts w:ascii="Arial" w:hAnsi="Arial" w:cs="Arial"/>
              </w:rPr>
              <w:t>According to OFH Care (2025) a</w:t>
            </w:r>
            <w:r w:rsidRPr="00EE195B">
              <w:rPr>
                <w:rFonts w:ascii="Arial" w:hAnsi="Arial" w:cs="Arial"/>
              </w:rPr>
              <w:t xml:space="preserve">lcohol use alone does not indicate that an individual lacks mental capacity. </w:t>
            </w:r>
            <w:r>
              <w:rPr>
                <w:rFonts w:ascii="Arial" w:hAnsi="Arial" w:cs="Arial"/>
              </w:rPr>
              <w:t xml:space="preserve"> </w:t>
            </w:r>
            <w:r w:rsidRPr="00EE195B">
              <w:rPr>
                <w:rFonts w:ascii="Arial" w:hAnsi="Arial" w:cs="Arial"/>
              </w:rPr>
              <w:t xml:space="preserve">Legislation makes clear that capacity cannot be determined based on </w:t>
            </w:r>
            <w:r>
              <w:rPr>
                <w:rFonts w:ascii="Arial" w:hAnsi="Arial" w:cs="Arial"/>
              </w:rPr>
              <w:t xml:space="preserve">a </w:t>
            </w:r>
            <w:r w:rsidRPr="00EE195B">
              <w:rPr>
                <w:rFonts w:ascii="Arial" w:hAnsi="Arial" w:cs="Arial"/>
              </w:rPr>
              <w:t xml:space="preserve">lifestyle or habitual behaviour. </w:t>
            </w:r>
            <w:r>
              <w:rPr>
                <w:rFonts w:ascii="Arial" w:hAnsi="Arial" w:cs="Arial"/>
              </w:rPr>
              <w:t xml:space="preserve"> </w:t>
            </w:r>
            <w:r w:rsidRPr="00EE195B">
              <w:rPr>
                <w:rFonts w:ascii="Arial" w:hAnsi="Arial" w:cs="Arial"/>
              </w:rPr>
              <w:t xml:space="preserve">A person may consume alcohol and still retain the ability to make informed decisions, provided their cognitive functioning is not impaired </w:t>
            </w:r>
            <w:proofErr w:type="gramStart"/>
            <w:r w:rsidRPr="00EE195B">
              <w:rPr>
                <w:rFonts w:ascii="Arial" w:hAnsi="Arial" w:cs="Arial"/>
              </w:rPr>
              <w:t>at the moment</w:t>
            </w:r>
            <w:proofErr w:type="gramEnd"/>
            <w:r w:rsidRPr="00EE195B">
              <w:rPr>
                <w:rFonts w:ascii="Arial" w:hAnsi="Arial" w:cs="Arial"/>
              </w:rPr>
              <w:t xml:space="preserve"> the decision is required. </w:t>
            </w:r>
            <w:r>
              <w:rPr>
                <w:rFonts w:ascii="Arial" w:hAnsi="Arial" w:cs="Arial"/>
              </w:rPr>
              <w:t xml:space="preserve"> </w:t>
            </w:r>
            <w:r w:rsidRPr="00EE195B">
              <w:rPr>
                <w:rFonts w:ascii="Arial" w:hAnsi="Arial" w:cs="Arial"/>
              </w:rPr>
              <w:t>Mental capacity is both decision</w:t>
            </w:r>
            <w:r w:rsidRPr="00EE195B">
              <w:rPr>
                <w:rFonts w:ascii="Arial" w:hAnsi="Arial" w:cs="Arial"/>
              </w:rPr>
              <w:noBreakHyphen/>
              <w:t>specific and time</w:t>
            </w:r>
            <w:r w:rsidRPr="00EE195B">
              <w:rPr>
                <w:rFonts w:ascii="Arial" w:hAnsi="Arial" w:cs="Arial"/>
              </w:rPr>
              <w:noBreakHyphen/>
              <w:t>specific, meaning it can vary between different decisions and fluctuate over short periods</w:t>
            </w:r>
            <w:r>
              <w:rPr>
                <w:rFonts w:ascii="Arial" w:hAnsi="Arial" w:cs="Arial"/>
              </w:rPr>
              <w:t xml:space="preserve"> (OFH Care, 2025)</w:t>
            </w:r>
            <w:r w:rsidRPr="00EE195B">
              <w:rPr>
                <w:rFonts w:ascii="Arial" w:hAnsi="Arial" w:cs="Arial"/>
              </w:rPr>
              <w:t>.</w:t>
            </w:r>
            <w:r>
              <w:rPr>
                <w:rFonts w:ascii="Arial" w:hAnsi="Arial" w:cs="Arial"/>
              </w:rPr>
              <w:t xml:space="preserve">  Additional things to consider when assessing capacity as part of the Mental Capacity Act 2005 is an unwise decision</w:t>
            </w:r>
            <w:r w:rsidRPr="00084384">
              <w:rPr>
                <w:rFonts w:ascii="Arial" w:hAnsi="Arial" w:cs="Arial"/>
              </w:rPr>
              <w:t>.  An unwise choice is often seen as one that someone else makes differently from how you would decide when both of you are looking at the same evidence.</w:t>
            </w:r>
          </w:p>
          <w:p w14:paraId="643353F2" w14:textId="77777777" w:rsidR="005319E1" w:rsidRDefault="005319E1" w:rsidP="005319E1">
            <w:pPr>
              <w:pStyle w:val="NormalWeb"/>
              <w:spacing w:line="360" w:lineRule="auto"/>
              <w:jc w:val="both"/>
              <w:rPr>
                <w:rFonts w:ascii="Arial" w:hAnsi="Arial" w:cs="Arial"/>
              </w:rPr>
            </w:pPr>
          </w:p>
          <w:p w14:paraId="20284C53" w14:textId="77777777" w:rsidR="005319E1" w:rsidRDefault="005319E1" w:rsidP="005319E1">
            <w:pPr>
              <w:pStyle w:val="NormalWeb"/>
              <w:spacing w:line="360" w:lineRule="auto"/>
              <w:jc w:val="both"/>
              <w:rPr>
                <w:rFonts w:ascii="Arial" w:hAnsi="Arial" w:cs="Arial"/>
              </w:rPr>
            </w:pPr>
            <w:r>
              <w:rPr>
                <w:rFonts w:ascii="Arial" w:hAnsi="Arial" w:cs="Arial"/>
              </w:rPr>
              <w:t>I went out to complete my visit with P2, his support worker was also present during the assessment.  Whilst completing my assessment I was using the theory of strength-based approach.  Social Care Wales (2025b) has stated that s</w:t>
            </w:r>
            <w:r w:rsidRPr="00EF3C5A">
              <w:rPr>
                <w:rFonts w:ascii="Arial" w:hAnsi="Arial" w:cs="Arial"/>
              </w:rPr>
              <w:t>trengths</w:t>
            </w:r>
            <w:r w:rsidRPr="00EF3C5A">
              <w:rPr>
                <w:rFonts w:ascii="Arial" w:hAnsi="Arial" w:cs="Arial"/>
              </w:rPr>
              <w:noBreakHyphen/>
              <w:t>based practice is an approach that focuses on identifying and building on a person’s strengths, abilities, and life circumstances, rather than concentrating on their limitations.</w:t>
            </w:r>
            <w:r>
              <w:rPr>
                <w:rFonts w:ascii="Arial" w:hAnsi="Arial" w:cs="Arial"/>
              </w:rPr>
              <w:t xml:space="preserve">  </w:t>
            </w:r>
            <w:r w:rsidRPr="00EF3C5A">
              <w:rPr>
                <w:rFonts w:ascii="Arial" w:hAnsi="Arial" w:cs="Arial"/>
              </w:rPr>
              <w:t>Through a collaborative process, we work together to understand what is important to the person and what needs to happen to support them in living the best life they can, with an emphasis on their overall well</w:t>
            </w:r>
            <w:r w:rsidRPr="00EF3C5A">
              <w:rPr>
                <w:rFonts w:ascii="Arial" w:hAnsi="Arial" w:cs="Arial"/>
              </w:rPr>
              <w:noBreakHyphen/>
              <w:t>being.</w:t>
            </w:r>
            <w:r>
              <w:rPr>
                <w:rFonts w:ascii="Arial" w:hAnsi="Arial" w:cs="Arial"/>
              </w:rPr>
              <w:t xml:space="preserve">  </w:t>
            </w:r>
            <w:r w:rsidRPr="00EF3C5A">
              <w:rPr>
                <w:rFonts w:ascii="Arial" w:hAnsi="Arial" w:cs="Arial"/>
              </w:rPr>
              <w:t>This involves agreeing on goals</w:t>
            </w:r>
            <w:r>
              <w:rPr>
                <w:rFonts w:ascii="Arial" w:hAnsi="Arial" w:cs="Arial"/>
              </w:rPr>
              <w:t xml:space="preserve">, </w:t>
            </w:r>
            <w:r w:rsidRPr="00EF3C5A">
              <w:rPr>
                <w:rFonts w:ascii="Arial" w:hAnsi="Arial" w:cs="Arial"/>
              </w:rPr>
              <w:t xml:space="preserve">referred to as </w:t>
            </w:r>
            <w:r w:rsidRPr="004A6B93">
              <w:rPr>
                <w:rStyle w:val="Emphasis"/>
                <w:rFonts w:ascii="Arial" w:eastAsiaTheme="majorEastAsia" w:hAnsi="Arial" w:cs="Arial"/>
                <w:i w:val="0"/>
                <w:iCs w:val="0"/>
              </w:rPr>
              <w:t>personal outcomes</w:t>
            </w:r>
            <w:r>
              <w:rPr>
                <w:rFonts w:ascii="Arial" w:hAnsi="Arial" w:cs="Arial"/>
              </w:rPr>
              <w:t xml:space="preserve">, </w:t>
            </w:r>
            <w:r w:rsidRPr="00EF3C5A">
              <w:rPr>
                <w:rFonts w:ascii="Arial" w:hAnsi="Arial" w:cs="Arial"/>
              </w:rPr>
              <w:t>and creating a plan that draws on the person’s own capabilities as well as the support available from family, friends, and their wider community networks</w:t>
            </w:r>
            <w:r>
              <w:rPr>
                <w:rFonts w:ascii="Arial" w:hAnsi="Arial" w:cs="Arial"/>
              </w:rPr>
              <w:t xml:space="preserve"> (Social Care Wales, 2025; GOV.UK, 2019)</w:t>
            </w:r>
            <w:r w:rsidRPr="00EF3C5A">
              <w:rPr>
                <w:rFonts w:ascii="Arial" w:hAnsi="Arial" w:cs="Arial"/>
              </w:rPr>
              <w:t>.</w:t>
            </w:r>
          </w:p>
          <w:p w14:paraId="4504C4B9" w14:textId="77777777" w:rsidR="005319E1" w:rsidRDefault="005319E1" w:rsidP="005319E1">
            <w:pPr>
              <w:pStyle w:val="NormalWeb"/>
              <w:spacing w:line="360" w:lineRule="auto"/>
              <w:jc w:val="both"/>
              <w:rPr>
                <w:rFonts w:ascii="Arial" w:hAnsi="Arial" w:cs="Arial"/>
              </w:rPr>
            </w:pPr>
          </w:p>
          <w:p w14:paraId="62FBCC5D" w14:textId="77777777" w:rsidR="005319E1" w:rsidRPr="001D2BB9" w:rsidRDefault="005319E1" w:rsidP="005319E1">
            <w:pPr>
              <w:pStyle w:val="NormalWeb"/>
              <w:spacing w:line="360" w:lineRule="auto"/>
              <w:jc w:val="both"/>
              <w:rPr>
                <w:rFonts w:ascii="Arial" w:hAnsi="Arial" w:cs="Arial"/>
              </w:rPr>
            </w:pPr>
            <w:proofErr w:type="spellStart"/>
            <w:r>
              <w:rPr>
                <w:rFonts w:ascii="Arial" w:hAnsi="Arial" w:cs="Arial"/>
              </w:rPr>
              <w:t>Saleebey</w:t>
            </w:r>
            <w:proofErr w:type="spellEnd"/>
            <w:r>
              <w:rPr>
                <w:rFonts w:ascii="Arial" w:hAnsi="Arial" w:cs="Arial"/>
              </w:rPr>
              <w:t xml:space="preserve"> (2013), Teater (2014) and Rapp and Goscha (2012) have similar views that a</w:t>
            </w:r>
            <w:r w:rsidRPr="001D2BB9">
              <w:rPr>
                <w:rFonts w:ascii="Arial" w:hAnsi="Arial" w:cs="Arial"/>
              </w:rPr>
              <w:t xml:space="preserve"> strengths</w:t>
            </w:r>
            <w:r w:rsidRPr="001D2BB9">
              <w:rPr>
                <w:rFonts w:ascii="Arial" w:hAnsi="Arial" w:cs="Arial"/>
              </w:rPr>
              <w:noBreakHyphen/>
              <w:t xml:space="preserve">based approach focuses on the individual’s abilities, resources, and aspirations rather than their deficits. </w:t>
            </w:r>
            <w:r>
              <w:rPr>
                <w:rFonts w:ascii="Arial" w:hAnsi="Arial" w:cs="Arial"/>
              </w:rPr>
              <w:t xml:space="preserve"> </w:t>
            </w:r>
            <w:r w:rsidRPr="001D2BB9">
              <w:rPr>
                <w:rFonts w:ascii="Arial" w:hAnsi="Arial" w:cs="Arial"/>
              </w:rPr>
              <w:t xml:space="preserve">In this case, although family support has withdrawn, the individual still has access to professional networks that can help identify his strengths, build motivation, and support him in setting meaningful personal outcomes. </w:t>
            </w:r>
            <w:r>
              <w:rPr>
                <w:rFonts w:ascii="Arial" w:hAnsi="Arial" w:cs="Arial"/>
              </w:rPr>
              <w:t xml:space="preserve"> </w:t>
            </w:r>
            <w:r w:rsidRPr="001D2BB9">
              <w:rPr>
                <w:rFonts w:ascii="Arial" w:hAnsi="Arial" w:cs="Arial"/>
              </w:rPr>
              <w:t>Strengths</w:t>
            </w:r>
            <w:r w:rsidRPr="001D2BB9">
              <w:rPr>
                <w:rFonts w:ascii="Arial" w:hAnsi="Arial" w:cs="Arial"/>
              </w:rPr>
              <w:noBreakHyphen/>
              <w:t>based practice emphasises collaboration, empowerment, and the use of community and professional resources to enhance well</w:t>
            </w:r>
            <w:r w:rsidRPr="001D2BB9">
              <w:rPr>
                <w:rFonts w:ascii="Arial" w:hAnsi="Arial" w:cs="Arial"/>
              </w:rPr>
              <w:noBreakHyphen/>
              <w:t>being and promote positive change</w:t>
            </w:r>
            <w:r>
              <w:rPr>
                <w:rFonts w:ascii="Arial" w:hAnsi="Arial" w:cs="Arial"/>
              </w:rPr>
              <w:t xml:space="preserve"> (Teater, 2014)</w:t>
            </w:r>
            <w:r w:rsidRPr="001D2BB9">
              <w:rPr>
                <w:rFonts w:ascii="Arial" w:hAnsi="Arial" w:cs="Arial"/>
              </w:rPr>
              <w:t>.</w:t>
            </w:r>
          </w:p>
          <w:p w14:paraId="70DBFFD9" w14:textId="77777777" w:rsidR="005319E1" w:rsidRDefault="005319E1" w:rsidP="005319E1">
            <w:pPr>
              <w:pStyle w:val="NormalWeb"/>
              <w:spacing w:line="360" w:lineRule="auto"/>
              <w:jc w:val="both"/>
              <w:rPr>
                <w:rFonts w:ascii="Arial" w:hAnsi="Arial" w:cs="Arial"/>
              </w:rPr>
            </w:pPr>
          </w:p>
          <w:p w14:paraId="42F30F88" w14:textId="77777777" w:rsidR="005319E1" w:rsidRDefault="005319E1" w:rsidP="005319E1">
            <w:pPr>
              <w:pStyle w:val="NormalWeb"/>
              <w:spacing w:line="360" w:lineRule="auto"/>
              <w:jc w:val="both"/>
              <w:rPr>
                <w:rFonts w:ascii="Arial" w:hAnsi="Arial" w:cs="Arial"/>
              </w:rPr>
            </w:pPr>
            <w:r>
              <w:rPr>
                <w:rFonts w:ascii="Arial" w:hAnsi="Arial" w:cs="Arial"/>
              </w:rPr>
              <w:t xml:space="preserve">In addition to Strengths based approach, when assessing P2, I was also using systems theory.  </w:t>
            </w:r>
            <w:r w:rsidRPr="00E07BD4">
              <w:rPr>
                <w:rFonts w:ascii="Arial" w:hAnsi="Arial" w:cs="Arial"/>
              </w:rPr>
              <w:t xml:space="preserve">Systems theory is based on the idea that all things operate within larger, interconnected systems. </w:t>
            </w:r>
            <w:r>
              <w:rPr>
                <w:rFonts w:ascii="Arial" w:hAnsi="Arial" w:cs="Arial"/>
              </w:rPr>
              <w:t xml:space="preserve"> </w:t>
            </w:r>
            <w:r w:rsidRPr="00E07BD4">
              <w:rPr>
                <w:rFonts w:ascii="Arial" w:hAnsi="Arial" w:cs="Arial"/>
              </w:rPr>
              <w:t>In social work, this means looking at how different aspects of a person’s life interact and shape their behaviour, well</w:t>
            </w:r>
            <w:r w:rsidRPr="00E07BD4">
              <w:rPr>
                <w:rFonts w:ascii="Arial" w:hAnsi="Arial" w:cs="Arial"/>
              </w:rPr>
              <w:noBreakHyphen/>
              <w:t xml:space="preserve">being, and life chances. </w:t>
            </w:r>
            <w:r>
              <w:rPr>
                <w:rFonts w:ascii="Arial" w:hAnsi="Arial" w:cs="Arial"/>
              </w:rPr>
              <w:t xml:space="preserve"> </w:t>
            </w:r>
            <w:r w:rsidRPr="00E07BD4">
              <w:rPr>
                <w:rFonts w:ascii="Arial" w:hAnsi="Arial" w:cs="Arial"/>
              </w:rPr>
              <w:t>Each system affects the others, so a change in one part of someone’s life can lead to changes in other areas as well</w:t>
            </w:r>
            <w:r>
              <w:rPr>
                <w:rFonts w:ascii="Arial" w:hAnsi="Arial" w:cs="Arial"/>
              </w:rPr>
              <w:t xml:space="preserve"> (Wirth and Kleve, 2023)</w:t>
            </w:r>
            <w:r w:rsidRPr="00E07BD4">
              <w:rPr>
                <w:rFonts w:ascii="Arial" w:hAnsi="Arial" w:cs="Arial"/>
              </w:rPr>
              <w:t>.</w:t>
            </w:r>
            <w:r>
              <w:rPr>
                <w:rFonts w:ascii="Arial" w:hAnsi="Arial" w:cs="Arial"/>
              </w:rPr>
              <w:t xml:space="preserve">  It was identified during the assessment that P2 did not have any family support only formal support from professionals involved.  </w:t>
            </w:r>
            <w:r w:rsidRPr="004436D9">
              <w:rPr>
                <w:rFonts w:ascii="Arial" w:hAnsi="Arial" w:cs="Arial"/>
              </w:rPr>
              <w:t xml:space="preserve">Using systems theory, </w:t>
            </w:r>
            <w:r>
              <w:rPr>
                <w:rFonts w:ascii="Arial" w:hAnsi="Arial" w:cs="Arial"/>
              </w:rPr>
              <w:t>P2</w:t>
            </w:r>
            <w:r w:rsidRPr="004436D9">
              <w:rPr>
                <w:rFonts w:ascii="Arial" w:hAnsi="Arial" w:cs="Arial"/>
              </w:rPr>
              <w:t xml:space="preserve"> is understood within the wider network of systems that influence their well</w:t>
            </w:r>
            <w:r w:rsidRPr="004436D9">
              <w:rPr>
                <w:rFonts w:ascii="Arial" w:hAnsi="Arial" w:cs="Arial"/>
              </w:rPr>
              <w:noBreakHyphen/>
              <w:t>being.</w:t>
            </w:r>
            <w:r>
              <w:rPr>
                <w:rFonts w:ascii="Arial" w:hAnsi="Arial" w:cs="Arial"/>
              </w:rPr>
              <w:t xml:space="preserve"> </w:t>
            </w:r>
            <w:r w:rsidRPr="004436D9">
              <w:rPr>
                <w:rFonts w:ascii="Arial" w:hAnsi="Arial" w:cs="Arial"/>
              </w:rPr>
              <w:t xml:space="preserve"> In this case, the withdrawal </w:t>
            </w:r>
            <w:r w:rsidRPr="004436D9">
              <w:rPr>
                <w:rFonts w:ascii="Arial" w:hAnsi="Arial" w:cs="Arial"/>
              </w:rPr>
              <w:lastRenderedPageBreak/>
              <w:t xml:space="preserve">of family support represents a significant disruption to the family system, which has created increased pressure on the professional system and left the individual with limited informal support. </w:t>
            </w:r>
            <w:r>
              <w:rPr>
                <w:rFonts w:ascii="Arial" w:hAnsi="Arial" w:cs="Arial"/>
              </w:rPr>
              <w:t xml:space="preserve"> Payne (2021) has similar views that s</w:t>
            </w:r>
            <w:r w:rsidRPr="004436D9">
              <w:rPr>
                <w:rFonts w:ascii="Arial" w:hAnsi="Arial" w:cs="Arial"/>
              </w:rPr>
              <w:t>ystems theory highlights how changes in one system create ripple effects across others, guiding social work practice to strengthen professional networks, explore family dynamics, and identify community resources that may help rebuild a more balanced support system.</w:t>
            </w:r>
          </w:p>
          <w:p w14:paraId="01A7BD3C" w14:textId="77777777" w:rsidR="005319E1" w:rsidRDefault="005319E1" w:rsidP="005319E1">
            <w:pPr>
              <w:pStyle w:val="NormalWeb"/>
              <w:spacing w:line="360" w:lineRule="auto"/>
              <w:jc w:val="both"/>
              <w:rPr>
                <w:rFonts w:ascii="Arial" w:hAnsi="Arial" w:cs="Arial"/>
              </w:rPr>
            </w:pPr>
          </w:p>
          <w:p w14:paraId="1B135EB2" w14:textId="77777777" w:rsidR="005319E1" w:rsidRDefault="005319E1" w:rsidP="005319E1">
            <w:pPr>
              <w:pStyle w:val="NormalWeb"/>
              <w:spacing w:line="360" w:lineRule="auto"/>
              <w:jc w:val="both"/>
              <w:rPr>
                <w:rFonts w:ascii="Arial" w:hAnsi="Arial" w:cs="Arial"/>
              </w:rPr>
            </w:pPr>
            <w:r w:rsidRPr="00000CD3">
              <w:rPr>
                <w:rFonts w:ascii="Arial" w:hAnsi="Arial" w:cs="Arial"/>
              </w:rPr>
              <w:t>Analysis</w:t>
            </w:r>
            <w:r>
              <w:rPr>
                <w:rFonts w:ascii="Arial" w:hAnsi="Arial" w:cs="Arial"/>
              </w:rPr>
              <w:t xml:space="preserve"> </w:t>
            </w:r>
            <w:r w:rsidRPr="00000CD3">
              <w:rPr>
                <w:rFonts w:ascii="Arial" w:hAnsi="Arial" w:cs="Arial"/>
              </w:rPr>
              <w:t xml:space="preserve">is a core component of social work assessment because it enables practitioners to move beyond simply gathering information and instead make sense of complex situations. </w:t>
            </w:r>
            <w:r>
              <w:rPr>
                <w:rFonts w:ascii="Arial" w:hAnsi="Arial" w:cs="Arial"/>
              </w:rPr>
              <w:t xml:space="preserve"> </w:t>
            </w:r>
            <w:r w:rsidRPr="00000CD3">
              <w:rPr>
                <w:rFonts w:ascii="Arial" w:hAnsi="Arial" w:cs="Arial"/>
              </w:rPr>
              <w:t>Effective analysis involves interpreting information from multiple sources, identifying patterns, weighing risks and strengths, and understanding how different factors interact to influence a person’s well</w:t>
            </w:r>
            <w:r w:rsidRPr="00000CD3">
              <w:rPr>
                <w:rFonts w:ascii="Arial" w:hAnsi="Arial" w:cs="Arial"/>
              </w:rPr>
              <w:noBreakHyphen/>
              <w:t xml:space="preserve">being. </w:t>
            </w:r>
            <w:r>
              <w:rPr>
                <w:rFonts w:ascii="Arial" w:hAnsi="Arial" w:cs="Arial"/>
              </w:rPr>
              <w:t xml:space="preserve"> </w:t>
            </w:r>
            <w:r w:rsidRPr="00000CD3">
              <w:rPr>
                <w:rFonts w:ascii="Arial" w:hAnsi="Arial" w:cs="Arial"/>
              </w:rPr>
              <w:t>Milner and O’Byrne (2020) argue, assessment is not just a descriptive process but an analytical one, requiring practitioners to evaluate the meaning and significance of what they observe and hear.</w:t>
            </w:r>
          </w:p>
          <w:p w14:paraId="51249979" w14:textId="77777777" w:rsidR="005319E1" w:rsidRPr="00000CD3" w:rsidRDefault="005319E1" w:rsidP="005319E1">
            <w:pPr>
              <w:pStyle w:val="NormalWeb"/>
              <w:spacing w:line="360" w:lineRule="auto"/>
              <w:jc w:val="both"/>
              <w:rPr>
                <w:rFonts w:ascii="Arial" w:hAnsi="Arial" w:cs="Arial"/>
              </w:rPr>
            </w:pPr>
          </w:p>
          <w:p w14:paraId="04208EE4" w14:textId="77777777" w:rsidR="005319E1" w:rsidRPr="00DA47C5" w:rsidRDefault="005319E1" w:rsidP="005319E1">
            <w:pPr>
              <w:pStyle w:val="NormalWeb"/>
              <w:spacing w:line="360" w:lineRule="auto"/>
              <w:jc w:val="both"/>
              <w:rPr>
                <w:rFonts w:ascii="Arial" w:hAnsi="Arial" w:cs="Arial"/>
              </w:rPr>
            </w:pPr>
            <w:r w:rsidRPr="00000CD3">
              <w:rPr>
                <w:rFonts w:ascii="Arial" w:hAnsi="Arial" w:cs="Arial"/>
              </w:rPr>
              <w:t xml:space="preserve">In </w:t>
            </w:r>
            <w:r>
              <w:rPr>
                <w:rFonts w:ascii="Arial" w:hAnsi="Arial" w:cs="Arial"/>
              </w:rPr>
              <w:t>this</w:t>
            </w:r>
            <w:r w:rsidRPr="00000CD3">
              <w:rPr>
                <w:rFonts w:ascii="Arial" w:hAnsi="Arial" w:cs="Arial"/>
              </w:rPr>
              <w:t xml:space="preserve"> case, analysis is essential for understanding how </w:t>
            </w:r>
            <w:r>
              <w:rPr>
                <w:rFonts w:ascii="Arial" w:hAnsi="Arial" w:cs="Arial"/>
              </w:rPr>
              <w:t>P2’s</w:t>
            </w:r>
            <w:r w:rsidRPr="00000CD3">
              <w:rPr>
                <w:rFonts w:ascii="Arial" w:hAnsi="Arial" w:cs="Arial"/>
              </w:rPr>
              <w:t xml:space="preserve"> circumstances</w:t>
            </w:r>
            <w:r>
              <w:rPr>
                <w:rFonts w:ascii="Arial" w:hAnsi="Arial" w:cs="Arial"/>
              </w:rPr>
              <w:t>,</w:t>
            </w:r>
            <w:r w:rsidRPr="00000CD3">
              <w:rPr>
                <w:rFonts w:ascii="Arial" w:hAnsi="Arial" w:cs="Arial"/>
              </w:rPr>
              <w:t xml:space="preserve"> including his alcohol use, the withdrawal of family support, and his reliance on professional networks</w:t>
            </w:r>
            <w:r>
              <w:rPr>
                <w:rFonts w:ascii="Arial" w:hAnsi="Arial" w:cs="Arial"/>
              </w:rPr>
              <w:t xml:space="preserve">, </w:t>
            </w:r>
            <w:r w:rsidRPr="00000CD3">
              <w:rPr>
                <w:rFonts w:ascii="Arial" w:hAnsi="Arial" w:cs="Arial"/>
              </w:rPr>
              <w:t xml:space="preserve">shape his current level of need and risk. </w:t>
            </w:r>
            <w:r>
              <w:rPr>
                <w:rFonts w:ascii="Arial" w:hAnsi="Arial" w:cs="Arial"/>
              </w:rPr>
              <w:t xml:space="preserve"> </w:t>
            </w:r>
            <w:r w:rsidRPr="00000CD3">
              <w:rPr>
                <w:rFonts w:ascii="Arial" w:hAnsi="Arial" w:cs="Arial"/>
              </w:rPr>
              <w:t xml:space="preserve">Analytical thinking helps </w:t>
            </w:r>
            <w:r>
              <w:rPr>
                <w:rFonts w:ascii="Arial" w:hAnsi="Arial" w:cs="Arial"/>
              </w:rPr>
              <w:t xml:space="preserve">me to </w:t>
            </w:r>
            <w:r w:rsidRPr="00000CD3">
              <w:rPr>
                <w:rFonts w:ascii="Arial" w:hAnsi="Arial" w:cs="Arial"/>
              </w:rPr>
              <w:t xml:space="preserve">explore the impact of these factors on his safety, motivation, emotional state, and capacity to engage with support. </w:t>
            </w:r>
            <w:r>
              <w:rPr>
                <w:rFonts w:ascii="Arial" w:hAnsi="Arial" w:cs="Arial"/>
              </w:rPr>
              <w:t xml:space="preserve"> </w:t>
            </w:r>
            <w:r w:rsidRPr="00000CD3">
              <w:rPr>
                <w:rFonts w:ascii="Arial" w:hAnsi="Arial" w:cs="Arial"/>
              </w:rPr>
              <w:t>Taylor and Whittaker (2020) emphasise that professional analysis must consider uncertainty, conflicting information, and the dynamic nature of risk, all of which are present in increasingly complex situations</w:t>
            </w:r>
            <w:r>
              <w:rPr>
                <w:rFonts w:ascii="Arial" w:hAnsi="Arial" w:cs="Arial"/>
              </w:rPr>
              <w:t xml:space="preserve">, </w:t>
            </w:r>
            <w:r w:rsidRPr="00DA47C5">
              <w:rPr>
                <w:rFonts w:ascii="Arial" w:hAnsi="Arial" w:cs="Arial"/>
              </w:rPr>
              <w:t>as seen in case P</w:t>
            </w:r>
            <w:r>
              <w:rPr>
                <w:rFonts w:ascii="Arial" w:hAnsi="Arial" w:cs="Arial"/>
              </w:rPr>
              <w:t>2.</w:t>
            </w:r>
          </w:p>
          <w:p w14:paraId="7016670A" w14:textId="77777777" w:rsidR="005319E1" w:rsidRPr="00000CD3" w:rsidRDefault="005319E1" w:rsidP="005319E1">
            <w:pPr>
              <w:pStyle w:val="NormalWeb"/>
              <w:spacing w:line="360" w:lineRule="auto"/>
              <w:jc w:val="both"/>
              <w:rPr>
                <w:rFonts w:ascii="Arial" w:hAnsi="Arial" w:cs="Arial"/>
              </w:rPr>
            </w:pPr>
          </w:p>
          <w:p w14:paraId="267BDCE6" w14:textId="77777777" w:rsidR="005319E1" w:rsidRDefault="005319E1" w:rsidP="005319E1">
            <w:pPr>
              <w:pStyle w:val="NormalWeb"/>
              <w:spacing w:line="360" w:lineRule="auto"/>
              <w:jc w:val="both"/>
              <w:rPr>
                <w:rFonts w:ascii="Arial" w:hAnsi="Arial" w:cs="Arial"/>
              </w:rPr>
            </w:pPr>
            <w:r w:rsidRPr="00000CD3">
              <w:rPr>
                <w:rFonts w:ascii="Arial" w:hAnsi="Arial" w:cs="Arial"/>
              </w:rPr>
              <w:t xml:space="preserve">A strong analytical assessment also involves recognising both vulnerabilities and strengths. </w:t>
            </w:r>
            <w:r>
              <w:rPr>
                <w:rFonts w:ascii="Arial" w:hAnsi="Arial" w:cs="Arial"/>
              </w:rPr>
              <w:t xml:space="preserve"> </w:t>
            </w:r>
            <w:r w:rsidRPr="00000CD3">
              <w:rPr>
                <w:rFonts w:ascii="Arial" w:hAnsi="Arial" w:cs="Arial"/>
              </w:rPr>
              <w:t xml:space="preserve">This includes identifying protective factors such as his engagement with professionals, past coping strategies, or any remaining community connections. </w:t>
            </w:r>
            <w:r>
              <w:rPr>
                <w:rFonts w:ascii="Arial" w:hAnsi="Arial" w:cs="Arial"/>
              </w:rPr>
              <w:t xml:space="preserve"> </w:t>
            </w:r>
            <w:r w:rsidRPr="00000CD3">
              <w:rPr>
                <w:rFonts w:ascii="Arial" w:hAnsi="Arial" w:cs="Arial"/>
              </w:rPr>
              <w:t>Ruch (20</w:t>
            </w:r>
            <w:r>
              <w:rPr>
                <w:rFonts w:ascii="Arial" w:hAnsi="Arial" w:cs="Arial"/>
              </w:rPr>
              <w:t>1</w:t>
            </w:r>
            <w:r w:rsidRPr="00000CD3">
              <w:rPr>
                <w:rFonts w:ascii="Arial" w:hAnsi="Arial" w:cs="Arial"/>
              </w:rPr>
              <w:t>7) highlights that reflective, analytical practice supports more accurate understanding and</w:t>
            </w:r>
            <w:r>
              <w:rPr>
                <w:rFonts w:ascii="Arial" w:hAnsi="Arial" w:cs="Arial"/>
              </w:rPr>
              <w:t xml:space="preserve"> helps avoid conclusions that are too simple or only highlight what is going wrong</w:t>
            </w:r>
            <w:r w:rsidRPr="00000CD3">
              <w:rPr>
                <w:rFonts w:ascii="Arial" w:hAnsi="Arial" w:cs="Arial"/>
              </w:rPr>
              <w:t xml:space="preserve">. </w:t>
            </w:r>
            <w:r>
              <w:rPr>
                <w:rFonts w:ascii="Arial" w:hAnsi="Arial" w:cs="Arial"/>
              </w:rPr>
              <w:t xml:space="preserve"> </w:t>
            </w:r>
            <w:r w:rsidRPr="00000CD3">
              <w:rPr>
                <w:rFonts w:ascii="Arial" w:hAnsi="Arial" w:cs="Arial"/>
              </w:rPr>
              <w:t xml:space="preserve">Through this analytical </w:t>
            </w:r>
            <w:r w:rsidRPr="00000CD3">
              <w:rPr>
                <w:rFonts w:ascii="Arial" w:hAnsi="Arial" w:cs="Arial"/>
              </w:rPr>
              <w:lastRenderedPageBreak/>
              <w:t>lens, the practitioner can develop a more balanced, evidence</w:t>
            </w:r>
            <w:r w:rsidRPr="00000CD3">
              <w:rPr>
                <w:rFonts w:ascii="Arial" w:hAnsi="Arial" w:cs="Arial"/>
              </w:rPr>
              <w:noBreakHyphen/>
              <w:t>informed understanding of the individual’s needs and the most appropriate interventions</w:t>
            </w:r>
            <w:r>
              <w:rPr>
                <w:rFonts w:ascii="Arial" w:hAnsi="Arial" w:cs="Arial"/>
              </w:rPr>
              <w:t xml:space="preserve"> (Ruch, 2017)</w:t>
            </w:r>
            <w:r w:rsidRPr="00000CD3">
              <w:rPr>
                <w:rFonts w:ascii="Arial" w:hAnsi="Arial" w:cs="Arial"/>
              </w:rPr>
              <w:t>.</w:t>
            </w:r>
          </w:p>
          <w:p w14:paraId="78D63D8A" w14:textId="77777777" w:rsidR="005319E1" w:rsidRDefault="005319E1" w:rsidP="005319E1">
            <w:pPr>
              <w:pStyle w:val="NormalWeb"/>
              <w:spacing w:line="360" w:lineRule="auto"/>
              <w:jc w:val="both"/>
              <w:rPr>
                <w:rFonts w:ascii="Arial" w:hAnsi="Arial" w:cs="Arial"/>
              </w:rPr>
            </w:pPr>
          </w:p>
          <w:p w14:paraId="4E03DD1B" w14:textId="77777777" w:rsidR="005319E1" w:rsidRDefault="005319E1" w:rsidP="00EF2B20">
            <w:pPr>
              <w:spacing w:line="360" w:lineRule="auto"/>
              <w:jc w:val="both"/>
            </w:pPr>
            <w:r w:rsidRPr="00EF2B20">
              <w:rPr>
                <w:sz w:val="24"/>
                <w:szCs w:val="24"/>
              </w:rPr>
              <w:t>This analysis directly informs my intervention planning by enabling me to determine which risks require immediate action, which strengths can be supported and developed, and which areas of need should be prioritised.  Critically, it also requires me to recognise the limits of the information available and to reflect on how my own assumptions, professional values, and organisational pressures that may influence the conclusions I reach. In P2’s case, I must continually question whether my interpretations are influenced by his fluctuating presentation, the perspectives of other professionals, or the urgency created by his alcohol use and diminishing support network.  Engaging in reflective analysis helps me avoid over</w:t>
            </w:r>
            <w:r w:rsidRPr="00EF2B20">
              <w:rPr>
                <w:sz w:val="24"/>
                <w:szCs w:val="24"/>
              </w:rPr>
              <w:noBreakHyphen/>
              <w:t>reliance on single sources of information and supports a more balanced, evidence</w:t>
            </w:r>
            <w:r w:rsidRPr="00EF2B20">
              <w:rPr>
                <w:sz w:val="24"/>
                <w:szCs w:val="24"/>
              </w:rPr>
              <w:noBreakHyphen/>
              <w:t>informed rationale for intervention.  In this way, analysis becomes not only a technical process but a reflective and ethical one, ensuring that the interventions I propose are proportionate, person</w:t>
            </w:r>
            <w:r w:rsidRPr="00EF2B20">
              <w:rPr>
                <w:sz w:val="24"/>
                <w:szCs w:val="24"/>
              </w:rPr>
              <w:noBreakHyphen/>
              <w:t>centred, and grounded in professional judgement</w:t>
            </w:r>
            <w:r>
              <w:t>.</w:t>
            </w:r>
          </w:p>
          <w:p w14:paraId="054625F6" w14:textId="77777777" w:rsidR="005319E1" w:rsidRDefault="005319E1" w:rsidP="005319E1">
            <w:pPr>
              <w:spacing w:line="360" w:lineRule="auto"/>
              <w:jc w:val="both"/>
            </w:pPr>
          </w:p>
          <w:p w14:paraId="6F2AF6FA" w14:textId="77777777" w:rsidR="005319E1" w:rsidRPr="00F2536A" w:rsidRDefault="005319E1" w:rsidP="005319E1">
            <w:pPr>
              <w:spacing w:line="360" w:lineRule="auto"/>
              <w:jc w:val="both"/>
              <w:rPr>
                <w:sz w:val="24"/>
                <w:szCs w:val="24"/>
              </w:rPr>
            </w:pPr>
            <w:r w:rsidRPr="00F2536A">
              <w:rPr>
                <w:sz w:val="24"/>
                <w:szCs w:val="24"/>
              </w:rPr>
              <w:t>Collaborative working is essential in social work practice, particularly when supporting individuals whose situations involve multiple needs and limited informal support, like P2.  Effective collaboration ensures that professionals share information, coordinate interventions, and develop a shared understanding of risk and need.  Horwath and Morrison (2011) emphasise that inter</w:t>
            </w:r>
            <w:r w:rsidRPr="00F2536A">
              <w:rPr>
                <w:sz w:val="24"/>
                <w:szCs w:val="24"/>
              </w:rPr>
              <w:noBreakHyphen/>
              <w:t>agency collaboration improves the accuracy of assessments and reduces the likelihood of fragmented or duplicated services.  In cases where family support has withdrawn, as in this situation, collaborative working becomes even more critical because professionals may be the individual’s only active support network.</w:t>
            </w:r>
          </w:p>
          <w:p w14:paraId="5E51BFE4" w14:textId="77777777" w:rsidR="005319E1" w:rsidRPr="00394E18" w:rsidRDefault="005319E1" w:rsidP="005319E1">
            <w:pPr>
              <w:pStyle w:val="NormalWeb"/>
              <w:spacing w:line="360" w:lineRule="auto"/>
              <w:jc w:val="both"/>
              <w:rPr>
                <w:rFonts w:ascii="Arial" w:hAnsi="Arial" w:cs="Arial"/>
              </w:rPr>
            </w:pPr>
          </w:p>
          <w:p w14:paraId="013B7D67" w14:textId="77777777" w:rsidR="005319E1" w:rsidRDefault="005319E1" w:rsidP="005319E1">
            <w:pPr>
              <w:pStyle w:val="NormalWeb"/>
              <w:spacing w:line="360" w:lineRule="auto"/>
              <w:jc w:val="both"/>
              <w:rPr>
                <w:rFonts w:ascii="Arial" w:hAnsi="Arial" w:cs="Arial"/>
              </w:rPr>
            </w:pPr>
            <w:r w:rsidRPr="00394E18">
              <w:rPr>
                <w:rFonts w:ascii="Arial" w:hAnsi="Arial" w:cs="Arial"/>
              </w:rPr>
              <w:t>Working collaboratively allows practitioners to draw on the expertise of different agencies, such as health services, mental health teams, housing providers, and substance</w:t>
            </w:r>
            <w:r w:rsidRPr="00394E18">
              <w:rPr>
                <w:rFonts w:ascii="Arial" w:hAnsi="Arial" w:cs="Arial"/>
              </w:rPr>
              <w:noBreakHyphen/>
              <w:t xml:space="preserve">use specialists. </w:t>
            </w:r>
            <w:r>
              <w:rPr>
                <w:rFonts w:ascii="Arial" w:hAnsi="Arial" w:cs="Arial"/>
              </w:rPr>
              <w:t xml:space="preserve"> </w:t>
            </w:r>
            <w:r w:rsidRPr="00394E18">
              <w:rPr>
                <w:rFonts w:ascii="Arial" w:hAnsi="Arial" w:cs="Arial"/>
              </w:rPr>
              <w:t xml:space="preserve">Each professional contributes a unique perspective, helping to build a more comprehensive picture of the individual’s circumstances. </w:t>
            </w:r>
            <w:r>
              <w:rPr>
                <w:rFonts w:ascii="Arial" w:hAnsi="Arial" w:cs="Arial"/>
              </w:rPr>
              <w:t xml:space="preserve"> </w:t>
            </w:r>
            <w:r w:rsidRPr="00394E18">
              <w:rPr>
                <w:rFonts w:ascii="Arial" w:hAnsi="Arial" w:cs="Arial"/>
              </w:rPr>
              <w:t xml:space="preserve">This shared approach strengthens </w:t>
            </w:r>
            <w:r w:rsidRPr="00394E18">
              <w:rPr>
                <w:rFonts w:ascii="Arial" w:hAnsi="Arial" w:cs="Arial"/>
              </w:rPr>
              <w:lastRenderedPageBreak/>
              <w:t>assessment and planning, ensuring that interventions are consistent and aligned with the person’s needs</w:t>
            </w:r>
            <w:r>
              <w:rPr>
                <w:rFonts w:ascii="Arial" w:hAnsi="Arial" w:cs="Arial"/>
              </w:rPr>
              <w:t xml:space="preserve"> (Social Care Institute for Excellence, 2020).</w:t>
            </w:r>
            <w:r w:rsidRPr="00394E18">
              <w:rPr>
                <w:rFonts w:ascii="Arial" w:hAnsi="Arial" w:cs="Arial"/>
              </w:rPr>
              <w:t xml:space="preserve"> </w:t>
            </w:r>
            <w:r>
              <w:rPr>
                <w:rFonts w:ascii="Arial" w:hAnsi="Arial" w:cs="Arial"/>
              </w:rPr>
              <w:t xml:space="preserve"> </w:t>
            </w:r>
            <w:r w:rsidRPr="00DF7B3F">
              <w:rPr>
                <w:rFonts w:ascii="Arial" w:hAnsi="Arial" w:cs="Arial"/>
              </w:rPr>
              <w:t xml:space="preserve">The Munro (2011) </w:t>
            </w:r>
            <w:r>
              <w:rPr>
                <w:rFonts w:ascii="Arial" w:hAnsi="Arial" w:cs="Arial"/>
              </w:rPr>
              <w:t>r</w:t>
            </w:r>
            <w:r w:rsidRPr="00DF7B3F">
              <w:rPr>
                <w:rFonts w:ascii="Arial" w:hAnsi="Arial" w:cs="Arial"/>
              </w:rPr>
              <w:t>eview highlights that coordinated professional relationships are vital in complex cases, as they help practitioners manage uncertainty and respond more effectively to emerging risks.</w:t>
            </w:r>
            <w:r>
              <w:rPr>
                <w:rFonts w:ascii="Arial" w:hAnsi="Arial" w:cs="Arial"/>
              </w:rPr>
              <w:t xml:space="preserve">  </w:t>
            </w:r>
          </w:p>
          <w:p w14:paraId="62467749" w14:textId="77777777" w:rsidR="005319E1" w:rsidRDefault="005319E1" w:rsidP="005319E1">
            <w:pPr>
              <w:pStyle w:val="NormalWeb"/>
              <w:spacing w:line="360" w:lineRule="auto"/>
              <w:jc w:val="both"/>
              <w:rPr>
                <w:rFonts w:ascii="Arial" w:hAnsi="Arial" w:cs="Arial"/>
              </w:rPr>
            </w:pPr>
          </w:p>
          <w:p w14:paraId="445B256E" w14:textId="77777777" w:rsidR="005319E1" w:rsidRDefault="005319E1" w:rsidP="005319E1">
            <w:pPr>
              <w:pStyle w:val="NormalWeb"/>
              <w:spacing w:line="360" w:lineRule="auto"/>
              <w:jc w:val="both"/>
              <w:rPr>
                <w:rFonts w:ascii="Arial" w:hAnsi="Arial" w:cs="Arial"/>
              </w:rPr>
            </w:pPr>
            <w:r>
              <w:rPr>
                <w:rFonts w:ascii="Arial" w:hAnsi="Arial" w:cs="Arial"/>
              </w:rPr>
              <w:t>Similarly,</w:t>
            </w:r>
            <w:r w:rsidRPr="00DF7B3F">
              <w:rPr>
                <w:rFonts w:ascii="Arial" w:hAnsi="Arial" w:cs="Arial"/>
              </w:rPr>
              <w:t xml:space="preserve"> </w:t>
            </w:r>
            <w:r w:rsidRPr="00DF7B3F">
              <w:rPr>
                <w:rStyle w:val="Strong"/>
                <w:rFonts w:ascii="Arial" w:hAnsi="Arial" w:cs="Arial"/>
                <w:b w:val="0"/>
                <w:bCs w:val="0"/>
              </w:rPr>
              <w:t>Laming (2009)</w:t>
            </w:r>
            <w:r>
              <w:rPr>
                <w:rFonts w:ascii="Arial" w:hAnsi="Arial" w:cs="Arial"/>
              </w:rPr>
              <w:t xml:space="preserve"> has stated </w:t>
            </w:r>
            <w:r w:rsidRPr="00DF7B3F">
              <w:rPr>
                <w:rFonts w:ascii="Arial" w:hAnsi="Arial" w:cs="Arial"/>
              </w:rPr>
              <w:t xml:space="preserve">that effective collaboration strengthens professional judgement and improves the reliability of assessment. </w:t>
            </w:r>
            <w:r>
              <w:rPr>
                <w:rFonts w:ascii="Arial" w:hAnsi="Arial" w:cs="Arial"/>
              </w:rPr>
              <w:t xml:space="preserve"> </w:t>
            </w:r>
            <w:r w:rsidRPr="00DF7B3F">
              <w:rPr>
                <w:rFonts w:ascii="Arial" w:hAnsi="Arial" w:cs="Arial"/>
              </w:rPr>
              <w:t xml:space="preserve">This emphasis on partnership working also aligns closely with the </w:t>
            </w:r>
            <w:r w:rsidRPr="00DF7B3F">
              <w:rPr>
                <w:rStyle w:val="Strong"/>
                <w:rFonts w:ascii="Arial" w:hAnsi="Arial" w:cs="Arial"/>
                <w:b w:val="0"/>
                <w:bCs w:val="0"/>
              </w:rPr>
              <w:t>principles of the Social Services and Well</w:t>
            </w:r>
            <w:r w:rsidRPr="00DF7B3F">
              <w:rPr>
                <w:rStyle w:val="Strong"/>
                <w:rFonts w:ascii="Arial" w:hAnsi="Arial" w:cs="Arial"/>
                <w:b w:val="0"/>
                <w:bCs w:val="0"/>
              </w:rPr>
              <w:noBreakHyphen/>
              <w:t>being (Wales) Act 2014</w:t>
            </w:r>
            <w:r w:rsidRPr="00DF7B3F">
              <w:rPr>
                <w:rFonts w:ascii="Arial" w:hAnsi="Arial" w:cs="Arial"/>
              </w:rPr>
              <w:t>, which places a statutory duty on agencies to work together to promote wellbeing, safeguard individuals, and ensure that people remain at the centre of decision</w:t>
            </w:r>
            <w:r w:rsidRPr="00DF7B3F">
              <w:rPr>
                <w:rFonts w:ascii="Arial" w:hAnsi="Arial" w:cs="Arial"/>
              </w:rPr>
              <w:noBreakHyphen/>
              <w:t xml:space="preserve">making. </w:t>
            </w:r>
            <w:r>
              <w:rPr>
                <w:rFonts w:ascii="Arial" w:hAnsi="Arial" w:cs="Arial"/>
              </w:rPr>
              <w:t xml:space="preserve"> </w:t>
            </w:r>
            <w:r w:rsidRPr="00DF7B3F">
              <w:rPr>
                <w:rFonts w:ascii="Arial" w:hAnsi="Arial" w:cs="Arial"/>
              </w:rPr>
              <w:t xml:space="preserve">Similarly, the </w:t>
            </w:r>
            <w:r w:rsidRPr="00DF7B3F">
              <w:rPr>
                <w:rStyle w:val="Strong"/>
                <w:rFonts w:ascii="Arial" w:hAnsi="Arial" w:cs="Arial"/>
                <w:b w:val="0"/>
                <w:bCs w:val="0"/>
              </w:rPr>
              <w:t xml:space="preserve">Social Care Wales </w:t>
            </w:r>
            <w:r>
              <w:rPr>
                <w:rStyle w:val="Strong"/>
                <w:rFonts w:ascii="Arial" w:hAnsi="Arial" w:cs="Arial"/>
                <w:b w:val="0"/>
                <w:bCs w:val="0"/>
              </w:rPr>
              <w:t xml:space="preserve">(2017) </w:t>
            </w:r>
            <w:r w:rsidRPr="00DF7B3F">
              <w:rPr>
                <w:rStyle w:val="Strong"/>
                <w:rFonts w:ascii="Arial" w:hAnsi="Arial" w:cs="Arial"/>
                <w:b w:val="0"/>
                <w:bCs w:val="0"/>
              </w:rPr>
              <w:t>Code of Professional Practice</w:t>
            </w:r>
            <w:r w:rsidRPr="00DF7B3F">
              <w:rPr>
                <w:rFonts w:ascii="Arial" w:hAnsi="Arial" w:cs="Arial"/>
              </w:rPr>
              <w:t xml:space="preserve"> requires practitioners to communicate openly, share information appropriately, and collaborate with colleagues and other agencies to achieve the best outcomes. </w:t>
            </w:r>
            <w:r>
              <w:rPr>
                <w:rFonts w:ascii="Arial" w:hAnsi="Arial" w:cs="Arial"/>
              </w:rPr>
              <w:t xml:space="preserve"> </w:t>
            </w:r>
            <w:r w:rsidRPr="00DF7B3F">
              <w:rPr>
                <w:rFonts w:ascii="Arial" w:hAnsi="Arial" w:cs="Arial"/>
              </w:rPr>
              <w:t xml:space="preserve">By working together, professionals can ensure that the individual’s voice, goals, and preferences are reflected in planning and intervention. </w:t>
            </w:r>
            <w:r>
              <w:rPr>
                <w:rFonts w:ascii="Arial" w:hAnsi="Arial" w:cs="Arial"/>
              </w:rPr>
              <w:t xml:space="preserve"> </w:t>
            </w:r>
            <w:r w:rsidRPr="00DF7B3F">
              <w:rPr>
                <w:rStyle w:val="Strong"/>
                <w:rFonts w:ascii="Arial" w:hAnsi="Arial" w:cs="Arial"/>
                <w:b w:val="0"/>
                <w:bCs w:val="0"/>
              </w:rPr>
              <w:t>Trevithick (2012)</w:t>
            </w:r>
            <w:r w:rsidRPr="00DF7B3F">
              <w:rPr>
                <w:rFonts w:ascii="Arial" w:hAnsi="Arial" w:cs="Arial"/>
              </w:rPr>
              <w:t xml:space="preserve"> reinforces that relationship</w:t>
            </w:r>
            <w:r w:rsidRPr="00DF7B3F">
              <w:rPr>
                <w:rFonts w:ascii="Arial" w:hAnsi="Arial" w:cs="Arial"/>
              </w:rPr>
              <w:noBreakHyphen/>
              <w:t>based, multi</w:t>
            </w:r>
            <w:r w:rsidRPr="00DF7B3F">
              <w:rPr>
                <w:rFonts w:ascii="Arial" w:hAnsi="Arial" w:cs="Arial"/>
              </w:rPr>
              <w:noBreakHyphen/>
              <w:t>agency practice</w:t>
            </w:r>
            <w:r>
              <w:rPr>
                <w:rFonts w:ascii="Arial" w:hAnsi="Arial" w:cs="Arial"/>
              </w:rPr>
              <w:t xml:space="preserve"> that</w:t>
            </w:r>
            <w:r w:rsidRPr="00DF7B3F">
              <w:rPr>
                <w:rFonts w:ascii="Arial" w:hAnsi="Arial" w:cs="Arial"/>
              </w:rPr>
              <w:t xml:space="preserve"> promotes engagement and reduces feelings of isolation, helping the person feel supported by a coherent network rather than a series of disconnected services. Ultimately, collaborative working enhances both the quality of assessment and the effectiveness of intervention in complex situations, while ensuring practice remains rights</w:t>
            </w:r>
            <w:r w:rsidRPr="00DF7B3F">
              <w:rPr>
                <w:rFonts w:ascii="Arial" w:hAnsi="Arial" w:cs="Arial"/>
              </w:rPr>
              <w:noBreakHyphen/>
              <w:t>based, person</w:t>
            </w:r>
            <w:r w:rsidRPr="00DF7B3F">
              <w:rPr>
                <w:rFonts w:ascii="Arial" w:hAnsi="Arial" w:cs="Arial"/>
              </w:rPr>
              <w:noBreakHyphen/>
              <w:t>centred, and aligned with Welsh legis</w:t>
            </w:r>
            <w:r>
              <w:rPr>
                <w:rFonts w:ascii="Arial" w:hAnsi="Arial" w:cs="Arial"/>
              </w:rPr>
              <w:t>lation</w:t>
            </w:r>
            <w:r w:rsidRPr="00DF7B3F">
              <w:rPr>
                <w:rFonts w:ascii="Arial" w:hAnsi="Arial" w:cs="Arial"/>
              </w:rPr>
              <w:t xml:space="preserve"> and professional standards.</w:t>
            </w:r>
          </w:p>
          <w:p w14:paraId="77B7C034" w14:textId="77777777" w:rsidR="005319E1" w:rsidRDefault="005319E1" w:rsidP="005319E1">
            <w:pPr>
              <w:pStyle w:val="NormalWeb"/>
              <w:spacing w:line="360" w:lineRule="auto"/>
              <w:jc w:val="both"/>
              <w:rPr>
                <w:rFonts w:ascii="Arial" w:hAnsi="Arial" w:cs="Arial"/>
              </w:rPr>
            </w:pPr>
          </w:p>
          <w:p w14:paraId="5F558386" w14:textId="77777777" w:rsidR="005319E1" w:rsidRPr="000D7DC0" w:rsidRDefault="005319E1" w:rsidP="005319E1">
            <w:pPr>
              <w:spacing w:line="360" w:lineRule="auto"/>
              <w:jc w:val="both"/>
              <w:rPr>
                <w:sz w:val="24"/>
                <w:szCs w:val="24"/>
              </w:rPr>
            </w:pPr>
            <w:r w:rsidRPr="000D7DC0">
              <w:rPr>
                <w:sz w:val="24"/>
                <w:szCs w:val="24"/>
              </w:rPr>
              <w:t>When working with P2, I collaborated closely with the support worker at his accommodation, the homeless</w:t>
            </w:r>
            <w:r w:rsidRPr="000D7DC0">
              <w:rPr>
                <w:sz w:val="24"/>
                <w:szCs w:val="24"/>
              </w:rPr>
              <w:noBreakHyphen/>
              <w:t>prevention nurse, and the mental health nurse, each of whom brought different professional perspectives that sometimes led to contrasting interpretations of his needs and level of risk.  Such differences are common in multi</w:t>
            </w:r>
            <w:r w:rsidRPr="000D7DC0">
              <w:rPr>
                <w:sz w:val="24"/>
                <w:szCs w:val="24"/>
              </w:rPr>
              <w:noBreakHyphen/>
              <w:t xml:space="preserve">agency work, as professionals draw on distinct training, priorities, and organisational contexts, which can shape how they understand a person’s situation (Horne and Smith, 2021).  Research also shows that differing professional viewpoints can create both challenge and opportunity.  While disagreements may generate </w:t>
            </w:r>
            <w:r w:rsidRPr="000D7DC0">
              <w:rPr>
                <w:sz w:val="24"/>
                <w:szCs w:val="24"/>
              </w:rPr>
              <w:lastRenderedPageBreak/>
              <w:t xml:space="preserve">tension, they can also strengthen assessment by encouraging practitioners to critically examine assumptions and consider alternative explanations (White et al., 2020). </w:t>
            </w:r>
          </w:p>
          <w:p w14:paraId="6EA3969A" w14:textId="77777777" w:rsidR="005319E1" w:rsidRDefault="005319E1" w:rsidP="005319E1">
            <w:pPr>
              <w:spacing w:line="360" w:lineRule="auto"/>
              <w:jc w:val="both"/>
            </w:pPr>
          </w:p>
          <w:p w14:paraId="14D57381" w14:textId="77777777" w:rsidR="005319E1" w:rsidRPr="006822E6" w:rsidRDefault="005319E1" w:rsidP="005319E1">
            <w:pPr>
              <w:spacing w:line="360" w:lineRule="auto"/>
              <w:jc w:val="both"/>
              <w:rPr>
                <w:rFonts w:ascii="Segoe UI" w:hAnsi="Segoe UI" w:cs="Segoe UI"/>
                <w:sz w:val="24"/>
                <w:szCs w:val="24"/>
              </w:rPr>
            </w:pPr>
            <w:r w:rsidRPr="006822E6">
              <w:rPr>
                <w:sz w:val="24"/>
                <w:szCs w:val="24"/>
              </w:rPr>
              <w:t xml:space="preserve">Navigating these perspectives requires careful consideration of the </w:t>
            </w:r>
            <w:r w:rsidRPr="006822E6">
              <w:rPr>
                <w:rStyle w:val="Strong"/>
                <w:b w:val="0"/>
                <w:bCs w:val="0"/>
                <w:sz w:val="24"/>
                <w:szCs w:val="24"/>
              </w:rPr>
              <w:t>Human Rights Act 1998</w:t>
            </w:r>
            <w:r w:rsidRPr="006822E6">
              <w:rPr>
                <w:sz w:val="24"/>
                <w:szCs w:val="24"/>
              </w:rPr>
              <w:t xml:space="preserve">, particularly </w:t>
            </w:r>
            <w:r w:rsidRPr="006822E6">
              <w:rPr>
                <w:rStyle w:val="Strong"/>
                <w:b w:val="0"/>
                <w:bCs w:val="0"/>
                <w:sz w:val="24"/>
                <w:szCs w:val="24"/>
              </w:rPr>
              <w:t>Article 2</w:t>
            </w:r>
            <w:r w:rsidRPr="006822E6">
              <w:rPr>
                <w:sz w:val="24"/>
                <w:szCs w:val="24"/>
              </w:rPr>
              <w:t xml:space="preserve">, which places a duty on practitioners to take reasonable steps to protect life, and </w:t>
            </w:r>
            <w:r w:rsidRPr="006822E6">
              <w:rPr>
                <w:rStyle w:val="Strong"/>
                <w:b w:val="0"/>
                <w:bCs w:val="0"/>
                <w:sz w:val="24"/>
                <w:szCs w:val="24"/>
              </w:rPr>
              <w:t>Article 8</w:t>
            </w:r>
            <w:r w:rsidRPr="006822E6">
              <w:rPr>
                <w:sz w:val="24"/>
                <w:szCs w:val="24"/>
              </w:rPr>
              <w:t xml:space="preserve">, which emphasises respect for autonomy, dignity, and private life.  </w:t>
            </w:r>
            <w:r w:rsidRPr="006822E6">
              <w:rPr>
                <w:rStyle w:val="Strong"/>
                <w:b w:val="0"/>
                <w:bCs w:val="0"/>
                <w:sz w:val="24"/>
                <w:szCs w:val="24"/>
              </w:rPr>
              <w:t>This may differ from how the European Convention on Human Rights is applied in other countries, as the UK interprets these rights through its own domestic legal framework.</w:t>
            </w:r>
            <w:r w:rsidRPr="006822E6">
              <w:rPr>
                <w:sz w:val="24"/>
                <w:szCs w:val="24"/>
              </w:rPr>
              <w:t xml:space="preserve">  </w:t>
            </w:r>
            <w:r w:rsidRPr="006822E6">
              <w:rPr>
                <w:rStyle w:val="Strong"/>
                <w:b w:val="0"/>
                <w:bCs w:val="0"/>
                <w:sz w:val="24"/>
                <w:szCs w:val="24"/>
              </w:rPr>
              <w:t>Other European Convention on Human Rights are also relevant in complex safeguarding situations, including Article 3 (freedom from inhuman or degrading treatment), Article 5 (right to liberty and security), and Article 6 (right to a fair hearing), all of which help guide proportionate and lawful decision</w:t>
            </w:r>
            <w:r w:rsidRPr="006822E6">
              <w:rPr>
                <w:rStyle w:val="Strong"/>
                <w:b w:val="0"/>
                <w:bCs w:val="0"/>
                <w:sz w:val="24"/>
                <w:szCs w:val="24"/>
              </w:rPr>
              <w:noBreakHyphen/>
              <w:t>making</w:t>
            </w:r>
            <w:r w:rsidRPr="006822E6">
              <w:rPr>
                <w:rStyle w:val="Strong"/>
                <w:sz w:val="24"/>
                <w:szCs w:val="24"/>
              </w:rPr>
              <w:t xml:space="preserve">.  </w:t>
            </w:r>
            <w:r w:rsidRPr="006822E6">
              <w:rPr>
                <w:sz w:val="24"/>
                <w:szCs w:val="24"/>
              </w:rPr>
              <w:t xml:space="preserve">In addition, the Equality Act 2010 reinforces the need to ensure that decisions and interventions do not discriminate against individuals </w:t>
            </w:r>
            <w:proofErr w:type="gramStart"/>
            <w:r w:rsidRPr="006822E6">
              <w:rPr>
                <w:sz w:val="24"/>
                <w:szCs w:val="24"/>
              </w:rPr>
              <w:t>on the basis of</w:t>
            </w:r>
            <w:proofErr w:type="gramEnd"/>
            <w:r w:rsidRPr="006822E6">
              <w:rPr>
                <w:sz w:val="24"/>
                <w:szCs w:val="24"/>
              </w:rPr>
              <w:t xml:space="preserve"> protected characteristics, promoting fairness and equal access to support.</w:t>
            </w:r>
            <w:r w:rsidRPr="006822E6">
              <w:rPr>
                <w:rFonts w:ascii="Segoe UI" w:hAnsi="Segoe UI" w:cs="Segoe UI"/>
                <w:sz w:val="24"/>
                <w:szCs w:val="24"/>
              </w:rPr>
              <w:t xml:space="preserve"> </w:t>
            </w:r>
          </w:p>
          <w:p w14:paraId="5BBCE285" w14:textId="77777777" w:rsidR="005319E1" w:rsidRDefault="005319E1" w:rsidP="005319E1">
            <w:pPr>
              <w:spacing w:line="360" w:lineRule="auto"/>
              <w:jc w:val="both"/>
              <w:rPr>
                <w:b/>
                <w:bCs/>
              </w:rPr>
            </w:pPr>
            <w:r w:rsidRPr="00A95906">
              <w:rPr>
                <w:b/>
                <w:bCs/>
              </w:rPr>
              <w:t xml:space="preserve"> </w:t>
            </w:r>
          </w:p>
          <w:p w14:paraId="784AED2B" w14:textId="77777777" w:rsidR="005319E1" w:rsidRPr="00725242" w:rsidRDefault="005319E1" w:rsidP="005319E1">
            <w:pPr>
              <w:spacing w:line="360" w:lineRule="auto"/>
              <w:jc w:val="both"/>
              <w:rPr>
                <w:b/>
                <w:bCs/>
                <w:sz w:val="24"/>
                <w:szCs w:val="24"/>
              </w:rPr>
            </w:pPr>
            <w:r w:rsidRPr="00725242">
              <w:rPr>
                <w:sz w:val="24"/>
                <w:szCs w:val="24"/>
              </w:rPr>
              <w:t xml:space="preserve">Effective collaboration also depends on lawful and proportionate information sharing, guided by GDPR principles and supported by the </w:t>
            </w:r>
            <w:r w:rsidRPr="00725242">
              <w:rPr>
                <w:rStyle w:val="Strong"/>
                <w:b w:val="0"/>
                <w:bCs w:val="0"/>
                <w:sz w:val="24"/>
                <w:szCs w:val="24"/>
              </w:rPr>
              <w:t>Freedom of Information Act 2000</w:t>
            </w:r>
            <w:r w:rsidRPr="00725242">
              <w:rPr>
                <w:sz w:val="24"/>
                <w:szCs w:val="24"/>
              </w:rPr>
              <w:t>, which sets out how information can be accessed and shared appropriately within legal boundaries. Engaging with differing professional opinions through this rights</w:t>
            </w:r>
            <w:r w:rsidRPr="00725242">
              <w:rPr>
                <w:sz w:val="24"/>
                <w:szCs w:val="24"/>
              </w:rPr>
              <w:noBreakHyphen/>
              <w:t>based and legally informed lens supports more balanced assessments and promotes coordinated interventions for individuals with complex needs such as P2.</w:t>
            </w:r>
          </w:p>
          <w:p w14:paraId="6D797731" w14:textId="77777777" w:rsidR="005319E1" w:rsidRPr="006361F3" w:rsidRDefault="005319E1" w:rsidP="005319E1">
            <w:pPr>
              <w:spacing w:line="360" w:lineRule="auto"/>
              <w:jc w:val="both"/>
              <w:rPr>
                <w:b/>
                <w:bCs/>
              </w:rPr>
            </w:pPr>
          </w:p>
          <w:p w14:paraId="67DE7448" w14:textId="77777777" w:rsidR="005319E1" w:rsidRDefault="005319E1" w:rsidP="005319E1">
            <w:pPr>
              <w:pStyle w:val="NormalWeb"/>
              <w:spacing w:line="360" w:lineRule="auto"/>
              <w:jc w:val="both"/>
              <w:rPr>
                <w:rFonts w:ascii="Arial" w:hAnsi="Arial" w:cs="Arial"/>
              </w:rPr>
            </w:pPr>
            <w:r w:rsidRPr="00941E27">
              <w:rPr>
                <w:rFonts w:ascii="Arial" w:hAnsi="Arial" w:cs="Arial"/>
              </w:rPr>
              <w:t>Professional judgement is central to social work practice, particularly when working in situations that involve uncertainty, multiple needs, and limited support networks</w:t>
            </w:r>
            <w:r>
              <w:rPr>
                <w:rFonts w:ascii="Arial" w:hAnsi="Arial" w:cs="Arial"/>
              </w:rPr>
              <w:t>, like the case with P2</w:t>
            </w:r>
            <w:r w:rsidRPr="00941E27">
              <w:rPr>
                <w:rFonts w:ascii="Arial" w:hAnsi="Arial" w:cs="Arial"/>
              </w:rPr>
              <w:t>.</w:t>
            </w:r>
            <w:r>
              <w:rPr>
                <w:rFonts w:ascii="Arial" w:hAnsi="Arial" w:cs="Arial"/>
              </w:rPr>
              <w:t xml:space="preserve"> </w:t>
            </w:r>
            <w:r w:rsidRPr="00941E27">
              <w:rPr>
                <w:rFonts w:ascii="Arial" w:hAnsi="Arial" w:cs="Arial"/>
              </w:rPr>
              <w:t xml:space="preserve"> It requires practitioners to interpret complex information, balance competing priorities, and make decisions that promote safety, well</w:t>
            </w:r>
            <w:r w:rsidRPr="00941E27">
              <w:rPr>
                <w:rFonts w:ascii="Arial" w:hAnsi="Arial" w:cs="Arial"/>
              </w:rPr>
              <w:noBreakHyphen/>
              <w:t xml:space="preserve">being, and autonomy. </w:t>
            </w:r>
            <w:r>
              <w:rPr>
                <w:rFonts w:ascii="Arial" w:hAnsi="Arial" w:cs="Arial"/>
              </w:rPr>
              <w:t xml:space="preserve"> </w:t>
            </w:r>
            <w:r w:rsidRPr="00941E27">
              <w:rPr>
                <w:rFonts w:ascii="Arial" w:hAnsi="Arial" w:cs="Arial"/>
              </w:rPr>
              <w:t>Taylor and Whittaker (2020) describe professional judgement as a process that involves weighing evidence, considering ethical principles, and applying practice wisdom to reach defensible conclusions</w:t>
            </w:r>
            <w:r>
              <w:rPr>
                <w:rFonts w:ascii="Arial" w:hAnsi="Arial" w:cs="Arial"/>
              </w:rPr>
              <w:t xml:space="preserve">.  </w:t>
            </w:r>
            <w:r w:rsidRPr="00941E27">
              <w:rPr>
                <w:rFonts w:ascii="Arial" w:hAnsi="Arial" w:cs="Arial"/>
              </w:rPr>
              <w:t xml:space="preserve">In </w:t>
            </w:r>
            <w:r>
              <w:rPr>
                <w:rFonts w:ascii="Arial" w:hAnsi="Arial" w:cs="Arial"/>
              </w:rPr>
              <w:t>this</w:t>
            </w:r>
            <w:r w:rsidRPr="00941E27">
              <w:rPr>
                <w:rFonts w:ascii="Arial" w:hAnsi="Arial" w:cs="Arial"/>
              </w:rPr>
              <w:t xml:space="preserve"> case</w:t>
            </w:r>
            <w:r>
              <w:rPr>
                <w:rFonts w:ascii="Arial" w:hAnsi="Arial" w:cs="Arial"/>
              </w:rPr>
              <w:t xml:space="preserve"> with P2</w:t>
            </w:r>
            <w:r w:rsidRPr="00941E27">
              <w:rPr>
                <w:rFonts w:ascii="Arial" w:hAnsi="Arial" w:cs="Arial"/>
              </w:rPr>
              <w:t xml:space="preserve">, professional judgement is essential because </w:t>
            </w:r>
            <w:r>
              <w:rPr>
                <w:rFonts w:ascii="Arial" w:hAnsi="Arial" w:cs="Arial"/>
              </w:rPr>
              <w:t xml:space="preserve">P2’s </w:t>
            </w:r>
            <w:r w:rsidRPr="00941E27">
              <w:rPr>
                <w:rFonts w:ascii="Arial" w:hAnsi="Arial" w:cs="Arial"/>
              </w:rPr>
              <w:t>circumstances involve several interacting risks</w:t>
            </w:r>
            <w:r>
              <w:rPr>
                <w:rFonts w:ascii="Arial" w:hAnsi="Arial" w:cs="Arial"/>
              </w:rPr>
              <w:t>,</w:t>
            </w:r>
            <w:r w:rsidRPr="00941E27">
              <w:rPr>
                <w:rFonts w:ascii="Arial" w:hAnsi="Arial" w:cs="Arial"/>
              </w:rPr>
              <w:t xml:space="preserve"> ongoing difficulties, the absence of family support, and reliance on professional services. </w:t>
            </w:r>
            <w:r>
              <w:rPr>
                <w:rFonts w:ascii="Arial" w:hAnsi="Arial" w:cs="Arial"/>
              </w:rPr>
              <w:t xml:space="preserve"> </w:t>
            </w:r>
            <w:r w:rsidRPr="00941E27">
              <w:rPr>
                <w:rFonts w:ascii="Arial" w:hAnsi="Arial" w:cs="Arial"/>
              </w:rPr>
              <w:t xml:space="preserve">These factors create a dynamic situation </w:t>
            </w:r>
            <w:r w:rsidRPr="00941E27">
              <w:rPr>
                <w:rFonts w:ascii="Arial" w:hAnsi="Arial" w:cs="Arial"/>
              </w:rPr>
              <w:lastRenderedPageBreak/>
              <w:t>where information may be incomplete or change over time.</w:t>
            </w:r>
            <w:r>
              <w:rPr>
                <w:rFonts w:ascii="Arial" w:hAnsi="Arial" w:cs="Arial"/>
              </w:rPr>
              <w:t xml:space="preserve"> </w:t>
            </w:r>
            <w:r w:rsidRPr="00941E27">
              <w:rPr>
                <w:rFonts w:ascii="Arial" w:hAnsi="Arial" w:cs="Arial"/>
              </w:rPr>
              <w:t xml:space="preserve"> The Munr</w:t>
            </w:r>
            <w:r>
              <w:rPr>
                <w:rFonts w:ascii="Arial" w:hAnsi="Arial" w:cs="Arial"/>
              </w:rPr>
              <w:t>o</w:t>
            </w:r>
            <w:r w:rsidRPr="00941E27">
              <w:rPr>
                <w:rFonts w:ascii="Arial" w:hAnsi="Arial" w:cs="Arial"/>
              </w:rPr>
              <w:t xml:space="preserve"> (2011) </w:t>
            </w:r>
            <w:r>
              <w:rPr>
                <w:rFonts w:ascii="Arial" w:hAnsi="Arial" w:cs="Arial"/>
              </w:rPr>
              <w:t xml:space="preserve">review </w:t>
            </w:r>
            <w:r w:rsidRPr="00941E27">
              <w:rPr>
                <w:rFonts w:ascii="Arial" w:hAnsi="Arial" w:cs="Arial"/>
              </w:rPr>
              <w:t xml:space="preserve">highlights that complexity in social work often arises from uncertainty, and practitioners must be able to make decisions even when all the answers are not available. </w:t>
            </w:r>
            <w:r>
              <w:rPr>
                <w:rFonts w:ascii="Arial" w:hAnsi="Arial" w:cs="Arial"/>
              </w:rPr>
              <w:t xml:space="preserve"> </w:t>
            </w:r>
            <w:r w:rsidRPr="00941E27">
              <w:rPr>
                <w:rFonts w:ascii="Arial" w:hAnsi="Arial" w:cs="Arial"/>
              </w:rPr>
              <w:t>This includes assessing levels of risk, identifying protective factors, and determining the most proportionate and effective interventions.</w:t>
            </w:r>
          </w:p>
          <w:p w14:paraId="5C1FD422" w14:textId="77777777" w:rsidR="005319E1" w:rsidRPr="00941E27" w:rsidRDefault="005319E1" w:rsidP="005319E1">
            <w:pPr>
              <w:pStyle w:val="NormalWeb"/>
              <w:spacing w:line="360" w:lineRule="auto"/>
              <w:jc w:val="both"/>
              <w:rPr>
                <w:rFonts w:ascii="Arial" w:hAnsi="Arial" w:cs="Arial"/>
              </w:rPr>
            </w:pPr>
          </w:p>
          <w:p w14:paraId="4C19FE5B" w14:textId="77777777" w:rsidR="005319E1" w:rsidRPr="00941E27" w:rsidRDefault="005319E1" w:rsidP="005319E1">
            <w:pPr>
              <w:pStyle w:val="NormalWeb"/>
              <w:spacing w:line="360" w:lineRule="auto"/>
              <w:jc w:val="both"/>
              <w:rPr>
                <w:rFonts w:ascii="Arial" w:hAnsi="Arial" w:cs="Arial"/>
              </w:rPr>
            </w:pPr>
            <w:r w:rsidRPr="00941E27">
              <w:rPr>
                <w:rFonts w:ascii="Arial" w:hAnsi="Arial" w:cs="Arial"/>
              </w:rPr>
              <w:t>Good professional judgement also involves recognising the importance of the service user’s voice.</w:t>
            </w:r>
            <w:r>
              <w:rPr>
                <w:rFonts w:ascii="Arial" w:hAnsi="Arial" w:cs="Arial"/>
              </w:rPr>
              <w:t xml:space="preserve"> </w:t>
            </w:r>
            <w:r w:rsidRPr="00941E27">
              <w:rPr>
                <w:rFonts w:ascii="Arial" w:hAnsi="Arial" w:cs="Arial"/>
              </w:rPr>
              <w:t xml:space="preserve"> Understanding </w:t>
            </w:r>
            <w:r>
              <w:rPr>
                <w:rFonts w:ascii="Arial" w:hAnsi="Arial" w:cs="Arial"/>
              </w:rPr>
              <w:t>their</w:t>
            </w:r>
            <w:r w:rsidRPr="00941E27">
              <w:rPr>
                <w:rFonts w:ascii="Arial" w:hAnsi="Arial" w:cs="Arial"/>
              </w:rPr>
              <w:t xml:space="preserve"> perspective, goals, and experiences helps ensure that decisions are not solely based on professional assumptions but are grounded in what matters to him. </w:t>
            </w:r>
            <w:r>
              <w:rPr>
                <w:rFonts w:ascii="Arial" w:hAnsi="Arial" w:cs="Arial"/>
              </w:rPr>
              <w:t xml:space="preserve"> </w:t>
            </w:r>
            <w:r w:rsidRPr="00941E27">
              <w:rPr>
                <w:rFonts w:ascii="Arial" w:hAnsi="Arial" w:cs="Arial"/>
              </w:rPr>
              <w:t>Ruch (20</w:t>
            </w:r>
            <w:r>
              <w:rPr>
                <w:rFonts w:ascii="Arial" w:hAnsi="Arial" w:cs="Arial"/>
              </w:rPr>
              <w:t>1</w:t>
            </w:r>
            <w:r w:rsidRPr="00941E27">
              <w:rPr>
                <w:rFonts w:ascii="Arial" w:hAnsi="Arial" w:cs="Arial"/>
              </w:rPr>
              <w:t xml:space="preserve">7) argues that reflective practice strengthens professional judgement by helping practitioners remain aware of their own biases and avoid overly narrow interpretations. </w:t>
            </w:r>
            <w:r>
              <w:rPr>
                <w:rFonts w:ascii="Arial" w:hAnsi="Arial" w:cs="Arial"/>
              </w:rPr>
              <w:t xml:space="preserve"> </w:t>
            </w:r>
            <w:r w:rsidRPr="00941E27">
              <w:rPr>
                <w:rFonts w:ascii="Arial" w:hAnsi="Arial" w:cs="Arial"/>
              </w:rPr>
              <w:t>By combining analytical thinking, reflective practice, and a commitment to person</w:t>
            </w:r>
            <w:r w:rsidRPr="00941E27">
              <w:rPr>
                <w:rFonts w:ascii="Arial" w:hAnsi="Arial" w:cs="Arial"/>
              </w:rPr>
              <w:noBreakHyphen/>
              <w:t>centred decision</w:t>
            </w:r>
            <w:r w:rsidRPr="00941E27">
              <w:rPr>
                <w:rFonts w:ascii="Arial" w:hAnsi="Arial" w:cs="Arial"/>
              </w:rPr>
              <w:noBreakHyphen/>
              <w:t>making, practitioners can navigate complex situations with greater clarity and confidence.</w:t>
            </w:r>
          </w:p>
          <w:p w14:paraId="1C3FD961" w14:textId="77777777" w:rsidR="005319E1" w:rsidRDefault="005319E1" w:rsidP="005319E1">
            <w:pPr>
              <w:pStyle w:val="NormalWeb"/>
              <w:spacing w:line="360" w:lineRule="auto"/>
              <w:jc w:val="both"/>
              <w:rPr>
                <w:rFonts w:ascii="Arial" w:hAnsi="Arial" w:cs="Arial"/>
              </w:rPr>
            </w:pPr>
          </w:p>
          <w:p w14:paraId="58831C6D" w14:textId="77777777" w:rsidR="005319E1" w:rsidRDefault="005319E1" w:rsidP="005319E1">
            <w:pPr>
              <w:pStyle w:val="NormalWeb"/>
              <w:spacing w:line="360" w:lineRule="auto"/>
              <w:jc w:val="both"/>
              <w:rPr>
                <w:rFonts w:ascii="Arial" w:hAnsi="Arial" w:cs="Arial"/>
              </w:rPr>
            </w:pPr>
            <w:r w:rsidRPr="00466466">
              <w:rPr>
                <w:rFonts w:ascii="Arial" w:hAnsi="Arial" w:cs="Arial"/>
              </w:rPr>
              <w:t>In working with P</w:t>
            </w:r>
            <w:r>
              <w:rPr>
                <w:rFonts w:ascii="Arial" w:hAnsi="Arial" w:cs="Arial"/>
              </w:rPr>
              <w:t>2</w:t>
            </w:r>
            <w:r w:rsidRPr="00466466">
              <w:rPr>
                <w:rFonts w:ascii="Arial" w:hAnsi="Arial" w:cs="Arial"/>
              </w:rPr>
              <w:t>, my professional judgement was also central to completing a holistic and proportionate assessment of his needs. This included undertaking a Mental Capacity Assessment to determine whether he was able to understand, retain, weigh and communicate decisions relating to his</w:t>
            </w:r>
            <w:r>
              <w:rPr>
                <w:rFonts w:ascii="Arial" w:hAnsi="Arial" w:cs="Arial"/>
              </w:rPr>
              <w:t xml:space="preserve"> care and support needs</w:t>
            </w:r>
            <w:r w:rsidRPr="00466466">
              <w:rPr>
                <w:rFonts w:ascii="Arial" w:hAnsi="Arial" w:cs="Arial"/>
              </w:rPr>
              <w:t xml:space="preserve">. </w:t>
            </w:r>
            <w:r>
              <w:rPr>
                <w:rFonts w:ascii="Arial" w:hAnsi="Arial" w:cs="Arial"/>
              </w:rPr>
              <w:t xml:space="preserve"> </w:t>
            </w:r>
            <w:r w:rsidRPr="00466466">
              <w:rPr>
                <w:rFonts w:ascii="Arial" w:hAnsi="Arial" w:cs="Arial"/>
              </w:rPr>
              <w:t xml:space="preserve">I also used the </w:t>
            </w:r>
            <w:r w:rsidRPr="00466466">
              <w:rPr>
                <w:rStyle w:val="Strong"/>
                <w:rFonts w:ascii="Arial" w:hAnsi="Arial" w:cs="Arial"/>
                <w:b w:val="0"/>
                <w:bCs w:val="0"/>
              </w:rPr>
              <w:t>Self</w:t>
            </w:r>
            <w:r w:rsidRPr="00466466">
              <w:rPr>
                <w:rStyle w:val="Strong"/>
                <w:rFonts w:ascii="Arial" w:hAnsi="Arial" w:cs="Arial"/>
                <w:b w:val="0"/>
                <w:bCs w:val="0"/>
              </w:rPr>
              <w:noBreakHyphen/>
              <w:t>Neglect Practice Framework</w:t>
            </w:r>
            <w:r w:rsidRPr="00466466">
              <w:rPr>
                <w:rFonts w:ascii="Arial" w:hAnsi="Arial" w:cs="Arial"/>
              </w:rPr>
              <w:t xml:space="preserve"> (SCIE, 2018), which supports practitioners to explore patterns of behaviour, levels of risk, and the individual’s ability to protect themselves. </w:t>
            </w:r>
            <w:r>
              <w:rPr>
                <w:rFonts w:ascii="Arial" w:hAnsi="Arial" w:cs="Arial"/>
              </w:rPr>
              <w:t xml:space="preserve"> </w:t>
            </w:r>
            <w:r w:rsidRPr="00466466">
              <w:rPr>
                <w:rFonts w:ascii="Arial" w:hAnsi="Arial" w:cs="Arial"/>
              </w:rPr>
              <w:t>Applying this framework helped me consider whether P</w:t>
            </w:r>
            <w:r>
              <w:rPr>
                <w:rFonts w:ascii="Arial" w:hAnsi="Arial" w:cs="Arial"/>
              </w:rPr>
              <w:t>2</w:t>
            </w:r>
            <w:r w:rsidRPr="00466466">
              <w:rPr>
                <w:rFonts w:ascii="Arial" w:hAnsi="Arial" w:cs="Arial"/>
              </w:rPr>
              <w:t xml:space="preserve"> recognised the risks associated with his alcohol use, poor nutrition, and limited engagement with services.</w:t>
            </w:r>
          </w:p>
          <w:p w14:paraId="38E678A9" w14:textId="77777777" w:rsidR="005319E1" w:rsidRPr="00466466" w:rsidRDefault="005319E1" w:rsidP="005319E1">
            <w:pPr>
              <w:pStyle w:val="NormalWeb"/>
              <w:spacing w:line="360" w:lineRule="auto"/>
              <w:jc w:val="both"/>
              <w:rPr>
                <w:rFonts w:ascii="Arial" w:hAnsi="Arial" w:cs="Arial"/>
              </w:rPr>
            </w:pPr>
          </w:p>
          <w:p w14:paraId="7CAFB6EB" w14:textId="77777777" w:rsidR="005319E1" w:rsidRPr="00EF7AF9" w:rsidRDefault="005319E1" w:rsidP="005319E1">
            <w:pPr>
              <w:spacing w:line="360" w:lineRule="auto"/>
              <w:jc w:val="both"/>
              <w:rPr>
                <w:sz w:val="24"/>
                <w:szCs w:val="24"/>
              </w:rPr>
            </w:pPr>
            <w:r w:rsidRPr="00EF7AF9">
              <w:rPr>
                <w:sz w:val="24"/>
                <w:szCs w:val="24"/>
              </w:rPr>
              <w:t xml:space="preserve">A key part of this process involved balancing risk and autonomy.  Under the Human Rights Act 1998, individuals have the right to make their own choices, including unwise decisions (Article 8: respect for private life and autonomy).  In line with the Mental Capacity Act 2005, P2 was assessed as having capacity to make decisions regarding his care and support, </w:t>
            </w:r>
            <w:r w:rsidRPr="00EF7AF9">
              <w:rPr>
                <w:sz w:val="24"/>
                <w:szCs w:val="24"/>
              </w:rPr>
              <w:lastRenderedPageBreak/>
              <w:t>therefore, had the right to make unwise decisions.  P2 therefore retained the right to refuse aspects of care or support.  However, the local authority also has a duty to protect and support adults at risk under the Social Services and Well-being (Wales) Act 2014, particularly in relation to safeguarding responsibilities. This creates a tension between respecting autonomy and ensuring safety, particularly when risks are escalating or when a person’s insight fluctuates.  The Wales Safeguarding Procedures further guide practitioners in responding to concerns in a proportionate and coordinated way, ensuring that interventions are appropriately aligned with identified risk.  In line with the Social Care Wales (2017) Code of Professional Practice, I was required to exercise professional judgement, promote the rights and wellbeing of the individual, and act to prevent harm.  Using my professional judgement, I had to weigh P2’s expressed wishes against the potential for serious harm, considering whether his decisions were made with capacity and whether further safeguarding action was proportionate and justified.</w:t>
            </w:r>
          </w:p>
          <w:p w14:paraId="7C09592B" w14:textId="77777777" w:rsidR="005319E1" w:rsidRPr="00EF7AF9" w:rsidRDefault="005319E1" w:rsidP="005319E1">
            <w:pPr>
              <w:spacing w:line="360" w:lineRule="auto"/>
              <w:jc w:val="both"/>
              <w:rPr>
                <w:sz w:val="24"/>
                <w:szCs w:val="24"/>
              </w:rPr>
            </w:pPr>
          </w:p>
          <w:p w14:paraId="0DAEB3F2" w14:textId="77777777" w:rsidR="005319E1" w:rsidRDefault="005319E1" w:rsidP="005319E1">
            <w:pPr>
              <w:spacing w:line="360" w:lineRule="auto"/>
              <w:jc w:val="both"/>
            </w:pPr>
          </w:p>
          <w:p w14:paraId="0239FEFE" w14:textId="77777777" w:rsidR="005319E1" w:rsidRPr="004F7B49" w:rsidRDefault="005319E1" w:rsidP="005319E1">
            <w:pPr>
              <w:spacing w:line="360" w:lineRule="auto"/>
              <w:jc w:val="both"/>
              <w:rPr>
                <w:sz w:val="24"/>
                <w:szCs w:val="24"/>
              </w:rPr>
            </w:pPr>
            <w:r w:rsidRPr="004F7B49">
              <w:rPr>
                <w:sz w:val="24"/>
                <w:szCs w:val="24"/>
              </w:rPr>
              <w:t xml:space="preserve">There were differing professional perspectives within the case, which contributed to its complexity and required me to reflect carefully on my own decision-making.  I utilised supervision with my senior practitioner to critically explore the case, discussing both the presenting risks and my reasoning for determining that P2 had capacity.  This reflective process supported the development of my professional judgement in managing increasingly complex situations.  Drawing on systems theory, I began to understand how P2’s circumstances were shaped not only by his alcohol use, but also by the wider network around him, including the withdrawal of family support and his reliance on professional services.  </w:t>
            </w:r>
          </w:p>
          <w:p w14:paraId="05F812F8" w14:textId="77777777" w:rsidR="005319E1" w:rsidRPr="004F7B49" w:rsidRDefault="005319E1" w:rsidP="005319E1">
            <w:pPr>
              <w:spacing w:line="360" w:lineRule="auto"/>
              <w:jc w:val="both"/>
              <w:rPr>
                <w:sz w:val="24"/>
                <w:szCs w:val="24"/>
              </w:rPr>
            </w:pPr>
          </w:p>
          <w:p w14:paraId="18FC6C85" w14:textId="77777777" w:rsidR="005319E1" w:rsidRDefault="005319E1" w:rsidP="005319E1">
            <w:pPr>
              <w:spacing w:line="360" w:lineRule="auto"/>
              <w:jc w:val="both"/>
            </w:pPr>
          </w:p>
          <w:p w14:paraId="26DBEC2C" w14:textId="77777777" w:rsidR="005319E1" w:rsidRPr="00750AC6" w:rsidRDefault="005319E1" w:rsidP="005319E1">
            <w:pPr>
              <w:spacing w:line="360" w:lineRule="auto"/>
              <w:jc w:val="both"/>
              <w:rPr>
                <w:sz w:val="24"/>
                <w:szCs w:val="24"/>
              </w:rPr>
            </w:pPr>
            <w:r w:rsidRPr="00750AC6">
              <w:rPr>
                <w:sz w:val="24"/>
                <w:szCs w:val="24"/>
              </w:rPr>
              <w:t xml:space="preserve">In practice, I adapted my approach by visiting P2 in the mornings, prior to his alcohol use, which enabled more meaningful engagement and improved the reliability of our interactions.  Through building a therapeutic relationship and rapport, and applying a strengths-based approach, I was able to focus on P2’s willingness to engage and his existing capabilities, rather than solely on risk.  As a result, I observed a gradual shift in his engagement with support: he agreed to a referral for alcohol services to reduce his intake, accepted signposting </w:t>
            </w:r>
            <w:r w:rsidRPr="00750AC6">
              <w:rPr>
                <w:sz w:val="24"/>
                <w:szCs w:val="24"/>
              </w:rPr>
              <w:lastRenderedPageBreak/>
              <w:t>to agencies offering cleaning support to address unsafe home conditions and consented for a support worker to assist him in attending future medical appointments.  This experience reinforced the importance of relationship-based practice, reflective supervision, and strengths-focused interventions in achieving positive outcomes despite initial resistance.</w:t>
            </w:r>
          </w:p>
          <w:p w14:paraId="5E00119D" w14:textId="77777777" w:rsidR="005319E1" w:rsidRPr="00750AC6" w:rsidRDefault="005319E1" w:rsidP="005319E1">
            <w:pPr>
              <w:spacing w:line="360" w:lineRule="auto"/>
              <w:jc w:val="both"/>
              <w:rPr>
                <w:sz w:val="24"/>
                <w:szCs w:val="24"/>
              </w:rPr>
            </w:pPr>
          </w:p>
          <w:p w14:paraId="43B08A04" w14:textId="77777777" w:rsidR="005319E1" w:rsidRDefault="005319E1" w:rsidP="005319E1">
            <w:pPr>
              <w:spacing w:line="360" w:lineRule="auto"/>
              <w:jc w:val="both"/>
            </w:pPr>
          </w:p>
          <w:p w14:paraId="66AB92AB" w14:textId="77777777" w:rsidR="005319E1" w:rsidRPr="00C94AF4" w:rsidRDefault="005319E1" w:rsidP="005319E1">
            <w:pPr>
              <w:spacing w:line="360" w:lineRule="auto"/>
              <w:jc w:val="both"/>
              <w:rPr>
                <w:sz w:val="24"/>
                <w:szCs w:val="24"/>
              </w:rPr>
            </w:pPr>
            <w:r w:rsidRPr="00C94AF4">
              <w:rPr>
                <w:sz w:val="24"/>
                <w:szCs w:val="24"/>
              </w:rPr>
              <w:t>However, I do recognise that this could have resulted in a different outcome if P2 had continued to decline support.  This highlights the inherent power held by social workers within safeguarding practice, where the authority to intervene can significantly influence an individual’s autonomy.  It was therefore essential for me to remain critically aware of how this power was exercised, ensuring that any intervention was proportionate, justified, and aligned with anti-oppressive and person-centred practice (Thompson, 2016).</w:t>
            </w:r>
          </w:p>
          <w:p w14:paraId="5F269471" w14:textId="77777777" w:rsidR="005319E1" w:rsidRPr="007C5863" w:rsidRDefault="005319E1" w:rsidP="005319E1">
            <w:pPr>
              <w:spacing w:line="360" w:lineRule="auto"/>
              <w:jc w:val="both"/>
            </w:pPr>
          </w:p>
          <w:p w14:paraId="6619A996" w14:textId="77777777" w:rsidR="005319E1" w:rsidRDefault="005319E1" w:rsidP="005319E1">
            <w:pPr>
              <w:pStyle w:val="NormalWeb"/>
              <w:spacing w:line="360" w:lineRule="auto"/>
              <w:jc w:val="both"/>
              <w:rPr>
                <w:rFonts w:ascii="Arial" w:hAnsi="Arial" w:cs="Arial"/>
              </w:rPr>
            </w:pPr>
            <w:r w:rsidRPr="00DC7B60">
              <w:rPr>
                <w:rFonts w:ascii="Arial" w:hAnsi="Arial" w:cs="Arial"/>
              </w:rPr>
              <w:t xml:space="preserve">In conclusion, this reflection has demonstrated the complexity of undertaking a needs assessment within the Welsh safeguarding context, particularly when working with individuals presenting with self-neglect, alcohol dependency, and resistance to support. </w:t>
            </w:r>
            <w:r>
              <w:rPr>
                <w:rFonts w:ascii="Arial" w:hAnsi="Arial" w:cs="Arial"/>
              </w:rPr>
              <w:t xml:space="preserve"> </w:t>
            </w:r>
            <w:r w:rsidRPr="00DC7B60">
              <w:rPr>
                <w:rFonts w:ascii="Arial" w:hAnsi="Arial" w:cs="Arial"/>
              </w:rPr>
              <w:t>The case of P</w:t>
            </w:r>
            <w:r>
              <w:rPr>
                <w:rFonts w:ascii="Arial" w:hAnsi="Arial" w:cs="Arial"/>
              </w:rPr>
              <w:t>2</w:t>
            </w:r>
            <w:r w:rsidRPr="00DC7B60">
              <w:rPr>
                <w:rFonts w:ascii="Arial" w:hAnsi="Arial" w:cs="Arial"/>
              </w:rPr>
              <w:t xml:space="preserve"> highlights the importance of applying a rights-based, person-centred approach, underpinned by the Social Services and Well-being (Wales) Act 2014, while also navigating the ethical tensions between autonomy and protection. The integration of wider legislative frameworks, including the Mental Capacity Act 2005 and Human Rights Act 1998, supported lawful and proportionate decision-making, particularly in recognising P</w:t>
            </w:r>
            <w:r>
              <w:rPr>
                <w:rFonts w:ascii="Arial" w:hAnsi="Arial" w:cs="Arial"/>
              </w:rPr>
              <w:t>2</w:t>
            </w:r>
            <w:r w:rsidRPr="00DC7B60">
              <w:rPr>
                <w:rFonts w:ascii="Arial" w:hAnsi="Arial" w:cs="Arial"/>
              </w:rPr>
              <w:t>’s right to make unwise decisions despite identified risks.</w:t>
            </w:r>
          </w:p>
          <w:p w14:paraId="018BC6F9" w14:textId="77777777" w:rsidR="005319E1" w:rsidRPr="00DC7B60" w:rsidRDefault="005319E1" w:rsidP="005319E1">
            <w:pPr>
              <w:pStyle w:val="NormalWeb"/>
              <w:spacing w:line="360" w:lineRule="auto"/>
              <w:jc w:val="both"/>
              <w:rPr>
                <w:rFonts w:ascii="Arial" w:hAnsi="Arial" w:cs="Arial"/>
              </w:rPr>
            </w:pPr>
          </w:p>
          <w:p w14:paraId="6A5CEC03" w14:textId="77777777" w:rsidR="005319E1" w:rsidRDefault="005319E1" w:rsidP="005319E1">
            <w:pPr>
              <w:pStyle w:val="NormalWeb"/>
              <w:spacing w:line="360" w:lineRule="auto"/>
              <w:jc w:val="both"/>
              <w:rPr>
                <w:rFonts w:ascii="Arial" w:hAnsi="Arial" w:cs="Arial"/>
              </w:rPr>
            </w:pPr>
            <w:r w:rsidRPr="00DC7B60">
              <w:rPr>
                <w:rFonts w:ascii="Arial" w:hAnsi="Arial" w:cs="Arial"/>
              </w:rPr>
              <w:t xml:space="preserve">This reflection has also reinforced the value of analytical thinking and professional judgement in managing uncertainty and complexity. </w:t>
            </w:r>
            <w:r>
              <w:rPr>
                <w:rFonts w:ascii="Arial" w:hAnsi="Arial" w:cs="Arial"/>
              </w:rPr>
              <w:t xml:space="preserve"> </w:t>
            </w:r>
            <w:r w:rsidRPr="00DC7B60">
              <w:rPr>
                <w:rFonts w:ascii="Arial" w:hAnsi="Arial" w:cs="Arial"/>
              </w:rPr>
              <w:t>Drawing on strengths-based and systems theory enabled a more holistic understanding of P</w:t>
            </w:r>
            <w:r>
              <w:rPr>
                <w:rFonts w:ascii="Arial" w:hAnsi="Arial" w:cs="Arial"/>
              </w:rPr>
              <w:t>2</w:t>
            </w:r>
            <w:r w:rsidRPr="00DC7B60">
              <w:rPr>
                <w:rFonts w:ascii="Arial" w:hAnsi="Arial" w:cs="Arial"/>
              </w:rPr>
              <w:t>’s circumstances, recognising both his vulnerabilities and his capacity to engage with support when approached appropriately.</w:t>
            </w:r>
            <w:r>
              <w:rPr>
                <w:rFonts w:ascii="Arial" w:hAnsi="Arial" w:cs="Arial"/>
              </w:rPr>
              <w:t xml:space="preserve"> </w:t>
            </w:r>
            <w:r w:rsidRPr="00DC7B60">
              <w:rPr>
                <w:rFonts w:ascii="Arial" w:hAnsi="Arial" w:cs="Arial"/>
              </w:rPr>
              <w:t xml:space="preserve"> Furthermore, the importance of multi-agency collaboration and reflective supervision was evident in strengthening both the assessment process and decision-making, particularly where professional opinions differed.</w:t>
            </w:r>
          </w:p>
          <w:p w14:paraId="09D719B8" w14:textId="77777777" w:rsidR="005319E1" w:rsidRPr="00DC7B60" w:rsidRDefault="005319E1" w:rsidP="005319E1">
            <w:pPr>
              <w:pStyle w:val="NormalWeb"/>
              <w:spacing w:line="360" w:lineRule="auto"/>
              <w:jc w:val="both"/>
              <w:rPr>
                <w:rFonts w:ascii="Arial" w:hAnsi="Arial" w:cs="Arial"/>
              </w:rPr>
            </w:pPr>
          </w:p>
          <w:p w14:paraId="1C0252A1" w14:textId="77777777" w:rsidR="005319E1" w:rsidRDefault="005319E1" w:rsidP="005319E1">
            <w:pPr>
              <w:pStyle w:val="NormalWeb"/>
              <w:spacing w:line="360" w:lineRule="auto"/>
              <w:jc w:val="both"/>
              <w:rPr>
                <w:rFonts w:ascii="Arial" w:hAnsi="Arial" w:cs="Arial"/>
              </w:rPr>
            </w:pPr>
            <w:r w:rsidRPr="00DC7B60">
              <w:rPr>
                <w:rFonts w:ascii="Arial" w:hAnsi="Arial" w:cs="Arial"/>
              </w:rPr>
              <w:t>Importantly, this case has highlighted the inherent power held by social workers and the need to exercise this responsibly within practice.</w:t>
            </w:r>
            <w:r>
              <w:rPr>
                <w:rFonts w:ascii="Arial" w:hAnsi="Arial" w:cs="Arial"/>
              </w:rPr>
              <w:t xml:space="preserve"> </w:t>
            </w:r>
            <w:r w:rsidRPr="00DC7B60">
              <w:rPr>
                <w:rFonts w:ascii="Arial" w:hAnsi="Arial" w:cs="Arial"/>
              </w:rPr>
              <w:t xml:space="preserve"> Remaining critically aware of this power, and ensuring that interventions are proportionate and non-oppressive, is essential to maintaining ethical and person-centred practice. </w:t>
            </w:r>
            <w:r>
              <w:rPr>
                <w:rFonts w:ascii="Arial" w:hAnsi="Arial" w:cs="Arial"/>
              </w:rPr>
              <w:t xml:space="preserve"> </w:t>
            </w:r>
            <w:r w:rsidRPr="00DC7B60">
              <w:rPr>
                <w:rFonts w:ascii="Arial" w:hAnsi="Arial" w:cs="Arial"/>
              </w:rPr>
              <w:t>While positive outcomes were achieved through relationship-based engagement, it is acknowledged that alternative outcomes were possible, reinforcing the unpredictable nature of social work practice.</w:t>
            </w:r>
          </w:p>
          <w:p w14:paraId="2028B977" w14:textId="77777777" w:rsidR="005319E1" w:rsidRPr="00DC7B60" w:rsidRDefault="005319E1" w:rsidP="005319E1">
            <w:pPr>
              <w:pStyle w:val="NormalWeb"/>
              <w:spacing w:line="360" w:lineRule="auto"/>
              <w:jc w:val="both"/>
              <w:rPr>
                <w:rFonts w:ascii="Arial" w:hAnsi="Arial" w:cs="Arial"/>
              </w:rPr>
            </w:pPr>
          </w:p>
          <w:p w14:paraId="555FCEF0" w14:textId="77777777" w:rsidR="005319E1" w:rsidRPr="00DC7B60" w:rsidRDefault="005319E1" w:rsidP="005319E1">
            <w:pPr>
              <w:pStyle w:val="NormalWeb"/>
              <w:spacing w:line="360" w:lineRule="auto"/>
              <w:jc w:val="both"/>
              <w:rPr>
                <w:rFonts w:ascii="Arial" w:hAnsi="Arial" w:cs="Arial"/>
              </w:rPr>
            </w:pPr>
            <w:r w:rsidRPr="00DC7B60">
              <w:rPr>
                <w:rFonts w:ascii="Arial" w:hAnsi="Arial" w:cs="Arial"/>
              </w:rPr>
              <w:t>Overall, this experience has contributed to my professional development by enhancing my confidence in applying theory, legislation, and reflective practice to complex situations, and will inform my future approach to safeguarding and needs assessment within adult social work.</w:t>
            </w:r>
          </w:p>
          <w:p w14:paraId="5792BCAE" w14:textId="77777777" w:rsidR="005319E1" w:rsidRPr="00F23C91" w:rsidRDefault="005319E1" w:rsidP="005319E1">
            <w:pPr>
              <w:spacing w:line="360" w:lineRule="auto"/>
              <w:jc w:val="both"/>
            </w:pPr>
          </w:p>
          <w:p w14:paraId="335D43D7" w14:textId="77777777" w:rsidR="005319E1" w:rsidRPr="00000CD3" w:rsidRDefault="005319E1" w:rsidP="005319E1">
            <w:pPr>
              <w:pStyle w:val="NormalWeb"/>
              <w:spacing w:line="360" w:lineRule="auto"/>
              <w:jc w:val="both"/>
              <w:rPr>
                <w:rFonts w:ascii="Arial" w:hAnsi="Arial" w:cs="Arial"/>
              </w:rPr>
            </w:pPr>
          </w:p>
          <w:p w14:paraId="1C0066C6" w14:textId="77777777" w:rsidR="005319E1" w:rsidRPr="004436D9" w:rsidRDefault="005319E1" w:rsidP="005319E1">
            <w:pPr>
              <w:pStyle w:val="NormalWeb"/>
              <w:spacing w:line="360" w:lineRule="auto"/>
              <w:jc w:val="both"/>
              <w:rPr>
                <w:rFonts w:ascii="Arial" w:hAnsi="Arial" w:cs="Arial"/>
              </w:rPr>
            </w:pPr>
          </w:p>
          <w:p w14:paraId="56738156" w14:textId="77777777" w:rsidR="005319E1" w:rsidRPr="00E07BD4" w:rsidRDefault="005319E1" w:rsidP="005319E1">
            <w:pPr>
              <w:pStyle w:val="NormalWeb"/>
              <w:spacing w:line="360" w:lineRule="auto"/>
              <w:jc w:val="both"/>
              <w:rPr>
                <w:rFonts w:ascii="Arial" w:hAnsi="Arial" w:cs="Arial"/>
              </w:rPr>
            </w:pPr>
          </w:p>
          <w:p w14:paraId="28359E0E" w14:textId="77777777" w:rsidR="005319E1" w:rsidRPr="00E07BD4" w:rsidRDefault="005319E1" w:rsidP="005319E1">
            <w:pPr>
              <w:pStyle w:val="NormalWeb"/>
              <w:spacing w:line="360" w:lineRule="auto"/>
              <w:jc w:val="both"/>
              <w:rPr>
                <w:rFonts w:ascii="Arial" w:hAnsi="Arial" w:cs="Arial"/>
              </w:rPr>
            </w:pPr>
          </w:p>
          <w:p w14:paraId="2BFD4273" w14:textId="77777777" w:rsidR="005319E1" w:rsidRPr="00EF3C5A" w:rsidRDefault="005319E1" w:rsidP="005319E1">
            <w:pPr>
              <w:pStyle w:val="NormalWeb"/>
              <w:spacing w:line="360" w:lineRule="auto"/>
              <w:jc w:val="both"/>
              <w:rPr>
                <w:rFonts w:ascii="Arial" w:hAnsi="Arial" w:cs="Arial"/>
              </w:rPr>
            </w:pPr>
          </w:p>
          <w:p w14:paraId="2DEAF492" w14:textId="77777777" w:rsidR="005319E1" w:rsidRDefault="005319E1" w:rsidP="005319E1">
            <w:pPr>
              <w:pStyle w:val="NormalWeb"/>
              <w:spacing w:line="360" w:lineRule="auto"/>
              <w:jc w:val="both"/>
              <w:rPr>
                <w:rFonts w:ascii="Arial" w:hAnsi="Arial" w:cs="Arial"/>
              </w:rPr>
            </w:pPr>
          </w:p>
          <w:p w14:paraId="29B540C2" w14:textId="77777777" w:rsidR="005319E1" w:rsidRPr="00084384" w:rsidRDefault="005319E1" w:rsidP="005319E1">
            <w:pPr>
              <w:pStyle w:val="NormalWeb"/>
              <w:spacing w:line="360" w:lineRule="auto"/>
              <w:jc w:val="both"/>
              <w:rPr>
                <w:rFonts w:ascii="Arial" w:hAnsi="Arial" w:cs="Arial"/>
              </w:rPr>
            </w:pPr>
          </w:p>
          <w:p w14:paraId="29822367" w14:textId="77777777" w:rsidR="005319E1" w:rsidRPr="00827C79" w:rsidRDefault="005319E1" w:rsidP="005319E1">
            <w:pPr>
              <w:pStyle w:val="NormalWeb"/>
              <w:spacing w:line="360" w:lineRule="auto"/>
              <w:jc w:val="both"/>
              <w:rPr>
                <w:rFonts w:ascii="Arial" w:hAnsi="Arial" w:cs="Arial"/>
              </w:rPr>
            </w:pPr>
          </w:p>
          <w:p w14:paraId="0094E07E" w14:textId="77777777" w:rsidR="005319E1" w:rsidRDefault="005319E1" w:rsidP="005319E1">
            <w:pPr>
              <w:pStyle w:val="NormalWeb"/>
              <w:rPr>
                <w:rFonts w:ascii="Arial" w:hAnsi="Arial" w:cs="Arial"/>
              </w:rPr>
            </w:pPr>
          </w:p>
          <w:p w14:paraId="6A74EC7B" w14:textId="77777777" w:rsidR="005319E1" w:rsidRDefault="005319E1" w:rsidP="005319E1">
            <w:pPr>
              <w:pStyle w:val="NormalWeb"/>
              <w:spacing w:line="360" w:lineRule="auto"/>
              <w:jc w:val="both"/>
              <w:rPr>
                <w:rFonts w:ascii="Arial" w:hAnsi="Arial" w:cs="Arial"/>
              </w:rPr>
            </w:pPr>
          </w:p>
          <w:p w14:paraId="22A1190E" w14:textId="77777777" w:rsidR="005319E1" w:rsidRPr="006E5DC4" w:rsidRDefault="005319E1" w:rsidP="005319E1">
            <w:pPr>
              <w:pStyle w:val="NormalWeb"/>
              <w:spacing w:line="360" w:lineRule="auto"/>
              <w:jc w:val="both"/>
              <w:rPr>
                <w:rFonts w:ascii="Arial" w:hAnsi="Arial" w:cs="Arial"/>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C324D" w14:textId="77777777" w:rsidR="00E42433" w:rsidRDefault="00E42433">
      <w:r>
        <w:separator/>
      </w:r>
    </w:p>
  </w:endnote>
  <w:endnote w:type="continuationSeparator" w:id="0">
    <w:p w14:paraId="11700783" w14:textId="77777777" w:rsidR="00E42433" w:rsidRDefault="00E424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5661D" w14:textId="77777777" w:rsidR="00E42433" w:rsidRDefault="00E42433">
      <w:r>
        <w:separator/>
      </w:r>
    </w:p>
  </w:footnote>
  <w:footnote w:type="continuationSeparator" w:id="0">
    <w:p w14:paraId="7152D934" w14:textId="77777777" w:rsidR="00E42433" w:rsidRDefault="00E424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DC0"/>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49"/>
    <w:rsid w:val="004F7B8F"/>
    <w:rsid w:val="00500748"/>
    <w:rsid w:val="005011D6"/>
    <w:rsid w:val="00502A14"/>
    <w:rsid w:val="005042F1"/>
    <w:rsid w:val="0050481B"/>
    <w:rsid w:val="005113D4"/>
    <w:rsid w:val="0051287D"/>
    <w:rsid w:val="00513C7D"/>
    <w:rsid w:val="00521123"/>
    <w:rsid w:val="00521221"/>
    <w:rsid w:val="0052250B"/>
    <w:rsid w:val="005305C6"/>
    <w:rsid w:val="005319E1"/>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2E6"/>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242"/>
    <w:rsid w:val="0072678F"/>
    <w:rsid w:val="007276E5"/>
    <w:rsid w:val="00727C4C"/>
    <w:rsid w:val="00734809"/>
    <w:rsid w:val="0073714E"/>
    <w:rsid w:val="007374EF"/>
    <w:rsid w:val="007406E1"/>
    <w:rsid w:val="00743E40"/>
    <w:rsid w:val="00745016"/>
    <w:rsid w:val="0075031F"/>
    <w:rsid w:val="00750AC6"/>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39F"/>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3CE5"/>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AF4"/>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F4A"/>
    <w:rsid w:val="00D22C8F"/>
    <w:rsid w:val="00D23F9D"/>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2433"/>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B20"/>
    <w:rsid w:val="00EF328C"/>
    <w:rsid w:val="00EF68BB"/>
    <w:rsid w:val="00EF7AF9"/>
    <w:rsid w:val="00F01F92"/>
    <w:rsid w:val="00F030D4"/>
    <w:rsid w:val="00F04053"/>
    <w:rsid w:val="00F06573"/>
    <w:rsid w:val="00F10A08"/>
    <w:rsid w:val="00F15354"/>
    <w:rsid w:val="00F22AC5"/>
    <w:rsid w:val="00F2536A"/>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5319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319E1"/>
    <w:rPr>
      <w:b/>
      <w:bCs/>
    </w:rPr>
  </w:style>
  <w:style w:type="character" w:styleId="Emphasis">
    <w:name w:val="Emphasis"/>
    <w:basedOn w:val="DefaultParagraphFont"/>
    <w:uiPriority w:val="20"/>
    <w:qFormat/>
    <w:rsid w:val="005319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19</TotalTime>
  <Pages>15</Pages>
  <Words>4102</Words>
  <Characters>24331</Characters>
  <Application>Microsoft Office Word</Application>
  <DocSecurity>0</DocSecurity>
  <Lines>412</Lines>
  <Paragraphs>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Westermark</cp:lastModifiedBy>
  <cp:revision>13</cp:revision>
  <cp:lastPrinted>2020-02-11T19:20:00Z</cp:lastPrinted>
  <dcterms:created xsi:type="dcterms:W3CDTF">2026-09-30T15:14:00Z</dcterms:created>
  <dcterms:modified xsi:type="dcterms:W3CDTF">2026-09-30T15:33:00Z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