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940FF" w14:textId="77777777" w:rsidR="0077682C" w:rsidRDefault="0077682C" w:rsidP="00291709">
      <w:pPr>
        <w:spacing w:before="120" w:after="120" w:line="360" w:lineRule="auto"/>
        <w:jc w:val="center"/>
        <w:rPr>
          <w:rFonts w:ascii="Arial" w:eastAsiaTheme="majorEastAsia" w:hAnsi="Arial" w:cs="Arial"/>
          <w:color w:val="000000" w:themeColor="text1"/>
          <w:kern w:val="24"/>
          <w:sz w:val="22"/>
          <w:szCs w:val="22"/>
        </w:rPr>
      </w:pPr>
    </w:p>
    <w:p w14:paraId="704F0061" w14:textId="77777777" w:rsidR="0077682C" w:rsidRDefault="0077682C" w:rsidP="00291709">
      <w:pPr>
        <w:spacing w:before="120" w:after="120" w:line="360" w:lineRule="auto"/>
        <w:jc w:val="center"/>
        <w:rPr>
          <w:rFonts w:ascii="Arial" w:eastAsiaTheme="majorEastAsia" w:hAnsi="Arial" w:cs="Arial"/>
          <w:color w:val="000000" w:themeColor="text1"/>
          <w:kern w:val="24"/>
          <w:sz w:val="22"/>
          <w:szCs w:val="22"/>
        </w:rPr>
      </w:pPr>
    </w:p>
    <w:p w14:paraId="0AED22B3" w14:textId="77777777" w:rsidR="0077682C" w:rsidRDefault="0077682C" w:rsidP="0077682C">
      <w:pPr>
        <w:spacing w:before="120" w:after="120" w:line="360" w:lineRule="auto"/>
        <w:rPr>
          <w:rFonts w:ascii="Arial" w:eastAsiaTheme="majorEastAsia" w:hAnsi="Arial" w:cs="Arial"/>
          <w:color w:val="000000" w:themeColor="text1"/>
          <w:kern w:val="24"/>
          <w:sz w:val="22"/>
          <w:szCs w:val="22"/>
        </w:rPr>
      </w:pPr>
    </w:p>
    <w:p w14:paraId="0139B6E8" w14:textId="77777777" w:rsidR="0077682C" w:rsidRDefault="0077682C" w:rsidP="00291709">
      <w:pPr>
        <w:spacing w:before="120" w:after="120" w:line="360" w:lineRule="auto"/>
        <w:jc w:val="center"/>
        <w:rPr>
          <w:rFonts w:ascii="Arial" w:eastAsiaTheme="majorEastAsia" w:hAnsi="Arial" w:cs="Arial"/>
          <w:color w:val="000000" w:themeColor="text1"/>
          <w:kern w:val="24"/>
          <w:sz w:val="22"/>
          <w:szCs w:val="22"/>
        </w:rPr>
      </w:pPr>
    </w:p>
    <w:p w14:paraId="2C01E0C8" w14:textId="043BF330" w:rsidR="00291709" w:rsidRPr="0077682C" w:rsidRDefault="00291709" w:rsidP="00291709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291709">
        <w:rPr>
          <w:rFonts w:ascii="Arial" w:eastAsiaTheme="majorEastAsia" w:hAnsi="Arial" w:cs="Arial"/>
          <w:color w:val="000000" w:themeColor="text1"/>
          <w:kern w:val="24"/>
          <w:sz w:val="22"/>
          <w:szCs w:val="22"/>
        </w:rPr>
        <w:br/>
      </w:r>
      <w:r w:rsidRPr="0077682C">
        <w:rPr>
          <w:rFonts w:ascii="Arial" w:hAnsi="Arial" w:cs="Arial"/>
          <w:b/>
          <w:bCs/>
          <w:sz w:val="22"/>
          <w:szCs w:val="22"/>
        </w:rPr>
        <w:t>Protecting and Supporting Families in Health and Care</w:t>
      </w:r>
    </w:p>
    <w:p w14:paraId="5FF03AA4" w14:textId="12599613" w:rsidR="00291709" w:rsidRPr="0077682C" w:rsidRDefault="0077682C" w:rsidP="0077682C">
      <w:pPr>
        <w:spacing w:before="120"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  <w:sz w:val="22"/>
          <w:szCs w:val="22"/>
        </w:rPr>
        <w:t xml:space="preserve">(BMHP5021) </w:t>
      </w:r>
      <w:r>
        <w:rPr>
          <w:rFonts w:ascii="Arial" w:eastAsiaTheme="majorEastAsia" w:hAnsi="Arial" w:cs="Arial"/>
          <w:b/>
          <w:bCs/>
          <w:color w:val="000000" w:themeColor="text1"/>
          <w:kern w:val="24"/>
          <w:sz w:val="22"/>
          <w:szCs w:val="22"/>
        </w:rPr>
        <w:br/>
      </w:r>
      <w:r w:rsidR="00291709" w:rsidRPr="0077682C">
        <w:rPr>
          <w:rFonts w:ascii="Arial" w:hAnsi="Arial" w:cs="Arial"/>
          <w:b/>
          <w:bCs/>
          <w:sz w:val="22"/>
          <w:szCs w:val="22"/>
        </w:rPr>
        <w:t>Component 1: Presentation (Round-The-Table Group Discussion)</w:t>
      </w:r>
    </w:p>
    <w:p w14:paraId="5D38E90C" w14:textId="517E09D1" w:rsidR="0077682C" w:rsidRPr="0077682C" w:rsidRDefault="0077682C" w:rsidP="0077682C">
      <w:pPr>
        <w:spacing w:before="120"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7682C">
        <w:rPr>
          <w:rFonts w:ascii="Arial" w:hAnsi="Arial" w:cs="Arial"/>
          <w:b/>
          <w:bCs/>
          <w:sz w:val="22"/>
          <w:szCs w:val="22"/>
        </w:rPr>
        <w:t>Name: Halima Yasin</w:t>
      </w:r>
    </w:p>
    <w:p w14:paraId="49CFCE40" w14:textId="22E29A77" w:rsidR="0077682C" w:rsidRPr="0077682C" w:rsidRDefault="0077682C" w:rsidP="0077682C">
      <w:pPr>
        <w:spacing w:before="120"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7682C">
        <w:rPr>
          <w:rFonts w:ascii="Arial" w:hAnsi="Arial" w:cs="Arial"/>
          <w:b/>
          <w:bCs/>
          <w:sz w:val="22"/>
          <w:szCs w:val="22"/>
        </w:rPr>
        <w:t>Student number: 2422668</w:t>
      </w:r>
    </w:p>
    <w:p w14:paraId="3A255635" w14:textId="77777777" w:rsidR="00291709" w:rsidRPr="0077682C" w:rsidRDefault="00291709" w:rsidP="00291709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9E4EB82" w14:textId="77777777" w:rsidR="00291709" w:rsidRDefault="00291709" w:rsidP="00291709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A69C86" w14:textId="77777777" w:rsidR="0077682C" w:rsidRPr="0077682C" w:rsidRDefault="0077682C" w:rsidP="00291709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20E8F27" w14:textId="33988A50" w:rsidR="00291709" w:rsidRPr="0077682C" w:rsidRDefault="00291709" w:rsidP="00291709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7682C">
        <w:rPr>
          <w:rFonts w:ascii="Arial" w:hAnsi="Arial" w:cs="Arial"/>
          <w:b/>
          <w:bCs/>
          <w:sz w:val="22"/>
          <w:szCs w:val="22"/>
        </w:rPr>
        <w:t xml:space="preserve">Child </w:t>
      </w:r>
      <w:r w:rsidR="003A174E" w:rsidRPr="0077682C">
        <w:rPr>
          <w:rFonts w:ascii="Arial" w:hAnsi="Arial" w:cs="Arial"/>
          <w:b/>
          <w:bCs/>
          <w:sz w:val="22"/>
          <w:szCs w:val="22"/>
        </w:rPr>
        <w:t>A Bradford</w:t>
      </w:r>
    </w:p>
    <w:p w14:paraId="5F287421" w14:textId="77777777" w:rsidR="003A4E79" w:rsidRPr="00291709" w:rsidRDefault="003A4E7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46FEBA62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1B372D36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380E9E94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5783C1F3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47494A35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530CB675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5A72B158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134BF6DF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18FE146E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6AA59957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7214695B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623107B5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6C4E211F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4A8D6DE0" w14:textId="77777777" w:rsidR="00291709" w:rsidRP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2150CA36" w14:textId="77777777" w:rsidR="00291709" w:rsidRDefault="00291709" w:rsidP="00291709">
      <w:pPr>
        <w:spacing w:line="360" w:lineRule="auto"/>
        <w:rPr>
          <w:rFonts w:ascii="Arial" w:hAnsi="Arial" w:cs="Arial"/>
          <w:sz w:val="22"/>
          <w:szCs w:val="22"/>
        </w:rPr>
      </w:pPr>
    </w:p>
    <w:p w14:paraId="6EDBFD3B" w14:textId="19874D8D" w:rsidR="00291709" w:rsidRPr="0077682C" w:rsidRDefault="00291709" w:rsidP="0029170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7682C">
        <w:rPr>
          <w:rFonts w:ascii="Arial" w:hAnsi="Arial" w:cs="Arial"/>
          <w:b/>
          <w:bCs/>
          <w:sz w:val="22"/>
          <w:szCs w:val="22"/>
        </w:rPr>
        <w:t xml:space="preserve">References </w:t>
      </w:r>
    </w:p>
    <w:p w14:paraId="2F3D1925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Brandon, M. et al. (2020) Complexity and challenge: a triennial analysis of serious case reviews 2014–2017. London: Department for Education. Available at: </w:t>
      </w:r>
      <w:hyperlink r:id="rId6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https://www.gov.uk/government/publications/analysis-of-serious-case-reviews-2014-to-2017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55FA69F2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Department for Education (2023) Working together to safeguard children. London: Department for Education. Available at: </w:t>
      </w:r>
      <w:hyperlink r:id="rId7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https://www.gov.uk/government/publications/working-together-to-safeguard-children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02BF4A06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Felitti, V.J. et al. (1998) ‘Relationship of childhood abuse and household dysfunction to many of the leading causes of death in adults’, American Journal of Preventive Medicine, 14(4), pp. 245–258. Available at: </w:t>
      </w:r>
      <w:hyperlink r:id="rId8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https://doi.org/10.1016/S0749-3797(98)00017-8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7F878B3D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HM Government (1989) Children Act 1989 (c. 41). London: The Stationery Office. Available at: </w:t>
      </w:r>
      <w:hyperlink r:id="rId9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https://www.legislation.gov.uk/ukpga/1989/41/contents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0DF592CF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HM Government (2004) Children Act 2004 (c. 31). London: The Stationery Office. Available at: </w:t>
      </w:r>
      <w:hyperlink r:id="rId10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https://www.legislation.gov.uk/ukpga/2004/31/contents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210DCBF8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HM Government (2021) Domestic Abuse Act 2021 (c. 17). London: The Stationery Office. Available at: </w:t>
      </w:r>
      <w:hyperlink r:id="rId11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https://www.legislation.gov.uk/ukpga/2021/17/contents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2956A87C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Hughes, K. et al. (2017) ‘The effect of multiple adverse childhood experiences on health: a systematic review and meta-analysis’, The Lancet Public Health, 2(8), pp. e356–e366. Available at: </w:t>
      </w:r>
      <w:hyperlink r:id="rId12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https://doi.org/10.1016/S2468-2667(17)30118-4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7C8A6A25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Munro, E. (2011) The Munro review of child protection: final report – a child-centred system. London: Department for Education. Available at: </w:t>
      </w:r>
      <w:hyperlink r:id="rId13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https://www.gov.uk/government/publications/munro-review-of-child-protection-final-report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65170A1F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NHS Education for Scotland (2020) Trauma-informed practice toolkit. Edinburgh: NHS Education for Scotland. Available at: </w:t>
      </w:r>
      <w:hyperlink r:id="rId14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https://www.nes.scot.nhs.uk/our-work/trauma-informed-practice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3FEC2AB1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NSPCC (2023) Learning from case reviews: Child A – Bradford. London: NSPCC. Available at: </w:t>
      </w:r>
      <w:hyperlink r:id="rId15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https://learning.nspcc.org.uk/case-reviews/national-case-review-repository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622EA390" w14:textId="77777777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lastRenderedPageBreak/>
        <w:t xml:space="preserve">Sidebotham, P. and Brandon, M. (2020) Child serious case reviews: systemic failures and learning. Chichester: Wiley. Available at: </w:t>
      </w:r>
      <w:hyperlink r:id="rId16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https://onlinelibrary.wiley.com/doi/book/10.1002/9781119431385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363C4B10" w14:textId="74171136" w:rsidR="00020ACE" w:rsidRPr="00020ACE" w:rsidRDefault="00020ACE" w:rsidP="00020ACE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en-GB" w:eastAsia="en-GB"/>
        </w:rPr>
      </w:pPr>
      <w:r w:rsidRPr="00020ACE">
        <w:rPr>
          <w:rFonts w:ascii="Times New Roman" w:hAnsi="Times New Roman" w:cs="Times New Roman"/>
          <w:lang w:val="en-GB" w:eastAsia="en-GB"/>
        </w:rPr>
        <w:t xml:space="preserve">United Nations (1989) Convention on the Rights of the Child. Geneva: United Nations. Available at: </w:t>
      </w:r>
      <w:hyperlink r:id="rId17" w:history="1">
        <w:r w:rsidRPr="00020ACE">
          <w:rPr>
            <w:rFonts w:ascii="Times New Roman" w:hAnsi="Times New Roman" w:cs="Times New Roman"/>
            <w:color w:val="0000FF"/>
            <w:u w:val="single"/>
            <w:lang w:val="en-GB" w:eastAsia="en-GB"/>
          </w:rPr>
          <w:t>https://www.unicef.org.uk/what-we-do/un-convention-child-rights/</w:t>
        </w:r>
      </w:hyperlink>
      <w:r w:rsidRPr="00020ACE">
        <w:rPr>
          <w:rFonts w:ascii="Times New Roman" w:hAnsi="Times New Roman" w:cs="Times New Roman"/>
          <w:lang w:val="en-GB" w:eastAsia="en-GB"/>
        </w:rPr>
        <w:t xml:space="preserve"> (Accessed: 14 June 2026).</w:t>
      </w:r>
    </w:p>
    <w:p w14:paraId="5B8EEF97" w14:textId="2357F257" w:rsidR="00291709" w:rsidRDefault="00291709"/>
    <w:sectPr w:rsidR="00291709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3D286" w14:textId="77777777" w:rsidR="003E70EF" w:rsidRDefault="003E70EF" w:rsidP="00291709">
      <w:pPr>
        <w:spacing w:after="0" w:line="240" w:lineRule="auto"/>
      </w:pPr>
      <w:r>
        <w:separator/>
      </w:r>
    </w:p>
  </w:endnote>
  <w:endnote w:type="continuationSeparator" w:id="0">
    <w:p w14:paraId="4C7A468C" w14:textId="77777777" w:rsidR="003E70EF" w:rsidRDefault="003E70EF" w:rsidP="00291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3982932"/>
      <w:docPartObj>
        <w:docPartGallery w:val="Page Numbers (Bottom of Page)"/>
        <w:docPartUnique/>
      </w:docPartObj>
    </w:sdtPr>
    <w:sdtContent>
      <w:p w14:paraId="7E91C610" w14:textId="71693AD6" w:rsidR="00291709" w:rsidRDefault="0029170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3C2576FE" w14:textId="77777777" w:rsidR="00291709" w:rsidRDefault="002917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E5C22" w14:textId="77777777" w:rsidR="003E70EF" w:rsidRDefault="003E70EF" w:rsidP="00291709">
      <w:pPr>
        <w:spacing w:after="0" w:line="240" w:lineRule="auto"/>
      </w:pPr>
      <w:r>
        <w:separator/>
      </w:r>
    </w:p>
  </w:footnote>
  <w:footnote w:type="continuationSeparator" w:id="0">
    <w:p w14:paraId="60C0ABC7" w14:textId="77777777" w:rsidR="003E70EF" w:rsidRDefault="003E70EF" w:rsidP="002917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09"/>
    <w:rsid w:val="00020ACE"/>
    <w:rsid w:val="00082F4D"/>
    <w:rsid w:val="000A2BFE"/>
    <w:rsid w:val="000B6A7F"/>
    <w:rsid w:val="00134C24"/>
    <w:rsid w:val="001B2821"/>
    <w:rsid w:val="00274CF8"/>
    <w:rsid w:val="00286C5B"/>
    <w:rsid w:val="00291709"/>
    <w:rsid w:val="003A174E"/>
    <w:rsid w:val="003A37A4"/>
    <w:rsid w:val="003A4E79"/>
    <w:rsid w:val="003E70EF"/>
    <w:rsid w:val="00435F28"/>
    <w:rsid w:val="004D2039"/>
    <w:rsid w:val="00581A81"/>
    <w:rsid w:val="005A5051"/>
    <w:rsid w:val="005E7984"/>
    <w:rsid w:val="00710083"/>
    <w:rsid w:val="0077682C"/>
    <w:rsid w:val="00952287"/>
    <w:rsid w:val="00BA4DD8"/>
    <w:rsid w:val="00EA5D0F"/>
    <w:rsid w:val="00ED19D8"/>
    <w:rsid w:val="00F9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B8453"/>
  <w15:chartTrackingRefBased/>
  <w15:docId w15:val="{264E0BD6-F7AB-459B-81E0-4D1873C8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709"/>
    <w:pPr>
      <w:spacing w:line="279" w:lineRule="auto"/>
    </w:pPr>
    <w:rPr>
      <w:rFonts w:eastAsiaTheme="minorEastAsia"/>
      <w:kern w:val="0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170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70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70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170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70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170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170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170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170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7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7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7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17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7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17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17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17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17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17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917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170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917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1709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917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1709"/>
    <w:pPr>
      <w:spacing w:line="278" w:lineRule="auto"/>
      <w:ind w:left="720"/>
      <w:contextualSpacing/>
    </w:pPr>
    <w:rPr>
      <w:rFonts w:eastAsiaTheme="minorHAnsi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917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17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17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170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1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709"/>
    <w:rPr>
      <w:rFonts w:eastAsiaTheme="minorEastAsia"/>
      <w:kern w:val="0"/>
      <w:lang w:val="en-US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91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709"/>
    <w:rPr>
      <w:rFonts w:eastAsiaTheme="minorEastAsia"/>
      <w:kern w:val="0"/>
      <w:lang w:val="en-US" w:eastAsia="ja-JP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91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styleId="Emphasis">
    <w:name w:val="Emphasis"/>
    <w:basedOn w:val="DefaultParagraphFont"/>
    <w:uiPriority w:val="20"/>
    <w:qFormat/>
    <w:rsid w:val="0029170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91709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291709"/>
    <w:rPr>
      <w:color w:val="0000FF"/>
      <w:u w:val="single"/>
    </w:rPr>
  </w:style>
  <w:style w:type="paragraph" w:customStyle="1" w:styleId="p1">
    <w:name w:val="p1"/>
    <w:basedOn w:val="Normal"/>
    <w:rsid w:val="00020ACE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S0749-3797(98)00017-8" TargetMode="External"/><Relationship Id="rId13" Type="http://schemas.openxmlformats.org/officeDocument/2006/relationships/hyperlink" Target="https://www.gov.uk/government/publications/munro-review-of-child-protection-final-report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working-together-to-safeguard-children" TargetMode="External"/><Relationship Id="rId12" Type="http://schemas.openxmlformats.org/officeDocument/2006/relationships/hyperlink" Target="https://doi.org/10.1016/S2468-2667(17)30118-4" TargetMode="External"/><Relationship Id="rId17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nlinelibrary.wiley.com/doi/book/10.1002/9781119431385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analysis-of-serious-case-reviews-2014-to-2017" TargetMode="External"/><Relationship Id="rId11" Type="http://schemas.openxmlformats.org/officeDocument/2006/relationships/hyperlink" Target="https://www.legislation.gov.uk/ukpga/2021/17/content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earning.nspcc.org.uk/case-reviews/national-case-review-repository" TargetMode="External"/><Relationship Id="rId10" Type="http://schemas.openxmlformats.org/officeDocument/2006/relationships/hyperlink" Target="https://www.legislation.gov.uk/ukpga/2004/31/contents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1989/41/contents" TargetMode="External"/><Relationship Id="rId14" Type="http://schemas.openxmlformats.org/officeDocument/2006/relationships/hyperlink" Target="https://www.nes.scot.nhs.uk/our-work/trauma-informed-prac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570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McCann</dc:creator>
  <cp:keywords/>
  <dc:description/>
  <cp:lastModifiedBy>Halima Yasin (2422668)</cp:lastModifiedBy>
  <cp:revision>2</cp:revision>
  <dcterms:created xsi:type="dcterms:W3CDTF">2026-06-22T00:37:00Z</dcterms:created>
  <dcterms:modified xsi:type="dcterms:W3CDTF">2026-06-22T00:37:00Z</dcterms:modified>
</cp:coreProperties>
</file>