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1942CA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5360C" w:rsidRPr="0015360C">
              <w:rPr>
                <w:rFonts w:ascii="Times New Roman" w:hAnsi="Times New Roman" w:cs="Times New Roman"/>
                <w:color w:val="auto"/>
                <w:sz w:val="48"/>
              </w:rPr>
              <w:t>Alison Bloomfield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F461534" w14:textId="77777777" w:rsidR="000F54D2" w:rsidRDefault="009C337F" w:rsidP="000F54D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F54D2">
              <w:rPr>
                <w:rFonts w:ascii="Times New Roman" w:hAnsi="Times New Roman" w:cs="Times New Roman"/>
                <w:b/>
                <w:color w:val="auto"/>
                <w:sz w:val="48"/>
              </w:rPr>
              <w:t xml:space="preserve"> </w:t>
            </w:r>
          </w:p>
          <w:p w14:paraId="22F7E4AC" w14:textId="74BF70C5" w:rsidR="000F54D2" w:rsidRPr="000F54D2" w:rsidRDefault="000F54D2" w:rsidP="000F54D2">
            <w:pPr>
              <w:overflowPunct/>
              <w:autoSpaceDE/>
              <w:autoSpaceDN/>
              <w:adjustRightInd/>
              <w:ind w:right="-957"/>
              <w:textAlignment w:val="auto"/>
              <w:rPr>
                <w:rFonts w:ascii="Times New Roman" w:hAnsi="Times New Roman" w:cs="Times New Roman"/>
                <w:color w:val="auto"/>
                <w:sz w:val="48"/>
              </w:rPr>
            </w:pPr>
            <w:hyperlink r:id="rId11" w:history="1">
              <w:r w:rsidRPr="000F54D2">
                <w:rPr>
                  <w:rStyle w:val="Hyperlink"/>
                  <w:rFonts w:ascii="Times New Roman" w:hAnsi="Times New Roman" w:cs="Times New Roman"/>
                  <w:color w:val="auto"/>
                  <w:sz w:val="48"/>
                </w:rPr>
                <w:t>alison.bloomfield@swansea.gov.uk</w:t>
              </w:r>
            </w:hyperlink>
            <w:r w:rsidRPr="000F54D2">
              <w:rPr>
                <w:rFonts w:ascii="Times New Roman" w:hAnsi="Times New Roman" w:cs="Times New Roman"/>
                <w:color w:val="auto"/>
                <w:sz w:val="48"/>
              </w:rPr>
              <w:t xml:space="preserve"> or </w:t>
            </w:r>
          </w:p>
          <w:p w14:paraId="1B0C5B3A" w14:textId="77777777" w:rsidR="000F54D2" w:rsidRPr="000F54D2" w:rsidRDefault="000F54D2" w:rsidP="000F54D2">
            <w:pPr>
              <w:overflowPunct/>
              <w:autoSpaceDE/>
              <w:autoSpaceDN/>
              <w:adjustRightInd/>
              <w:ind w:right="-957"/>
              <w:textAlignment w:val="auto"/>
              <w:rPr>
                <w:rFonts w:ascii="Times New Roman" w:hAnsi="Times New Roman" w:cs="Times New Roman"/>
                <w:color w:val="auto"/>
                <w:sz w:val="48"/>
              </w:rPr>
            </w:pPr>
            <w:hyperlink r:id="rId12" w:history="1">
              <w:r w:rsidRPr="000F54D2">
                <w:rPr>
                  <w:rStyle w:val="Hyperlink"/>
                  <w:rFonts w:ascii="Times New Roman" w:hAnsi="Times New Roman" w:cs="Times New Roman"/>
                  <w:color w:val="auto"/>
                  <w:sz w:val="48"/>
                </w:rPr>
                <w:t>aliblooms@yahoo.co.uk</w:t>
              </w:r>
            </w:hyperlink>
            <w:r w:rsidRPr="000F54D2">
              <w:rPr>
                <w:rFonts w:ascii="Times New Roman" w:hAnsi="Times New Roman" w:cs="Times New Roman"/>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44F6F69" w14:textId="77777777" w:rsidR="00F57513" w:rsidRDefault="0085230E" w:rsidP="00F57513">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57513">
              <w:rPr>
                <w:rFonts w:ascii="Times New Roman" w:hAnsi="Times New Roman" w:cs="Times New Roman"/>
                <w:b/>
                <w:color w:val="auto"/>
                <w:sz w:val="48"/>
              </w:rPr>
              <w:t xml:space="preserve"> </w:t>
            </w:r>
          </w:p>
          <w:p w14:paraId="7EB68282" w14:textId="6C4BD5A1" w:rsidR="00F57513" w:rsidRPr="00F57513" w:rsidRDefault="00F57513" w:rsidP="00F57513">
            <w:pPr>
              <w:overflowPunct/>
              <w:autoSpaceDE/>
              <w:autoSpaceDN/>
              <w:adjustRightInd/>
              <w:ind w:right="-957"/>
              <w:textAlignment w:val="auto"/>
              <w:rPr>
                <w:rFonts w:ascii="Times New Roman" w:hAnsi="Times New Roman" w:cs="Times New Roman"/>
                <w:color w:val="auto"/>
                <w:sz w:val="48"/>
              </w:rPr>
            </w:pPr>
            <w:r w:rsidRPr="00F57513">
              <w:rPr>
                <w:rFonts w:ascii="Times New Roman" w:hAnsi="Times New Roman" w:cs="Times New Roman"/>
                <w:color w:val="auto"/>
                <w:sz w:val="48"/>
              </w:rPr>
              <w:t>2517839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20378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sidRPr="00F57513">
              <w:rPr>
                <w:rFonts w:ascii="Times New Roman" w:hAnsi="Times New Roman" w:cs="Times New Roman"/>
                <w:bCs/>
                <w:color w:val="auto"/>
                <w:sz w:val="48"/>
              </w:rPr>
              <w:t>2</w:t>
            </w:r>
            <w:r w:rsidR="00F57513" w:rsidRPr="00F57513">
              <w:rPr>
                <w:rFonts w:ascii="Times New Roman" w:hAnsi="Times New Roman" w:cs="Times New Roman"/>
                <w:bCs/>
                <w:color w:val="auto"/>
                <w:sz w:val="48"/>
              </w:rPr>
              <w:t>6</w:t>
            </w:r>
          </w:p>
        </w:tc>
      </w:tr>
    </w:tbl>
    <w:p w14:paraId="70797153" w14:textId="6753D2D9" w:rsidR="007F312E" w:rsidRPr="00087641" w:rsidRDefault="00E83F91" w:rsidP="00087641">
      <w:pPr>
        <w:rPr>
          <w:b/>
          <w:sz w:val="24"/>
          <w:szCs w:val="24"/>
        </w:rPr>
      </w:pPr>
      <w:r>
        <w:rPr>
          <w:b/>
          <w:sz w:val="24"/>
          <w:szCs w:val="24"/>
        </w:rPr>
        <w:br w:type="page"/>
      </w: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AC7D3EB" w14:textId="77777777" w:rsidR="00FB7B61" w:rsidRDefault="00FB7B61" w:rsidP="00FF7EBB">
            <w:pPr>
              <w:jc w:val="both"/>
              <w:rPr>
                <w:i/>
                <w:sz w:val="24"/>
                <w:szCs w:val="24"/>
              </w:rPr>
            </w:pPr>
          </w:p>
          <w:p w14:paraId="7B99C075" w14:textId="77777777" w:rsidR="00FB7B61" w:rsidRDefault="00FB7B61" w:rsidP="00FF7EBB">
            <w:pPr>
              <w:jc w:val="both"/>
              <w:rPr>
                <w:i/>
                <w:sz w:val="24"/>
                <w:szCs w:val="24"/>
              </w:rPr>
            </w:pPr>
          </w:p>
          <w:p w14:paraId="1FF04226" w14:textId="49264482" w:rsidR="00FB7B61" w:rsidRPr="003C663D" w:rsidRDefault="00FB7B61" w:rsidP="003C663D">
            <w:pPr>
              <w:spacing w:line="360" w:lineRule="auto"/>
              <w:rPr>
                <w:color w:val="auto"/>
                <w:sz w:val="24"/>
                <w:szCs w:val="24"/>
              </w:rPr>
            </w:pPr>
            <w:r w:rsidRPr="003C663D">
              <w:rPr>
                <w:color w:val="auto"/>
                <w:sz w:val="24"/>
                <w:szCs w:val="24"/>
              </w:rPr>
              <w:t xml:space="preserve">Whilst my practice was guided by the Social Services and Well-being (Wales) Act 2014 and the Wales Safeguarding Procedures (Social Care Wales, 2019), wider United Kingdom and </w:t>
            </w:r>
            <w:r w:rsidR="00104254">
              <w:rPr>
                <w:color w:val="auto"/>
                <w:sz w:val="24"/>
                <w:szCs w:val="24"/>
              </w:rPr>
              <w:t>I</w:t>
            </w:r>
            <w:r w:rsidRPr="003C663D">
              <w:rPr>
                <w:color w:val="auto"/>
                <w:sz w:val="24"/>
                <w:szCs w:val="24"/>
              </w:rPr>
              <w:t xml:space="preserve">nternational legislation also informed decision-making. The Human Rights Act (1998) supported consideration of the children's right to family life, while the United Nations Convention on the Rights of the Child (1989), particularly Articles 3 and 12, reinforced the importance of promoting the children's best interests and ensuring their views were heard. These principles are further reflected in Welsh policy through the Rights of Children and Young Persons (Wales) Measure 2011. Whilst I practice in Wales, UK, European Union and International legislation, policies and procedures also guide my practice.  The Human Rights Act (1998) applies across the UK and the UNCRC (1989) applies internationally.  In addition, although the UK is no longer part of the EU, the principles of the General Data Protection Regulation (EU), (2016/679) continue through UK GDPR and the Data Protection Act (2018), which provides for lawful sharing of information between agencies. </w:t>
            </w:r>
          </w:p>
          <w:p w14:paraId="5F265E61" w14:textId="77777777" w:rsidR="00FB7B61" w:rsidRPr="008566CB" w:rsidRDefault="00FB7B61" w:rsidP="003C663D">
            <w:pPr>
              <w:spacing w:line="360" w:lineRule="auto"/>
              <w:rPr>
                <w:color w:val="auto"/>
              </w:rPr>
            </w:pPr>
          </w:p>
          <w:p w14:paraId="5DFFA061" w14:textId="77777777" w:rsidR="00FB7B61" w:rsidRPr="003C663D" w:rsidRDefault="00FB7B61" w:rsidP="003C663D">
            <w:pPr>
              <w:spacing w:line="360" w:lineRule="auto"/>
              <w:rPr>
                <w:color w:val="auto"/>
                <w:sz w:val="24"/>
                <w:szCs w:val="24"/>
              </w:rPr>
            </w:pPr>
            <w:r w:rsidRPr="003C663D">
              <w:rPr>
                <w:color w:val="auto"/>
                <w:sz w:val="24"/>
                <w:szCs w:val="24"/>
              </w:rPr>
              <w:t xml:space="preserve">In this case study, I will be critically reflecting on a children’s safeguarding case.  To protect the identity of the family I have anonymised identifying information which is in accordance with the Data Protection Act (2018).  The case study involves three children which I will refer to as child 1 who is twelve years old, child 2 who is 10 years old and child 3 who is 8 years old.  The children’s parents were divorced, and they had been living with their father under a Child Arrangement Order and mother had supervised contact with the children that had recently been reestablished after a prolonged absence in the children’s lives.  There were safeguarding concerns following father’s arrest and remand into custody for drug offences and subsequently they resided with extended paternal family members as a family arrangement plan.  This was agreed by both parents who held parental responsibility.  There were safeguarding concerns around the children’s emotional wellbeing, the absence of a safe parent and uncertainty of their long-term care.  There was historical concerns of mother’s alcohol misuse and the children previously experienced neglect whilst in her care. Subsequently, a decision was made by the local authority and police to proceed with Section 47 enquires under the Children Act (1989) with the outcome that the children were deemed to be at risk and therefore the case proceeded to an initial child protection conference meeting and a multi-agency decision was made for their names to be placed on the child protection register. </w:t>
            </w:r>
          </w:p>
          <w:p w14:paraId="32B88DB8" w14:textId="77777777" w:rsidR="00FB7B61" w:rsidRPr="003C663D" w:rsidRDefault="00FB7B61" w:rsidP="003C663D">
            <w:pPr>
              <w:spacing w:line="360" w:lineRule="auto"/>
              <w:rPr>
                <w:color w:val="auto"/>
                <w:sz w:val="24"/>
                <w:szCs w:val="24"/>
              </w:rPr>
            </w:pPr>
          </w:p>
          <w:p w14:paraId="6D219592" w14:textId="77777777" w:rsidR="00FB7B61" w:rsidRPr="003C663D" w:rsidRDefault="00FB7B61" w:rsidP="003C663D">
            <w:pPr>
              <w:spacing w:line="360" w:lineRule="auto"/>
              <w:rPr>
                <w:color w:val="auto"/>
                <w:sz w:val="24"/>
                <w:szCs w:val="24"/>
              </w:rPr>
            </w:pPr>
            <w:r w:rsidRPr="003C663D">
              <w:rPr>
                <w:color w:val="auto"/>
                <w:sz w:val="24"/>
                <w:szCs w:val="24"/>
              </w:rPr>
              <w:t>As per the Wales safeguarding procedures (2019) and the Social Services Well-being (Wales) Act 2014, a child protection plan was devised between multi-agency professionals involved.  My statutory role as the allocated social worker, was to visit the children at least every ten working days and hold an initial core group meeting within ten working days, thereafter, every six weeks.  My role was to review the child protection plan, assess risk, hold a family network meeting to assess support and create safety and to undertake direct work with the children to gain their views and wishes and to support their emotional wellbeing needs.  In line with the Welsh Governments ‘More than Just Words’ framework (2022), I provided the ‘Active Offer’ to the family ensuring that a language choice was offered without the need of them having to ask.  The family advised that they are Welsh, and predominantly English speaking and understand basic Welsh words and phrases.  The family confirmed that their preference was to communicate through the English language. Using this case, I will be critically reflecting on the assessment process, at collaborative working with family and professionals involved looking at what worked well and if there were any difficulties.  From this I will consider how professional judgements can influence decisions and how social work theories, such as attachment and ecological theories support me in exploring connections and relationships which inform assessment and decision-making.  Within this I will examine how legislation, policies and frameworks in Wales underpin safeguarding practice.</w:t>
            </w:r>
          </w:p>
          <w:p w14:paraId="3C73F80D" w14:textId="77777777" w:rsidR="00FB7B61" w:rsidRPr="003C663D" w:rsidRDefault="00FB7B61" w:rsidP="003C663D">
            <w:pPr>
              <w:spacing w:line="360" w:lineRule="auto"/>
              <w:rPr>
                <w:color w:val="auto"/>
                <w:sz w:val="24"/>
                <w:szCs w:val="24"/>
              </w:rPr>
            </w:pPr>
          </w:p>
          <w:p w14:paraId="47FFE7DC" w14:textId="77777777" w:rsidR="00FB7B61" w:rsidRPr="003C663D" w:rsidRDefault="00FB7B61" w:rsidP="003C663D">
            <w:pPr>
              <w:spacing w:line="360" w:lineRule="auto"/>
              <w:rPr>
                <w:color w:val="auto"/>
                <w:sz w:val="24"/>
                <w:szCs w:val="24"/>
              </w:rPr>
            </w:pPr>
            <w:r w:rsidRPr="003C663D">
              <w:rPr>
                <w:color w:val="auto"/>
                <w:sz w:val="24"/>
                <w:szCs w:val="24"/>
              </w:rPr>
              <w:t xml:space="preserve">A fundamental part of social work practice as stated in the National Occupational Standards (2026) is involving people in exploring the family’s circumstances.  An initial core group meeting was convened, information was shared and gathered from family and professionals and a clear safety plan, and actions was devised.  From this, together we were able to identify that all the children were very sad and confused about their father’s sudden imprisonment and their current circumstances, as children 2 and 3 were living separately from chid 1 with different family members the information they received varied.  Therefore, together we identified that direct work and a clear explanation of the worries was required which would reduce the children’s confusion and provide reassurance of their current living situation.  The information gathered from the family members caring for the children was important to understand the children’s emotional presentation and how the family members could support them through this difficult time. Through direct work, the children were able to openly share their worries and anxieties about their father and also express their feelings about their current living arrangements and if they had any worries.  The child’s voice was central throughout and their wishes and feelings were listened to and valued.  This aligns with the Code of Professional Practice for Social Care Workers (2026) that states I must “support individuals and carers to communicate their views and choices’.  </w:t>
            </w:r>
          </w:p>
          <w:p w14:paraId="3F6EB44B" w14:textId="77777777" w:rsidR="00FB7B61" w:rsidRPr="003C663D" w:rsidRDefault="00FB7B61" w:rsidP="003C663D">
            <w:pPr>
              <w:spacing w:line="360" w:lineRule="auto"/>
              <w:rPr>
                <w:color w:val="auto"/>
                <w:sz w:val="24"/>
                <w:szCs w:val="24"/>
              </w:rPr>
            </w:pPr>
          </w:p>
          <w:p w14:paraId="15078521" w14:textId="77777777" w:rsidR="00FB7B61" w:rsidRPr="003C663D" w:rsidRDefault="00FB7B61" w:rsidP="003C663D">
            <w:pPr>
              <w:spacing w:line="360" w:lineRule="auto"/>
              <w:rPr>
                <w:color w:val="auto"/>
                <w:sz w:val="24"/>
                <w:szCs w:val="24"/>
              </w:rPr>
            </w:pPr>
            <w:r w:rsidRPr="003C663D">
              <w:rPr>
                <w:color w:val="auto"/>
                <w:sz w:val="24"/>
                <w:szCs w:val="24"/>
              </w:rPr>
              <w:t xml:space="preserve">As part of information gathering, assessment and planning, discussions were had with mother.  I explored her history of alcohol misuse which led to a significant time lapse of contact with her children, and I explored her current circumstances and support network.  She expressed a wish that she would like an assessment to care for her children if their father received a custodial prison sentence.  She advised that she agreed with the children’s current living arrangements and the plan of continued supervised contact with the children to build up a trusting relationship with her.  The process of information gathering from family, professionals and the children reflects the National Occupational Standards to, “assess needs, risks and circumstances in partnership with those involved” (Social Care Wales, 2026).  This is consistent with Milner and O’Byrne (2002, p.4) who stated that “assessment cannot be easily separated from intervention – change happens at all stages of the social work process”. </w:t>
            </w:r>
          </w:p>
          <w:p w14:paraId="5C8AFB55" w14:textId="77777777" w:rsidR="00FB7B61" w:rsidRPr="003C663D" w:rsidRDefault="00FB7B61" w:rsidP="003C663D">
            <w:pPr>
              <w:spacing w:line="360" w:lineRule="auto"/>
              <w:rPr>
                <w:color w:val="auto"/>
                <w:sz w:val="24"/>
                <w:szCs w:val="24"/>
              </w:rPr>
            </w:pPr>
          </w:p>
          <w:p w14:paraId="5AD8DC7F" w14:textId="2747647F" w:rsidR="00FB7B61" w:rsidRPr="003C663D" w:rsidRDefault="00FB7B61" w:rsidP="003C663D">
            <w:pPr>
              <w:spacing w:line="360" w:lineRule="auto"/>
              <w:rPr>
                <w:color w:val="auto"/>
                <w:sz w:val="24"/>
                <w:szCs w:val="24"/>
              </w:rPr>
            </w:pPr>
            <w:r w:rsidRPr="003C663D">
              <w:rPr>
                <w:color w:val="auto"/>
                <w:sz w:val="24"/>
                <w:szCs w:val="24"/>
              </w:rPr>
              <w:t xml:space="preserve">In collaboration with family, professionals and listening to the </w:t>
            </w:r>
            <w:r w:rsidR="00010E3C">
              <w:rPr>
                <w:color w:val="auto"/>
                <w:sz w:val="24"/>
                <w:szCs w:val="24"/>
              </w:rPr>
              <w:t>c</w:t>
            </w:r>
            <w:r w:rsidR="00010E3C" w:rsidRPr="003C663D">
              <w:rPr>
                <w:color w:val="auto"/>
                <w:sz w:val="24"/>
                <w:szCs w:val="24"/>
              </w:rPr>
              <w:t>hild</w:t>
            </w:r>
            <w:r w:rsidR="00010E3C">
              <w:rPr>
                <w:color w:val="auto"/>
                <w:sz w:val="24"/>
                <w:szCs w:val="24"/>
              </w:rPr>
              <w:t>ren’s</w:t>
            </w:r>
            <w:r w:rsidRPr="003C663D">
              <w:rPr>
                <w:color w:val="auto"/>
                <w:sz w:val="24"/>
                <w:szCs w:val="24"/>
              </w:rPr>
              <w:t xml:space="preserve"> lived experiences I was able to identify early on in the assessment that there were many protective factors.  The children were living with family members, albeit not together, but they saw each other most days and I was able to establish through direct work that they were happy, safe and their needs were being met.  There was a large family support network, paternal family were supporting each other with caring for the children and ensured the children were able to keep to their usual routine and able to do the things they enjoyed when they lived with their father, such as participating in activities after school.  Likewise, maternal grandmother remained a consistent and supportive family member in the children’s lives, she continued to support mother in supervising contact ensuring the relationship with her children continued to grow and was safe. Through early assessment sessions with mother I was able to identify a need of support in regard to abstinence from alcohol and she expressed a desire to engage with this to support her recovery.  A significant protective factor which was apparent throughout, was the positive communication and collaboration between the wider family members.  They attended all local authority meetings, were child-centred in discussions and consistently supported the children and each other to ensure the children’s needs were being met.  </w:t>
            </w:r>
          </w:p>
          <w:p w14:paraId="4C8FCE33" w14:textId="77777777" w:rsidR="00FB7B61" w:rsidRPr="003C663D" w:rsidRDefault="00FB7B61" w:rsidP="003C663D">
            <w:pPr>
              <w:spacing w:line="360" w:lineRule="auto"/>
              <w:rPr>
                <w:color w:val="auto"/>
                <w:sz w:val="24"/>
                <w:szCs w:val="24"/>
              </w:rPr>
            </w:pPr>
          </w:p>
          <w:p w14:paraId="43E6611B" w14:textId="77777777" w:rsidR="00FB7B61" w:rsidRPr="003C663D" w:rsidRDefault="00FB7B61" w:rsidP="003C663D">
            <w:pPr>
              <w:spacing w:line="360" w:lineRule="auto"/>
              <w:rPr>
                <w:color w:val="auto"/>
                <w:sz w:val="24"/>
                <w:szCs w:val="24"/>
              </w:rPr>
            </w:pPr>
            <w:r w:rsidRPr="003C663D">
              <w:rPr>
                <w:color w:val="auto"/>
                <w:sz w:val="24"/>
                <w:szCs w:val="24"/>
              </w:rPr>
              <w:t xml:space="preserve">However, it was apparent that father’s sudden imprisonment had a significant impact on the children’s emotional wellbeing.  There was uncertainty on whether their father would receive a custodial sentence and they were fearful that he would not be coming back home.  This was evidenced through direct work, where the children described feeling sad, anxious, and child 2 said he hoped his daddy would be back home in time for his birthday.  With the uncertainty around father resuming his parenting responsibilities, I considered mother’s ability to care for her children safely due to historical concerns which had led to the children previously being on the child protection register and her also not being involved in the children’s lives for a significant period of time.  Through analysis of the risks and protective factors, alongside other professionals we were able to identify the strengths and worries, and professional curiosity enabled me to explore and reflect on whether the current living arrangements for the children were sustainable long-term.  Munro (2011, p.88) stated that, “Curiosity and uncertainty are pre-requisites for good practice in situations of uncertainty”.  Whilst assessment and analysis evidenced a reduction in immediate risk of harm, it established there was ongoing uncertainty, instability and emotional harm for the children. </w:t>
            </w:r>
          </w:p>
          <w:p w14:paraId="782815D5" w14:textId="77777777" w:rsidR="00FB7B61" w:rsidRPr="003C663D" w:rsidRDefault="00FB7B61" w:rsidP="003C663D">
            <w:pPr>
              <w:spacing w:line="360" w:lineRule="auto"/>
              <w:rPr>
                <w:color w:val="auto"/>
                <w:sz w:val="24"/>
                <w:szCs w:val="24"/>
              </w:rPr>
            </w:pPr>
          </w:p>
          <w:p w14:paraId="34DA8218" w14:textId="77777777" w:rsidR="00FB7B61" w:rsidRPr="003C663D" w:rsidRDefault="00FB7B61" w:rsidP="003C663D">
            <w:pPr>
              <w:spacing w:line="360" w:lineRule="auto"/>
              <w:rPr>
                <w:color w:val="auto"/>
                <w:sz w:val="24"/>
                <w:szCs w:val="24"/>
              </w:rPr>
            </w:pPr>
            <w:r w:rsidRPr="003C663D">
              <w:rPr>
                <w:color w:val="auto"/>
                <w:sz w:val="24"/>
                <w:szCs w:val="24"/>
              </w:rPr>
              <w:t xml:space="preserve">Direct work with the children provided insight into their lived experiences, their current situation, their worries and their wishes and feelings.  This provided me with a level of reassurance that they felt safe and well cared for by the family members looking after them and also provided me with knowledge of their worries and how they could best be supported.  Winter (2017, p. 54) argues that “direct work with children is central to understanding their lived experiences, wishes and feelings, and ensuring that their voices inform assessment and decision-making”.  In addition, information gathered from other professionals such as police, health and education enabled a holistic approach in assessment, and historic information held on case file provided an understanding of potential risks and informed our planning.  Initially, mother reported her abstinence from alcohol and advised of positive changes made, however professional curiosity into previous lapses and her absence in the children’s lives for a considerable amount of time added to their emotional instability and trauma.  This informed the assessment and the decision for children to remain living with their current family members until the outcome on father’s hearing was known.  On reflection, the children initially were confused about what had happened to their father and I feel the words and pictures explanation could have been started earlier which could have reduced this.  I have reflected on the importance of undertaking direct work with children at the right time as it would have provided a clear explanation and also supported the family members to explain to the children and ask questions. </w:t>
            </w:r>
          </w:p>
          <w:p w14:paraId="3DBD93FB" w14:textId="77777777" w:rsidR="00FB7B61" w:rsidRPr="003C663D" w:rsidRDefault="00FB7B61" w:rsidP="003C663D">
            <w:pPr>
              <w:spacing w:line="360" w:lineRule="auto"/>
              <w:rPr>
                <w:color w:val="auto"/>
                <w:sz w:val="24"/>
                <w:szCs w:val="24"/>
              </w:rPr>
            </w:pPr>
          </w:p>
          <w:p w14:paraId="2CE2E60B" w14:textId="61421F10" w:rsidR="00FB7B61" w:rsidRPr="003C663D" w:rsidRDefault="00FB7B61" w:rsidP="003C663D">
            <w:pPr>
              <w:spacing w:line="360" w:lineRule="auto"/>
              <w:rPr>
                <w:color w:val="auto"/>
                <w:sz w:val="24"/>
                <w:szCs w:val="24"/>
              </w:rPr>
            </w:pPr>
            <w:r w:rsidRPr="003C663D">
              <w:rPr>
                <w:color w:val="auto"/>
                <w:sz w:val="24"/>
                <w:szCs w:val="24"/>
              </w:rPr>
              <w:t>Throughout my involvement with the family, and in my assessment and decision-making I have been guided by legislation, policies and procedures which are a framework for social work practice. These supported my practice in working in partnership with family and professionals in making child-centred decisions.  The Children Act (1989) states that the “child’s welfare is paramount”, and this helped within multi-agency meetings and assessment to keep to child-centred focussed practice. I considered the children’s views and wishes, ensuring they had a voice when analysing risk and ensured that their emotional wellbeing needs were being met, these factor</w:t>
            </w:r>
            <w:r w:rsidR="002832F1">
              <w:rPr>
                <w:color w:val="auto"/>
                <w:sz w:val="24"/>
                <w:szCs w:val="24"/>
              </w:rPr>
              <w:t>s</w:t>
            </w:r>
            <w:r w:rsidRPr="003C663D">
              <w:rPr>
                <w:color w:val="auto"/>
                <w:sz w:val="24"/>
                <w:szCs w:val="24"/>
              </w:rPr>
              <w:t xml:space="preserve"> are not only in line with the welfare checklist of the C</w:t>
            </w:r>
            <w:r w:rsidR="002832F1">
              <w:rPr>
                <w:color w:val="auto"/>
                <w:sz w:val="24"/>
                <w:szCs w:val="24"/>
              </w:rPr>
              <w:t xml:space="preserve">hildren </w:t>
            </w:r>
            <w:r w:rsidRPr="003C663D">
              <w:rPr>
                <w:color w:val="auto"/>
                <w:sz w:val="24"/>
                <w:szCs w:val="24"/>
              </w:rPr>
              <w:t>A</w:t>
            </w:r>
            <w:r w:rsidR="002832F1">
              <w:rPr>
                <w:color w:val="auto"/>
                <w:sz w:val="24"/>
                <w:szCs w:val="24"/>
              </w:rPr>
              <w:t>ct</w:t>
            </w:r>
            <w:r w:rsidRPr="003C663D">
              <w:rPr>
                <w:color w:val="auto"/>
                <w:sz w:val="24"/>
                <w:szCs w:val="24"/>
              </w:rPr>
              <w:t xml:space="preserve"> (1989) but also the Code of Professional Practice for Social Care Workers (2026) that states, “I must promote the well-being, voice and control of individuals, while supporting them to stay safe”.  Section 5 of the SSWBA (2014) places a duty on professionals to promote the wellbeing of people who need care and support.  This guided me not only in the immediate safety and care planning for the children, but considering their emotional wellbeing, what matters to them</w:t>
            </w:r>
            <w:r w:rsidR="003305AA">
              <w:rPr>
                <w:color w:val="auto"/>
                <w:sz w:val="24"/>
                <w:szCs w:val="24"/>
              </w:rPr>
              <w:t xml:space="preserve"> and</w:t>
            </w:r>
            <w:r w:rsidRPr="003C663D">
              <w:rPr>
                <w:color w:val="auto"/>
                <w:sz w:val="24"/>
                <w:szCs w:val="24"/>
              </w:rPr>
              <w:t xml:space="preserve"> their important relationships, which informed my assessment and planning.  In particular, article 8 of the Human Rights Act (1998) requires consideration of the child’s right to family life and the UNCRC (1989) articles 3 and 12 emphasise the child</w:t>
            </w:r>
            <w:r w:rsidR="003305AA">
              <w:rPr>
                <w:color w:val="auto"/>
                <w:sz w:val="24"/>
                <w:szCs w:val="24"/>
              </w:rPr>
              <w:t>’s</w:t>
            </w:r>
            <w:r w:rsidRPr="003C663D">
              <w:rPr>
                <w:color w:val="auto"/>
                <w:sz w:val="24"/>
                <w:szCs w:val="24"/>
              </w:rPr>
              <w:t xml:space="preserve"> best interests are paramount and they must be able to freely express their views and wishes.  This legislation has reinforced the importance of child-centred practice which has been evidenced through the direct work with the children where they were able to speak openly about their fears and what they would like to happen. </w:t>
            </w:r>
          </w:p>
          <w:p w14:paraId="179FF004" w14:textId="77777777" w:rsidR="00FB7B61" w:rsidRPr="003C663D" w:rsidRDefault="00FB7B61" w:rsidP="003C663D">
            <w:pPr>
              <w:spacing w:line="360" w:lineRule="auto"/>
              <w:rPr>
                <w:color w:val="auto"/>
                <w:sz w:val="24"/>
                <w:szCs w:val="24"/>
              </w:rPr>
            </w:pPr>
          </w:p>
          <w:p w14:paraId="6DC78FE2" w14:textId="42DEED62" w:rsidR="00FB7B61" w:rsidRPr="003C663D" w:rsidRDefault="00FB7B61" w:rsidP="003C663D">
            <w:pPr>
              <w:spacing w:line="360" w:lineRule="auto"/>
              <w:rPr>
                <w:color w:val="auto"/>
                <w:sz w:val="24"/>
                <w:szCs w:val="24"/>
              </w:rPr>
            </w:pPr>
            <w:r w:rsidRPr="003C663D">
              <w:rPr>
                <w:color w:val="auto"/>
                <w:sz w:val="24"/>
                <w:szCs w:val="24"/>
              </w:rPr>
              <w:t xml:space="preserve">I have reflected that there could have been tensions and disputes over the care of the children if paternal and maternal family members had not worked collaboratively together and been child-centred in wanting what was best for them.  This reflects the National Occupational Standards that </w:t>
            </w:r>
            <w:r w:rsidR="00520FA1">
              <w:rPr>
                <w:color w:val="auto"/>
                <w:sz w:val="24"/>
                <w:szCs w:val="24"/>
              </w:rPr>
              <w:t xml:space="preserve">state </w:t>
            </w:r>
            <w:r w:rsidRPr="003C663D">
              <w:rPr>
                <w:color w:val="auto"/>
                <w:sz w:val="24"/>
                <w:szCs w:val="24"/>
              </w:rPr>
              <w:t xml:space="preserve">social workers are required to “manage ethical issues, dilemmas and conflicts” (Social Care Wales, 2026). While father held a Child Arrangements Order, he was unable to care for the children as he was on remand.  Mother </w:t>
            </w:r>
            <w:r w:rsidR="009F241E">
              <w:rPr>
                <w:color w:val="auto"/>
                <w:sz w:val="24"/>
                <w:szCs w:val="24"/>
              </w:rPr>
              <w:t>had</w:t>
            </w:r>
            <w:r w:rsidRPr="003C663D">
              <w:rPr>
                <w:color w:val="auto"/>
                <w:sz w:val="24"/>
                <w:szCs w:val="24"/>
              </w:rPr>
              <w:t xml:space="preserve"> parental responsibility and although she wished to care for her children, she accepted and showed insight that an assessment would need to be undertaken first due to historical concerns, and she respected the wishes of the children to remain with paternal family members until the outcome on father’s sentence hearing was known.  This highlighted that complex decisions need to be made that are in the best interests of the child (UNCRC, 1989, Art. 3).  Therefore, decisions were also informed by the child’s sense of security, emotional wellbeing and their wishes whilst assessments were taking place.  This supports the National Occupational Standards for social Workers to “plan in partnership to address short and long term issues” (Social Care Wales, 2026).</w:t>
            </w:r>
          </w:p>
          <w:p w14:paraId="1BE7C76A" w14:textId="77777777" w:rsidR="00FB7B61" w:rsidRPr="003C663D" w:rsidRDefault="00FB7B61" w:rsidP="003C663D">
            <w:pPr>
              <w:spacing w:line="360" w:lineRule="auto"/>
              <w:rPr>
                <w:color w:val="auto"/>
                <w:sz w:val="24"/>
                <w:szCs w:val="24"/>
              </w:rPr>
            </w:pPr>
          </w:p>
          <w:p w14:paraId="25DA0028" w14:textId="1F411BFD" w:rsidR="00FB7B61" w:rsidRPr="003C663D" w:rsidRDefault="00FB7B61" w:rsidP="003C663D">
            <w:pPr>
              <w:spacing w:line="360" w:lineRule="auto"/>
              <w:rPr>
                <w:color w:val="auto"/>
                <w:sz w:val="24"/>
                <w:szCs w:val="24"/>
              </w:rPr>
            </w:pPr>
            <w:r w:rsidRPr="003C663D">
              <w:rPr>
                <w:color w:val="auto"/>
                <w:sz w:val="24"/>
                <w:szCs w:val="24"/>
              </w:rPr>
              <w:t xml:space="preserve">Whilst legislation has provided procedural guidance and a framework to work under, theory has supported my critical assessment and analysis by understanding the children’s lived experiences, family relationships, strengths, risks and </w:t>
            </w:r>
            <w:r w:rsidR="0039355A">
              <w:rPr>
                <w:color w:val="auto"/>
                <w:sz w:val="24"/>
                <w:szCs w:val="24"/>
              </w:rPr>
              <w:t>in</w:t>
            </w:r>
            <w:r w:rsidRPr="003C663D">
              <w:rPr>
                <w:color w:val="auto"/>
                <w:sz w:val="24"/>
                <w:szCs w:val="24"/>
              </w:rPr>
              <w:t xml:space="preserve"> creat</w:t>
            </w:r>
            <w:r w:rsidR="00175132">
              <w:rPr>
                <w:color w:val="auto"/>
                <w:sz w:val="24"/>
                <w:szCs w:val="24"/>
              </w:rPr>
              <w:t>ing</w:t>
            </w:r>
            <w:r w:rsidRPr="003C663D">
              <w:rPr>
                <w:color w:val="auto"/>
                <w:sz w:val="24"/>
                <w:szCs w:val="24"/>
              </w:rPr>
              <w:t xml:space="preserve"> a safe</w:t>
            </w:r>
            <w:r w:rsidR="00175132">
              <w:rPr>
                <w:color w:val="auto"/>
                <w:sz w:val="24"/>
                <w:szCs w:val="24"/>
              </w:rPr>
              <w:t>ty</w:t>
            </w:r>
            <w:r w:rsidRPr="003C663D">
              <w:rPr>
                <w:color w:val="auto"/>
                <w:sz w:val="24"/>
                <w:szCs w:val="24"/>
              </w:rPr>
              <w:t xml:space="preserve"> plan.  Bronfenbrenner (1979) Ecological Systems Theory viewed how systems can influence children’s development and wellbeing.  This theory supported the understanding of how the different systems interact and influenced the children’s behaviours which was more apparent </w:t>
            </w:r>
            <w:r w:rsidR="006649EA">
              <w:rPr>
                <w:color w:val="auto"/>
                <w:sz w:val="24"/>
                <w:szCs w:val="24"/>
              </w:rPr>
              <w:t>in</w:t>
            </w:r>
            <w:r w:rsidRPr="003C663D">
              <w:rPr>
                <w:color w:val="auto"/>
                <w:sz w:val="24"/>
                <w:szCs w:val="24"/>
              </w:rPr>
              <w:t xml:space="preserve"> child 1 with the school reporting a deterioration in his behaviour.  This was reflected in the Microsystem, by father’s imprisonment and a change of the home environment and care giver.  As noted by the school, this linked to the Mesosystem where information was shared between family and professionals to support the child through this time of uncertainty, and through the Ecosystem we could distinguish that father’s imprisonment was a major factor </w:t>
            </w:r>
            <w:r w:rsidR="003C6361">
              <w:rPr>
                <w:color w:val="auto"/>
                <w:sz w:val="24"/>
                <w:szCs w:val="24"/>
              </w:rPr>
              <w:t xml:space="preserve">that </w:t>
            </w:r>
            <w:r w:rsidRPr="003C663D">
              <w:rPr>
                <w:color w:val="auto"/>
                <w:sz w:val="24"/>
                <w:szCs w:val="24"/>
              </w:rPr>
              <w:t>affect</w:t>
            </w:r>
            <w:r w:rsidR="003C6361">
              <w:rPr>
                <w:color w:val="auto"/>
                <w:sz w:val="24"/>
                <w:szCs w:val="24"/>
              </w:rPr>
              <w:t>ed</w:t>
            </w:r>
            <w:r w:rsidRPr="003C663D">
              <w:rPr>
                <w:color w:val="auto"/>
                <w:sz w:val="24"/>
                <w:szCs w:val="24"/>
              </w:rPr>
              <w:t xml:space="preserve"> child 1 behaviour and emotional wellbeing.  The school was a familiar place, it provided routine, familiar teachers that he knew and could turn to for support, which was fundamental in supporting his emotional wellbeing and was a protective factor.  Thus, it led me to consider the children’s relationships and the importance of these at this difficult time of uncertainty.  This supported my assessment and collaborative working with family members when discussing the impact father’s imprisonment had on the children</w:t>
            </w:r>
            <w:r w:rsidR="004F72B7">
              <w:rPr>
                <w:color w:val="auto"/>
                <w:sz w:val="24"/>
                <w:szCs w:val="24"/>
              </w:rPr>
              <w:t>,</w:t>
            </w:r>
            <w:r w:rsidRPr="003C663D">
              <w:rPr>
                <w:color w:val="auto"/>
                <w:sz w:val="24"/>
                <w:szCs w:val="24"/>
              </w:rPr>
              <w:t xml:space="preserve"> and the importance of the support they give to them. Whilst the ecological systems theory provided an understanding of the whole systems that can influence a child’s life, it does not provide a clear understanding of the children’s emotional wellbeing.</w:t>
            </w:r>
          </w:p>
          <w:p w14:paraId="3744BF6C" w14:textId="77777777" w:rsidR="00FB7B61" w:rsidRPr="003C663D" w:rsidRDefault="00FB7B61" w:rsidP="003C663D">
            <w:pPr>
              <w:spacing w:line="360" w:lineRule="auto"/>
              <w:rPr>
                <w:color w:val="auto"/>
                <w:sz w:val="24"/>
                <w:szCs w:val="24"/>
              </w:rPr>
            </w:pPr>
          </w:p>
          <w:p w14:paraId="6370513F" w14:textId="58528B63" w:rsidR="00FB7B61" w:rsidRPr="003C663D" w:rsidRDefault="00FB7B61" w:rsidP="003C663D">
            <w:pPr>
              <w:spacing w:line="360" w:lineRule="auto"/>
              <w:rPr>
                <w:color w:val="auto"/>
                <w:sz w:val="24"/>
                <w:szCs w:val="24"/>
              </w:rPr>
            </w:pPr>
            <w:r w:rsidRPr="003C663D">
              <w:rPr>
                <w:color w:val="auto"/>
                <w:sz w:val="24"/>
                <w:szCs w:val="24"/>
              </w:rPr>
              <w:t xml:space="preserve">The significance of relationships has been evidenced throughout this case study, and Bowlby’s (1969) attachment theory supported my understanding of the importance of key family members to the children, the impact when these are suddenly removed and how it impacts on a child’s emotional wellbeing.  It has been argued by Bowlby (1969) that children need secure attachments that supports their development and emotional wellbeing.  Through direct work with the children and creating family genograms it supported my understanding of how they viewed different family members and the importance of those relationships to the child; it was evidential that the children had a secure attachment to their father and required reassurance and support at this time. Therefore, living with familiar paternal family members supported their emotional wellbeing and using a Signs of Safety approach of a words and pictures explanation provided opportunities to discuss what happened, reduce confusion and they were able to express the worries and feelings they had (Turnell and Edwards, 1999).  Attachment theory also highlighted what the worries were and how the past trauma of their mother’s alcohol misuse and not seeing her for a considerable amount of time had manifested issues of mistrust.  These factors, I believe contributed to an insecure attachment and they felt reassured with their maternal grandmother being present when they saw their mother. Therefore, this supported my assessment of mother and the requirement to rebuild her relationship with the children gradually to support the development of trust. Whilst attachment theory focusses mainly on the primary carers, as within this case study it is apparent that the children have secure attachments to wider family members and important people within school that provide </w:t>
            </w:r>
            <w:r w:rsidR="00214A31">
              <w:rPr>
                <w:color w:val="auto"/>
                <w:sz w:val="24"/>
                <w:szCs w:val="24"/>
              </w:rPr>
              <w:t xml:space="preserve">them with </w:t>
            </w:r>
            <w:r w:rsidRPr="003C663D">
              <w:rPr>
                <w:color w:val="auto"/>
                <w:sz w:val="24"/>
                <w:szCs w:val="24"/>
              </w:rPr>
              <w:t xml:space="preserve">safety and security. </w:t>
            </w:r>
          </w:p>
          <w:p w14:paraId="66E9D4DF" w14:textId="77777777" w:rsidR="00FB7B61" w:rsidRPr="003C663D" w:rsidRDefault="00FB7B61" w:rsidP="003C663D">
            <w:pPr>
              <w:spacing w:line="360" w:lineRule="auto"/>
              <w:rPr>
                <w:color w:val="auto"/>
                <w:sz w:val="24"/>
                <w:szCs w:val="24"/>
              </w:rPr>
            </w:pPr>
          </w:p>
          <w:p w14:paraId="339859EF" w14:textId="1256FBD5" w:rsidR="00FB7B61" w:rsidRPr="003C663D" w:rsidRDefault="00FB7B61" w:rsidP="003C663D">
            <w:pPr>
              <w:spacing w:line="360" w:lineRule="auto"/>
              <w:rPr>
                <w:color w:val="auto"/>
                <w:sz w:val="24"/>
                <w:szCs w:val="24"/>
              </w:rPr>
            </w:pPr>
            <w:r w:rsidRPr="003C663D">
              <w:rPr>
                <w:color w:val="auto"/>
                <w:sz w:val="24"/>
                <w:szCs w:val="24"/>
              </w:rPr>
              <w:t>These theories provided me with an understanding of the children’s relationships and emotional wellbeing, and effective collaboration with family members and professionals was fundamental in sharing information, understanding the children’s needs whilst working together in assessment and planning.  Multi-agency collaboration was important and core group meetings were held every six weeks with professionals, such as school, school health nurse and family support service</w:t>
            </w:r>
            <w:r w:rsidR="00214A31">
              <w:rPr>
                <w:color w:val="auto"/>
                <w:sz w:val="24"/>
                <w:szCs w:val="24"/>
              </w:rPr>
              <w:t>,</w:t>
            </w:r>
            <w:r w:rsidRPr="003C663D">
              <w:rPr>
                <w:color w:val="auto"/>
                <w:sz w:val="24"/>
                <w:szCs w:val="24"/>
              </w:rPr>
              <w:t xml:space="preserve"> and included family members.  Information was shared to understand the worries and jointly explore risks and to discuss any support needs of the family. Working collaboratively supported the safety planning, mother’s contact arrangements and reviewing of the safety plan in place. School provided invaluable information on child 1 vulnerabilities and emotional difficulties that he was currently experiencing, and from this we were able to discuss together with all core group members</w:t>
            </w:r>
            <w:r w:rsidR="00214A31">
              <w:rPr>
                <w:color w:val="auto"/>
                <w:sz w:val="24"/>
                <w:szCs w:val="24"/>
              </w:rPr>
              <w:t>,</w:t>
            </w:r>
            <w:r w:rsidRPr="003C663D">
              <w:rPr>
                <w:color w:val="auto"/>
                <w:sz w:val="24"/>
                <w:szCs w:val="24"/>
              </w:rPr>
              <w:t xml:space="preserve"> options of support that would best suit the child.  As well as professionals, family members participated and showed a child-centred approach and were fully involved in discussions and planning for the children.  On reflection, positive communication and collaborative working where everyone was able to contribute and express their views, supported the children through a period of distress and instability and provided them with safety and reassurance.  As HM Government (2018) stated, “no single professional can have a full picture of a child's needs and circumstances”, and this has been evidential throughout this case study and shown how important working together is in safeguarding, assessment and planning to ensure the best outcomes for children are achieved. This aligns with the National Occupational Standards that social workers should “assess needs, risks and circumstances in partnership with those involved” (Social Care Wales, 2026).</w:t>
            </w:r>
          </w:p>
          <w:p w14:paraId="76BF0761" w14:textId="77777777" w:rsidR="00FB7B61" w:rsidRPr="003C663D" w:rsidRDefault="00FB7B61" w:rsidP="003C663D">
            <w:pPr>
              <w:spacing w:line="360" w:lineRule="auto"/>
              <w:rPr>
                <w:color w:val="auto"/>
                <w:sz w:val="24"/>
                <w:szCs w:val="24"/>
              </w:rPr>
            </w:pPr>
          </w:p>
          <w:p w14:paraId="04B6662B" w14:textId="7042DBF3" w:rsidR="00FB7B61" w:rsidRPr="003C663D" w:rsidRDefault="00FB7B61" w:rsidP="003C663D">
            <w:pPr>
              <w:spacing w:line="360" w:lineRule="auto"/>
              <w:rPr>
                <w:color w:val="auto"/>
                <w:sz w:val="24"/>
                <w:szCs w:val="24"/>
              </w:rPr>
            </w:pPr>
            <w:r w:rsidRPr="003C663D">
              <w:rPr>
                <w:color w:val="auto"/>
                <w:sz w:val="24"/>
                <w:szCs w:val="24"/>
              </w:rPr>
              <w:t>Effective, meaningful collaborative working between professionals and family members can be an area of empowerment and successful outcomes, however it can also bring with it challenges and differences of opinions which can lead to conflict and professional challenge.  Horwath and Morrison (2007) states that successful safeguarding can be subject to professionals’ ability to communicate, share information and work together between different agencies. In this case study, it was in most part positive where there were regular core group meetings, full attendance and participation was achieved and every member I believe had a voice, information was shared and their views respected. These are important factors in social work practice and are in line with the Code of Professional Practice for Social Care Workers (2026).  I feel there was initially potential for disagreement between mother and paternal family members if she had not agreed with the children living with them whilst father was on remand waiting on his sentence hearing.  With clear communication and effective partnership working, where the children remained central in decision making, the</w:t>
            </w:r>
            <w:r w:rsidR="00977FCB">
              <w:rPr>
                <w:color w:val="auto"/>
                <w:sz w:val="24"/>
                <w:szCs w:val="24"/>
              </w:rPr>
              <w:t xml:space="preserve"> children</w:t>
            </w:r>
            <w:r w:rsidRPr="003C663D">
              <w:rPr>
                <w:color w:val="auto"/>
                <w:sz w:val="24"/>
                <w:szCs w:val="24"/>
              </w:rPr>
              <w:t xml:space="preserve"> remained safely with familiar family members and risk was reduced.  Contact with their mother progressed safely and she started to build trust by showing up consistently each week as arranged and took a lead role in arranging medical appointments ensuring their health needs were met. </w:t>
            </w:r>
          </w:p>
          <w:p w14:paraId="647A2EAD" w14:textId="77777777" w:rsidR="00FB7B61" w:rsidRPr="003C663D" w:rsidRDefault="00FB7B61" w:rsidP="003C663D">
            <w:pPr>
              <w:spacing w:line="360" w:lineRule="auto"/>
              <w:rPr>
                <w:color w:val="auto"/>
                <w:sz w:val="24"/>
                <w:szCs w:val="24"/>
              </w:rPr>
            </w:pPr>
          </w:p>
          <w:p w14:paraId="3E5D7F62" w14:textId="10798B12" w:rsidR="00FB7B61" w:rsidRPr="003C663D" w:rsidRDefault="00FB7B61" w:rsidP="003C663D">
            <w:pPr>
              <w:spacing w:line="360" w:lineRule="auto"/>
              <w:rPr>
                <w:color w:val="auto"/>
                <w:sz w:val="24"/>
                <w:szCs w:val="24"/>
              </w:rPr>
            </w:pPr>
            <w:r w:rsidRPr="003C663D">
              <w:rPr>
                <w:color w:val="auto"/>
                <w:sz w:val="24"/>
                <w:szCs w:val="24"/>
              </w:rPr>
              <w:t>The uncertainty around the children’s future care arrangements needed professional judgement when sharing and analysing information, discussing risk and protective factors</w:t>
            </w:r>
            <w:r w:rsidR="001806F5">
              <w:rPr>
                <w:color w:val="auto"/>
                <w:sz w:val="24"/>
                <w:szCs w:val="24"/>
              </w:rPr>
              <w:t xml:space="preserve"> and</w:t>
            </w:r>
            <w:r w:rsidRPr="003C663D">
              <w:rPr>
                <w:color w:val="auto"/>
                <w:sz w:val="24"/>
                <w:szCs w:val="24"/>
              </w:rPr>
              <w:t xml:space="preserve"> in making decisions that were in the children’s best interests.  Father’s sudden imprisonment created uncertainty about the long-term care arrangements and with the concerns of mother’s historic alcohol misuse and not being involved in the children’s lives for a considerable amount of time, at this point she was considered not to be a safe parent and an assessment of mother was required that considered the current risk and whether she could meet the needs of the children safely and consistently.  Throughout the assessment and planning process, direct work with the children to gain their views and wishes was instrumental in gaining an understanding of their life, which aligns with Article 12 UNCRC (1989).  Firstly, it helped to understand the impact their father’s imprisonment had on their emotional wellbeing and secondly, it provided an understanding of their past lived experiences of time with their mother, their worries</w:t>
            </w:r>
            <w:r w:rsidR="001806F5">
              <w:rPr>
                <w:color w:val="auto"/>
                <w:sz w:val="24"/>
                <w:szCs w:val="24"/>
              </w:rPr>
              <w:t>,</w:t>
            </w:r>
            <w:r w:rsidRPr="003C663D">
              <w:rPr>
                <w:color w:val="auto"/>
                <w:sz w:val="24"/>
                <w:szCs w:val="24"/>
              </w:rPr>
              <w:t xml:space="preserve"> and informed how contact was progressing which supported planning and decision making.  </w:t>
            </w:r>
          </w:p>
          <w:p w14:paraId="23ECB8F5" w14:textId="77777777" w:rsidR="00FB7B61" w:rsidRPr="003C663D" w:rsidRDefault="00FB7B61" w:rsidP="003C663D">
            <w:pPr>
              <w:spacing w:line="360" w:lineRule="auto"/>
              <w:rPr>
                <w:color w:val="auto"/>
                <w:sz w:val="24"/>
                <w:szCs w:val="24"/>
              </w:rPr>
            </w:pPr>
          </w:p>
          <w:p w14:paraId="4B804720" w14:textId="2109DAA1" w:rsidR="00FB7B61" w:rsidRPr="003C663D" w:rsidRDefault="00FB7B61" w:rsidP="003C663D">
            <w:pPr>
              <w:spacing w:line="360" w:lineRule="auto"/>
              <w:rPr>
                <w:color w:val="auto"/>
                <w:sz w:val="24"/>
                <w:szCs w:val="24"/>
              </w:rPr>
            </w:pPr>
            <w:r w:rsidRPr="003C663D">
              <w:rPr>
                <w:color w:val="auto"/>
                <w:sz w:val="24"/>
                <w:szCs w:val="24"/>
              </w:rPr>
              <w:t>On reflection when looking at professional judgement, I considered the dynamics of power, participation and anti-oppressive practice.  As Munro (2011) states</w:t>
            </w:r>
            <w:r w:rsidR="001806F5">
              <w:rPr>
                <w:color w:val="auto"/>
                <w:sz w:val="24"/>
                <w:szCs w:val="24"/>
              </w:rPr>
              <w:t>,</w:t>
            </w:r>
            <w:r w:rsidRPr="003C663D">
              <w:rPr>
                <w:color w:val="auto"/>
                <w:sz w:val="24"/>
                <w:szCs w:val="24"/>
              </w:rPr>
              <w:t xml:space="preserve"> child protection decisions often involves </w:t>
            </w:r>
            <w:r w:rsidR="001806F5" w:rsidRPr="003C663D">
              <w:rPr>
                <w:color w:val="auto"/>
                <w:sz w:val="24"/>
                <w:szCs w:val="24"/>
              </w:rPr>
              <w:t>uncertainty,</w:t>
            </w:r>
            <w:r w:rsidRPr="003C663D">
              <w:rPr>
                <w:color w:val="auto"/>
                <w:sz w:val="24"/>
                <w:szCs w:val="24"/>
              </w:rPr>
              <w:t xml:space="preserve"> and professionals are required to balance risk and rights in the best interests of the individual. There is a statutory power by professionals during child protection processes and therefore it is important </w:t>
            </w:r>
            <w:r w:rsidR="001806F5">
              <w:rPr>
                <w:color w:val="auto"/>
                <w:sz w:val="24"/>
                <w:szCs w:val="24"/>
              </w:rPr>
              <w:t xml:space="preserve">to </w:t>
            </w:r>
            <w:r w:rsidRPr="003C663D">
              <w:rPr>
                <w:color w:val="auto"/>
                <w:sz w:val="24"/>
                <w:szCs w:val="24"/>
              </w:rPr>
              <w:t>acknowledge and balance authority with effective partnership working.  This case study has made me reflect on power imbalances, especially within child protection conference meetings where family members may feel overwhelmed by the many different professionals in attendance, such as school, health, social services and police which can feel intimidating. The onus is on professionals to provide reports, to share information, and to make the decisions on whether the child is deemed at significant risk of harm and placed on the child protection register.  For many families, it may be the first time that they have been involved with the local authority and child protection proce</w:t>
            </w:r>
            <w:r w:rsidR="00622B48">
              <w:rPr>
                <w:color w:val="auto"/>
                <w:sz w:val="24"/>
                <w:szCs w:val="24"/>
              </w:rPr>
              <w:t>sses</w:t>
            </w:r>
            <w:r w:rsidRPr="003C663D">
              <w:rPr>
                <w:color w:val="auto"/>
                <w:sz w:val="24"/>
                <w:szCs w:val="24"/>
              </w:rPr>
              <w:t xml:space="preserve">, therefore this can be a confusing and daunting experience for them.  Thompson (2016) highlights that “oppression operates through unequal power relationships”.  I have reflected on this and believe that good ethical practice entails effective communication with families, that it is important to communicate before such meetings to </w:t>
            </w:r>
            <w:r w:rsidR="001E31AF">
              <w:rPr>
                <w:color w:val="auto"/>
                <w:sz w:val="24"/>
                <w:szCs w:val="24"/>
              </w:rPr>
              <w:t>provide information</w:t>
            </w:r>
            <w:r w:rsidRPr="003C663D">
              <w:rPr>
                <w:color w:val="auto"/>
                <w:sz w:val="24"/>
                <w:szCs w:val="24"/>
              </w:rPr>
              <w:t xml:space="preserve"> o</w:t>
            </w:r>
            <w:r w:rsidR="001E31AF">
              <w:rPr>
                <w:color w:val="auto"/>
                <w:sz w:val="24"/>
                <w:szCs w:val="24"/>
              </w:rPr>
              <w:t>n</w:t>
            </w:r>
            <w:r w:rsidRPr="003C663D">
              <w:rPr>
                <w:color w:val="auto"/>
                <w:sz w:val="24"/>
                <w:szCs w:val="24"/>
              </w:rPr>
              <w:t xml:space="preserve"> the process</w:t>
            </w:r>
            <w:r w:rsidR="001E31AF">
              <w:rPr>
                <w:color w:val="auto"/>
                <w:sz w:val="24"/>
                <w:szCs w:val="24"/>
              </w:rPr>
              <w:t>es</w:t>
            </w:r>
            <w:r w:rsidRPr="003C663D">
              <w:rPr>
                <w:color w:val="auto"/>
                <w:sz w:val="24"/>
                <w:szCs w:val="24"/>
              </w:rPr>
              <w:t xml:space="preserve"> involved, who would be present and their role and from doing this it could aid their understanding, reduce anxiety and </w:t>
            </w:r>
            <w:r w:rsidR="003D1C55">
              <w:rPr>
                <w:color w:val="auto"/>
                <w:sz w:val="24"/>
                <w:szCs w:val="24"/>
              </w:rPr>
              <w:t>ensure practice is inclusive and respectful</w:t>
            </w:r>
            <w:r w:rsidRPr="003C663D">
              <w:rPr>
                <w:color w:val="auto"/>
                <w:sz w:val="24"/>
                <w:szCs w:val="24"/>
              </w:rPr>
              <w:t xml:space="preserve">. This is in line with the Equality Act (2010), the National Occupational Standards (2026) and the Code of Professional Practice for Social Care Workers (2026) where social workers are required to promote participation, uphold rights, treat people with respect and to work in partnership. </w:t>
            </w:r>
          </w:p>
          <w:p w14:paraId="13357257" w14:textId="77777777" w:rsidR="00FB7B61" w:rsidRPr="003C663D" w:rsidRDefault="00FB7B61" w:rsidP="003C663D">
            <w:pPr>
              <w:spacing w:line="360" w:lineRule="auto"/>
              <w:rPr>
                <w:color w:val="auto"/>
                <w:sz w:val="24"/>
                <w:szCs w:val="24"/>
              </w:rPr>
            </w:pPr>
          </w:p>
          <w:p w14:paraId="047033AC" w14:textId="4582E05C" w:rsidR="00FB7B61" w:rsidRPr="003C663D" w:rsidRDefault="00FB7B61" w:rsidP="003C663D">
            <w:pPr>
              <w:spacing w:line="360" w:lineRule="auto"/>
              <w:rPr>
                <w:color w:val="auto"/>
                <w:sz w:val="24"/>
                <w:szCs w:val="24"/>
              </w:rPr>
            </w:pPr>
            <w:r w:rsidRPr="003C663D">
              <w:rPr>
                <w:color w:val="auto"/>
                <w:sz w:val="24"/>
                <w:szCs w:val="24"/>
              </w:rPr>
              <w:t xml:space="preserve">The case needed ongoing professional judgement, reflection and accountability throughout the child protection process. Father’s imprisonment caused uncertainty around the children’s long term care arrangements and mother’s historic concerns in regard to her alcohol misuse and lack of contact with her children required assessing.  Regular supervision supported my reflection and decision-making and provided me with opportunities to explore and review risk, and as highlighted by </w:t>
            </w:r>
            <w:r w:rsidR="00EF651C">
              <w:rPr>
                <w:color w:val="auto"/>
                <w:sz w:val="24"/>
                <w:szCs w:val="24"/>
              </w:rPr>
              <w:t>t</w:t>
            </w:r>
            <w:r w:rsidRPr="003C663D">
              <w:rPr>
                <w:color w:val="auto"/>
                <w:sz w:val="24"/>
                <w:szCs w:val="24"/>
              </w:rPr>
              <w:t xml:space="preserve">he National Occupational Standards (2026) </w:t>
            </w:r>
            <w:r w:rsidR="00EF651C">
              <w:rPr>
                <w:color w:val="auto"/>
                <w:sz w:val="24"/>
                <w:szCs w:val="24"/>
              </w:rPr>
              <w:t>this</w:t>
            </w:r>
            <w:r w:rsidRPr="003C663D">
              <w:rPr>
                <w:color w:val="auto"/>
                <w:sz w:val="24"/>
                <w:szCs w:val="24"/>
              </w:rPr>
              <w:t xml:space="preserve"> is important in developing social work practice. Father received a suspended sentence and was under a supervision order with probation.  Therefore, the children’s living arrangements resumed with their father, however initially this was with a member of his family supervising due to the concerns of his arrest and whilst an assessment was undertaken on risk and creating enough safety. On reflection with this case, supervision was invaluable in providing the time to analyse information, discuss uncertainty and reflect on my professional judgement to ensure I was achieving the best outcome for the children.  And as Munro (2011) highlighted, critical reflective supervision is “the cornerstone of good practice”. </w:t>
            </w:r>
          </w:p>
          <w:p w14:paraId="5F7B0C93" w14:textId="77777777" w:rsidR="00FB7B61" w:rsidRPr="003C663D" w:rsidRDefault="00FB7B61" w:rsidP="003C663D">
            <w:pPr>
              <w:spacing w:line="360" w:lineRule="auto"/>
              <w:rPr>
                <w:color w:val="auto"/>
                <w:sz w:val="24"/>
                <w:szCs w:val="24"/>
              </w:rPr>
            </w:pPr>
          </w:p>
          <w:p w14:paraId="0E9E3AFF" w14:textId="77777777" w:rsidR="00FB7B61" w:rsidRPr="003C663D" w:rsidRDefault="00FB7B61" w:rsidP="003C663D">
            <w:pPr>
              <w:spacing w:line="360" w:lineRule="auto"/>
              <w:rPr>
                <w:color w:val="auto"/>
                <w:sz w:val="24"/>
                <w:szCs w:val="24"/>
              </w:rPr>
            </w:pPr>
            <w:r w:rsidRPr="003C663D">
              <w:rPr>
                <w:color w:val="auto"/>
                <w:sz w:val="24"/>
                <w:szCs w:val="24"/>
              </w:rPr>
              <w:t xml:space="preserve">In conclusion, this case highlighted that safeguarding work can be complex, challenging and lined with uncertainty and evolving changes and risks.  Father’s sudden imprisonment caused the children significant sadness and anxiety with the fear of not knowing what the long-term care plans were for them.  In addition, they had previously faced trauma when their mother misused alcohol and consequently had withdrawn from contact with them for a significant period of time.  These experiences created a level of uncertainty and highlighted the importance of consistent, stable relationships in promoting emotional wellbeing and security.  Through the child protection process, assessments, direct work and collaborative working between family members and professionals it provided a holistic understanding of the children’s lives and what the risks, strengths and support needs were.  </w:t>
            </w:r>
          </w:p>
          <w:p w14:paraId="674A0913" w14:textId="77777777" w:rsidR="00FB7B61" w:rsidRPr="003C663D" w:rsidRDefault="00FB7B61" w:rsidP="003C663D">
            <w:pPr>
              <w:spacing w:line="360" w:lineRule="auto"/>
              <w:rPr>
                <w:color w:val="auto"/>
                <w:sz w:val="24"/>
                <w:szCs w:val="24"/>
              </w:rPr>
            </w:pPr>
          </w:p>
          <w:p w14:paraId="1E4AFFD6" w14:textId="589A7A8D" w:rsidR="00FB7B61" w:rsidRPr="003C663D" w:rsidRDefault="00FB7B61" w:rsidP="003C663D">
            <w:pPr>
              <w:spacing w:line="360" w:lineRule="auto"/>
              <w:rPr>
                <w:color w:val="auto"/>
                <w:sz w:val="24"/>
                <w:szCs w:val="24"/>
              </w:rPr>
            </w:pPr>
            <w:r w:rsidRPr="003C663D">
              <w:rPr>
                <w:color w:val="auto"/>
                <w:sz w:val="24"/>
                <w:szCs w:val="24"/>
              </w:rPr>
              <w:t>Legislation and safeguarding procedures provided a framework for practice and theories helped me to understand</w:t>
            </w:r>
            <w:r w:rsidR="000F26F7">
              <w:rPr>
                <w:color w:val="auto"/>
                <w:sz w:val="24"/>
                <w:szCs w:val="24"/>
              </w:rPr>
              <w:t xml:space="preserve"> the children’s lived experiences</w:t>
            </w:r>
            <w:r w:rsidR="00B51D48">
              <w:rPr>
                <w:color w:val="auto"/>
                <w:sz w:val="24"/>
                <w:szCs w:val="24"/>
              </w:rPr>
              <w:t>, f</w:t>
            </w:r>
            <w:r w:rsidRPr="003C663D">
              <w:rPr>
                <w:color w:val="auto"/>
                <w:sz w:val="24"/>
                <w:szCs w:val="24"/>
              </w:rPr>
              <w:t>amily relationships</w:t>
            </w:r>
            <w:r w:rsidR="002E5057">
              <w:rPr>
                <w:color w:val="auto"/>
                <w:sz w:val="24"/>
                <w:szCs w:val="24"/>
              </w:rPr>
              <w:t xml:space="preserve"> and </w:t>
            </w:r>
            <w:r w:rsidR="006B09BE">
              <w:rPr>
                <w:color w:val="auto"/>
                <w:sz w:val="24"/>
                <w:szCs w:val="24"/>
              </w:rPr>
              <w:t xml:space="preserve">the importance of </w:t>
            </w:r>
            <w:r w:rsidRPr="003C663D">
              <w:rPr>
                <w:color w:val="auto"/>
                <w:sz w:val="24"/>
                <w:szCs w:val="24"/>
              </w:rPr>
              <w:t>significant people in t</w:t>
            </w:r>
            <w:r w:rsidR="002E5057">
              <w:rPr>
                <w:color w:val="auto"/>
                <w:sz w:val="24"/>
                <w:szCs w:val="24"/>
              </w:rPr>
              <w:t>he</w:t>
            </w:r>
            <w:r w:rsidR="00B51D48">
              <w:rPr>
                <w:color w:val="auto"/>
                <w:sz w:val="24"/>
                <w:szCs w:val="24"/>
              </w:rPr>
              <w:t>ir</w:t>
            </w:r>
            <w:r w:rsidRPr="003C663D">
              <w:rPr>
                <w:color w:val="auto"/>
                <w:sz w:val="24"/>
                <w:szCs w:val="24"/>
              </w:rPr>
              <w:t xml:space="preserve"> lives.  Supervision and reflection helped me to identify the importance of timely interventions.  In particular, within this case the earlier use of words and pictures explanation could have been beneficial to reduce the initial anxieties and ensure a consistent and clear explanation was provided to all the children at the same time.  Supervision was also invaluable in providing that space to support my critical reflection which helped to reduce my own professional anxiety and to consider alternative opinions and in reviewing risk.  On the whole, this case study has shown me the importance of partnership working in safeguarding, of professional curiosity, effective communication and to ensure my work is child-centred, and decisions are made in their best interests. </w:t>
            </w:r>
          </w:p>
          <w:p w14:paraId="3E4577BA" w14:textId="77777777" w:rsidR="00FB7B61" w:rsidRPr="003C663D" w:rsidRDefault="00FB7B61" w:rsidP="003C663D">
            <w:pPr>
              <w:spacing w:line="360" w:lineRule="auto"/>
              <w:rPr>
                <w:color w:val="auto"/>
                <w:sz w:val="24"/>
                <w:szCs w:val="24"/>
              </w:rPr>
            </w:pPr>
          </w:p>
          <w:p w14:paraId="0E7BBCC9" w14:textId="7E0DBB7A" w:rsidR="00D3203C" w:rsidRPr="003C663D" w:rsidRDefault="00FB7B61" w:rsidP="003C663D">
            <w:pPr>
              <w:spacing w:line="360" w:lineRule="auto"/>
              <w:rPr>
                <w:b/>
                <w:bCs/>
                <w:sz w:val="24"/>
                <w:szCs w:val="24"/>
              </w:rPr>
            </w:pPr>
            <w:r w:rsidRPr="003C663D">
              <w:rPr>
                <w:b/>
                <w:bCs/>
                <w:sz w:val="24"/>
                <w:szCs w:val="24"/>
              </w:rPr>
              <w:t>41</w:t>
            </w:r>
            <w:r w:rsidR="0077129C">
              <w:rPr>
                <w:b/>
                <w:bCs/>
                <w:sz w:val="24"/>
                <w:szCs w:val="24"/>
              </w:rPr>
              <w:t>86</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F14BA" w14:textId="77777777" w:rsidR="00883164" w:rsidRDefault="00883164">
      <w:r>
        <w:separator/>
      </w:r>
    </w:p>
  </w:endnote>
  <w:endnote w:type="continuationSeparator" w:id="0">
    <w:p w14:paraId="270E1D81" w14:textId="77777777" w:rsidR="00883164" w:rsidRDefault="008831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8AC45" w14:textId="77777777" w:rsidR="00883164" w:rsidRDefault="00883164">
      <w:r>
        <w:separator/>
      </w:r>
    </w:p>
  </w:footnote>
  <w:footnote w:type="continuationSeparator" w:id="0">
    <w:p w14:paraId="3E8D13E9" w14:textId="77777777" w:rsidR="00883164" w:rsidRDefault="008831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E3C"/>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7641"/>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6F7"/>
    <w:rsid w:val="000F42AE"/>
    <w:rsid w:val="000F54D2"/>
    <w:rsid w:val="000F6196"/>
    <w:rsid w:val="000F6BC3"/>
    <w:rsid w:val="0010312C"/>
    <w:rsid w:val="00104254"/>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360C"/>
    <w:rsid w:val="001608C4"/>
    <w:rsid w:val="00164832"/>
    <w:rsid w:val="00171418"/>
    <w:rsid w:val="00175132"/>
    <w:rsid w:val="001772BF"/>
    <w:rsid w:val="001772DE"/>
    <w:rsid w:val="001806F5"/>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E31AF"/>
    <w:rsid w:val="001F4552"/>
    <w:rsid w:val="002019EB"/>
    <w:rsid w:val="00204B58"/>
    <w:rsid w:val="00205051"/>
    <w:rsid w:val="00211F65"/>
    <w:rsid w:val="00214047"/>
    <w:rsid w:val="00214A31"/>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32F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057"/>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5AA"/>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55A"/>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C6361"/>
    <w:rsid w:val="003C663D"/>
    <w:rsid w:val="003D0D2D"/>
    <w:rsid w:val="003D1885"/>
    <w:rsid w:val="003D1BC0"/>
    <w:rsid w:val="003D1C55"/>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1CB"/>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2B7"/>
    <w:rsid w:val="004F740D"/>
    <w:rsid w:val="004F7B8F"/>
    <w:rsid w:val="00500748"/>
    <w:rsid w:val="005011D6"/>
    <w:rsid w:val="00502A14"/>
    <w:rsid w:val="005042F1"/>
    <w:rsid w:val="0050481B"/>
    <w:rsid w:val="005113D4"/>
    <w:rsid w:val="0051287D"/>
    <w:rsid w:val="00513C7D"/>
    <w:rsid w:val="00520FA1"/>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2B48"/>
    <w:rsid w:val="006326D1"/>
    <w:rsid w:val="00632E0A"/>
    <w:rsid w:val="00633165"/>
    <w:rsid w:val="006447DE"/>
    <w:rsid w:val="00644889"/>
    <w:rsid w:val="0065276E"/>
    <w:rsid w:val="00654329"/>
    <w:rsid w:val="00654CEC"/>
    <w:rsid w:val="00655507"/>
    <w:rsid w:val="006579FD"/>
    <w:rsid w:val="006635E3"/>
    <w:rsid w:val="006649EA"/>
    <w:rsid w:val="006669F3"/>
    <w:rsid w:val="006712A7"/>
    <w:rsid w:val="00672CED"/>
    <w:rsid w:val="00674FC2"/>
    <w:rsid w:val="00676E35"/>
    <w:rsid w:val="00677E42"/>
    <w:rsid w:val="00682334"/>
    <w:rsid w:val="00684732"/>
    <w:rsid w:val="00684B16"/>
    <w:rsid w:val="00687016"/>
    <w:rsid w:val="006872A0"/>
    <w:rsid w:val="00687B89"/>
    <w:rsid w:val="0069625A"/>
    <w:rsid w:val="00696A88"/>
    <w:rsid w:val="00696F65"/>
    <w:rsid w:val="00697572"/>
    <w:rsid w:val="006B09BE"/>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4BF"/>
    <w:rsid w:val="007710AD"/>
    <w:rsid w:val="0077129C"/>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164"/>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7FCB"/>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41E"/>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1D48"/>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F37"/>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A6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0F9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51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513"/>
    <w:rsid w:val="00F60281"/>
    <w:rsid w:val="00F66272"/>
    <w:rsid w:val="00F709C0"/>
    <w:rsid w:val="00F81FEC"/>
    <w:rsid w:val="00F927A1"/>
    <w:rsid w:val="00F92E4D"/>
    <w:rsid w:val="00F94AE7"/>
    <w:rsid w:val="00F94C21"/>
    <w:rsid w:val="00F95D08"/>
    <w:rsid w:val="00FA23BD"/>
    <w:rsid w:val="00FA3764"/>
    <w:rsid w:val="00FA41C7"/>
    <w:rsid w:val="00FA4A79"/>
    <w:rsid w:val="00FA56ED"/>
    <w:rsid w:val="00FB002C"/>
    <w:rsid w:val="00FB05DD"/>
    <w:rsid w:val="00FB0F7C"/>
    <w:rsid w:val="00FB24EA"/>
    <w:rsid w:val="00FB5FA6"/>
    <w:rsid w:val="00FB7B61"/>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FB7B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7B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7B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7B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B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B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B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uiPriority w:val="10"/>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uiPriority w:val="10"/>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FB7B61"/>
    <w:rPr>
      <w:rFonts w:ascii="Arial" w:eastAsiaTheme="majorEastAsia" w:hAnsi="Arial"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7B61"/>
    <w:rPr>
      <w:rFonts w:ascii="Arial" w:eastAsiaTheme="majorEastAsia" w:hAnsi="Arial" w:cstheme="majorBidi"/>
      <w:i/>
      <w:iCs/>
      <w:color w:val="2F5496" w:themeColor="accent1" w:themeShade="BF"/>
    </w:rPr>
  </w:style>
  <w:style w:type="character" w:customStyle="1" w:styleId="Heading5Char">
    <w:name w:val="Heading 5 Char"/>
    <w:basedOn w:val="DefaultParagraphFont"/>
    <w:link w:val="Heading5"/>
    <w:uiPriority w:val="9"/>
    <w:semiHidden/>
    <w:rsid w:val="00FB7B61"/>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FB7B61"/>
    <w:rPr>
      <w:rFonts w:ascii="Arial" w:eastAsiaTheme="majorEastAsia" w:hAnsi="Arial" w:cstheme="majorBidi"/>
      <w:i/>
      <w:iCs/>
      <w:color w:val="595959" w:themeColor="text1" w:themeTint="A6"/>
    </w:rPr>
  </w:style>
  <w:style w:type="character" w:customStyle="1" w:styleId="Heading7Char">
    <w:name w:val="Heading 7 Char"/>
    <w:basedOn w:val="DefaultParagraphFont"/>
    <w:link w:val="Heading7"/>
    <w:uiPriority w:val="9"/>
    <w:semiHidden/>
    <w:rsid w:val="00FB7B61"/>
    <w:rPr>
      <w:rFonts w:ascii="Arial" w:eastAsiaTheme="majorEastAsia" w:hAnsi="Arial" w:cstheme="majorBidi"/>
      <w:color w:val="595959" w:themeColor="text1" w:themeTint="A6"/>
    </w:rPr>
  </w:style>
  <w:style w:type="character" w:customStyle="1" w:styleId="Heading8Char">
    <w:name w:val="Heading 8 Char"/>
    <w:basedOn w:val="DefaultParagraphFont"/>
    <w:link w:val="Heading8"/>
    <w:uiPriority w:val="9"/>
    <w:semiHidden/>
    <w:rsid w:val="00FB7B61"/>
    <w:rPr>
      <w:rFonts w:ascii="Arial" w:eastAsiaTheme="majorEastAsia" w:hAnsi="Arial" w:cstheme="majorBidi"/>
      <w:i/>
      <w:iCs/>
      <w:color w:val="272727" w:themeColor="text1" w:themeTint="D8"/>
    </w:rPr>
  </w:style>
  <w:style w:type="character" w:customStyle="1" w:styleId="Heading9Char">
    <w:name w:val="Heading 9 Char"/>
    <w:basedOn w:val="DefaultParagraphFont"/>
    <w:link w:val="Heading9"/>
    <w:uiPriority w:val="9"/>
    <w:semiHidden/>
    <w:rsid w:val="00FB7B61"/>
    <w:rPr>
      <w:rFonts w:ascii="Arial" w:eastAsiaTheme="majorEastAsia" w:hAnsi="Arial" w:cstheme="majorBidi"/>
      <w:color w:val="272727" w:themeColor="text1" w:themeTint="D8"/>
    </w:rPr>
  </w:style>
  <w:style w:type="character" w:customStyle="1" w:styleId="Heading1Char">
    <w:name w:val="Heading 1 Char"/>
    <w:basedOn w:val="DefaultParagraphFont"/>
    <w:link w:val="Heading1"/>
    <w:uiPriority w:val="9"/>
    <w:rsid w:val="00FB7B61"/>
    <w:rPr>
      <w:rFonts w:ascii="Arial" w:hAnsi="Arial" w:cs="Arial"/>
      <w:b/>
      <w:color w:val="000000"/>
      <w:kern w:val="28"/>
      <w:sz w:val="28"/>
    </w:rPr>
  </w:style>
  <w:style w:type="paragraph" w:styleId="Subtitle">
    <w:name w:val="Subtitle"/>
    <w:basedOn w:val="Normal"/>
    <w:next w:val="Normal"/>
    <w:link w:val="SubtitleChar"/>
    <w:uiPriority w:val="11"/>
    <w:qFormat/>
    <w:rsid w:val="00FB7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B61"/>
    <w:rPr>
      <w:rFonts w:ascii="Arial" w:eastAsiaTheme="majorEastAsia" w:hAnsi="Arial" w:cstheme="majorBidi"/>
      <w:color w:val="595959" w:themeColor="text1" w:themeTint="A6"/>
      <w:spacing w:val="15"/>
      <w:sz w:val="28"/>
      <w:szCs w:val="28"/>
    </w:rPr>
  </w:style>
  <w:style w:type="paragraph" w:styleId="Quote">
    <w:name w:val="Quote"/>
    <w:basedOn w:val="Normal"/>
    <w:next w:val="Normal"/>
    <w:link w:val="QuoteChar"/>
    <w:uiPriority w:val="29"/>
    <w:qFormat/>
    <w:rsid w:val="00FB7B61"/>
    <w:pPr>
      <w:spacing w:before="160"/>
      <w:jc w:val="center"/>
    </w:pPr>
    <w:rPr>
      <w:i/>
      <w:iCs/>
      <w:color w:val="404040" w:themeColor="text1" w:themeTint="BF"/>
    </w:rPr>
  </w:style>
  <w:style w:type="character" w:customStyle="1" w:styleId="QuoteChar">
    <w:name w:val="Quote Char"/>
    <w:basedOn w:val="DefaultParagraphFont"/>
    <w:link w:val="Quote"/>
    <w:uiPriority w:val="29"/>
    <w:rsid w:val="00FB7B61"/>
    <w:rPr>
      <w:rFonts w:ascii="Arial" w:hAnsi="Arial" w:cs="Arial"/>
      <w:i/>
      <w:iCs/>
      <w:color w:val="404040" w:themeColor="text1" w:themeTint="BF"/>
    </w:rPr>
  </w:style>
  <w:style w:type="paragraph" w:styleId="ListParagraph">
    <w:name w:val="List Paragraph"/>
    <w:basedOn w:val="Normal"/>
    <w:uiPriority w:val="34"/>
    <w:qFormat/>
    <w:rsid w:val="00FB7B61"/>
    <w:pPr>
      <w:ind w:left="720"/>
      <w:contextualSpacing/>
    </w:pPr>
  </w:style>
  <w:style w:type="character" w:styleId="IntenseEmphasis">
    <w:name w:val="Intense Emphasis"/>
    <w:basedOn w:val="DefaultParagraphFont"/>
    <w:uiPriority w:val="21"/>
    <w:qFormat/>
    <w:rsid w:val="00FB7B61"/>
    <w:rPr>
      <w:i/>
      <w:iCs/>
      <w:color w:val="2F5496" w:themeColor="accent1" w:themeShade="BF"/>
    </w:rPr>
  </w:style>
  <w:style w:type="paragraph" w:styleId="IntenseQuote">
    <w:name w:val="Intense Quote"/>
    <w:basedOn w:val="Normal"/>
    <w:next w:val="Normal"/>
    <w:link w:val="IntenseQuoteChar"/>
    <w:uiPriority w:val="30"/>
    <w:qFormat/>
    <w:rsid w:val="00FB7B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7B61"/>
    <w:rPr>
      <w:rFonts w:ascii="Arial" w:hAnsi="Arial" w:cs="Arial"/>
      <w:i/>
      <w:iCs/>
      <w:color w:val="2F5496" w:themeColor="accent1" w:themeShade="BF"/>
    </w:rPr>
  </w:style>
  <w:style w:type="character" w:styleId="IntenseReference">
    <w:name w:val="Intense Reference"/>
    <w:basedOn w:val="DefaultParagraphFont"/>
    <w:uiPriority w:val="32"/>
    <w:qFormat/>
    <w:rsid w:val="00FB7B61"/>
    <w:rPr>
      <w:b/>
      <w:bCs/>
      <w:smallCaps/>
      <w:color w:val="2F5496" w:themeColor="accent1" w:themeShade="BF"/>
      <w:spacing w:val="5"/>
    </w:rPr>
  </w:style>
  <w:style w:type="character" w:styleId="UnresolvedMention">
    <w:name w:val="Unresolved Mention"/>
    <w:basedOn w:val="DefaultParagraphFont"/>
    <w:uiPriority w:val="99"/>
    <w:semiHidden/>
    <w:unhideWhenUsed/>
    <w:rsid w:val="00FB7B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aliblooms@yahoo.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lison.bloomfield@swansea.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4538</Words>
  <Characters>24691</Characters>
  <Application>Microsoft Office Word</Application>
  <DocSecurity>0</DocSecurity>
  <Lines>561</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Alison Bloomfield</cp:lastModifiedBy>
  <cp:revision>2</cp:revision>
  <cp:lastPrinted>2020-02-11T19:20:00Z</cp:lastPrinted>
  <dcterms:created xsi:type="dcterms:W3CDTF">2026-10-05T21:39:00Z</dcterms:created>
  <dcterms:modified xsi:type="dcterms:W3CDTF">2026-10-05T21:39:00Z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