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417F57" w14:textId="4E804508" w:rsidR="009F234E" w:rsidRDefault="00944219" w:rsidP="00C5088C">
      <w:pPr>
        <w:pStyle w:val="Title"/>
        <w:spacing w:line="360" w:lineRule="auto"/>
        <w:jc w:val="center"/>
        <w:rPr>
          <w:rFonts w:ascii="Arial" w:hAnsi="Arial" w:cs="Arial"/>
        </w:rPr>
      </w:pPr>
      <w:r w:rsidRPr="00EB1AB4">
        <w:rPr>
          <w:rFonts w:ascii="Arial" w:hAnsi="Arial" w:cs="Arial"/>
        </w:rPr>
        <w:t>Operations management for Tourism, Leisure and Events</w:t>
      </w:r>
      <w:r w:rsidR="00B65A06" w:rsidRPr="00EB1AB4">
        <w:rPr>
          <w:rFonts w:ascii="Arial" w:hAnsi="Arial" w:cs="Arial"/>
        </w:rPr>
        <w:t xml:space="preserve"> </w:t>
      </w:r>
      <w:r w:rsidR="00410709">
        <w:rPr>
          <w:rFonts w:ascii="Arial" w:hAnsi="Arial" w:cs="Arial"/>
        </w:rPr>
        <w:t xml:space="preserve">          </w:t>
      </w:r>
    </w:p>
    <w:p w14:paraId="3F08C527" w14:textId="7EF2CB9C" w:rsidR="00410709" w:rsidRDefault="00C56198" w:rsidP="00C56198">
      <w:pPr>
        <w:jc w:val="center"/>
      </w:pPr>
      <w:r>
        <w:t>BMTP5019</w:t>
      </w:r>
    </w:p>
    <w:p w14:paraId="29E511E9" w14:textId="77777777" w:rsidR="00410709" w:rsidRDefault="00410709" w:rsidP="00410709"/>
    <w:p w14:paraId="53ECCE7E" w14:textId="77777777" w:rsidR="00410709" w:rsidRDefault="00410709" w:rsidP="00410709"/>
    <w:p w14:paraId="3EBA901D" w14:textId="77777777" w:rsidR="00410709" w:rsidRDefault="00410709" w:rsidP="00410709"/>
    <w:p w14:paraId="1637884C" w14:textId="77777777" w:rsidR="00410709" w:rsidRDefault="00410709" w:rsidP="00410709"/>
    <w:p w14:paraId="6B748454" w14:textId="77777777" w:rsidR="00410709" w:rsidRDefault="00410709" w:rsidP="00410709"/>
    <w:p w14:paraId="7005779C" w14:textId="77777777" w:rsidR="00410709" w:rsidRDefault="00410709" w:rsidP="00410709"/>
    <w:p w14:paraId="1CCA877F" w14:textId="2E7C8168" w:rsidR="00410709" w:rsidRPr="00410709" w:rsidRDefault="00410709" w:rsidP="00410709">
      <w:pPr>
        <w:jc w:val="center"/>
        <w:rPr>
          <w:b/>
          <w:sz w:val="32"/>
          <w:szCs w:val="32"/>
        </w:rPr>
      </w:pPr>
      <w:r w:rsidRPr="00410709">
        <w:rPr>
          <w:b/>
          <w:sz w:val="32"/>
          <w:szCs w:val="32"/>
        </w:rPr>
        <w:t>St</w:t>
      </w:r>
      <w:bookmarkStart w:id="0" w:name="_GoBack"/>
      <w:bookmarkEnd w:id="0"/>
      <w:r w:rsidRPr="00410709">
        <w:rPr>
          <w:b/>
          <w:sz w:val="32"/>
          <w:szCs w:val="32"/>
        </w:rPr>
        <w:t xml:space="preserve">udent Name: Mohammad </w:t>
      </w:r>
      <w:proofErr w:type="spellStart"/>
      <w:r w:rsidRPr="00410709">
        <w:rPr>
          <w:b/>
          <w:sz w:val="32"/>
          <w:szCs w:val="32"/>
        </w:rPr>
        <w:t>Sikder</w:t>
      </w:r>
      <w:proofErr w:type="spellEnd"/>
    </w:p>
    <w:p w14:paraId="797D41AD" w14:textId="79CAA2AF" w:rsidR="00410709" w:rsidRPr="00410709" w:rsidRDefault="00410709" w:rsidP="00410709">
      <w:pPr>
        <w:jc w:val="center"/>
        <w:rPr>
          <w:b/>
          <w:sz w:val="32"/>
          <w:szCs w:val="32"/>
        </w:rPr>
      </w:pPr>
      <w:r w:rsidRPr="00410709">
        <w:rPr>
          <w:b/>
          <w:sz w:val="32"/>
          <w:szCs w:val="32"/>
        </w:rPr>
        <w:t>Student ID: 1912558</w:t>
      </w:r>
    </w:p>
    <w:p w14:paraId="3FBF0A31" w14:textId="328BA4E2" w:rsidR="00944219" w:rsidRDefault="00944219" w:rsidP="00326AA3">
      <w:pPr>
        <w:spacing w:line="360" w:lineRule="auto"/>
      </w:pPr>
    </w:p>
    <w:p w14:paraId="54CF1EFF" w14:textId="77777777" w:rsidR="00410709" w:rsidRPr="00410709" w:rsidRDefault="00410709" w:rsidP="00410709">
      <w:pPr>
        <w:spacing w:line="360" w:lineRule="auto"/>
        <w:jc w:val="center"/>
        <w:rPr>
          <w:b/>
          <w:bCs/>
        </w:rPr>
      </w:pPr>
      <w:r w:rsidRPr="00410709">
        <w:rPr>
          <w:b/>
          <w:bCs/>
        </w:rPr>
        <w:t>Event title</w:t>
      </w:r>
      <w:r w:rsidRPr="00410709">
        <w:rPr>
          <w:b/>
        </w:rPr>
        <w:t>: Pop up Restaurant “</w:t>
      </w:r>
      <w:r w:rsidRPr="00410709">
        <w:rPr>
          <w:b/>
          <w:bCs/>
        </w:rPr>
        <w:t>Taj Mahal” Indian Restaurant</w:t>
      </w:r>
    </w:p>
    <w:p w14:paraId="32414952" w14:textId="0DA692C1" w:rsidR="00944219" w:rsidRDefault="00944219" w:rsidP="00326AA3">
      <w:pPr>
        <w:spacing w:line="360" w:lineRule="auto"/>
      </w:pPr>
    </w:p>
    <w:p w14:paraId="272A8E70" w14:textId="59D44285" w:rsidR="00410709" w:rsidRPr="00410709" w:rsidRDefault="00944219" w:rsidP="00326AA3">
      <w:pPr>
        <w:spacing w:line="360" w:lineRule="auto"/>
      </w:pPr>
      <w:r>
        <w:br w:type="page"/>
      </w:r>
    </w:p>
    <w:sdt>
      <w:sdtPr>
        <w:rPr>
          <w:rFonts w:ascii="Arial" w:eastAsiaTheme="minorHAnsi" w:hAnsi="Arial" w:cstheme="minorBidi"/>
          <w:color w:val="auto"/>
          <w:sz w:val="24"/>
          <w:szCs w:val="22"/>
        </w:rPr>
        <w:id w:val="1959372036"/>
        <w:docPartObj>
          <w:docPartGallery w:val="Table of Contents"/>
          <w:docPartUnique/>
        </w:docPartObj>
      </w:sdtPr>
      <w:sdtEndPr>
        <w:rPr>
          <w:b/>
          <w:bCs/>
          <w:noProof/>
        </w:rPr>
      </w:sdtEndPr>
      <w:sdtContent>
        <w:p w14:paraId="6B887C80" w14:textId="5BC1F1C6" w:rsidR="0090092A" w:rsidRPr="00EB1AB4" w:rsidRDefault="0090092A" w:rsidP="00326AA3">
          <w:pPr>
            <w:pStyle w:val="TOCHeading"/>
            <w:spacing w:line="360" w:lineRule="auto"/>
            <w:jc w:val="both"/>
            <w:rPr>
              <w:rFonts w:ascii="Arial" w:hAnsi="Arial" w:cs="Arial"/>
            </w:rPr>
          </w:pPr>
          <w:r w:rsidRPr="00EB1AB4">
            <w:rPr>
              <w:rFonts w:ascii="Arial" w:hAnsi="Arial" w:cs="Arial"/>
            </w:rPr>
            <w:t>Contents</w:t>
          </w:r>
        </w:p>
        <w:p w14:paraId="4EA3CA88" w14:textId="555F95BB" w:rsidR="00326AA3" w:rsidRDefault="0090092A">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32128840" w:history="1">
            <w:r w:rsidR="00326AA3" w:rsidRPr="002232CE">
              <w:rPr>
                <w:rStyle w:val="Hyperlink"/>
                <w:noProof/>
              </w:rPr>
              <w:t>Introduction</w:t>
            </w:r>
            <w:r w:rsidR="00326AA3">
              <w:rPr>
                <w:noProof/>
                <w:webHidden/>
              </w:rPr>
              <w:tab/>
            </w:r>
            <w:r w:rsidR="00326AA3">
              <w:rPr>
                <w:noProof/>
                <w:webHidden/>
              </w:rPr>
              <w:fldChar w:fldCharType="begin"/>
            </w:r>
            <w:r w:rsidR="00326AA3">
              <w:rPr>
                <w:noProof/>
                <w:webHidden/>
              </w:rPr>
              <w:instrText xml:space="preserve"> PAGEREF _Toc132128840 \h </w:instrText>
            </w:r>
            <w:r w:rsidR="00326AA3">
              <w:rPr>
                <w:noProof/>
                <w:webHidden/>
              </w:rPr>
            </w:r>
            <w:r w:rsidR="00326AA3">
              <w:rPr>
                <w:noProof/>
                <w:webHidden/>
              </w:rPr>
              <w:fldChar w:fldCharType="separate"/>
            </w:r>
            <w:r w:rsidR="00384B49">
              <w:rPr>
                <w:noProof/>
                <w:webHidden/>
              </w:rPr>
              <w:t>3</w:t>
            </w:r>
            <w:r w:rsidR="00326AA3">
              <w:rPr>
                <w:noProof/>
                <w:webHidden/>
              </w:rPr>
              <w:fldChar w:fldCharType="end"/>
            </w:r>
          </w:hyperlink>
        </w:p>
        <w:p w14:paraId="7C9DA350" w14:textId="3C08AF5B" w:rsidR="00326AA3" w:rsidRDefault="00407EDD">
          <w:pPr>
            <w:pStyle w:val="TOC1"/>
            <w:tabs>
              <w:tab w:val="right" w:leader="dot" w:pos="9350"/>
            </w:tabs>
            <w:rPr>
              <w:rFonts w:asciiTheme="minorHAnsi" w:eastAsiaTheme="minorEastAsia" w:hAnsiTheme="minorHAnsi"/>
              <w:noProof/>
              <w:sz w:val="22"/>
            </w:rPr>
          </w:pPr>
          <w:hyperlink w:anchor="_Toc132128841" w:history="1">
            <w:r w:rsidR="00326AA3" w:rsidRPr="002232CE">
              <w:rPr>
                <w:rStyle w:val="Hyperlink"/>
                <w:noProof/>
              </w:rPr>
              <w:t>Section 1 – Event Plan</w:t>
            </w:r>
            <w:r w:rsidR="00326AA3">
              <w:rPr>
                <w:noProof/>
                <w:webHidden/>
              </w:rPr>
              <w:tab/>
            </w:r>
            <w:r w:rsidR="00326AA3">
              <w:rPr>
                <w:noProof/>
                <w:webHidden/>
              </w:rPr>
              <w:fldChar w:fldCharType="begin"/>
            </w:r>
            <w:r w:rsidR="00326AA3">
              <w:rPr>
                <w:noProof/>
                <w:webHidden/>
              </w:rPr>
              <w:instrText xml:space="preserve"> PAGEREF _Toc132128841 \h </w:instrText>
            </w:r>
            <w:r w:rsidR="00326AA3">
              <w:rPr>
                <w:noProof/>
                <w:webHidden/>
              </w:rPr>
            </w:r>
            <w:r w:rsidR="00326AA3">
              <w:rPr>
                <w:noProof/>
                <w:webHidden/>
              </w:rPr>
              <w:fldChar w:fldCharType="separate"/>
            </w:r>
            <w:r w:rsidR="00384B49">
              <w:rPr>
                <w:noProof/>
                <w:webHidden/>
              </w:rPr>
              <w:t>4</w:t>
            </w:r>
            <w:r w:rsidR="00326AA3">
              <w:rPr>
                <w:noProof/>
                <w:webHidden/>
              </w:rPr>
              <w:fldChar w:fldCharType="end"/>
            </w:r>
          </w:hyperlink>
        </w:p>
        <w:p w14:paraId="468F2115" w14:textId="3ACEAEB8" w:rsidR="00326AA3" w:rsidRDefault="00407EDD">
          <w:pPr>
            <w:pStyle w:val="TOC2"/>
            <w:tabs>
              <w:tab w:val="right" w:leader="dot" w:pos="9350"/>
            </w:tabs>
            <w:rPr>
              <w:rFonts w:asciiTheme="minorHAnsi" w:eastAsiaTheme="minorEastAsia" w:hAnsiTheme="minorHAnsi"/>
              <w:noProof/>
              <w:sz w:val="22"/>
            </w:rPr>
          </w:pPr>
          <w:hyperlink w:anchor="_Toc132128842" w:history="1">
            <w:r w:rsidR="00326AA3" w:rsidRPr="002232CE">
              <w:rPr>
                <w:rStyle w:val="Hyperlink"/>
                <w:noProof/>
              </w:rPr>
              <w:t>Roles and responsibilities:</w:t>
            </w:r>
            <w:r w:rsidR="00326AA3">
              <w:rPr>
                <w:noProof/>
                <w:webHidden/>
              </w:rPr>
              <w:tab/>
            </w:r>
            <w:r w:rsidR="00326AA3">
              <w:rPr>
                <w:noProof/>
                <w:webHidden/>
              </w:rPr>
              <w:fldChar w:fldCharType="begin"/>
            </w:r>
            <w:r w:rsidR="00326AA3">
              <w:rPr>
                <w:noProof/>
                <w:webHidden/>
              </w:rPr>
              <w:instrText xml:space="preserve"> PAGEREF _Toc132128842 \h </w:instrText>
            </w:r>
            <w:r w:rsidR="00326AA3">
              <w:rPr>
                <w:noProof/>
                <w:webHidden/>
              </w:rPr>
            </w:r>
            <w:r w:rsidR="00326AA3">
              <w:rPr>
                <w:noProof/>
                <w:webHidden/>
              </w:rPr>
              <w:fldChar w:fldCharType="separate"/>
            </w:r>
            <w:r w:rsidR="00384B49">
              <w:rPr>
                <w:noProof/>
                <w:webHidden/>
              </w:rPr>
              <w:t>4</w:t>
            </w:r>
            <w:r w:rsidR="00326AA3">
              <w:rPr>
                <w:noProof/>
                <w:webHidden/>
              </w:rPr>
              <w:fldChar w:fldCharType="end"/>
            </w:r>
          </w:hyperlink>
        </w:p>
        <w:p w14:paraId="7BF5078E" w14:textId="21748C11" w:rsidR="00326AA3" w:rsidRDefault="00407EDD">
          <w:pPr>
            <w:pStyle w:val="TOC2"/>
            <w:tabs>
              <w:tab w:val="right" w:leader="dot" w:pos="9350"/>
            </w:tabs>
            <w:rPr>
              <w:rFonts w:asciiTheme="minorHAnsi" w:eastAsiaTheme="minorEastAsia" w:hAnsiTheme="minorHAnsi"/>
              <w:noProof/>
              <w:sz w:val="22"/>
            </w:rPr>
          </w:pPr>
          <w:hyperlink w:anchor="_Toc132128843" w:history="1">
            <w:r w:rsidR="00326AA3" w:rsidRPr="002232CE">
              <w:rPr>
                <w:rStyle w:val="Hyperlink"/>
                <w:noProof/>
              </w:rPr>
              <w:t>Operations management</w:t>
            </w:r>
            <w:r w:rsidR="00326AA3">
              <w:rPr>
                <w:noProof/>
                <w:webHidden/>
              </w:rPr>
              <w:tab/>
            </w:r>
            <w:r w:rsidR="00326AA3">
              <w:rPr>
                <w:noProof/>
                <w:webHidden/>
              </w:rPr>
              <w:fldChar w:fldCharType="begin"/>
            </w:r>
            <w:r w:rsidR="00326AA3">
              <w:rPr>
                <w:noProof/>
                <w:webHidden/>
              </w:rPr>
              <w:instrText xml:space="preserve"> PAGEREF _Toc132128843 \h </w:instrText>
            </w:r>
            <w:r w:rsidR="00326AA3">
              <w:rPr>
                <w:noProof/>
                <w:webHidden/>
              </w:rPr>
            </w:r>
            <w:r w:rsidR="00326AA3">
              <w:rPr>
                <w:noProof/>
                <w:webHidden/>
              </w:rPr>
              <w:fldChar w:fldCharType="separate"/>
            </w:r>
            <w:r w:rsidR="00384B49">
              <w:rPr>
                <w:noProof/>
                <w:webHidden/>
              </w:rPr>
              <w:t>5</w:t>
            </w:r>
            <w:r w:rsidR="00326AA3">
              <w:rPr>
                <w:noProof/>
                <w:webHidden/>
              </w:rPr>
              <w:fldChar w:fldCharType="end"/>
            </w:r>
          </w:hyperlink>
        </w:p>
        <w:p w14:paraId="022FC621" w14:textId="659BBB0F" w:rsidR="00326AA3" w:rsidRDefault="00407EDD">
          <w:pPr>
            <w:pStyle w:val="TOC2"/>
            <w:tabs>
              <w:tab w:val="right" w:leader="dot" w:pos="9350"/>
            </w:tabs>
            <w:rPr>
              <w:rFonts w:asciiTheme="minorHAnsi" w:eastAsiaTheme="minorEastAsia" w:hAnsiTheme="minorHAnsi"/>
              <w:noProof/>
              <w:sz w:val="22"/>
            </w:rPr>
          </w:pPr>
          <w:hyperlink w:anchor="_Toc132128844" w:history="1">
            <w:r w:rsidR="00326AA3" w:rsidRPr="002232CE">
              <w:rPr>
                <w:rStyle w:val="Hyperlink"/>
                <w:noProof/>
              </w:rPr>
              <w:t>Logistics and event set up for the pop-up restaurant</w:t>
            </w:r>
            <w:r w:rsidR="00326AA3">
              <w:rPr>
                <w:noProof/>
                <w:webHidden/>
              </w:rPr>
              <w:tab/>
            </w:r>
            <w:r w:rsidR="00326AA3">
              <w:rPr>
                <w:noProof/>
                <w:webHidden/>
              </w:rPr>
              <w:fldChar w:fldCharType="begin"/>
            </w:r>
            <w:r w:rsidR="00326AA3">
              <w:rPr>
                <w:noProof/>
                <w:webHidden/>
              </w:rPr>
              <w:instrText xml:space="preserve"> PAGEREF _Toc132128844 \h </w:instrText>
            </w:r>
            <w:r w:rsidR="00326AA3">
              <w:rPr>
                <w:noProof/>
                <w:webHidden/>
              </w:rPr>
            </w:r>
            <w:r w:rsidR="00326AA3">
              <w:rPr>
                <w:noProof/>
                <w:webHidden/>
              </w:rPr>
              <w:fldChar w:fldCharType="separate"/>
            </w:r>
            <w:r w:rsidR="00384B49">
              <w:rPr>
                <w:noProof/>
                <w:webHidden/>
              </w:rPr>
              <w:t>6</w:t>
            </w:r>
            <w:r w:rsidR="00326AA3">
              <w:rPr>
                <w:noProof/>
                <w:webHidden/>
              </w:rPr>
              <w:fldChar w:fldCharType="end"/>
            </w:r>
          </w:hyperlink>
        </w:p>
        <w:p w14:paraId="7DD0970F" w14:textId="51F413B4" w:rsidR="00326AA3" w:rsidRDefault="00407EDD">
          <w:pPr>
            <w:pStyle w:val="TOC2"/>
            <w:tabs>
              <w:tab w:val="right" w:leader="dot" w:pos="9350"/>
            </w:tabs>
            <w:rPr>
              <w:rFonts w:asciiTheme="minorHAnsi" w:eastAsiaTheme="minorEastAsia" w:hAnsiTheme="minorHAnsi"/>
              <w:noProof/>
              <w:sz w:val="22"/>
            </w:rPr>
          </w:pPr>
          <w:hyperlink w:anchor="_Toc132128845" w:history="1">
            <w:r w:rsidR="00326AA3" w:rsidRPr="002232CE">
              <w:rPr>
                <w:rStyle w:val="Hyperlink"/>
                <w:noProof/>
              </w:rPr>
              <w:t>Gantt chart</w:t>
            </w:r>
            <w:r w:rsidR="00326AA3">
              <w:rPr>
                <w:noProof/>
                <w:webHidden/>
              </w:rPr>
              <w:tab/>
            </w:r>
            <w:r w:rsidR="00326AA3">
              <w:rPr>
                <w:noProof/>
                <w:webHidden/>
              </w:rPr>
              <w:fldChar w:fldCharType="begin"/>
            </w:r>
            <w:r w:rsidR="00326AA3">
              <w:rPr>
                <w:noProof/>
                <w:webHidden/>
              </w:rPr>
              <w:instrText xml:space="preserve"> PAGEREF _Toc132128845 \h </w:instrText>
            </w:r>
            <w:r w:rsidR="00326AA3">
              <w:rPr>
                <w:noProof/>
                <w:webHidden/>
              </w:rPr>
            </w:r>
            <w:r w:rsidR="00326AA3">
              <w:rPr>
                <w:noProof/>
                <w:webHidden/>
              </w:rPr>
              <w:fldChar w:fldCharType="separate"/>
            </w:r>
            <w:r w:rsidR="00384B49">
              <w:rPr>
                <w:noProof/>
                <w:webHidden/>
              </w:rPr>
              <w:t>8</w:t>
            </w:r>
            <w:r w:rsidR="00326AA3">
              <w:rPr>
                <w:noProof/>
                <w:webHidden/>
              </w:rPr>
              <w:fldChar w:fldCharType="end"/>
            </w:r>
          </w:hyperlink>
        </w:p>
        <w:p w14:paraId="464007B2" w14:textId="3DD909A7" w:rsidR="00326AA3" w:rsidRDefault="00407EDD">
          <w:pPr>
            <w:pStyle w:val="TOC2"/>
            <w:tabs>
              <w:tab w:val="right" w:leader="dot" w:pos="9350"/>
            </w:tabs>
            <w:rPr>
              <w:rFonts w:asciiTheme="minorHAnsi" w:eastAsiaTheme="minorEastAsia" w:hAnsiTheme="minorHAnsi"/>
              <w:noProof/>
              <w:sz w:val="22"/>
            </w:rPr>
          </w:pPr>
          <w:hyperlink w:anchor="_Toc132128846" w:history="1">
            <w:r w:rsidR="00326AA3" w:rsidRPr="002232CE">
              <w:rPr>
                <w:rStyle w:val="Hyperlink"/>
                <w:noProof/>
              </w:rPr>
              <w:t>Objectives</w:t>
            </w:r>
            <w:r w:rsidR="00326AA3">
              <w:rPr>
                <w:noProof/>
                <w:webHidden/>
              </w:rPr>
              <w:tab/>
            </w:r>
            <w:r w:rsidR="00326AA3">
              <w:rPr>
                <w:noProof/>
                <w:webHidden/>
              </w:rPr>
              <w:fldChar w:fldCharType="begin"/>
            </w:r>
            <w:r w:rsidR="00326AA3">
              <w:rPr>
                <w:noProof/>
                <w:webHidden/>
              </w:rPr>
              <w:instrText xml:space="preserve"> PAGEREF _Toc132128846 \h </w:instrText>
            </w:r>
            <w:r w:rsidR="00326AA3">
              <w:rPr>
                <w:noProof/>
                <w:webHidden/>
              </w:rPr>
            </w:r>
            <w:r w:rsidR="00326AA3">
              <w:rPr>
                <w:noProof/>
                <w:webHidden/>
              </w:rPr>
              <w:fldChar w:fldCharType="separate"/>
            </w:r>
            <w:r w:rsidR="00384B49">
              <w:rPr>
                <w:noProof/>
                <w:webHidden/>
              </w:rPr>
              <w:t>8</w:t>
            </w:r>
            <w:r w:rsidR="00326AA3">
              <w:rPr>
                <w:noProof/>
                <w:webHidden/>
              </w:rPr>
              <w:fldChar w:fldCharType="end"/>
            </w:r>
          </w:hyperlink>
        </w:p>
        <w:p w14:paraId="21742224" w14:textId="74C280A1" w:rsidR="00326AA3" w:rsidRDefault="00407EDD">
          <w:pPr>
            <w:pStyle w:val="TOC1"/>
            <w:tabs>
              <w:tab w:val="right" w:leader="dot" w:pos="9350"/>
            </w:tabs>
            <w:rPr>
              <w:rFonts w:asciiTheme="minorHAnsi" w:eastAsiaTheme="minorEastAsia" w:hAnsiTheme="minorHAnsi"/>
              <w:noProof/>
              <w:sz w:val="22"/>
            </w:rPr>
          </w:pPr>
          <w:hyperlink w:anchor="_Toc132128847" w:history="1">
            <w:r w:rsidR="00326AA3" w:rsidRPr="002232CE">
              <w:rPr>
                <w:rStyle w:val="Hyperlink"/>
                <w:noProof/>
              </w:rPr>
              <w:t>Section 2 – Operational Policies and Procedures</w:t>
            </w:r>
            <w:r w:rsidR="00326AA3">
              <w:rPr>
                <w:noProof/>
                <w:webHidden/>
              </w:rPr>
              <w:tab/>
            </w:r>
            <w:r w:rsidR="00326AA3">
              <w:rPr>
                <w:noProof/>
                <w:webHidden/>
              </w:rPr>
              <w:fldChar w:fldCharType="begin"/>
            </w:r>
            <w:r w:rsidR="00326AA3">
              <w:rPr>
                <w:noProof/>
                <w:webHidden/>
              </w:rPr>
              <w:instrText xml:space="preserve"> PAGEREF _Toc132128847 \h </w:instrText>
            </w:r>
            <w:r w:rsidR="00326AA3">
              <w:rPr>
                <w:noProof/>
                <w:webHidden/>
              </w:rPr>
            </w:r>
            <w:r w:rsidR="00326AA3">
              <w:rPr>
                <w:noProof/>
                <w:webHidden/>
              </w:rPr>
              <w:fldChar w:fldCharType="separate"/>
            </w:r>
            <w:r w:rsidR="00384B49">
              <w:rPr>
                <w:noProof/>
                <w:webHidden/>
              </w:rPr>
              <w:t>10</w:t>
            </w:r>
            <w:r w:rsidR="00326AA3">
              <w:rPr>
                <w:noProof/>
                <w:webHidden/>
              </w:rPr>
              <w:fldChar w:fldCharType="end"/>
            </w:r>
          </w:hyperlink>
        </w:p>
        <w:p w14:paraId="7F4E76D2" w14:textId="30E66F9A" w:rsidR="00326AA3" w:rsidRDefault="00407EDD">
          <w:pPr>
            <w:pStyle w:val="TOC2"/>
            <w:tabs>
              <w:tab w:val="right" w:leader="dot" w:pos="9350"/>
            </w:tabs>
            <w:rPr>
              <w:rFonts w:asciiTheme="minorHAnsi" w:eastAsiaTheme="minorEastAsia" w:hAnsiTheme="minorHAnsi"/>
              <w:noProof/>
              <w:sz w:val="22"/>
            </w:rPr>
          </w:pPr>
          <w:hyperlink w:anchor="_Toc132128848" w:history="1">
            <w:r w:rsidR="00326AA3" w:rsidRPr="002232CE">
              <w:rPr>
                <w:rStyle w:val="Hyperlink"/>
                <w:noProof/>
              </w:rPr>
              <w:t>HR Responsibilities in Recruitment, Training, and Workforce Planning for Taj Mahal Indian Restaurant</w:t>
            </w:r>
            <w:r w:rsidR="00326AA3">
              <w:rPr>
                <w:noProof/>
                <w:webHidden/>
              </w:rPr>
              <w:tab/>
            </w:r>
            <w:r w:rsidR="00326AA3">
              <w:rPr>
                <w:noProof/>
                <w:webHidden/>
              </w:rPr>
              <w:fldChar w:fldCharType="begin"/>
            </w:r>
            <w:r w:rsidR="00326AA3">
              <w:rPr>
                <w:noProof/>
                <w:webHidden/>
              </w:rPr>
              <w:instrText xml:space="preserve"> PAGEREF _Toc132128848 \h </w:instrText>
            </w:r>
            <w:r w:rsidR="00326AA3">
              <w:rPr>
                <w:noProof/>
                <w:webHidden/>
              </w:rPr>
            </w:r>
            <w:r w:rsidR="00326AA3">
              <w:rPr>
                <w:noProof/>
                <w:webHidden/>
              </w:rPr>
              <w:fldChar w:fldCharType="separate"/>
            </w:r>
            <w:r w:rsidR="00384B49">
              <w:rPr>
                <w:noProof/>
                <w:webHidden/>
              </w:rPr>
              <w:t>10</w:t>
            </w:r>
            <w:r w:rsidR="00326AA3">
              <w:rPr>
                <w:noProof/>
                <w:webHidden/>
              </w:rPr>
              <w:fldChar w:fldCharType="end"/>
            </w:r>
          </w:hyperlink>
        </w:p>
        <w:p w14:paraId="00315BE4" w14:textId="2C0E21C1" w:rsidR="00326AA3" w:rsidRDefault="00407EDD">
          <w:pPr>
            <w:pStyle w:val="TOC2"/>
            <w:tabs>
              <w:tab w:val="right" w:leader="dot" w:pos="9350"/>
            </w:tabs>
            <w:rPr>
              <w:rFonts w:asciiTheme="minorHAnsi" w:eastAsiaTheme="minorEastAsia" w:hAnsiTheme="minorHAnsi"/>
              <w:noProof/>
              <w:sz w:val="22"/>
            </w:rPr>
          </w:pPr>
          <w:hyperlink w:anchor="_Toc132128849" w:history="1">
            <w:r w:rsidR="00326AA3" w:rsidRPr="002232CE">
              <w:rPr>
                <w:rStyle w:val="Hyperlink"/>
                <w:noProof/>
              </w:rPr>
              <w:t>Operational Policies &amp; Procedures for Taj Mahal Indian Restaurant</w:t>
            </w:r>
            <w:r w:rsidR="00326AA3">
              <w:rPr>
                <w:noProof/>
                <w:webHidden/>
              </w:rPr>
              <w:tab/>
            </w:r>
            <w:r w:rsidR="00326AA3">
              <w:rPr>
                <w:noProof/>
                <w:webHidden/>
              </w:rPr>
              <w:fldChar w:fldCharType="begin"/>
            </w:r>
            <w:r w:rsidR="00326AA3">
              <w:rPr>
                <w:noProof/>
                <w:webHidden/>
              </w:rPr>
              <w:instrText xml:space="preserve"> PAGEREF _Toc132128849 \h </w:instrText>
            </w:r>
            <w:r w:rsidR="00326AA3">
              <w:rPr>
                <w:noProof/>
                <w:webHidden/>
              </w:rPr>
            </w:r>
            <w:r w:rsidR="00326AA3">
              <w:rPr>
                <w:noProof/>
                <w:webHidden/>
              </w:rPr>
              <w:fldChar w:fldCharType="separate"/>
            </w:r>
            <w:r w:rsidR="00384B49">
              <w:rPr>
                <w:noProof/>
                <w:webHidden/>
              </w:rPr>
              <w:t>11</w:t>
            </w:r>
            <w:r w:rsidR="00326AA3">
              <w:rPr>
                <w:noProof/>
                <w:webHidden/>
              </w:rPr>
              <w:fldChar w:fldCharType="end"/>
            </w:r>
          </w:hyperlink>
        </w:p>
        <w:p w14:paraId="009EE837" w14:textId="1FDB9AB1" w:rsidR="00326AA3" w:rsidRDefault="00407EDD">
          <w:pPr>
            <w:pStyle w:val="TOC2"/>
            <w:tabs>
              <w:tab w:val="right" w:leader="dot" w:pos="9350"/>
            </w:tabs>
            <w:rPr>
              <w:rFonts w:asciiTheme="minorHAnsi" w:eastAsiaTheme="minorEastAsia" w:hAnsiTheme="minorHAnsi"/>
              <w:noProof/>
              <w:sz w:val="22"/>
            </w:rPr>
          </w:pPr>
          <w:hyperlink w:anchor="_Toc132128850" w:history="1">
            <w:r w:rsidR="00326AA3" w:rsidRPr="002232CE">
              <w:rPr>
                <w:rStyle w:val="Hyperlink"/>
                <w:noProof/>
              </w:rPr>
              <w:t>Legal Aspects</w:t>
            </w:r>
            <w:r w:rsidR="00326AA3">
              <w:rPr>
                <w:noProof/>
                <w:webHidden/>
              </w:rPr>
              <w:tab/>
            </w:r>
            <w:r w:rsidR="00326AA3">
              <w:rPr>
                <w:noProof/>
                <w:webHidden/>
              </w:rPr>
              <w:fldChar w:fldCharType="begin"/>
            </w:r>
            <w:r w:rsidR="00326AA3">
              <w:rPr>
                <w:noProof/>
                <w:webHidden/>
              </w:rPr>
              <w:instrText xml:space="preserve"> PAGEREF _Toc132128850 \h </w:instrText>
            </w:r>
            <w:r w:rsidR="00326AA3">
              <w:rPr>
                <w:noProof/>
                <w:webHidden/>
              </w:rPr>
            </w:r>
            <w:r w:rsidR="00326AA3">
              <w:rPr>
                <w:noProof/>
                <w:webHidden/>
              </w:rPr>
              <w:fldChar w:fldCharType="separate"/>
            </w:r>
            <w:r w:rsidR="00384B49">
              <w:rPr>
                <w:noProof/>
                <w:webHidden/>
              </w:rPr>
              <w:t>13</w:t>
            </w:r>
            <w:r w:rsidR="00326AA3">
              <w:rPr>
                <w:noProof/>
                <w:webHidden/>
              </w:rPr>
              <w:fldChar w:fldCharType="end"/>
            </w:r>
          </w:hyperlink>
        </w:p>
        <w:p w14:paraId="6B3F23CD" w14:textId="51D32621" w:rsidR="00326AA3" w:rsidRDefault="00407EDD">
          <w:pPr>
            <w:pStyle w:val="TOC1"/>
            <w:tabs>
              <w:tab w:val="right" w:leader="dot" w:pos="9350"/>
            </w:tabs>
            <w:rPr>
              <w:rFonts w:asciiTheme="minorHAnsi" w:eastAsiaTheme="minorEastAsia" w:hAnsiTheme="minorHAnsi"/>
              <w:noProof/>
              <w:sz w:val="22"/>
            </w:rPr>
          </w:pPr>
          <w:hyperlink w:anchor="_Toc132128851" w:history="1">
            <w:r w:rsidR="00326AA3" w:rsidRPr="002232CE">
              <w:rPr>
                <w:rStyle w:val="Hyperlink"/>
                <w:noProof/>
              </w:rPr>
              <w:t>Section 3 – Emergency Plan</w:t>
            </w:r>
            <w:r w:rsidR="00326AA3">
              <w:rPr>
                <w:noProof/>
                <w:webHidden/>
              </w:rPr>
              <w:tab/>
            </w:r>
            <w:r w:rsidR="00326AA3">
              <w:rPr>
                <w:noProof/>
                <w:webHidden/>
              </w:rPr>
              <w:fldChar w:fldCharType="begin"/>
            </w:r>
            <w:r w:rsidR="00326AA3">
              <w:rPr>
                <w:noProof/>
                <w:webHidden/>
              </w:rPr>
              <w:instrText xml:space="preserve"> PAGEREF _Toc132128851 \h </w:instrText>
            </w:r>
            <w:r w:rsidR="00326AA3">
              <w:rPr>
                <w:noProof/>
                <w:webHidden/>
              </w:rPr>
            </w:r>
            <w:r w:rsidR="00326AA3">
              <w:rPr>
                <w:noProof/>
                <w:webHidden/>
              </w:rPr>
              <w:fldChar w:fldCharType="separate"/>
            </w:r>
            <w:r w:rsidR="00384B49">
              <w:rPr>
                <w:noProof/>
                <w:webHidden/>
              </w:rPr>
              <w:t>15</w:t>
            </w:r>
            <w:r w:rsidR="00326AA3">
              <w:rPr>
                <w:noProof/>
                <w:webHidden/>
              </w:rPr>
              <w:fldChar w:fldCharType="end"/>
            </w:r>
          </w:hyperlink>
        </w:p>
        <w:p w14:paraId="704D62EC" w14:textId="485DCA95" w:rsidR="00326AA3" w:rsidRDefault="00407EDD">
          <w:pPr>
            <w:pStyle w:val="TOC2"/>
            <w:tabs>
              <w:tab w:val="right" w:leader="dot" w:pos="9350"/>
            </w:tabs>
            <w:rPr>
              <w:rFonts w:asciiTheme="minorHAnsi" w:eastAsiaTheme="minorEastAsia" w:hAnsiTheme="minorHAnsi"/>
              <w:noProof/>
              <w:sz w:val="22"/>
            </w:rPr>
          </w:pPr>
          <w:hyperlink w:anchor="_Toc132128852" w:history="1">
            <w:r w:rsidR="00326AA3" w:rsidRPr="002232CE">
              <w:rPr>
                <w:rStyle w:val="Hyperlink"/>
                <w:noProof/>
              </w:rPr>
              <w:t>Emergency Planning &amp; Procedures</w:t>
            </w:r>
            <w:r w:rsidR="00326AA3">
              <w:rPr>
                <w:noProof/>
                <w:webHidden/>
              </w:rPr>
              <w:tab/>
            </w:r>
            <w:r w:rsidR="00326AA3">
              <w:rPr>
                <w:noProof/>
                <w:webHidden/>
              </w:rPr>
              <w:fldChar w:fldCharType="begin"/>
            </w:r>
            <w:r w:rsidR="00326AA3">
              <w:rPr>
                <w:noProof/>
                <w:webHidden/>
              </w:rPr>
              <w:instrText xml:space="preserve"> PAGEREF _Toc132128852 \h </w:instrText>
            </w:r>
            <w:r w:rsidR="00326AA3">
              <w:rPr>
                <w:noProof/>
                <w:webHidden/>
              </w:rPr>
            </w:r>
            <w:r w:rsidR="00326AA3">
              <w:rPr>
                <w:noProof/>
                <w:webHidden/>
              </w:rPr>
              <w:fldChar w:fldCharType="separate"/>
            </w:r>
            <w:r w:rsidR="00384B49">
              <w:rPr>
                <w:noProof/>
                <w:webHidden/>
              </w:rPr>
              <w:t>15</w:t>
            </w:r>
            <w:r w:rsidR="00326AA3">
              <w:rPr>
                <w:noProof/>
                <w:webHidden/>
              </w:rPr>
              <w:fldChar w:fldCharType="end"/>
            </w:r>
          </w:hyperlink>
        </w:p>
        <w:p w14:paraId="63D8E919" w14:textId="228B6360" w:rsidR="00326AA3" w:rsidRDefault="00407EDD">
          <w:pPr>
            <w:pStyle w:val="TOC1"/>
            <w:tabs>
              <w:tab w:val="right" w:leader="dot" w:pos="9350"/>
            </w:tabs>
            <w:rPr>
              <w:rFonts w:asciiTheme="minorHAnsi" w:eastAsiaTheme="minorEastAsia" w:hAnsiTheme="minorHAnsi"/>
              <w:noProof/>
              <w:sz w:val="22"/>
            </w:rPr>
          </w:pPr>
          <w:hyperlink w:anchor="_Toc132128853" w:history="1">
            <w:r w:rsidR="00326AA3" w:rsidRPr="002232CE">
              <w:rPr>
                <w:rStyle w:val="Hyperlink"/>
                <w:noProof/>
              </w:rPr>
              <w:t>Section 4 – Key Performance Indicators / Yield Management Measures</w:t>
            </w:r>
            <w:r w:rsidR="00326AA3">
              <w:rPr>
                <w:noProof/>
                <w:webHidden/>
              </w:rPr>
              <w:tab/>
            </w:r>
            <w:r w:rsidR="00326AA3">
              <w:rPr>
                <w:noProof/>
                <w:webHidden/>
              </w:rPr>
              <w:fldChar w:fldCharType="begin"/>
            </w:r>
            <w:r w:rsidR="00326AA3">
              <w:rPr>
                <w:noProof/>
                <w:webHidden/>
              </w:rPr>
              <w:instrText xml:space="preserve"> PAGEREF _Toc132128853 \h </w:instrText>
            </w:r>
            <w:r w:rsidR="00326AA3">
              <w:rPr>
                <w:noProof/>
                <w:webHidden/>
              </w:rPr>
            </w:r>
            <w:r w:rsidR="00326AA3">
              <w:rPr>
                <w:noProof/>
                <w:webHidden/>
              </w:rPr>
              <w:fldChar w:fldCharType="separate"/>
            </w:r>
            <w:r w:rsidR="00384B49">
              <w:rPr>
                <w:noProof/>
                <w:webHidden/>
              </w:rPr>
              <w:t>17</w:t>
            </w:r>
            <w:r w:rsidR="00326AA3">
              <w:rPr>
                <w:noProof/>
                <w:webHidden/>
              </w:rPr>
              <w:fldChar w:fldCharType="end"/>
            </w:r>
          </w:hyperlink>
        </w:p>
        <w:p w14:paraId="13735D8B" w14:textId="4574E64D" w:rsidR="00326AA3" w:rsidRDefault="00407EDD">
          <w:pPr>
            <w:pStyle w:val="TOC2"/>
            <w:tabs>
              <w:tab w:val="right" w:leader="dot" w:pos="9350"/>
            </w:tabs>
            <w:rPr>
              <w:rFonts w:asciiTheme="minorHAnsi" w:eastAsiaTheme="minorEastAsia" w:hAnsiTheme="minorHAnsi"/>
              <w:noProof/>
              <w:sz w:val="22"/>
            </w:rPr>
          </w:pPr>
          <w:hyperlink w:anchor="_Toc132128854" w:history="1">
            <w:r w:rsidR="00326AA3" w:rsidRPr="002232CE">
              <w:rPr>
                <w:rStyle w:val="Hyperlink"/>
                <w:noProof/>
              </w:rPr>
              <w:t>KPI and Yield Management</w:t>
            </w:r>
            <w:r w:rsidR="00326AA3">
              <w:rPr>
                <w:noProof/>
                <w:webHidden/>
              </w:rPr>
              <w:tab/>
            </w:r>
            <w:r w:rsidR="00326AA3">
              <w:rPr>
                <w:noProof/>
                <w:webHidden/>
              </w:rPr>
              <w:fldChar w:fldCharType="begin"/>
            </w:r>
            <w:r w:rsidR="00326AA3">
              <w:rPr>
                <w:noProof/>
                <w:webHidden/>
              </w:rPr>
              <w:instrText xml:space="preserve"> PAGEREF _Toc132128854 \h </w:instrText>
            </w:r>
            <w:r w:rsidR="00326AA3">
              <w:rPr>
                <w:noProof/>
                <w:webHidden/>
              </w:rPr>
            </w:r>
            <w:r w:rsidR="00326AA3">
              <w:rPr>
                <w:noProof/>
                <w:webHidden/>
              </w:rPr>
              <w:fldChar w:fldCharType="separate"/>
            </w:r>
            <w:r w:rsidR="00384B49">
              <w:rPr>
                <w:noProof/>
                <w:webHidden/>
              </w:rPr>
              <w:t>17</w:t>
            </w:r>
            <w:r w:rsidR="00326AA3">
              <w:rPr>
                <w:noProof/>
                <w:webHidden/>
              </w:rPr>
              <w:fldChar w:fldCharType="end"/>
            </w:r>
          </w:hyperlink>
        </w:p>
        <w:p w14:paraId="4BD861D5" w14:textId="390194F4" w:rsidR="00326AA3" w:rsidRDefault="00407EDD">
          <w:pPr>
            <w:pStyle w:val="TOC2"/>
            <w:tabs>
              <w:tab w:val="right" w:leader="dot" w:pos="9350"/>
            </w:tabs>
            <w:rPr>
              <w:rFonts w:asciiTheme="minorHAnsi" w:eastAsiaTheme="minorEastAsia" w:hAnsiTheme="minorHAnsi"/>
              <w:noProof/>
              <w:sz w:val="22"/>
            </w:rPr>
          </w:pPr>
          <w:hyperlink w:anchor="_Toc132128855" w:history="1">
            <w:r w:rsidR="00326AA3" w:rsidRPr="002232CE">
              <w:rPr>
                <w:rStyle w:val="Hyperlink"/>
                <w:noProof/>
              </w:rPr>
              <w:t>Different relevant KPI’s</w:t>
            </w:r>
            <w:r w:rsidR="00326AA3">
              <w:rPr>
                <w:noProof/>
                <w:webHidden/>
              </w:rPr>
              <w:tab/>
            </w:r>
            <w:r w:rsidR="00326AA3">
              <w:rPr>
                <w:noProof/>
                <w:webHidden/>
              </w:rPr>
              <w:fldChar w:fldCharType="begin"/>
            </w:r>
            <w:r w:rsidR="00326AA3">
              <w:rPr>
                <w:noProof/>
                <w:webHidden/>
              </w:rPr>
              <w:instrText xml:space="preserve"> PAGEREF _Toc132128855 \h </w:instrText>
            </w:r>
            <w:r w:rsidR="00326AA3">
              <w:rPr>
                <w:noProof/>
                <w:webHidden/>
              </w:rPr>
            </w:r>
            <w:r w:rsidR="00326AA3">
              <w:rPr>
                <w:noProof/>
                <w:webHidden/>
              </w:rPr>
              <w:fldChar w:fldCharType="separate"/>
            </w:r>
            <w:r w:rsidR="00384B49">
              <w:rPr>
                <w:noProof/>
                <w:webHidden/>
              </w:rPr>
              <w:t>17</w:t>
            </w:r>
            <w:r w:rsidR="00326AA3">
              <w:rPr>
                <w:noProof/>
                <w:webHidden/>
              </w:rPr>
              <w:fldChar w:fldCharType="end"/>
            </w:r>
          </w:hyperlink>
        </w:p>
        <w:p w14:paraId="472DF508" w14:textId="07BEE642" w:rsidR="00326AA3" w:rsidRDefault="00407EDD">
          <w:pPr>
            <w:pStyle w:val="TOC2"/>
            <w:tabs>
              <w:tab w:val="right" w:leader="dot" w:pos="9350"/>
            </w:tabs>
            <w:rPr>
              <w:rFonts w:asciiTheme="minorHAnsi" w:eastAsiaTheme="minorEastAsia" w:hAnsiTheme="minorHAnsi"/>
              <w:noProof/>
              <w:sz w:val="22"/>
            </w:rPr>
          </w:pPr>
          <w:hyperlink w:anchor="_Toc132128856" w:history="1">
            <w:r w:rsidR="00326AA3" w:rsidRPr="002232CE">
              <w:rPr>
                <w:rStyle w:val="Hyperlink"/>
                <w:noProof/>
              </w:rPr>
              <w:t>Budget planning</w:t>
            </w:r>
            <w:r w:rsidR="00326AA3">
              <w:rPr>
                <w:noProof/>
                <w:webHidden/>
              </w:rPr>
              <w:tab/>
            </w:r>
            <w:r w:rsidR="00326AA3">
              <w:rPr>
                <w:noProof/>
                <w:webHidden/>
              </w:rPr>
              <w:fldChar w:fldCharType="begin"/>
            </w:r>
            <w:r w:rsidR="00326AA3">
              <w:rPr>
                <w:noProof/>
                <w:webHidden/>
              </w:rPr>
              <w:instrText xml:space="preserve"> PAGEREF _Toc132128856 \h </w:instrText>
            </w:r>
            <w:r w:rsidR="00326AA3">
              <w:rPr>
                <w:noProof/>
                <w:webHidden/>
              </w:rPr>
            </w:r>
            <w:r w:rsidR="00326AA3">
              <w:rPr>
                <w:noProof/>
                <w:webHidden/>
              </w:rPr>
              <w:fldChar w:fldCharType="separate"/>
            </w:r>
            <w:r w:rsidR="00384B49">
              <w:rPr>
                <w:noProof/>
                <w:webHidden/>
              </w:rPr>
              <w:t>19</w:t>
            </w:r>
            <w:r w:rsidR="00326AA3">
              <w:rPr>
                <w:noProof/>
                <w:webHidden/>
              </w:rPr>
              <w:fldChar w:fldCharType="end"/>
            </w:r>
          </w:hyperlink>
        </w:p>
        <w:p w14:paraId="491E06C7" w14:textId="16189E5C" w:rsidR="00326AA3" w:rsidRDefault="00407EDD">
          <w:pPr>
            <w:pStyle w:val="TOC1"/>
            <w:tabs>
              <w:tab w:val="right" w:leader="dot" w:pos="9350"/>
            </w:tabs>
            <w:rPr>
              <w:rFonts w:asciiTheme="minorHAnsi" w:eastAsiaTheme="minorEastAsia" w:hAnsiTheme="minorHAnsi"/>
              <w:noProof/>
              <w:sz w:val="22"/>
            </w:rPr>
          </w:pPr>
          <w:hyperlink w:anchor="_Toc132128857" w:history="1">
            <w:r w:rsidR="00326AA3" w:rsidRPr="002232CE">
              <w:rPr>
                <w:rStyle w:val="Hyperlink"/>
                <w:noProof/>
              </w:rPr>
              <w:t>Conclusion</w:t>
            </w:r>
            <w:r w:rsidR="00326AA3">
              <w:rPr>
                <w:noProof/>
                <w:webHidden/>
              </w:rPr>
              <w:tab/>
            </w:r>
            <w:r w:rsidR="00326AA3">
              <w:rPr>
                <w:noProof/>
                <w:webHidden/>
              </w:rPr>
              <w:fldChar w:fldCharType="begin"/>
            </w:r>
            <w:r w:rsidR="00326AA3">
              <w:rPr>
                <w:noProof/>
                <w:webHidden/>
              </w:rPr>
              <w:instrText xml:space="preserve"> PAGEREF _Toc132128857 \h </w:instrText>
            </w:r>
            <w:r w:rsidR="00326AA3">
              <w:rPr>
                <w:noProof/>
                <w:webHidden/>
              </w:rPr>
            </w:r>
            <w:r w:rsidR="00326AA3">
              <w:rPr>
                <w:noProof/>
                <w:webHidden/>
              </w:rPr>
              <w:fldChar w:fldCharType="separate"/>
            </w:r>
            <w:r w:rsidR="00384B49">
              <w:rPr>
                <w:noProof/>
                <w:webHidden/>
              </w:rPr>
              <w:t>20</w:t>
            </w:r>
            <w:r w:rsidR="00326AA3">
              <w:rPr>
                <w:noProof/>
                <w:webHidden/>
              </w:rPr>
              <w:fldChar w:fldCharType="end"/>
            </w:r>
          </w:hyperlink>
        </w:p>
        <w:p w14:paraId="1FF6D617" w14:textId="0B6CCA44" w:rsidR="00326AA3" w:rsidRDefault="00407EDD">
          <w:pPr>
            <w:pStyle w:val="TOC1"/>
            <w:tabs>
              <w:tab w:val="right" w:leader="dot" w:pos="9350"/>
            </w:tabs>
            <w:rPr>
              <w:rFonts w:asciiTheme="minorHAnsi" w:eastAsiaTheme="minorEastAsia" w:hAnsiTheme="minorHAnsi"/>
              <w:noProof/>
              <w:sz w:val="22"/>
            </w:rPr>
          </w:pPr>
          <w:hyperlink w:anchor="_Toc132128858" w:history="1">
            <w:r w:rsidR="00326AA3" w:rsidRPr="002232CE">
              <w:rPr>
                <w:rStyle w:val="Hyperlink"/>
                <w:noProof/>
              </w:rPr>
              <w:t>References</w:t>
            </w:r>
            <w:r w:rsidR="00326AA3">
              <w:rPr>
                <w:noProof/>
                <w:webHidden/>
              </w:rPr>
              <w:tab/>
            </w:r>
            <w:r w:rsidR="00326AA3">
              <w:rPr>
                <w:noProof/>
                <w:webHidden/>
              </w:rPr>
              <w:fldChar w:fldCharType="begin"/>
            </w:r>
            <w:r w:rsidR="00326AA3">
              <w:rPr>
                <w:noProof/>
                <w:webHidden/>
              </w:rPr>
              <w:instrText xml:space="preserve"> PAGEREF _Toc132128858 \h </w:instrText>
            </w:r>
            <w:r w:rsidR="00326AA3">
              <w:rPr>
                <w:noProof/>
                <w:webHidden/>
              </w:rPr>
            </w:r>
            <w:r w:rsidR="00326AA3">
              <w:rPr>
                <w:noProof/>
                <w:webHidden/>
              </w:rPr>
              <w:fldChar w:fldCharType="separate"/>
            </w:r>
            <w:r w:rsidR="00384B49">
              <w:rPr>
                <w:noProof/>
                <w:webHidden/>
              </w:rPr>
              <w:t>21</w:t>
            </w:r>
            <w:r w:rsidR="00326AA3">
              <w:rPr>
                <w:noProof/>
                <w:webHidden/>
              </w:rPr>
              <w:fldChar w:fldCharType="end"/>
            </w:r>
          </w:hyperlink>
        </w:p>
        <w:p w14:paraId="5B7FE301" w14:textId="473AF1AE" w:rsidR="00326AA3" w:rsidRDefault="00407EDD">
          <w:pPr>
            <w:pStyle w:val="TOC1"/>
            <w:tabs>
              <w:tab w:val="right" w:leader="dot" w:pos="9350"/>
            </w:tabs>
            <w:rPr>
              <w:rFonts w:asciiTheme="minorHAnsi" w:eastAsiaTheme="minorEastAsia" w:hAnsiTheme="minorHAnsi"/>
              <w:noProof/>
              <w:sz w:val="22"/>
            </w:rPr>
          </w:pPr>
          <w:hyperlink w:anchor="_Toc132128859" w:history="1">
            <w:r w:rsidR="00326AA3" w:rsidRPr="002232CE">
              <w:rPr>
                <w:rStyle w:val="Hyperlink"/>
                <w:noProof/>
              </w:rPr>
              <w:t>Appendix</w:t>
            </w:r>
            <w:r w:rsidR="00326AA3">
              <w:rPr>
                <w:noProof/>
                <w:webHidden/>
              </w:rPr>
              <w:tab/>
            </w:r>
            <w:r w:rsidR="00326AA3">
              <w:rPr>
                <w:noProof/>
                <w:webHidden/>
              </w:rPr>
              <w:fldChar w:fldCharType="begin"/>
            </w:r>
            <w:r w:rsidR="00326AA3">
              <w:rPr>
                <w:noProof/>
                <w:webHidden/>
              </w:rPr>
              <w:instrText xml:space="preserve"> PAGEREF _Toc132128859 \h </w:instrText>
            </w:r>
            <w:r w:rsidR="00326AA3">
              <w:rPr>
                <w:noProof/>
                <w:webHidden/>
              </w:rPr>
            </w:r>
            <w:r w:rsidR="00326AA3">
              <w:rPr>
                <w:noProof/>
                <w:webHidden/>
              </w:rPr>
              <w:fldChar w:fldCharType="separate"/>
            </w:r>
            <w:r w:rsidR="00384B49">
              <w:rPr>
                <w:noProof/>
                <w:webHidden/>
              </w:rPr>
              <w:t>25</w:t>
            </w:r>
            <w:r w:rsidR="00326AA3">
              <w:rPr>
                <w:noProof/>
                <w:webHidden/>
              </w:rPr>
              <w:fldChar w:fldCharType="end"/>
            </w:r>
          </w:hyperlink>
        </w:p>
        <w:p w14:paraId="54349579" w14:textId="5BD9ABFA" w:rsidR="00326AA3" w:rsidRDefault="00407EDD">
          <w:pPr>
            <w:pStyle w:val="TOC2"/>
            <w:tabs>
              <w:tab w:val="right" w:leader="dot" w:pos="9350"/>
            </w:tabs>
            <w:rPr>
              <w:rFonts w:asciiTheme="minorHAnsi" w:eastAsiaTheme="minorEastAsia" w:hAnsiTheme="minorHAnsi"/>
              <w:noProof/>
              <w:sz w:val="22"/>
            </w:rPr>
          </w:pPr>
          <w:hyperlink w:anchor="_Toc132128860" w:history="1">
            <w:r w:rsidR="00326AA3" w:rsidRPr="002232CE">
              <w:rPr>
                <w:rStyle w:val="Hyperlink"/>
                <w:noProof/>
              </w:rPr>
              <w:t>Risk assessment plan</w:t>
            </w:r>
            <w:r w:rsidR="00326AA3">
              <w:rPr>
                <w:noProof/>
                <w:webHidden/>
              </w:rPr>
              <w:tab/>
            </w:r>
            <w:r w:rsidR="00326AA3">
              <w:rPr>
                <w:noProof/>
                <w:webHidden/>
              </w:rPr>
              <w:fldChar w:fldCharType="begin"/>
            </w:r>
            <w:r w:rsidR="00326AA3">
              <w:rPr>
                <w:noProof/>
                <w:webHidden/>
              </w:rPr>
              <w:instrText xml:space="preserve"> PAGEREF _Toc132128860 \h </w:instrText>
            </w:r>
            <w:r w:rsidR="00326AA3">
              <w:rPr>
                <w:noProof/>
                <w:webHidden/>
              </w:rPr>
            </w:r>
            <w:r w:rsidR="00326AA3">
              <w:rPr>
                <w:noProof/>
                <w:webHidden/>
              </w:rPr>
              <w:fldChar w:fldCharType="separate"/>
            </w:r>
            <w:r w:rsidR="00384B49">
              <w:rPr>
                <w:noProof/>
                <w:webHidden/>
              </w:rPr>
              <w:t>25</w:t>
            </w:r>
            <w:r w:rsidR="00326AA3">
              <w:rPr>
                <w:noProof/>
                <w:webHidden/>
              </w:rPr>
              <w:fldChar w:fldCharType="end"/>
            </w:r>
          </w:hyperlink>
        </w:p>
        <w:p w14:paraId="6E1D3B39" w14:textId="00572352" w:rsidR="0090092A" w:rsidRDefault="0090092A" w:rsidP="00326AA3">
          <w:pPr>
            <w:spacing w:line="360" w:lineRule="auto"/>
          </w:pPr>
          <w:r>
            <w:rPr>
              <w:b/>
              <w:bCs/>
              <w:noProof/>
            </w:rPr>
            <w:fldChar w:fldCharType="end"/>
          </w:r>
        </w:p>
      </w:sdtContent>
    </w:sdt>
    <w:p w14:paraId="4BB4CA52" w14:textId="77777777" w:rsidR="0090092A" w:rsidRDefault="0090092A" w:rsidP="00326AA3">
      <w:pPr>
        <w:spacing w:line="360" w:lineRule="auto"/>
        <w:rPr>
          <w:rFonts w:asciiTheme="majorHAnsi" w:eastAsiaTheme="majorEastAsia" w:hAnsiTheme="majorHAnsi" w:cstheme="majorBidi"/>
          <w:color w:val="365F91" w:themeColor="accent1" w:themeShade="BF"/>
          <w:sz w:val="32"/>
          <w:szCs w:val="32"/>
        </w:rPr>
      </w:pPr>
      <w:r>
        <w:br w:type="page"/>
      </w:r>
    </w:p>
    <w:p w14:paraId="348248CC" w14:textId="77777777" w:rsidR="00326AA3" w:rsidRPr="009735E9" w:rsidRDefault="00326AA3" w:rsidP="00326AA3">
      <w:pPr>
        <w:pStyle w:val="Heading1"/>
        <w:spacing w:line="360" w:lineRule="auto"/>
        <w:rPr>
          <w:rFonts w:ascii="Arial" w:hAnsi="Arial" w:cs="Arial"/>
        </w:rPr>
      </w:pPr>
      <w:bookmarkStart w:id="1" w:name="_Toc132128840"/>
      <w:r w:rsidRPr="009735E9">
        <w:rPr>
          <w:rFonts w:ascii="Arial" w:hAnsi="Arial" w:cs="Arial"/>
        </w:rPr>
        <w:lastRenderedPageBreak/>
        <w:t>Introduction</w:t>
      </w:r>
      <w:bookmarkEnd w:id="1"/>
      <w:r w:rsidRPr="009735E9">
        <w:rPr>
          <w:rFonts w:ascii="Arial" w:hAnsi="Arial" w:cs="Arial"/>
        </w:rPr>
        <w:t xml:space="preserve"> </w:t>
      </w:r>
    </w:p>
    <w:p w14:paraId="3F8006A1" w14:textId="55E85201" w:rsidR="00326AA3" w:rsidRDefault="00326AA3" w:rsidP="00326AA3">
      <w:pPr>
        <w:spacing w:line="360" w:lineRule="auto"/>
      </w:pPr>
      <w:r>
        <w:t>The study is basically an operation management plan within which a pop-up restaurant named Taj Mahal is to be set up with an objective of making Christmas and New year eve special for the residents within Swansea City and making the maximum possible profits with the event organization. The pop-up event planning initiates from 15</w:t>
      </w:r>
      <w:r w:rsidRPr="00326AA3">
        <w:rPr>
          <w:vertAlign w:val="superscript"/>
        </w:rPr>
        <w:t>th</w:t>
      </w:r>
      <w:r>
        <w:t xml:space="preserve"> of October 2022 and continues for three months till 15</w:t>
      </w:r>
      <w:r w:rsidRPr="00326AA3">
        <w:rPr>
          <w:vertAlign w:val="superscript"/>
        </w:rPr>
        <w:t>th</w:t>
      </w:r>
      <w:r>
        <w:t xml:space="preserve"> January 2023. The study throughout the module thus will be discussing the effective planning, procedure and strategies of operation management planning that empowers to carry out the operations plan effectively which could meet the desired goals and objectives of the event. Gantt chart, risk assessment framework and Budget planning are some of the major aspects that study will comprise of to entail the effective ways of carrying out the events. </w:t>
      </w:r>
      <w:r>
        <w:br w:type="page"/>
      </w:r>
    </w:p>
    <w:p w14:paraId="4A589FEC" w14:textId="10AC5D32" w:rsidR="00944219" w:rsidRPr="009735E9" w:rsidRDefault="00944219" w:rsidP="00326AA3">
      <w:pPr>
        <w:pStyle w:val="Heading1"/>
        <w:spacing w:line="360" w:lineRule="auto"/>
        <w:rPr>
          <w:rFonts w:ascii="Arial" w:hAnsi="Arial" w:cs="Arial"/>
        </w:rPr>
      </w:pPr>
      <w:bookmarkStart w:id="2" w:name="_Toc132128841"/>
      <w:r w:rsidRPr="009735E9">
        <w:rPr>
          <w:rFonts w:ascii="Arial" w:hAnsi="Arial" w:cs="Arial"/>
        </w:rPr>
        <w:lastRenderedPageBreak/>
        <w:t>Section 1 – Event Plan</w:t>
      </w:r>
      <w:bookmarkEnd w:id="2"/>
    </w:p>
    <w:p w14:paraId="6160893A" w14:textId="4091005C" w:rsidR="002216E1" w:rsidRPr="001D13B0" w:rsidRDefault="002216E1" w:rsidP="00326AA3">
      <w:pPr>
        <w:spacing w:line="360" w:lineRule="auto"/>
        <w:rPr>
          <w:bCs/>
        </w:rPr>
      </w:pPr>
      <w:r w:rsidRPr="00F32320">
        <w:rPr>
          <w:b/>
          <w:bCs/>
        </w:rPr>
        <w:t>Event title</w:t>
      </w:r>
      <w:r w:rsidR="001D13B0">
        <w:t xml:space="preserve">: Pop up Restaurant </w:t>
      </w:r>
      <w:r w:rsidR="001D13B0" w:rsidRPr="001D13B0">
        <w:rPr>
          <w:b/>
        </w:rPr>
        <w:t>“</w:t>
      </w:r>
      <w:r w:rsidR="001D13B0" w:rsidRPr="001D13B0">
        <w:rPr>
          <w:bCs/>
        </w:rPr>
        <w:t>Taj Mahal” Indian Restaurant</w:t>
      </w:r>
    </w:p>
    <w:p w14:paraId="591AD252" w14:textId="62208C8E" w:rsidR="002216E1" w:rsidRDefault="002216E1" w:rsidP="00326AA3">
      <w:pPr>
        <w:spacing w:line="360" w:lineRule="auto"/>
      </w:pPr>
      <w:r w:rsidRPr="00F32320">
        <w:rPr>
          <w:b/>
          <w:bCs/>
        </w:rPr>
        <w:t>Date:</w:t>
      </w:r>
      <w:r>
        <w:t xml:space="preserve"> </w:t>
      </w:r>
      <w:r w:rsidR="001D13B0">
        <w:t>15</w:t>
      </w:r>
      <w:r w:rsidR="001D13B0" w:rsidRPr="001D13B0">
        <w:rPr>
          <w:vertAlign w:val="superscript"/>
        </w:rPr>
        <w:t>th</w:t>
      </w:r>
      <w:r w:rsidR="001D13B0">
        <w:t xml:space="preserve"> Oct to 15</w:t>
      </w:r>
      <w:r w:rsidR="001D13B0" w:rsidRPr="001D13B0">
        <w:rPr>
          <w:vertAlign w:val="superscript"/>
        </w:rPr>
        <w:t>th</w:t>
      </w:r>
      <w:r w:rsidR="001D13B0">
        <w:t xml:space="preserve"> January </w:t>
      </w:r>
    </w:p>
    <w:p w14:paraId="52158660" w14:textId="71851EA4" w:rsidR="00710E8A" w:rsidRDefault="002216E1" w:rsidP="00326AA3">
      <w:pPr>
        <w:spacing w:line="360" w:lineRule="auto"/>
      </w:pPr>
      <w:r w:rsidRPr="00F32320">
        <w:rPr>
          <w:b/>
          <w:bCs/>
        </w:rPr>
        <w:t>Venue</w:t>
      </w:r>
      <w:r w:rsidR="00710E8A">
        <w:t xml:space="preserve">: </w:t>
      </w:r>
      <w:r w:rsidR="00710E8A" w:rsidRPr="00710E8A">
        <w:t>27 Wind Street, Swansea SA1 1DZ</w:t>
      </w:r>
    </w:p>
    <w:p w14:paraId="57985FC6" w14:textId="6D276A67" w:rsidR="002216E1" w:rsidRDefault="002216E1" w:rsidP="00326AA3">
      <w:pPr>
        <w:spacing w:line="360" w:lineRule="auto"/>
      </w:pPr>
      <w:r w:rsidRPr="00F32320">
        <w:rPr>
          <w:b/>
          <w:bCs/>
        </w:rPr>
        <w:t>department:</w:t>
      </w:r>
      <w:r>
        <w:t xml:space="preserve"> </w:t>
      </w:r>
      <w:r w:rsidR="00710E8A">
        <w:t xml:space="preserve">Event management </w:t>
      </w:r>
    </w:p>
    <w:p w14:paraId="1B798144" w14:textId="1C29EEED" w:rsidR="002216E1" w:rsidRPr="009735E9" w:rsidRDefault="002216E1" w:rsidP="00326AA3">
      <w:pPr>
        <w:pStyle w:val="Heading2"/>
        <w:spacing w:line="360" w:lineRule="auto"/>
        <w:rPr>
          <w:rFonts w:ascii="Arial" w:hAnsi="Arial" w:cs="Arial"/>
        </w:rPr>
      </w:pPr>
      <w:bookmarkStart w:id="3" w:name="_Toc132128842"/>
      <w:r w:rsidRPr="009735E9">
        <w:rPr>
          <w:rFonts w:ascii="Arial" w:hAnsi="Arial" w:cs="Arial"/>
        </w:rPr>
        <w:t>Roles and responsibilities:</w:t>
      </w:r>
      <w:bookmarkEnd w:id="3"/>
      <w:r w:rsidRPr="009735E9">
        <w:rPr>
          <w:rFonts w:ascii="Arial" w:hAnsi="Arial" w:cs="Arial"/>
        </w:rPr>
        <w:t xml:space="preserve"> </w:t>
      </w:r>
    </w:p>
    <w:p w14:paraId="79AE5777" w14:textId="0CBF0473" w:rsidR="0090092A" w:rsidRDefault="0090092A" w:rsidP="00326AA3">
      <w:pPr>
        <w:spacing w:line="360" w:lineRule="auto"/>
      </w:pPr>
      <w:r w:rsidRPr="0090092A">
        <w:t>The "Taj Mahal" Indian Restaurant pop-up event at the premises in Swansea, UK, for a period of three months from October 15 to January 15 will have the following duties and responsibilities from the event management department:</w:t>
      </w:r>
    </w:p>
    <w:p w14:paraId="55680DCA" w14:textId="152E9435" w:rsidR="0090092A" w:rsidRDefault="00710E8A" w:rsidP="00326AA3">
      <w:pPr>
        <w:numPr>
          <w:ilvl w:val="0"/>
          <w:numId w:val="20"/>
        </w:numPr>
        <w:spacing w:line="360" w:lineRule="auto"/>
      </w:pPr>
      <w:r w:rsidRPr="00710E8A">
        <w:t xml:space="preserve">Planning and Coordination: </w:t>
      </w:r>
      <w:r w:rsidR="0090092A" w:rsidRPr="0090092A">
        <w:t xml:space="preserve">The pop-up event will be planned and coordinated by the event management department, who will also be in charge of creating the budget, establishing the timeframe, securing the required permits and </w:t>
      </w:r>
      <w:proofErr w:type="spellStart"/>
      <w:r w:rsidR="0090092A" w:rsidRPr="0090092A">
        <w:t>licences</w:t>
      </w:r>
      <w:proofErr w:type="spellEnd"/>
      <w:r w:rsidR="0090092A" w:rsidRPr="0090092A">
        <w:t>, and liaising with suppliers, vendors, and other stakeholders</w:t>
      </w:r>
      <w:r w:rsidR="000A774D">
        <w:t xml:space="preserve"> (</w:t>
      </w:r>
      <w:r w:rsidR="00812620">
        <w:t>Ku et al., 2020</w:t>
      </w:r>
      <w:r w:rsidR="000A774D">
        <w:t>)</w:t>
      </w:r>
      <w:r w:rsidR="0090092A" w:rsidRPr="0090092A">
        <w:t>.</w:t>
      </w:r>
    </w:p>
    <w:p w14:paraId="45BE58AA" w14:textId="77777777" w:rsidR="0090092A" w:rsidRDefault="00710E8A" w:rsidP="00326AA3">
      <w:pPr>
        <w:numPr>
          <w:ilvl w:val="0"/>
          <w:numId w:val="20"/>
        </w:numPr>
        <w:spacing w:line="360" w:lineRule="auto"/>
      </w:pPr>
      <w:r w:rsidRPr="00710E8A">
        <w:t xml:space="preserve">Design and Décor: </w:t>
      </w:r>
      <w:r w:rsidR="0090092A" w:rsidRPr="0090092A">
        <w:t>In order to ensure that the pop-up restaurant represents the theme and ambience of an Indian restaurant, the department will supervise its design and décor. Organizing interior accents, lighting, and other design components that produce a genuine Indian eating experience may fall under this category.</w:t>
      </w:r>
    </w:p>
    <w:p w14:paraId="014A154E" w14:textId="2F437EAD" w:rsidR="0090092A" w:rsidRDefault="00710E8A" w:rsidP="00326AA3">
      <w:pPr>
        <w:numPr>
          <w:ilvl w:val="0"/>
          <w:numId w:val="20"/>
        </w:numPr>
        <w:spacing w:line="360" w:lineRule="auto"/>
      </w:pPr>
      <w:r w:rsidRPr="00710E8A">
        <w:t xml:space="preserve">Menu Planning and Catering: </w:t>
      </w:r>
      <w:r w:rsidR="0090092A" w:rsidRPr="0090092A">
        <w:t xml:space="preserve">In order to make sure that the pop-up event's menu includes a choice of genuine Indian meals that live up to the expectations of the target audience, the event management department will collaborate with the restaurant's chef or catering staff to prepare the menu. Also, they are in charge of </w:t>
      </w:r>
      <w:proofErr w:type="spellStart"/>
      <w:r w:rsidR="0090092A" w:rsidRPr="0090092A">
        <w:t>organising</w:t>
      </w:r>
      <w:proofErr w:type="spellEnd"/>
      <w:r w:rsidR="0090092A" w:rsidRPr="0090092A">
        <w:t xml:space="preserve"> the catering services, which includes ordering, preparing, and serving meals at the event</w:t>
      </w:r>
      <w:r w:rsidR="00812620">
        <w:t xml:space="preserve"> (</w:t>
      </w:r>
      <w:r w:rsidR="00812620" w:rsidRPr="000A774D">
        <w:t xml:space="preserve">De Albuquerque </w:t>
      </w:r>
      <w:proofErr w:type="spellStart"/>
      <w:r w:rsidR="00812620" w:rsidRPr="000A774D">
        <w:t>Meneguel</w:t>
      </w:r>
      <w:proofErr w:type="spellEnd"/>
      <w:r w:rsidR="00812620">
        <w:t xml:space="preserve"> et al., 2019)</w:t>
      </w:r>
      <w:r w:rsidR="0090092A" w:rsidRPr="0090092A">
        <w:t>.</w:t>
      </w:r>
    </w:p>
    <w:p w14:paraId="31074E1B" w14:textId="4BF3D725" w:rsidR="0090092A" w:rsidRDefault="00710E8A" w:rsidP="00326AA3">
      <w:pPr>
        <w:numPr>
          <w:ilvl w:val="0"/>
          <w:numId w:val="20"/>
        </w:numPr>
        <w:spacing w:line="360" w:lineRule="auto"/>
      </w:pPr>
      <w:r w:rsidRPr="00710E8A">
        <w:t xml:space="preserve">Marketing and Promotion: </w:t>
      </w:r>
      <w:r w:rsidR="0090092A" w:rsidRPr="0090092A">
        <w:t xml:space="preserve">The department will be in charge of marketing and promoting the pop-up event, which will involve developing promotional materials, running social media pages, coordinating advertising initiatives, and putting other </w:t>
      </w:r>
      <w:r w:rsidR="0090092A" w:rsidRPr="0090092A">
        <w:lastRenderedPageBreak/>
        <w:t xml:space="preserve">marketing techniques into </w:t>
      </w:r>
      <w:r w:rsidR="002050FB" w:rsidRPr="0090092A">
        <w:t>practice</w:t>
      </w:r>
      <w:r w:rsidR="0090092A" w:rsidRPr="0090092A">
        <w:t xml:space="preserve"> in order to draw customers and increase attendance</w:t>
      </w:r>
      <w:r w:rsidR="00812620">
        <w:t xml:space="preserve"> (Li et al., 2021)</w:t>
      </w:r>
      <w:r w:rsidR="0090092A" w:rsidRPr="0090092A">
        <w:t>.</w:t>
      </w:r>
    </w:p>
    <w:p w14:paraId="6242E7B0" w14:textId="419D0F4D" w:rsidR="0090092A" w:rsidRDefault="00710E8A" w:rsidP="00326AA3">
      <w:pPr>
        <w:numPr>
          <w:ilvl w:val="0"/>
          <w:numId w:val="20"/>
        </w:numPr>
        <w:spacing w:line="360" w:lineRule="auto"/>
      </w:pPr>
      <w:r w:rsidRPr="00710E8A">
        <w:t xml:space="preserve">Staffing and Training: </w:t>
      </w:r>
      <w:r w:rsidR="0090092A" w:rsidRPr="0090092A">
        <w:t>To guarantee efficient operations during the pop-up event, the event management department will be in charge of hiring and training event workers, including waiters, bartenders, and other professionals. They will also oversee employee training, shift management, and scheduling to guarantee that everyone is well-equipped to offer first-rate customer service</w:t>
      </w:r>
      <w:r w:rsidR="00812620">
        <w:t xml:space="preserve"> (</w:t>
      </w:r>
      <w:proofErr w:type="spellStart"/>
      <w:r w:rsidR="00812620" w:rsidRPr="00812620">
        <w:t>Cajander</w:t>
      </w:r>
      <w:proofErr w:type="spellEnd"/>
      <w:r w:rsidR="00812620" w:rsidRPr="00812620">
        <w:t xml:space="preserve"> and </w:t>
      </w:r>
      <w:proofErr w:type="spellStart"/>
      <w:r w:rsidR="00812620" w:rsidRPr="00812620">
        <w:t>Reiman</w:t>
      </w:r>
      <w:proofErr w:type="spellEnd"/>
      <w:r w:rsidR="00812620">
        <w:t>, 2019)</w:t>
      </w:r>
      <w:r w:rsidR="0090092A" w:rsidRPr="0090092A">
        <w:t>.</w:t>
      </w:r>
    </w:p>
    <w:p w14:paraId="3990AAC9" w14:textId="1AC5BCEE" w:rsidR="0090092A" w:rsidRDefault="00710E8A" w:rsidP="00326AA3">
      <w:pPr>
        <w:numPr>
          <w:ilvl w:val="0"/>
          <w:numId w:val="20"/>
        </w:numPr>
        <w:spacing w:line="360" w:lineRule="auto"/>
      </w:pPr>
      <w:r w:rsidRPr="00710E8A">
        <w:t xml:space="preserve">Logistics and Operations: </w:t>
      </w:r>
      <w:r w:rsidR="0090092A">
        <w:t>The department will be in charge of handling the pop-up event's logistics and operations, including setting up and taking down the event venue, arranging deliveries and installations, maintaining inventories, and making sure that all event activities go without a hitch</w:t>
      </w:r>
      <w:r w:rsidR="00812620">
        <w:t xml:space="preserve"> (</w:t>
      </w:r>
      <w:proofErr w:type="spellStart"/>
      <w:r w:rsidR="00812620">
        <w:t>Shanker</w:t>
      </w:r>
      <w:proofErr w:type="spellEnd"/>
      <w:r w:rsidR="00812620">
        <w:t xml:space="preserve"> et al., 2021)</w:t>
      </w:r>
      <w:r w:rsidR="0090092A">
        <w:t>.</w:t>
      </w:r>
    </w:p>
    <w:p w14:paraId="49388F9F" w14:textId="77777777" w:rsidR="00C27492" w:rsidRDefault="0090092A" w:rsidP="00326AA3">
      <w:pPr>
        <w:spacing w:line="360" w:lineRule="auto"/>
      </w:pPr>
      <w:r>
        <w:t>Ultimately, the "Taj Mahal" Indian Restaurant pop-up event will be planned, coordinated, and carried out by the event management department to make sure it is successful, memorable, and offers diners a distinctive eating experience.</w:t>
      </w:r>
    </w:p>
    <w:p w14:paraId="1A161E54" w14:textId="3DB0F876" w:rsidR="002216E1" w:rsidRPr="009735E9" w:rsidRDefault="002216E1" w:rsidP="00326AA3">
      <w:pPr>
        <w:pStyle w:val="Heading2"/>
        <w:spacing w:line="360" w:lineRule="auto"/>
        <w:rPr>
          <w:rFonts w:ascii="Arial" w:hAnsi="Arial" w:cs="Arial"/>
        </w:rPr>
      </w:pPr>
      <w:bookmarkStart w:id="4" w:name="_Toc132128843"/>
      <w:r w:rsidRPr="009735E9">
        <w:rPr>
          <w:rFonts w:ascii="Arial" w:hAnsi="Arial" w:cs="Arial"/>
        </w:rPr>
        <w:t>Operations management</w:t>
      </w:r>
      <w:bookmarkEnd w:id="4"/>
      <w:r w:rsidRPr="009735E9">
        <w:rPr>
          <w:rFonts w:ascii="Arial" w:hAnsi="Arial" w:cs="Arial"/>
        </w:rPr>
        <w:t xml:space="preserve"> </w:t>
      </w:r>
    </w:p>
    <w:p w14:paraId="4F7C36C8" w14:textId="44323D46" w:rsidR="00C27492" w:rsidRDefault="00C27492" w:rsidP="00326AA3">
      <w:pPr>
        <w:spacing w:line="360" w:lineRule="auto"/>
      </w:pPr>
      <w:r w:rsidRPr="00C27492">
        <w:t>A study area called operations management focuses on efficiently running a company's operations in order to accomplish its strategic goals. There are various important operational issues to be handled in the context of the "Taj Mahal" Indian Restaurant, a pop-up restaurant that will be set up at the facilities at 27 Wind Street, Swansea, SA1 1DZ for a three-month period from 15 October to 15 January.</w:t>
      </w:r>
    </w:p>
    <w:p w14:paraId="5B5C049C" w14:textId="6FEBB4C6" w:rsidR="00C27492" w:rsidRDefault="00710E8A" w:rsidP="00A279FE">
      <w:pPr>
        <w:numPr>
          <w:ilvl w:val="0"/>
          <w:numId w:val="21"/>
        </w:numPr>
        <w:spacing w:line="360" w:lineRule="auto"/>
      </w:pPr>
      <w:r w:rsidRPr="00710E8A">
        <w:t xml:space="preserve">Budget and Cost Management: </w:t>
      </w:r>
      <w:r w:rsidR="00C27492" w:rsidRPr="00C27492">
        <w:t>Budgeting and cost management are two crucial components of operations management. Gas/electricity and water bills, among other expenses related to the pop-up restaurant, need to be carefully anticipated and budgeted for the entire three-month time. In this instance, the expected monthly expenditures for water</w:t>
      </w:r>
      <w:r w:rsidR="006905E8">
        <w:t xml:space="preserve"> £75 and gas/electricity are</w:t>
      </w:r>
      <w:r w:rsidR="00A279FE">
        <w:t xml:space="preserve"> </w:t>
      </w:r>
      <w:r w:rsidR="00C27492" w:rsidRPr="00C27492">
        <w:t>£350</w:t>
      </w:r>
      <w:r w:rsidR="00812620">
        <w:t xml:space="preserve"> (Ku et al., 2020)</w:t>
      </w:r>
      <w:r w:rsidR="00C27492" w:rsidRPr="00C27492">
        <w:t>.</w:t>
      </w:r>
    </w:p>
    <w:p w14:paraId="5399546A" w14:textId="0645A5FA" w:rsidR="00C27492" w:rsidRDefault="00710E8A" w:rsidP="00326AA3">
      <w:pPr>
        <w:numPr>
          <w:ilvl w:val="0"/>
          <w:numId w:val="21"/>
        </w:numPr>
        <w:spacing w:line="360" w:lineRule="auto"/>
      </w:pPr>
      <w:r w:rsidRPr="00710E8A">
        <w:t xml:space="preserve">Space Planning and Layout Design: </w:t>
      </w:r>
      <w:r w:rsidR="00C27492" w:rsidRPr="00C27492">
        <w:t xml:space="preserve">For a restaurant to run well, space planning and layout design are essential. To fit the kitchen, dining area, bar, and other </w:t>
      </w:r>
      <w:r w:rsidR="00C27492" w:rsidRPr="00C27492">
        <w:lastRenderedPageBreak/>
        <w:t>essential facilities in an orderly manner, the premises' available space, which comprises a public area that is 15m x 6m (with a 2m x 2m toilet) and a bar staff service area that is 10m x 2m, has to be properly used</w:t>
      </w:r>
      <w:r w:rsidR="00812620">
        <w:t xml:space="preserve"> (Lee et al., 2019)</w:t>
      </w:r>
      <w:r w:rsidR="00C27492" w:rsidRPr="00C27492">
        <w:t>.</w:t>
      </w:r>
    </w:p>
    <w:p w14:paraId="5C1356EA" w14:textId="7DD56695" w:rsidR="00C27492" w:rsidRDefault="00710E8A" w:rsidP="00326AA3">
      <w:pPr>
        <w:numPr>
          <w:ilvl w:val="0"/>
          <w:numId w:val="21"/>
        </w:numPr>
        <w:spacing w:line="360" w:lineRule="auto"/>
      </w:pPr>
      <w:r w:rsidRPr="00710E8A">
        <w:t xml:space="preserve">Staffing and Training: </w:t>
      </w:r>
      <w:r w:rsidR="00C27492" w:rsidRPr="00C27492">
        <w:t>The efficient operation of the restaurant depends on properly staffing and training the workforce. To guarantee smooth operations over the course of the three months, the necessary employees, including cooks, waiters/waitresses, and bar staff, must be engaged and trained. The demand during the anticipated busy Christmas season should also be prepared for in the staff scheduling and rostering</w:t>
      </w:r>
      <w:r w:rsidR="002B22C9">
        <w:t xml:space="preserve"> (</w:t>
      </w:r>
      <w:proofErr w:type="spellStart"/>
      <w:r w:rsidR="002B22C9" w:rsidRPr="002B22C9">
        <w:t>Olimovich</w:t>
      </w:r>
      <w:proofErr w:type="spellEnd"/>
      <w:r w:rsidR="002B22C9">
        <w:t xml:space="preserve"> et al., 2020)</w:t>
      </w:r>
      <w:r w:rsidR="00C27492" w:rsidRPr="00C27492">
        <w:t>.</w:t>
      </w:r>
    </w:p>
    <w:p w14:paraId="271E24CE" w14:textId="1C6F22C7" w:rsidR="00C27492" w:rsidRDefault="00710E8A" w:rsidP="00326AA3">
      <w:pPr>
        <w:numPr>
          <w:ilvl w:val="0"/>
          <w:numId w:val="21"/>
        </w:numPr>
        <w:spacing w:line="360" w:lineRule="auto"/>
      </w:pPr>
      <w:r w:rsidRPr="00710E8A">
        <w:t xml:space="preserve">Marketing and Promotion: </w:t>
      </w:r>
      <w:r w:rsidR="00C27492" w:rsidRPr="00C27492">
        <w:t>To draw consumers to the "Taj Mahal" Indian Restaurant during the three-month pop-up phase, effective marketing and promotion methods must be put into place. To raise awareness and improve foot traffic to the restaurant, this may involve online and offline advertising, social media campaigns, special specials, and partnerships with nearby companies</w:t>
      </w:r>
      <w:r w:rsidR="002B22C9">
        <w:t xml:space="preserve"> (Li et al., 2021)</w:t>
      </w:r>
      <w:r w:rsidR="00C27492" w:rsidRPr="00C27492">
        <w:t>.</w:t>
      </w:r>
    </w:p>
    <w:p w14:paraId="66A687B5" w14:textId="1A63D5DF" w:rsidR="00C27492" w:rsidRDefault="00710E8A" w:rsidP="00326AA3">
      <w:pPr>
        <w:numPr>
          <w:ilvl w:val="0"/>
          <w:numId w:val="21"/>
        </w:numPr>
        <w:spacing w:line="360" w:lineRule="auto"/>
      </w:pPr>
      <w:r w:rsidRPr="00710E8A">
        <w:t xml:space="preserve">Customer Service: </w:t>
      </w:r>
      <w:r w:rsidR="00C27492" w:rsidRPr="00C27492">
        <w:t>Every restaurant must deliver first-rate customer service to be successful. The "Taj Mahal" Indian Restaurant should place a strong focus on properly educating personnel in customer service techniques, managing customer complaints, and maintaining a high level of client satisfaction</w:t>
      </w:r>
      <w:r w:rsidR="002B22C9">
        <w:t xml:space="preserve"> (Halim and Halim, 2019)</w:t>
      </w:r>
      <w:r w:rsidR="00C27492" w:rsidRPr="00C27492">
        <w:t>.</w:t>
      </w:r>
    </w:p>
    <w:p w14:paraId="6FD294C7" w14:textId="74E3EA75" w:rsidR="002216E1" w:rsidRPr="009735E9" w:rsidRDefault="002216E1" w:rsidP="00326AA3">
      <w:pPr>
        <w:pStyle w:val="Heading2"/>
        <w:spacing w:line="360" w:lineRule="auto"/>
        <w:rPr>
          <w:rFonts w:ascii="Arial" w:hAnsi="Arial" w:cs="Arial"/>
        </w:rPr>
      </w:pPr>
      <w:bookmarkStart w:id="5" w:name="_Toc132128844"/>
      <w:r w:rsidRPr="009735E9">
        <w:rPr>
          <w:rFonts w:ascii="Arial" w:hAnsi="Arial" w:cs="Arial"/>
        </w:rPr>
        <w:t>Logistics and event set up for the pop-up restaurant</w:t>
      </w:r>
      <w:bookmarkEnd w:id="5"/>
      <w:r w:rsidRPr="009735E9">
        <w:rPr>
          <w:rFonts w:ascii="Arial" w:hAnsi="Arial" w:cs="Arial"/>
        </w:rPr>
        <w:t xml:space="preserve"> </w:t>
      </w:r>
    </w:p>
    <w:p w14:paraId="1212D051" w14:textId="6FE18CD9" w:rsidR="00C27492" w:rsidRDefault="00710E8A" w:rsidP="00326AA3">
      <w:pPr>
        <w:numPr>
          <w:ilvl w:val="0"/>
          <w:numId w:val="22"/>
        </w:numPr>
        <w:spacing w:line="360" w:lineRule="auto"/>
      </w:pPr>
      <w:r w:rsidRPr="00710E8A">
        <w:t xml:space="preserve">Budgeting: </w:t>
      </w:r>
      <w:r w:rsidR="00C27492" w:rsidRPr="00C27492">
        <w:t>Determine the overall budget for the three-month period, taking into account the rent, utilities (gas/electricity and water), business taxes and any other expenses related to establishing and running the pop-up restaurant</w:t>
      </w:r>
      <w:r w:rsidR="002B22C9">
        <w:t xml:space="preserve"> (Lugosi et al., 2020)</w:t>
      </w:r>
      <w:r w:rsidR="00C27492" w:rsidRPr="00C27492">
        <w:t>.</w:t>
      </w:r>
    </w:p>
    <w:p w14:paraId="13EFD73B" w14:textId="4807148F" w:rsidR="00C27492" w:rsidRDefault="00710E8A" w:rsidP="00326AA3">
      <w:pPr>
        <w:numPr>
          <w:ilvl w:val="0"/>
          <w:numId w:val="22"/>
        </w:numPr>
        <w:spacing w:line="360" w:lineRule="auto"/>
      </w:pPr>
      <w:r w:rsidRPr="00710E8A">
        <w:t xml:space="preserve">Staffing: </w:t>
      </w:r>
      <w:r w:rsidR="00C27492" w:rsidRPr="00C27492">
        <w:t xml:space="preserve">Employing and educating the essential personnel, such as cooks, waiters, bartenders, and support staff, for the pop-up restaurant. To choose the </w:t>
      </w:r>
      <w:r w:rsidR="00C27492" w:rsidRPr="00C27492">
        <w:lastRenderedPageBreak/>
        <w:t>right staffing numbers, take into account the size of the premises and the anticipated number of clients</w:t>
      </w:r>
      <w:r w:rsidR="002B22C9">
        <w:t xml:space="preserve"> (</w:t>
      </w:r>
      <w:proofErr w:type="spellStart"/>
      <w:r w:rsidR="002B22C9">
        <w:t>Niroo</w:t>
      </w:r>
      <w:proofErr w:type="spellEnd"/>
      <w:r w:rsidR="002B22C9">
        <w:t>, 2020)</w:t>
      </w:r>
      <w:r w:rsidR="00C27492" w:rsidRPr="00C27492">
        <w:t>.</w:t>
      </w:r>
    </w:p>
    <w:p w14:paraId="332948B7" w14:textId="77777777" w:rsidR="00C27492" w:rsidRDefault="00710E8A" w:rsidP="00326AA3">
      <w:pPr>
        <w:numPr>
          <w:ilvl w:val="0"/>
          <w:numId w:val="22"/>
        </w:numPr>
        <w:spacing w:line="360" w:lineRule="auto"/>
      </w:pPr>
      <w:r w:rsidRPr="00710E8A">
        <w:t xml:space="preserve">Menu and Supplies: </w:t>
      </w:r>
      <w:r w:rsidR="00C27492" w:rsidRPr="00C27492">
        <w:t>The pop-up restaurant's menu should mirror the idea of an Indian restaurant, and the supplies and products must be sourced. Over the three months, work with suppliers to coordinate timely deliveries.</w:t>
      </w:r>
    </w:p>
    <w:p w14:paraId="32B3E217" w14:textId="61495D42" w:rsidR="00C27492" w:rsidRDefault="00710E8A" w:rsidP="00326AA3">
      <w:pPr>
        <w:numPr>
          <w:ilvl w:val="0"/>
          <w:numId w:val="22"/>
        </w:numPr>
        <w:spacing w:line="360" w:lineRule="auto"/>
      </w:pPr>
      <w:r w:rsidRPr="00710E8A">
        <w:t xml:space="preserve">Operations and Logistics: </w:t>
      </w:r>
      <w:r w:rsidR="00C27492" w:rsidRPr="00C27492">
        <w:t>Create standard operating procedures (SOPs) for the temporary eatery, including those for taking orders, preparing food, serving it, and processing payments. To maintain seamless daily operations, set up effective logistics for inventory management, garbage disposal, and cleaning</w:t>
      </w:r>
      <w:r w:rsidR="00CF3B26">
        <w:t xml:space="preserve"> (</w:t>
      </w:r>
      <w:proofErr w:type="spellStart"/>
      <w:r w:rsidR="00CF3B26">
        <w:t>Shanker</w:t>
      </w:r>
      <w:proofErr w:type="spellEnd"/>
      <w:r w:rsidR="00CF3B26">
        <w:t>, 2021</w:t>
      </w:r>
      <w:r w:rsidR="002B22C9">
        <w:t>)</w:t>
      </w:r>
      <w:r w:rsidR="00C27492" w:rsidRPr="00C27492">
        <w:t>.</w:t>
      </w:r>
    </w:p>
    <w:p w14:paraId="4B682A11" w14:textId="0AB4C629" w:rsidR="00C27492" w:rsidRDefault="00710E8A" w:rsidP="00326AA3">
      <w:pPr>
        <w:numPr>
          <w:ilvl w:val="0"/>
          <w:numId w:val="22"/>
        </w:numPr>
        <w:spacing w:line="360" w:lineRule="auto"/>
      </w:pPr>
      <w:r w:rsidRPr="00710E8A">
        <w:t xml:space="preserve">Customer Experience: </w:t>
      </w:r>
      <w:r w:rsidR="00C27492" w:rsidRPr="00C27492">
        <w:t>To provide consumers a satisfying eating experience, concentrate on providing great customer service. Staff should get training so they are educated about the menu, offer timely, amiable service, and properly manage any client comments or complaints</w:t>
      </w:r>
      <w:r w:rsidR="002B22C9">
        <w:t xml:space="preserve"> (</w:t>
      </w:r>
      <w:proofErr w:type="spellStart"/>
      <w:r w:rsidR="002B22C9">
        <w:t>Middha</w:t>
      </w:r>
      <w:proofErr w:type="spellEnd"/>
      <w:r w:rsidR="002B22C9">
        <w:t xml:space="preserve"> and Lewis, 2021)</w:t>
      </w:r>
      <w:r w:rsidR="00C27492" w:rsidRPr="00C27492">
        <w:t>.</w:t>
      </w:r>
    </w:p>
    <w:p w14:paraId="7775EC7A" w14:textId="0ED7050E" w:rsidR="00C27492" w:rsidRDefault="00710E8A" w:rsidP="00326AA3">
      <w:pPr>
        <w:numPr>
          <w:ilvl w:val="0"/>
          <w:numId w:val="22"/>
        </w:numPr>
        <w:spacing w:line="360" w:lineRule="auto"/>
      </w:pPr>
      <w:r w:rsidRPr="00710E8A">
        <w:t xml:space="preserve">Safety and Compliance: </w:t>
      </w:r>
      <w:r w:rsidR="00C27492" w:rsidRPr="00C27492">
        <w:t>Respect all laws pertaining to fire safety, health and safety, and accessibility on the property. Maintain a clean and safe environment for personnel and consumers by performing routine inspections and maintenance</w:t>
      </w:r>
      <w:r w:rsidR="002B22C9">
        <w:t xml:space="preserve"> (</w:t>
      </w:r>
      <w:proofErr w:type="spellStart"/>
      <w:r w:rsidR="002B22C9">
        <w:t>Boustani</w:t>
      </w:r>
      <w:proofErr w:type="spellEnd"/>
      <w:r w:rsidR="002B22C9">
        <w:t>, 2021)</w:t>
      </w:r>
      <w:r w:rsidR="00C27492" w:rsidRPr="00C27492">
        <w:t>.</w:t>
      </w:r>
    </w:p>
    <w:p w14:paraId="375E26B6" w14:textId="04D86644" w:rsidR="00710E8A" w:rsidRDefault="00710E8A" w:rsidP="00326AA3">
      <w:pPr>
        <w:numPr>
          <w:ilvl w:val="0"/>
          <w:numId w:val="22"/>
        </w:numPr>
        <w:spacing w:line="360" w:lineRule="auto"/>
      </w:pPr>
      <w:r w:rsidRPr="00710E8A">
        <w:t xml:space="preserve">Event Planning: </w:t>
      </w:r>
      <w:r w:rsidR="00C27492" w:rsidRPr="00C27492">
        <w:t xml:space="preserve">To draw in more consumers over the course of the three months, consider </w:t>
      </w:r>
      <w:proofErr w:type="spellStart"/>
      <w:r w:rsidR="00C27492" w:rsidRPr="00C27492">
        <w:t>organising</w:t>
      </w:r>
      <w:proofErr w:type="spellEnd"/>
      <w:r w:rsidR="00C27492" w:rsidRPr="00C27492">
        <w:t xml:space="preserve"> special events or promotions like themed evenings, holiday specials, or partnerships with nearby companies or organisations</w:t>
      </w:r>
      <w:r w:rsidR="00C14BF2">
        <w:t xml:space="preserve"> (Page, 2019)</w:t>
      </w:r>
      <w:r w:rsidR="00C27492" w:rsidRPr="00C27492">
        <w:t>.</w:t>
      </w:r>
    </w:p>
    <w:p w14:paraId="459AF54E" w14:textId="609B2148" w:rsidR="00C27492" w:rsidRDefault="00C27492" w:rsidP="00326AA3">
      <w:pPr>
        <w:spacing w:line="360" w:lineRule="auto"/>
      </w:pPr>
      <w:r w:rsidRPr="00C27492">
        <w:t>The "Taj Mahal" Indian Restaurant can provide clients with a successful and memorable pop-up restaurant experience throughout the Christmas season at the specified premises in Swansea by meticulously preparing and carrying out these logistical and event setup requirements.</w:t>
      </w:r>
    </w:p>
    <w:p w14:paraId="5D832F18" w14:textId="194AF05B" w:rsidR="002216E1" w:rsidRPr="009735E9" w:rsidRDefault="002216E1" w:rsidP="00326AA3">
      <w:pPr>
        <w:pStyle w:val="Heading2"/>
        <w:spacing w:line="360" w:lineRule="auto"/>
        <w:rPr>
          <w:rFonts w:ascii="Arial" w:hAnsi="Arial" w:cs="Arial"/>
        </w:rPr>
      </w:pPr>
      <w:bookmarkStart w:id="6" w:name="_Toc132128845"/>
      <w:r w:rsidRPr="009735E9">
        <w:rPr>
          <w:rFonts w:ascii="Arial" w:hAnsi="Arial" w:cs="Arial"/>
        </w:rPr>
        <w:lastRenderedPageBreak/>
        <w:t>Gantt chart</w:t>
      </w:r>
      <w:bookmarkEnd w:id="6"/>
      <w:r w:rsidRPr="009735E9">
        <w:rPr>
          <w:rFonts w:ascii="Arial" w:hAnsi="Arial" w:cs="Arial"/>
        </w:rPr>
        <w:t xml:space="preserve"> </w:t>
      </w:r>
    </w:p>
    <w:tbl>
      <w:tblPr>
        <w:tblStyle w:val="TableGrid"/>
        <w:tblW w:w="5000" w:type="pct"/>
        <w:tblLook w:val="04A0" w:firstRow="1" w:lastRow="0" w:firstColumn="1" w:lastColumn="0" w:noHBand="0" w:noVBand="1"/>
      </w:tblPr>
      <w:tblGrid>
        <w:gridCol w:w="1627"/>
        <w:gridCol w:w="623"/>
        <w:gridCol w:w="678"/>
        <w:gridCol w:w="678"/>
        <w:gridCol w:w="678"/>
        <w:gridCol w:w="678"/>
        <w:gridCol w:w="678"/>
        <w:gridCol w:w="665"/>
        <w:gridCol w:w="665"/>
        <w:gridCol w:w="665"/>
        <w:gridCol w:w="665"/>
        <w:gridCol w:w="638"/>
        <w:gridCol w:w="638"/>
      </w:tblGrid>
      <w:tr w:rsidR="001D13B0" w:rsidRPr="001D13B0" w14:paraId="33CDC2F9" w14:textId="430A1EF1" w:rsidTr="00F32320">
        <w:tc>
          <w:tcPr>
            <w:tcW w:w="850" w:type="pct"/>
            <w:tcBorders>
              <w:top w:val="single" w:sz="4" w:space="0" w:color="auto"/>
              <w:left w:val="single" w:sz="4" w:space="0" w:color="auto"/>
              <w:bottom w:val="single" w:sz="4" w:space="0" w:color="auto"/>
              <w:right w:val="single" w:sz="4" w:space="0" w:color="auto"/>
            </w:tcBorders>
            <w:hideMark/>
          </w:tcPr>
          <w:p w14:paraId="145F100C" w14:textId="77777777" w:rsidR="001D13B0" w:rsidRPr="001D13B0" w:rsidRDefault="001D13B0" w:rsidP="00326AA3">
            <w:pPr>
              <w:spacing w:line="360" w:lineRule="auto"/>
              <w:rPr>
                <w:rFonts w:cs="Arial"/>
                <w:b/>
                <w:sz w:val="20"/>
                <w:szCs w:val="20"/>
              </w:rPr>
            </w:pPr>
            <w:r w:rsidRPr="001D13B0">
              <w:rPr>
                <w:rFonts w:cs="Arial"/>
                <w:b/>
                <w:sz w:val="20"/>
                <w:szCs w:val="20"/>
              </w:rPr>
              <w:t>Activities</w:t>
            </w:r>
          </w:p>
        </w:tc>
        <w:tc>
          <w:tcPr>
            <w:tcW w:w="326" w:type="pct"/>
            <w:tcBorders>
              <w:top w:val="single" w:sz="4" w:space="0" w:color="auto"/>
              <w:left w:val="single" w:sz="4" w:space="0" w:color="auto"/>
              <w:bottom w:val="single" w:sz="4" w:space="0" w:color="auto"/>
              <w:right w:val="single" w:sz="4" w:space="0" w:color="auto"/>
            </w:tcBorders>
            <w:hideMark/>
          </w:tcPr>
          <w:p w14:paraId="1DF75708" w14:textId="00A623A8" w:rsidR="001D13B0" w:rsidRPr="001D13B0" w:rsidRDefault="001D13B0" w:rsidP="00326AA3">
            <w:pPr>
              <w:spacing w:line="360" w:lineRule="auto"/>
              <w:rPr>
                <w:rFonts w:cs="Arial"/>
                <w:b/>
                <w:sz w:val="20"/>
                <w:szCs w:val="20"/>
              </w:rPr>
            </w:pPr>
            <w:r w:rsidRPr="001D13B0">
              <w:rPr>
                <w:rFonts w:cs="Arial"/>
                <w:b/>
                <w:sz w:val="20"/>
                <w:szCs w:val="20"/>
              </w:rPr>
              <w:t>16 Oct – 23 Oct</w:t>
            </w:r>
          </w:p>
        </w:tc>
        <w:tc>
          <w:tcPr>
            <w:tcW w:w="354" w:type="pct"/>
            <w:tcBorders>
              <w:top w:val="single" w:sz="4" w:space="0" w:color="auto"/>
              <w:left w:val="single" w:sz="4" w:space="0" w:color="auto"/>
              <w:bottom w:val="single" w:sz="4" w:space="0" w:color="auto"/>
              <w:right w:val="single" w:sz="4" w:space="0" w:color="auto"/>
            </w:tcBorders>
            <w:hideMark/>
          </w:tcPr>
          <w:p w14:paraId="34D28A00" w14:textId="31F9DC64" w:rsidR="001D13B0" w:rsidRPr="001D13B0" w:rsidRDefault="001D13B0" w:rsidP="00326AA3">
            <w:pPr>
              <w:spacing w:line="360" w:lineRule="auto"/>
              <w:rPr>
                <w:rFonts w:cs="Arial"/>
                <w:b/>
                <w:sz w:val="20"/>
                <w:szCs w:val="20"/>
              </w:rPr>
            </w:pPr>
            <w:r w:rsidRPr="001D13B0">
              <w:rPr>
                <w:rFonts w:cs="Arial"/>
                <w:b/>
                <w:sz w:val="20"/>
                <w:szCs w:val="20"/>
              </w:rPr>
              <w:t>24 Oct –1 Nov</w:t>
            </w:r>
          </w:p>
        </w:tc>
        <w:tc>
          <w:tcPr>
            <w:tcW w:w="354" w:type="pct"/>
            <w:tcBorders>
              <w:top w:val="single" w:sz="4" w:space="0" w:color="auto"/>
              <w:left w:val="single" w:sz="4" w:space="0" w:color="auto"/>
              <w:bottom w:val="single" w:sz="4" w:space="0" w:color="auto"/>
              <w:right w:val="single" w:sz="4" w:space="0" w:color="auto"/>
            </w:tcBorders>
            <w:hideMark/>
          </w:tcPr>
          <w:p w14:paraId="0C04EF68" w14:textId="6F699D7A" w:rsidR="001D13B0" w:rsidRPr="001D13B0" w:rsidRDefault="001D13B0" w:rsidP="00326AA3">
            <w:pPr>
              <w:spacing w:line="360" w:lineRule="auto"/>
              <w:rPr>
                <w:rFonts w:cs="Arial"/>
                <w:b/>
                <w:sz w:val="20"/>
                <w:szCs w:val="20"/>
              </w:rPr>
            </w:pPr>
            <w:r w:rsidRPr="001D13B0">
              <w:rPr>
                <w:rFonts w:cs="Arial"/>
                <w:b/>
                <w:sz w:val="20"/>
                <w:szCs w:val="20"/>
              </w:rPr>
              <w:t>2 Nov – 9 Nov</w:t>
            </w:r>
          </w:p>
        </w:tc>
        <w:tc>
          <w:tcPr>
            <w:tcW w:w="354" w:type="pct"/>
            <w:tcBorders>
              <w:top w:val="single" w:sz="4" w:space="0" w:color="auto"/>
              <w:left w:val="single" w:sz="4" w:space="0" w:color="auto"/>
              <w:bottom w:val="single" w:sz="4" w:space="0" w:color="auto"/>
              <w:right w:val="single" w:sz="4" w:space="0" w:color="auto"/>
            </w:tcBorders>
            <w:hideMark/>
          </w:tcPr>
          <w:p w14:paraId="34610E3F" w14:textId="2DA65ADE" w:rsidR="001D13B0" w:rsidRPr="001D13B0" w:rsidRDefault="001D13B0" w:rsidP="00326AA3">
            <w:pPr>
              <w:spacing w:line="360" w:lineRule="auto"/>
              <w:rPr>
                <w:rFonts w:cs="Arial"/>
                <w:b/>
                <w:sz w:val="20"/>
                <w:szCs w:val="20"/>
              </w:rPr>
            </w:pPr>
            <w:r w:rsidRPr="001D13B0">
              <w:rPr>
                <w:rFonts w:cs="Arial"/>
                <w:b/>
                <w:sz w:val="20"/>
                <w:szCs w:val="20"/>
              </w:rPr>
              <w:t>9 Nov – 16 Nov</w:t>
            </w:r>
          </w:p>
        </w:tc>
        <w:tc>
          <w:tcPr>
            <w:tcW w:w="354" w:type="pct"/>
            <w:tcBorders>
              <w:top w:val="single" w:sz="4" w:space="0" w:color="auto"/>
              <w:left w:val="single" w:sz="4" w:space="0" w:color="auto"/>
              <w:bottom w:val="single" w:sz="4" w:space="0" w:color="auto"/>
              <w:right w:val="single" w:sz="4" w:space="0" w:color="auto"/>
            </w:tcBorders>
            <w:hideMark/>
          </w:tcPr>
          <w:p w14:paraId="0A6C59D6" w14:textId="7C4548A8" w:rsidR="001D13B0" w:rsidRPr="001D13B0" w:rsidRDefault="001D13B0" w:rsidP="00326AA3">
            <w:pPr>
              <w:spacing w:line="360" w:lineRule="auto"/>
              <w:rPr>
                <w:rFonts w:cs="Arial"/>
                <w:b/>
                <w:sz w:val="20"/>
                <w:szCs w:val="20"/>
              </w:rPr>
            </w:pPr>
            <w:r w:rsidRPr="001D13B0">
              <w:rPr>
                <w:rFonts w:cs="Arial"/>
                <w:b/>
                <w:sz w:val="20"/>
                <w:szCs w:val="20"/>
              </w:rPr>
              <w:t>17 Nov – 24 Nov</w:t>
            </w:r>
          </w:p>
        </w:tc>
        <w:tc>
          <w:tcPr>
            <w:tcW w:w="354" w:type="pct"/>
            <w:tcBorders>
              <w:top w:val="single" w:sz="4" w:space="0" w:color="auto"/>
              <w:left w:val="single" w:sz="4" w:space="0" w:color="auto"/>
              <w:bottom w:val="single" w:sz="4" w:space="0" w:color="auto"/>
              <w:right w:val="single" w:sz="4" w:space="0" w:color="auto"/>
            </w:tcBorders>
            <w:hideMark/>
          </w:tcPr>
          <w:p w14:paraId="79BF1D23" w14:textId="6B0DFFD3" w:rsidR="001D13B0" w:rsidRPr="001D13B0" w:rsidRDefault="001D13B0" w:rsidP="00326AA3">
            <w:pPr>
              <w:spacing w:line="360" w:lineRule="auto"/>
              <w:rPr>
                <w:rFonts w:cs="Arial"/>
                <w:b/>
                <w:sz w:val="20"/>
                <w:szCs w:val="20"/>
              </w:rPr>
            </w:pPr>
            <w:r w:rsidRPr="001D13B0">
              <w:rPr>
                <w:rFonts w:cs="Arial"/>
                <w:b/>
                <w:sz w:val="20"/>
                <w:szCs w:val="20"/>
              </w:rPr>
              <w:t>25 Nov – 1 Dec</w:t>
            </w:r>
          </w:p>
        </w:tc>
        <w:tc>
          <w:tcPr>
            <w:tcW w:w="347" w:type="pct"/>
            <w:tcBorders>
              <w:top w:val="single" w:sz="4" w:space="0" w:color="auto"/>
              <w:left w:val="single" w:sz="4" w:space="0" w:color="auto"/>
              <w:bottom w:val="single" w:sz="4" w:space="0" w:color="auto"/>
              <w:right w:val="single" w:sz="4" w:space="0" w:color="auto"/>
            </w:tcBorders>
          </w:tcPr>
          <w:p w14:paraId="371F3A59" w14:textId="341F807E" w:rsidR="001D13B0" w:rsidRPr="001D13B0" w:rsidRDefault="001D13B0" w:rsidP="00326AA3">
            <w:pPr>
              <w:spacing w:line="360" w:lineRule="auto"/>
              <w:rPr>
                <w:rFonts w:cs="Arial"/>
                <w:b/>
                <w:sz w:val="20"/>
                <w:szCs w:val="20"/>
              </w:rPr>
            </w:pPr>
            <w:r w:rsidRPr="001D13B0">
              <w:rPr>
                <w:rFonts w:cs="Arial"/>
                <w:b/>
                <w:sz w:val="20"/>
                <w:szCs w:val="20"/>
              </w:rPr>
              <w:t>2 Dec – 9 Dec</w:t>
            </w:r>
          </w:p>
        </w:tc>
        <w:tc>
          <w:tcPr>
            <w:tcW w:w="347" w:type="pct"/>
            <w:tcBorders>
              <w:top w:val="single" w:sz="4" w:space="0" w:color="auto"/>
              <w:left w:val="single" w:sz="4" w:space="0" w:color="auto"/>
              <w:bottom w:val="single" w:sz="4" w:space="0" w:color="auto"/>
              <w:right w:val="single" w:sz="4" w:space="0" w:color="auto"/>
            </w:tcBorders>
          </w:tcPr>
          <w:p w14:paraId="1DFE1BDE" w14:textId="36C4BDAE" w:rsidR="001D13B0" w:rsidRPr="001D13B0" w:rsidRDefault="001D13B0" w:rsidP="00326AA3">
            <w:pPr>
              <w:spacing w:line="360" w:lineRule="auto"/>
              <w:rPr>
                <w:rFonts w:cs="Arial"/>
                <w:b/>
                <w:sz w:val="20"/>
                <w:szCs w:val="20"/>
              </w:rPr>
            </w:pPr>
            <w:r w:rsidRPr="001D13B0">
              <w:rPr>
                <w:rFonts w:cs="Arial"/>
                <w:b/>
                <w:sz w:val="20"/>
                <w:szCs w:val="20"/>
              </w:rPr>
              <w:t>10 Dec – 15 Dec</w:t>
            </w:r>
          </w:p>
        </w:tc>
        <w:tc>
          <w:tcPr>
            <w:tcW w:w="347" w:type="pct"/>
            <w:tcBorders>
              <w:top w:val="single" w:sz="4" w:space="0" w:color="auto"/>
              <w:left w:val="single" w:sz="4" w:space="0" w:color="auto"/>
              <w:bottom w:val="single" w:sz="4" w:space="0" w:color="auto"/>
              <w:right w:val="single" w:sz="4" w:space="0" w:color="auto"/>
            </w:tcBorders>
          </w:tcPr>
          <w:p w14:paraId="17BC4A20" w14:textId="081A8BA9" w:rsidR="001D13B0" w:rsidRPr="001D13B0" w:rsidRDefault="001D13B0" w:rsidP="00326AA3">
            <w:pPr>
              <w:spacing w:line="360" w:lineRule="auto"/>
              <w:rPr>
                <w:rFonts w:cs="Arial"/>
                <w:b/>
                <w:sz w:val="20"/>
                <w:szCs w:val="20"/>
              </w:rPr>
            </w:pPr>
            <w:r w:rsidRPr="001D13B0">
              <w:rPr>
                <w:rFonts w:cs="Arial"/>
                <w:b/>
                <w:sz w:val="20"/>
                <w:szCs w:val="20"/>
              </w:rPr>
              <w:t>16 Dec -23 Dec</w:t>
            </w:r>
          </w:p>
        </w:tc>
        <w:tc>
          <w:tcPr>
            <w:tcW w:w="347" w:type="pct"/>
            <w:tcBorders>
              <w:top w:val="single" w:sz="4" w:space="0" w:color="auto"/>
              <w:left w:val="single" w:sz="4" w:space="0" w:color="auto"/>
              <w:bottom w:val="single" w:sz="4" w:space="0" w:color="auto"/>
              <w:right w:val="single" w:sz="4" w:space="0" w:color="auto"/>
            </w:tcBorders>
          </w:tcPr>
          <w:p w14:paraId="6BDD67A9" w14:textId="0F368DC3" w:rsidR="001D13B0" w:rsidRPr="001D13B0" w:rsidRDefault="001D13B0" w:rsidP="00326AA3">
            <w:pPr>
              <w:spacing w:line="360" w:lineRule="auto"/>
              <w:rPr>
                <w:rFonts w:cs="Arial"/>
                <w:b/>
                <w:sz w:val="20"/>
                <w:szCs w:val="20"/>
              </w:rPr>
            </w:pPr>
            <w:r w:rsidRPr="001D13B0">
              <w:rPr>
                <w:rFonts w:cs="Arial"/>
                <w:b/>
                <w:sz w:val="20"/>
                <w:szCs w:val="20"/>
              </w:rPr>
              <w:t>24 Dec – 1 Jan</w:t>
            </w:r>
          </w:p>
        </w:tc>
        <w:tc>
          <w:tcPr>
            <w:tcW w:w="333" w:type="pct"/>
            <w:tcBorders>
              <w:top w:val="single" w:sz="4" w:space="0" w:color="auto"/>
              <w:left w:val="single" w:sz="4" w:space="0" w:color="auto"/>
              <w:bottom w:val="single" w:sz="4" w:space="0" w:color="auto"/>
              <w:right w:val="single" w:sz="4" w:space="0" w:color="auto"/>
            </w:tcBorders>
          </w:tcPr>
          <w:p w14:paraId="59811B16" w14:textId="3AC99A66" w:rsidR="001D13B0" w:rsidRPr="001D13B0" w:rsidRDefault="001D13B0" w:rsidP="00326AA3">
            <w:pPr>
              <w:spacing w:line="360" w:lineRule="auto"/>
              <w:rPr>
                <w:rFonts w:cs="Arial"/>
                <w:b/>
                <w:sz w:val="20"/>
                <w:szCs w:val="20"/>
              </w:rPr>
            </w:pPr>
            <w:r w:rsidRPr="001D13B0">
              <w:rPr>
                <w:rFonts w:cs="Arial"/>
                <w:b/>
                <w:sz w:val="20"/>
                <w:szCs w:val="20"/>
              </w:rPr>
              <w:t>2 Jan – 9 Jan</w:t>
            </w:r>
          </w:p>
        </w:tc>
        <w:tc>
          <w:tcPr>
            <w:tcW w:w="333" w:type="pct"/>
            <w:tcBorders>
              <w:top w:val="single" w:sz="4" w:space="0" w:color="auto"/>
              <w:left w:val="single" w:sz="4" w:space="0" w:color="auto"/>
              <w:bottom w:val="single" w:sz="4" w:space="0" w:color="auto"/>
              <w:right w:val="single" w:sz="4" w:space="0" w:color="auto"/>
            </w:tcBorders>
          </w:tcPr>
          <w:p w14:paraId="7651ED7F" w14:textId="6AABEFB5" w:rsidR="001D13B0" w:rsidRPr="001D13B0" w:rsidRDefault="001D13B0" w:rsidP="00326AA3">
            <w:pPr>
              <w:spacing w:line="360" w:lineRule="auto"/>
              <w:rPr>
                <w:rFonts w:cs="Arial"/>
                <w:b/>
                <w:sz w:val="20"/>
                <w:szCs w:val="20"/>
              </w:rPr>
            </w:pPr>
            <w:r w:rsidRPr="001D13B0">
              <w:rPr>
                <w:rFonts w:cs="Arial"/>
                <w:b/>
                <w:sz w:val="20"/>
                <w:szCs w:val="20"/>
              </w:rPr>
              <w:t xml:space="preserve">10 Jan – 15 Jan </w:t>
            </w:r>
          </w:p>
        </w:tc>
      </w:tr>
      <w:tr w:rsidR="001D13B0" w:rsidRPr="001D13B0" w14:paraId="10D23FC8" w14:textId="40111B32" w:rsidTr="00F32320">
        <w:trPr>
          <w:trHeight w:val="683"/>
        </w:trPr>
        <w:tc>
          <w:tcPr>
            <w:tcW w:w="850" w:type="pct"/>
            <w:tcBorders>
              <w:top w:val="single" w:sz="4" w:space="0" w:color="auto"/>
              <w:left w:val="single" w:sz="4" w:space="0" w:color="auto"/>
              <w:bottom w:val="single" w:sz="4" w:space="0" w:color="auto"/>
              <w:right w:val="single" w:sz="4" w:space="0" w:color="auto"/>
            </w:tcBorders>
            <w:vAlign w:val="bottom"/>
            <w:hideMark/>
          </w:tcPr>
          <w:p w14:paraId="77BD9CA6" w14:textId="4D6DB92C" w:rsidR="001D13B0" w:rsidRPr="001D13B0" w:rsidRDefault="001D13B0" w:rsidP="00326AA3">
            <w:pPr>
              <w:spacing w:line="360" w:lineRule="auto"/>
              <w:rPr>
                <w:rFonts w:cs="Arial"/>
                <w:sz w:val="20"/>
                <w:szCs w:val="20"/>
              </w:rPr>
            </w:pPr>
            <w:r w:rsidRPr="001D13B0">
              <w:rPr>
                <w:sz w:val="20"/>
                <w:szCs w:val="20"/>
              </w:rPr>
              <w:t>Lease Agreement and Necessary Permits</w:t>
            </w:r>
          </w:p>
        </w:tc>
        <w:tc>
          <w:tcPr>
            <w:tcW w:w="326" w:type="pct"/>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402F9679"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7CAC77B2"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7F78DC66"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5AAC3541"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1B83F6BA"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309CF791"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tcPr>
          <w:p w14:paraId="6E86CC43"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tcPr>
          <w:p w14:paraId="1A2C1B1C"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tcPr>
          <w:p w14:paraId="648196D5"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tcPr>
          <w:p w14:paraId="265FAF79" w14:textId="77777777" w:rsidR="001D13B0" w:rsidRPr="001D13B0" w:rsidRDefault="001D13B0" w:rsidP="00326AA3">
            <w:pPr>
              <w:spacing w:line="360" w:lineRule="auto"/>
              <w:rPr>
                <w:rFonts w:cs="Arial"/>
                <w:sz w:val="20"/>
                <w:szCs w:val="20"/>
              </w:rPr>
            </w:pPr>
          </w:p>
        </w:tc>
        <w:tc>
          <w:tcPr>
            <w:tcW w:w="333" w:type="pct"/>
            <w:tcBorders>
              <w:top w:val="single" w:sz="4" w:space="0" w:color="auto"/>
              <w:left w:val="single" w:sz="4" w:space="0" w:color="auto"/>
              <w:bottom w:val="single" w:sz="4" w:space="0" w:color="auto"/>
              <w:right w:val="single" w:sz="4" w:space="0" w:color="auto"/>
            </w:tcBorders>
          </w:tcPr>
          <w:p w14:paraId="11934407" w14:textId="77777777" w:rsidR="001D13B0" w:rsidRPr="001D13B0" w:rsidRDefault="001D13B0" w:rsidP="00326AA3">
            <w:pPr>
              <w:spacing w:line="360" w:lineRule="auto"/>
              <w:rPr>
                <w:rFonts w:cs="Arial"/>
                <w:sz w:val="20"/>
                <w:szCs w:val="20"/>
              </w:rPr>
            </w:pPr>
          </w:p>
        </w:tc>
        <w:tc>
          <w:tcPr>
            <w:tcW w:w="333" w:type="pct"/>
            <w:tcBorders>
              <w:top w:val="single" w:sz="4" w:space="0" w:color="auto"/>
              <w:left w:val="single" w:sz="4" w:space="0" w:color="auto"/>
              <w:bottom w:val="single" w:sz="4" w:space="0" w:color="auto"/>
              <w:right w:val="single" w:sz="4" w:space="0" w:color="auto"/>
            </w:tcBorders>
          </w:tcPr>
          <w:p w14:paraId="6B4D22F4" w14:textId="77777777" w:rsidR="001D13B0" w:rsidRPr="001D13B0" w:rsidRDefault="001D13B0" w:rsidP="00326AA3">
            <w:pPr>
              <w:spacing w:line="360" w:lineRule="auto"/>
              <w:rPr>
                <w:rFonts w:cs="Arial"/>
                <w:sz w:val="20"/>
                <w:szCs w:val="20"/>
              </w:rPr>
            </w:pPr>
          </w:p>
        </w:tc>
      </w:tr>
      <w:tr w:rsidR="001D13B0" w:rsidRPr="001D13B0" w14:paraId="691A47F2" w14:textId="0942EA06" w:rsidTr="00F32320">
        <w:tc>
          <w:tcPr>
            <w:tcW w:w="850" w:type="pct"/>
            <w:tcBorders>
              <w:top w:val="single" w:sz="4" w:space="0" w:color="auto"/>
              <w:left w:val="single" w:sz="4" w:space="0" w:color="auto"/>
              <w:bottom w:val="single" w:sz="4" w:space="0" w:color="auto"/>
              <w:right w:val="single" w:sz="4" w:space="0" w:color="auto"/>
            </w:tcBorders>
            <w:vAlign w:val="bottom"/>
            <w:hideMark/>
          </w:tcPr>
          <w:p w14:paraId="6CE5A7C8" w14:textId="04E9DD75" w:rsidR="001D13B0" w:rsidRPr="001D13B0" w:rsidRDefault="001D13B0" w:rsidP="00326AA3">
            <w:pPr>
              <w:spacing w:line="360" w:lineRule="auto"/>
              <w:rPr>
                <w:rFonts w:cs="Arial"/>
                <w:sz w:val="20"/>
                <w:szCs w:val="20"/>
              </w:rPr>
            </w:pPr>
            <w:r w:rsidRPr="001D13B0">
              <w:rPr>
                <w:sz w:val="20"/>
                <w:szCs w:val="20"/>
              </w:rPr>
              <w:t>Restaurant Setup and HR management</w:t>
            </w:r>
          </w:p>
        </w:tc>
        <w:tc>
          <w:tcPr>
            <w:tcW w:w="326" w:type="pct"/>
            <w:tcBorders>
              <w:top w:val="single" w:sz="4" w:space="0" w:color="auto"/>
              <w:left w:val="single" w:sz="4" w:space="0" w:color="auto"/>
              <w:bottom w:val="single" w:sz="4" w:space="0" w:color="auto"/>
              <w:right w:val="single" w:sz="4" w:space="0" w:color="auto"/>
            </w:tcBorders>
          </w:tcPr>
          <w:p w14:paraId="4162927A"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7D9A1EAB"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C9789D9"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7C9009E4"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3CD87BA5"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580C40AE"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tcPr>
          <w:p w14:paraId="5CD086DD"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tcPr>
          <w:p w14:paraId="340513E9"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tcPr>
          <w:p w14:paraId="207ADCDA"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tcPr>
          <w:p w14:paraId="61FCBC91" w14:textId="77777777" w:rsidR="001D13B0" w:rsidRPr="001D13B0" w:rsidRDefault="001D13B0" w:rsidP="00326AA3">
            <w:pPr>
              <w:spacing w:line="360" w:lineRule="auto"/>
              <w:rPr>
                <w:rFonts w:cs="Arial"/>
                <w:sz w:val="20"/>
                <w:szCs w:val="20"/>
              </w:rPr>
            </w:pPr>
          </w:p>
        </w:tc>
        <w:tc>
          <w:tcPr>
            <w:tcW w:w="333" w:type="pct"/>
            <w:tcBorders>
              <w:top w:val="single" w:sz="4" w:space="0" w:color="auto"/>
              <w:left w:val="single" w:sz="4" w:space="0" w:color="auto"/>
              <w:bottom w:val="single" w:sz="4" w:space="0" w:color="auto"/>
              <w:right w:val="single" w:sz="4" w:space="0" w:color="auto"/>
            </w:tcBorders>
          </w:tcPr>
          <w:p w14:paraId="3E043719" w14:textId="77777777" w:rsidR="001D13B0" w:rsidRPr="001D13B0" w:rsidRDefault="001D13B0" w:rsidP="00326AA3">
            <w:pPr>
              <w:spacing w:line="360" w:lineRule="auto"/>
              <w:rPr>
                <w:rFonts w:cs="Arial"/>
                <w:sz w:val="20"/>
                <w:szCs w:val="20"/>
              </w:rPr>
            </w:pPr>
          </w:p>
        </w:tc>
        <w:tc>
          <w:tcPr>
            <w:tcW w:w="333" w:type="pct"/>
            <w:tcBorders>
              <w:top w:val="single" w:sz="4" w:space="0" w:color="auto"/>
              <w:left w:val="single" w:sz="4" w:space="0" w:color="auto"/>
              <w:bottom w:val="single" w:sz="4" w:space="0" w:color="auto"/>
              <w:right w:val="single" w:sz="4" w:space="0" w:color="auto"/>
            </w:tcBorders>
          </w:tcPr>
          <w:p w14:paraId="67189390" w14:textId="77777777" w:rsidR="001D13B0" w:rsidRPr="001D13B0" w:rsidRDefault="001D13B0" w:rsidP="00326AA3">
            <w:pPr>
              <w:spacing w:line="360" w:lineRule="auto"/>
              <w:rPr>
                <w:rFonts w:cs="Arial"/>
                <w:sz w:val="20"/>
                <w:szCs w:val="20"/>
              </w:rPr>
            </w:pPr>
          </w:p>
        </w:tc>
      </w:tr>
      <w:tr w:rsidR="001D13B0" w:rsidRPr="001D13B0" w14:paraId="044F5306" w14:textId="34E1DBAC" w:rsidTr="00F32320">
        <w:tc>
          <w:tcPr>
            <w:tcW w:w="850" w:type="pct"/>
            <w:tcBorders>
              <w:top w:val="single" w:sz="4" w:space="0" w:color="auto"/>
              <w:left w:val="single" w:sz="4" w:space="0" w:color="auto"/>
              <w:bottom w:val="single" w:sz="4" w:space="0" w:color="auto"/>
              <w:right w:val="single" w:sz="4" w:space="0" w:color="auto"/>
            </w:tcBorders>
            <w:vAlign w:val="bottom"/>
            <w:hideMark/>
          </w:tcPr>
          <w:p w14:paraId="30470EF8" w14:textId="153FB083" w:rsidR="001D13B0" w:rsidRPr="001D13B0" w:rsidRDefault="001D13B0" w:rsidP="00326AA3">
            <w:pPr>
              <w:spacing w:line="360" w:lineRule="auto"/>
              <w:rPr>
                <w:rFonts w:cs="Arial"/>
                <w:sz w:val="20"/>
                <w:szCs w:val="20"/>
              </w:rPr>
            </w:pPr>
            <w:r w:rsidRPr="001D13B0">
              <w:rPr>
                <w:rFonts w:cs="Arial"/>
                <w:sz w:val="20"/>
                <w:szCs w:val="20"/>
              </w:rPr>
              <w:t xml:space="preserve">Operations and finance management </w:t>
            </w:r>
          </w:p>
        </w:tc>
        <w:tc>
          <w:tcPr>
            <w:tcW w:w="326" w:type="pct"/>
            <w:tcBorders>
              <w:top w:val="single" w:sz="4" w:space="0" w:color="auto"/>
              <w:left w:val="single" w:sz="4" w:space="0" w:color="auto"/>
              <w:bottom w:val="single" w:sz="4" w:space="0" w:color="auto"/>
              <w:right w:val="single" w:sz="4" w:space="0" w:color="auto"/>
            </w:tcBorders>
          </w:tcPr>
          <w:p w14:paraId="311603D5"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349DBDA6"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228156C8"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6EB0973"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1D675F8"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6B7861DD"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tcPr>
          <w:p w14:paraId="1DE7E102"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tcPr>
          <w:p w14:paraId="52617616"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tcPr>
          <w:p w14:paraId="12B1750B"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tcPr>
          <w:p w14:paraId="67FA1F0A" w14:textId="77777777" w:rsidR="001D13B0" w:rsidRPr="001D13B0" w:rsidRDefault="001D13B0" w:rsidP="00326AA3">
            <w:pPr>
              <w:spacing w:line="360" w:lineRule="auto"/>
              <w:rPr>
                <w:rFonts w:cs="Arial"/>
                <w:sz w:val="20"/>
                <w:szCs w:val="20"/>
              </w:rPr>
            </w:pPr>
          </w:p>
        </w:tc>
        <w:tc>
          <w:tcPr>
            <w:tcW w:w="333" w:type="pct"/>
            <w:tcBorders>
              <w:top w:val="single" w:sz="4" w:space="0" w:color="auto"/>
              <w:left w:val="single" w:sz="4" w:space="0" w:color="auto"/>
              <w:bottom w:val="single" w:sz="4" w:space="0" w:color="auto"/>
              <w:right w:val="single" w:sz="4" w:space="0" w:color="auto"/>
            </w:tcBorders>
          </w:tcPr>
          <w:p w14:paraId="3C390759" w14:textId="77777777" w:rsidR="001D13B0" w:rsidRPr="001D13B0" w:rsidRDefault="001D13B0" w:rsidP="00326AA3">
            <w:pPr>
              <w:spacing w:line="360" w:lineRule="auto"/>
              <w:rPr>
                <w:rFonts w:cs="Arial"/>
                <w:sz w:val="20"/>
                <w:szCs w:val="20"/>
              </w:rPr>
            </w:pPr>
          </w:p>
        </w:tc>
        <w:tc>
          <w:tcPr>
            <w:tcW w:w="333" w:type="pct"/>
            <w:tcBorders>
              <w:top w:val="single" w:sz="4" w:space="0" w:color="auto"/>
              <w:left w:val="single" w:sz="4" w:space="0" w:color="auto"/>
              <w:bottom w:val="single" w:sz="4" w:space="0" w:color="auto"/>
              <w:right w:val="single" w:sz="4" w:space="0" w:color="auto"/>
            </w:tcBorders>
          </w:tcPr>
          <w:p w14:paraId="57B51F96" w14:textId="77777777" w:rsidR="001D13B0" w:rsidRPr="001D13B0" w:rsidRDefault="001D13B0" w:rsidP="00326AA3">
            <w:pPr>
              <w:spacing w:line="360" w:lineRule="auto"/>
              <w:rPr>
                <w:rFonts w:cs="Arial"/>
                <w:sz w:val="20"/>
                <w:szCs w:val="20"/>
              </w:rPr>
            </w:pPr>
          </w:p>
        </w:tc>
      </w:tr>
      <w:tr w:rsidR="001D13B0" w:rsidRPr="001D13B0" w14:paraId="70844D8B" w14:textId="5A89AFFB" w:rsidTr="00F32320">
        <w:tc>
          <w:tcPr>
            <w:tcW w:w="850" w:type="pct"/>
            <w:tcBorders>
              <w:top w:val="single" w:sz="4" w:space="0" w:color="auto"/>
              <w:left w:val="single" w:sz="4" w:space="0" w:color="auto"/>
              <w:bottom w:val="single" w:sz="4" w:space="0" w:color="auto"/>
              <w:right w:val="single" w:sz="4" w:space="0" w:color="auto"/>
            </w:tcBorders>
            <w:vAlign w:val="bottom"/>
            <w:hideMark/>
          </w:tcPr>
          <w:p w14:paraId="7230CAD8" w14:textId="7D2CF6F6" w:rsidR="001D13B0" w:rsidRPr="001D13B0" w:rsidRDefault="001D13B0" w:rsidP="00326AA3">
            <w:pPr>
              <w:spacing w:line="360" w:lineRule="auto"/>
              <w:rPr>
                <w:rFonts w:cs="Arial"/>
                <w:sz w:val="20"/>
                <w:szCs w:val="20"/>
              </w:rPr>
            </w:pPr>
            <w:r w:rsidRPr="001D13B0">
              <w:rPr>
                <w:sz w:val="20"/>
                <w:szCs w:val="20"/>
              </w:rPr>
              <w:t>Menu Planning and Ordering</w:t>
            </w:r>
          </w:p>
        </w:tc>
        <w:tc>
          <w:tcPr>
            <w:tcW w:w="326" w:type="pct"/>
            <w:tcBorders>
              <w:top w:val="single" w:sz="4" w:space="0" w:color="auto"/>
              <w:left w:val="single" w:sz="4" w:space="0" w:color="auto"/>
              <w:bottom w:val="single" w:sz="4" w:space="0" w:color="auto"/>
              <w:right w:val="single" w:sz="4" w:space="0" w:color="auto"/>
            </w:tcBorders>
          </w:tcPr>
          <w:p w14:paraId="54E2AD1D"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17181A10"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12AC9A34"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02A46DD3"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7915DC37"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6AE1C66"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tcPr>
          <w:p w14:paraId="6CEDEC87"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tcPr>
          <w:p w14:paraId="031D4931"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tcPr>
          <w:p w14:paraId="0D29FB28"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tcPr>
          <w:p w14:paraId="7FB0AA07" w14:textId="77777777" w:rsidR="001D13B0" w:rsidRPr="001D13B0" w:rsidRDefault="001D13B0" w:rsidP="00326AA3">
            <w:pPr>
              <w:spacing w:line="360" w:lineRule="auto"/>
              <w:rPr>
                <w:rFonts w:cs="Arial"/>
                <w:sz w:val="20"/>
                <w:szCs w:val="20"/>
              </w:rPr>
            </w:pPr>
          </w:p>
        </w:tc>
        <w:tc>
          <w:tcPr>
            <w:tcW w:w="333" w:type="pct"/>
            <w:tcBorders>
              <w:top w:val="single" w:sz="4" w:space="0" w:color="auto"/>
              <w:left w:val="single" w:sz="4" w:space="0" w:color="auto"/>
              <w:bottom w:val="single" w:sz="4" w:space="0" w:color="auto"/>
              <w:right w:val="single" w:sz="4" w:space="0" w:color="auto"/>
            </w:tcBorders>
          </w:tcPr>
          <w:p w14:paraId="730174A5" w14:textId="77777777" w:rsidR="001D13B0" w:rsidRPr="001D13B0" w:rsidRDefault="001D13B0" w:rsidP="00326AA3">
            <w:pPr>
              <w:spacing w:line="360" w:lineRule="auto"/>
              <w:rPr>
                <w:rFonts w:cs="Arial"/>
                <w:sz w:val="20"/>
                <w:szCs w:val="20"/>
              </w:rPr>
            </w:pPr>
          </w:p>
        </w:tc>
        <w:tc>
          <w:tcPr>
            <w:tcW w:w="333" w:type="pct"/>
            <w:tcBorders>
              <w:top w:val="single" w:sz="4" w:space="0" w:color="auto"/>
              <w:left w:val="single" w:sz="4" w:space="0" w:color="auto"/>
              <w:bottom w:val="single" w:sz="4" w:space="0" w:color="auto"/>
              <w:right w:val="single" w:sz="4" w:space="0" w:color="auto"/>
            </w:tcBorders>
          </w:tcPr>
          <w:p w14:paraId="6F311F00" w14:textId="77777777" w:rsidR="001D13B0" w:rsidRPr="001D13B0" w:rsidRDefault="001D13B0" w:rsidP="00326AA3">
            <w:pPr>
              <w:spacing w:line="360" w:lineRule="auto"/>
              <w:rPr>
                <w:rFonts w:cs="Arial"/>
                <w:sz w:val="20"/>
                <w:szCs w:val="20"/>
              </w:rPr>
            </w:pPr>
          </w:p>
        </w:tc>
      </w:tr>
      <w:tr w:rsidR="001D13B0" w:rsidRPr="001D13B0" w14:paraId="56747106" w14:textId="4A7F35A4" w:rsidTr="00F32320">
        <w:trPr>
          <w:trHeight w:val="530"/>
        </w:trPr>
        <w:tc>
          <w:tcPr>
            <w:tcW w:w="850" w:type="pct"/>
            <w:tcBorders>
              <w:top w:val="single" w:sz="4" w:space="0" w:color="auto"/>
              <w:left w:val="single" w:sz="4" w:space="0" w:color="auto"/>
              <w:bottom w:val="single" w:sz="4" w:space="0" w:color="auto"/>
              <w:right w:val="single" w:sz="4" w:space="0" w:color="auto"/>
            </w:tcBorders>
            <w:vAlign w:val="bottom"/>
            <w:hideMark/>
          </w:tcPr>
          <w:p w14:paraId="1E9FBB32" w14:textId="655DB26F" w:rsidR="001D13B0" w:rsidRPr="001D13B0" w:rsidRDefault="001D13B0" w:rsidP="00326AA3">
            <w:pPr>
              <w:spacing w:line="360" w:lineRule="auto"/>
              <w:rPr>
                <w:rFonts w:cs="Arial"/>
                <w:sz w:val="20"/>
                <w:szCs w:val="20"/>
              </w:rPr>
            </w:pPr>
            <w:r w:rsidRPr="001D13B0">
              <w:rPr>
                <w:sz w:val="20"/>
                <w:szCs w:val="20"/>
              </w:rPr>
              <w:t>Marketing and Promotion</w:t>
            </w:r>
            <w:r>
              <w:rPr>
                <w:sz w:val="20"/>
                <w:szCs w:val="20"/>
              </w:rPr>
              <w:t xml:space="preserve"> with soft opening </w:t>
            </w:r>
          </w:p>
        </w:tc>
        <w:tc>
          <w:tcPr>
            <w:tcW w:w="326" w:type="pct"/>
            <w:tcBorders>
              <w:top w:val="single" w:sz="4" w:space="0" w:color="auto"/>
              <w:left w:val="single" w:sz="4" w:space="0" w:color="auto"/>
              <w:bottom w:val="single" w:sz="4" w:space="0" w:color="auto"/>
              <w:right w:val="single" w:sz="4" w:space="0" w:color="auto"/>
            </w:tcBorders>
          </w:tcPr>
          <w:p w14:paraId="70DD1DA4"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6DC70A6C"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07E7B62B"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5F443682"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56EBFD7B"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66832DF"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24BEB730"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72B6C789"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tcPr>
          <w:p w14:paraId="522F6863"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tcPr>
          <w:p w14:paraId="0A8B2F5E" w14:textId="77777777" w:rsidR="001D13B0" w:rsidRPr="001D13B0" w:rsidRDefault="001D13B0" w:rsidP="00326AA3">
            <w:pPr>
              <w:spacing w:line="360" w:lineRule="auto"/>
              <w:rPr>
                <w:rFonts w:cs="Arial"/>
                <w:sz w:val="20"/>
                <w:szCs w:val="20"/>
              </w:rPr>
            </w:pPr>
          </w:p>
        </w:tc>
        <w:tc>
          <w:tcPr>
            <w:tcW w:w="333" w:type="pct"/>
            <w:tcBorders>
              <w:top w:val="single" w:sz="4" w:space="0" w:color="auto"/>
              <w:left w:val="single" w:sz="4" w:space="0" w:color="auto"/>
              <w:bottom w:val="single" w:sz="4" w:space="0" w:color="auto"/>
              <w:right w:val="single" w:sz="4" w:space="0" w:color="auto"/>
            </w:tcBorders>
          </w:tcPr>
          <w:p w14:paraId="7A36D9B0" w14:textId="77777777" w:rsidR="001D13B0" w:rsidRPr="001D13B0" w:rsidRDefault="001D13B0" w:rsidP="00326AA3">
            <w:pPr>
              <w:spacing w:line="360" w:lineRule="auto"/>
              <w:rPr>
                <w:rFonts w:cs="Arial"/>
                <w:sz w:val="20"/>
                <w:szCs w:val="20"/>
              </w:rPr>
            </w:pPr>
          </w:p>
        </w:tc>
        <w:tc>
          <w:tcPr>
            <w:tcW w:w="333" w:type="pct"/>
            <w:tcBorders>
              <w:top w:val="single" w:sz="4" w:space="0" w:color="auto"/>
              <w:left w:val="single" w:sz="4" w:space="0" w:color="auto"/>
              <w:bottom w:val="single" w:sz="4" w:space="0" w:color="auto"/>
              <w:right w:val="single" w:sz="4" w:space="0" w:color="auto"/>
            </w:tcBorders>
          </w:tcPr>
          <w:p w14:paraId="0D39AB20" w14:textId="77777777" w:rsidR="001D13B0" w:rsidRPr="001D13B0" w:rsidRDefault="001D13B0" w:rsidP="00326AA3">
            <w:pPr>
              <w:spacing w:line="360" w:lineRule="auto"/>
              <w:rPr>
                <w:rFonts w:cs="Arial"/>
                <w:sz w:val="20"/>
                <w:szCs w:val="20"/>
              </w:rPr>
            </w:pPr>
          </w:p>
        </w:tc>
      </w:tr>
      <w:tr w:rsidR="001D13B0" w:rsidRPr="001D13B0" w14:paraId="3D1C73BD" w14:textId="7866963B" w:rsidTr="00F32320">
        <w:trPr>
          <w:trHeight w:val="692"/>
        </w:trPr>
        <w:tc>
          <w:tcPr>
            <w:tcW w:w="850" w:type="pct"/>
            <w:tcBorders>
              <w:top w:val="single" w:sz="4" w:space="0" w:color="auto"/>
              <w:left w:val="single" w:sz="4" w:space="0" w:color="auto"/>
              <w:bottom w:val="single" w:sz="4" w:space="0" w:color="auto"/>
              <w:right w:val="single" w:sz="4" w:space="0" w:color="auto"/>
            </w:tcBorders>
            <w:vAlign w:val="bottom"/>
            <w:hideMark/>
          </w:tcPr>
          <w:p w14:paraId="4C20CF1E" w14:textId="48823101" w:rsidR="001D13B0" w:rsidRPr="001D13B0" w:rsidRDefault="001D13B0" w:rsidP="00326AA3">
            <w:pPr>
              <w:spacing w:line="360" w:lineRule="auto"/>
              <w:rPr>
                <w:rFonts w:cs="Arial"/>
                <w:sz w:val="20"/>
                <w:szCs w:val="20"/>
              </w:rPr>
            </w:pPr>
            <w:r w:rsidRPr="001D13B0">
              <w:rPr>
                <w:sz w:val="20"/>
                <w:szCs w:val="20"/>
              </w:rPr>
              <w:t>Grand Opening</w:t>
            </w:r>
          </w:p>
        </w:tc>
        <w:tc>
          <w:tcPr>
            <w:tcW w:w="326" w:type="pct"/>
            <w:tcBorders>
              <w:top w:val="single" w:sz="4" w:space="0" w:color="auto"/>
              <w:left w:val="single" w:sz="4" w:space="0" w:color="auto"/>
              <w:bottom w:val="single" w:sz="4" w:space="0" w:color="auto"/>
              <w:right w:val="single" w:sz="4" w:space="0" w:color="auto"/>
            </w:tcBorders>
          </w:tcPr>
          <w:p w14:paraId="21B686DF"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7260CBBC"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0674EA61"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4E50411C"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77DEC003"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3779220F"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14:paraId="1811438A"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14:paraId="67DAFA0A"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0573E72"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14:paraId="09460591" w14:textId="77777777" w:rsidR="001D13B0" w:rsidRPr="001D13B0" w:rsidRDefault="001D13B0" w:rsidP="00326AA3">
            <w:pPr>
              <w:spacing w:line="360" w:lineRule="auto"/>
              <w:rPr>
                <w:rFonts w:cs="Arial"/>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2A1960EF" w14:textId="77777777" w:rsidR="001D13B0" w:rsidRPr="001D13B0" w:rsidRDefault="001D13B0" w:rsidP="00326AA3">
            <w:pPr>
              <w:spacing w:line="360" w:lineRule="auto"/>
              <w:rPr>
                <w:rFonts w:cs="Arial"/>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129E4AB3" w14:textId="77777777" w:rsidR="001D13B0" w:rsidRPr="001D13B0" w:rsidRDefault="001D13B0" w:rsidP="00326AA3">
            <w:pPr>
              <w:spacing w:line="360" w:lineRule="auto"/>
              <w:rPr>
                <w:rFonts w:cs="Arial"/>
                <w:sz w:val="20"/>
                <w:szCs w:val="20"/>
              </w:rPr>
            </w:pPr>
          </w:p>
        </w:tc>
      </w:tr>
      <w:tr w:rsidR="001D13B0" w:rsidRPr="001D13B0" w14:paraId="7B1D18C0" w14:textId="5DA472D7" w:rsidTr="00F32320">
        <w:trPr>
          <w:trHeight w:val="728"/>
        </w:trPr>
        <w:tc>
          <w:tcPr>
            <w:tcW w:w="850" w:type="pct"/>
            <w:tcBorders>
              <w:top w:val="single" w:sz="4" w:space="0" w:color="auto"/>
              <w:left w:val="single" w:sz="4" w:space="0" w:color="auto"/>
              <w:bottom w:val="single" w:sz="4" w:space="0" w:color="auto"/>
              <w:right w:val="single" w:sz="4" w:space="0" w:color="auto"/>
            </w:tcBorders>
            <w:vAlign w:val="bottom"/>
            <w:hideMark/>
          </w:tcPr>
          <w:p w14:paraId="0790EEC8" w14:textId="12E08E9D" w:rsidR="001D13B0" w:rsidRPr="001D13B0" w:rsidRDefault="001D13B0" w:rsidP="00326AA3">
            <w:pPr>
              <w:spacing w:line="360" w:lineRule="auto"/>
              <w:rPr>
                <w:rFonts w:cs="Arial"/>
                <w:sz w:val="20"/>
                <w:szCs w:val="20"/>
              </w:rPr>
            </w:pPr>
            <w:r w:rsidRPr="001D13B0">
              <w:rPr>
                <w:rFonts w:cs="Arial"/>
                <w:sz w:val="20"/>
                <w:szCs w:val="20"/>
              </w:rPr>
              <w:t xml:space="preserve">Christmas and New Year grand celebration </w:t>
            </w:r>
          </w:p>
        </w:tc>
        <w:tc>
          <w:tcPr>
            <w:tcW w:w="326" w:type="pct"/>
            <w:tcBorders>
              <w:top w:val="single" w:sz="4" w:space="0" w:color="auto"/>
              <w:left w:val="single" w:sz="4" w:space="0" w:color="auto"/>
              <w:bottom w:val="single" w:sz="4" w:space="0" w:color="auto"/>
              <w:right w:val="single" w:sz="4" w:space="0" w:color="auto"/>
            </w:tcBorders>
          </w:tcPr>
          <w:p w14:paraId="5E252F51"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53952D43"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1CF64054"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2E0E99F4"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0134EB67"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66378603"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14:paraId="0F4CA0B4"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14:paraId="4CC0AA7B"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14:paraId="068506FA"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46AAB751" w14:textId="77777777" w:rsidR="001D13B0" w:rsidRPr="001D13B0" w:rsidRDefault="001D13B0" w:rsidP="00326AA3">
            <w:pPr>
              <w:spacing w:line="360" w:lineRule="auto"/>
              <w:rPr>
                <w:rFonts w:cs="Arial"/>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1CA626E9" w14:textId="77777777" w:rsidR="001D13B0" w:rsidRPr="001D13B0" w:rsidRDefault="001D13B0" w:rsidP="00326AA3">
            <w:pPr>
              <w:spacing w:line="360" w:lineRule="auto"/>
              <w:rPr>
                <w:rFonts w:cs="Arial"/>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08D69CB1" w14:textId="77777777" w:rsidR="001D13B0" w:rsidRPr="001D13B0" w:rsidRDefault="001D13B0" w:rsidP="00326AA3">
            <w:pPr>
              <w:spacing w:line="360" w:lineRule="auto"/>
              <w:rPr>
                <w:rFonts w:cs="Arial"/>
                <w:sz w:val="20"/>
                <w:szCs w:val="20"/>
              </w:rPr>
            </w:pPr>
          </w:p>
        </w:tc>
      </w:tr>
      <w:tr w:rsidR="001D13B0" w:rsidRPr="001D13B0" w14:paraId="56374B99" w14:textId="2C45EC12" w:rsidTr="00F32320">
        <w:trPr>
          <w:trHeight w:val="548"/>
        </w:trPr>
        <w:tc>
          <w:tcPr>
            <w:tcW w:w="850" w:type="pct"/>
            <w:tcBorders>
              <w:top w:val="single" w:sz="4" w:space="0" w:color="auto"/>
              <w:left w:val="single" w:sz="4" w:space="0" w:color="auto"/>
              <w:bottom w:val="single" w:sz="4" w:space="0" w:color="auto"/>
              <w:right w:val="single" w:sz="4" w:space="0" w:color="auto"/>
            </w:tcBorders>
            <w:vAlign w:val="bottom"/>
          </w:tcPr>
          <w:p w14:paraId="7AA252DE" w14:textId="5A32D2BF" w:rsidR="001D13B0" w:rsidRPr="001D13B0" w:rsidRDefault="001D13B0" w:rsidP="00326AA3">
            <w:pPr>
              <w:spacing w:line="360" w:lineRule="auto"/>
              <w:rPr>
                <w:rFonts w:cs="Arial"/>
                <w:sz w:val="20"/>
                <w:szCs w:val="20"/>
              </w:rPr>
            </w:pPr>
            <w:r w:rsidRPr="001D13B0">
              <w:rPr>
                <w:rFonts w:cs="Arial"/>
                <w:sz w:val="20"/>
                <w:szCs w:val="20"/>
              </w:rPr>
              <w:t xml:space="preserve">Settlements </w:t>
            </w:r>
          </w:p>
        </w:tc>
        <w:tc>
          <w:tcPr>
            <w:tcW w:w="326" w:type="pct"/>
            <w:tcBorders>
              <w:top w:val="single" w:sz="4" w:space="0" w:color="auto"/>
              <w:left w:val="single" w:sz="4" w:space="0" w:color="auto"/>
              <w:bottom w:val="single" w:sz="4" w:space="0" w:color="auto"/>
              <w:right w:val="single" w:sz="4" w:space="0" w:color="auto"/>
            </w:tcBorders>
          </w:tcPr>
          <w:p w14:paraId="405207A8"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25FC9F5C"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677A5267"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5AB82C48"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6687B174"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7EAF8D2C"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14:paraId="2FC7CF9D"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14:paraId="1F7492FA"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14:paraId="3DE2DC78"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14:paraId="35148EF0" w14:textId="77777777" w:rsidR="001D13B0" w:rsidRPr="001D13B0" w:rsidRDefault="001D13B0" w:rsidP="00326AA3">
            <w:pPr>
              <w:spacing w:line="360" w:lineRule="auto"/>
              <w:rPr>
                <w:rFonts w:cs="Arial"/>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03108FB" w14:textId="77777777" w:rsidR="001D13B0" w:rsidRPr="001D13B0" w:rsidRDefault="001D13B0" w:rsidP="00326AA3">
            <w:pPr>
              <w:spacing w:line="360" w:lineRule="auto"/>
              <w:rPr>
                <w:rFonts w:cs="Arial"/>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17E4A1B" w14:textId="77777777" w:rsidR="001D13B0" w:rsidRPr="001D13B0" w:rsidRDefault="001D13B0" w:rsidP="00326AA3">
            <w:pPr>
              <w:spacing w:line="360" w:lineRule="auto"/>
              <w:rPr>
                <w:rFonts w:cs="Arial"/>
                <w:sz w:val="20"/>
                <w:szCs w:val="20"/>
              </w:rPr>
            </w:pPr>
          </w:p>
        </w:tc>
      </w:tr>
      <w:tr w:rsidR="001D13B0" w:rsidRPr="001D13B0" w14:paraId="4E574A2E" w14:textId="34ED9FF0" w:rsidTr="00F32320">
        <w:trPr>
          <w:trHeight w:val="557"/>
        </w:trPr>
        <w:tc>
          <w:tcPr>
            <w:tcW w:w="850" w:type="pct"/>
            <w:tcBorders>
              <w:top w:val="single" w:sz="4" w:space="0" w:color="auto"/>
              <w:left w:val="single" w:sz="4" w:space="0" w:color="auto"/>
              <w:bottom w:val="single" w:sz="4" w:space="0" w:color="auto"/>
              <w:right w:val="single" w:sz="4" w:space="0" w:color="auto"/>
            </w:tcBorders>
            <w:vAlign w:val="bottom"/>
          </w:tcPr>
          <w:p w14:paraId="1B4CBB7E" w14:textId="490DAE7B" w:rsidR="001D13B0" w:rsidRPr="001D13B0" w:rsidRDefault="001D13B0" w:rsidP="00326AA3">
            <w:pPr>
              <w:spacing w:line="360" w:lineRule="auto"/>
              <w:rPr>
                <w:rFonts w:cs="Arial"/>
                <w:sz w:val="20"/>
                <w:szCs w:val="20"/>
              </w:rPr>
            </w:pPr>
            <w:r w:rsidRPr="001D13B0">
              <w:rPr>
                <w:rFonts w:cs="Arial"/>
                <w:sz w:val="20"/>
                <w:szCs w:val="20"/>
              </w:rPr>
              <w:t xml:space="preserve">Pop up closure </w:t>
            </w:r>
          </w:p>
        </w:tc>
        <w:tc>
          <w:tcPr>
            <w:tcW w:w="326" w:type="pct"/>
            <w:tcBorders>
              <w:top w:val="single" w:sz="4" w:space="0" w:color="auto"/>
              <w:left w:val="single" w:sz="4" w:space="0" w:color="auto"/>
              <w:bottom w:val="single" w:sz="4" w:space="0" w:color="auto"/>
              <w:right w:val="single" w:sz="4" w:space="0" w:color="auto"/>
            </w:tcBorders>
          </w:tcPr>
          <w:p w14:paraId="69C19C26"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439053AB"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12E69640"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331EC189"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tcPr>
          <w:p w14:paraId="3DF365A8" w14:textId="77777777" w:rsidR="001D13B0" w:rsidRPr="001D13B0" w:rsidRDefault="001D13B0" w:rsidP="00326AA3">
            <w:pPr>
              <w:spacing w:line="360" w:lineRule="auto"/>
              <w:rPr>
                <w:rFonts w:cs="Arial"/>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3D8FC369"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14:paraId="4F4863C4"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14:paraId="27284121"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14:paraId="409C0F72" w14:textId="77777777" w:rsidR="001D13B0" w:rsidRPr="001D13B0" w:rsidRDefault="001D13B0" w:rsidP="00326AA3">
            <w:pPr>
              <w:spacing w:line="360" w:lineRule="auto"/>
              <w:rPr>
                <w:rFonts w:cs="Arial"/>
                <w:sz w:val="20"/>
                <w:szCs w:val="20"/>
              </w:rPr>
            </w:pPr>
          </w:p>
        </w:tc>
        <w:tc>
          <w:tcPr>
            <w:tcW w:w="347" w:type="pct"/>
            <w:tcBorders>
              <w:top w:val="single" w:sz="4" w:space="0" w:color="auto"/>
              <w:left w:val="single" w:sz="4" w:space="0" w:color="auto"/>
              <w:bottom w:val="single" w:sz="4" w:space="0" w:color="auto"/>
              <w:right w:val="single" w:sz="4" w:space="0" w:color="auto"/>
            </w:tcBorders>
            <w:shd w:val="clear" w:color="auto" w:fill="auto"/>
          </w:tcPr>
          <w:p w14:paraId="072DE4B1" w14:textId="77777777" w:rsidR="001D13B0" w:rsidRPr="001D13B0" w:rsidRDefault="001D13B0" w:rsidP="00326AA3">
            <w:pPr>
              <w:spacing w:line="360" w:lineRule="auto"/>
              <w:rPr>
                <w:rFonts w:cs="Arial"/>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auto"/>
          </w:tcPr>
          <w:p w14:paraId="5413AFD1" w14:textId="77777777" w:rsidR="001D13B0" w:rsidRPr="001D13B0" w:rsidRDefault="001D13B0" w:rsidP="00326AA3">
            <w:pPr>
              <w:spacing w:line="360" w:lineRule="auto"/>
              <w:rPr>
                <w:rFonts w:cs="Arial"/>
                <w:sz w:val="20"/>
                <w:szCs w:val="20"/>
              </w:rPr>
            </w:pPr>
          </w:p>
        </w:tc>
        <w:tc>
          <w:tcPr>
            <w:tcW w:w="333" w:type="pct"/>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B1D8186" w14:textId="77777777" w:rsidR="001D13B0" w:rsidRPr="001D13B0" w:rsidRDefault="001D13B0" w:rsidP="00326AA3">
            <w:pPr>
              <w:spacing w:line="360" w:lineRule="auto"/>
              <w:rPr>
                <w:rFonts w:cs="Arial"/>
                <w:sz w:val="20"/>
                <w:szCs w:val="20"/>
              </w:rPr>
            </w:pPr>
          </w:p>
        </w:tc>
      </w:tr>
    </w:tbl>
    <w:p w14:paraId="0683F7D8" w14:textId="192593B1" w:rsidR="00811D29" w:rsidRDefault="00811D29" w:rsidP="00326AA3">
      <w:pPr>
        <w:spacing w:line="360" w:lineRule="auto"/>
      </w:pPr>
    </w:p>
    <w:p w14:paraId="519FA186" w14:textId="38A19DB9" w:rsidR="002216E1" w:rsidRPr="009735E9" w:rsidRDefault="002216E1" w:rsidP="00326AA3">
      <w:pPr>
        <w:pStyle w:val="Heading2"/>
        <w:spacing w:line="360" w:lineRule="auto"/>
        <w:rPr>
          <w:rFonts w:ascii="Arial" w:hAnsi="Arial" w:cs="Arial"/>
        </w:rPr>
      </w:pPr>
      <w:bookmarkStart w:id="7" w:name="_Toc132128846"/>
      <w:r w:rsidRPr="009735E9">
        <w:rPr>
          <w:rFonts w:ascii="Arial" w:hAnsi="Arial" w:cs="Arial"/>
        </w:rPr>
        <w:t>Objectives</w:t>
      </w:r>
      <w:bookmarkEnd w:id="7"/>
    </w:p>
    <w:p w14:paraId="1FB15E39" w14:textId="77777777" w:rsidR="00C27492" w:rsidRDefault="00C27492" w:rsidP="00326AA3">
      <w:pPr>
        <w:pStyle w:val="ListParagraph"/>
        <w:numPr>
          <w:ilvl w:val="0"/>
          <w:numId w:val="24"/>
        </w:numPr>
        <w:spacing w:line="360" w:lineRule="auto"/>
      </w:pPr>
      <w:r>
        <w:t xml:space="preserve">Using the popularity of the Wind Street location and the holiday season, Taj Mahal Indian Restaurant's main goal for Christmas and New Year's Eve is to </w:t>
      </w:r>
      <w:proofErr w:type="spellStart"/>
      <w:r>
        <w:t>maximise</w:t>
      </w:r>
      <w:proofErr w:type="spellEnd"/>
      <w:r>
        <w:t xml:space="preserve"> sales.</w:t>
      </w:r>
    </w:p>
    <w:p w14:paraId="7278818D" w14:textId="77777777" w:rsidR="00C27492" w:rsidRDefault="00C27492" w:rsidP="00326AA3">
      <w:pPr>
        <w:pStyle w:val="ListParagraph"/>
        <w:numPr>
          <w:ilvl w:val="0"/>
          <w:numId w:val="24"/>
        </w:numPr>
        <w:spacing w:line="360" w:lineRule="auto"/>
      </w:pPr>
      <w:r>
        <w:lastRenderedPageBreak/>
        <w:t>To maintain high levels of client satisfaction over the Christmas and New Year's Eve season is another important goal for Taj Mahal Indian Restaurant.</w:t>
      </w:r>
    </w:p>
    <w:p w14:paraId="1E350E12" w14:textId="0D239E80" w:rsidR="00C27492" w:rsidRDefault="00C27492" w:rsidP="00326AA3">
      <w:pPr>
        <w:pStyle w:val="ListParagraph"/>
        <w:numPr>
          <w:ilvl w:val="0"/>
          <w:numId w:val="24"/>
        </w:numPr>
        <w:spacing w:line="360" w:lineRule="auto"/>
      </w:pPr>
      <w:r>
        <w:t>During the Christmas and New Year's Eve season, Taj Mahal Indian Restaurant hopes to build its reputation and improve its exposure.</w:t>
      </w:r>
    </w:p>
    <w:p w14:paraId="36F87917" w14:textId="746977BE" w:rsidR="00F32320" w:rsidRPr="00C27492" w:rsidRDefault="00C27492" w:rsidP="00326AA3">
      <w:pPr>
        <w:pStyle w:val="ListParagraph"/>
        <w:numPr>
          <w:ilvl w:val="0"/>
          <w:numId w:val="24"/>
        </w:numPr>
        <w:spacing w:line="360" w:lineRule="auto"/>
        <w:rPr>
          <w:rFonts w:asciiTheme="majorHAnsi" w:eastAsiaTheme="majorEastAsia" w:hAnsiTheme="majorHAnsi" w:cstheme="majorBidi"/>
          <w:color w:val="365F91" w:themeColor="accent1" w:themeShade="BF"/>
          <w:sz w:val="32"/>
          <w:szCs w:val="32"/>
        </w:rPr>
      </w:pPr>
      <w:r>
        <w:t>During the Christmas and New Year's Eve season, Taj Mahal Indian Restaurant must carefully control expenditures and sustain profitability.</w:t>
      </w:r>
      <w:r w:rsidR="00F32320">
        <w:br w:type="page"/>
      </w:r>
    </w:p>
    <w:p w14:paraId="1092894E" w14:textId="382322BD" w:rsidR="00944219" w:rsidRPr="009735E9" w:rsidRDefault="00944219" w:rsidP="00326AA3">
      <w:pPr>
        <w:pStyle w:val="Heading1"/>
        <w:spacing w:line="360" w:lineRule="auto"/>
        <w:rPr>
          <w:rFonts w:ascii="Arial" w:hAnsi="Arial" w:cs="Arial"/>
        </w:rPr>
      </w:pPr>
      <w:bookmarkStart w:id="8" w:name="_Toc132128847"/>
      <w:r w:rsidRPr="009735E9">
        <w:rPr>
          <w:rFonts w:ascii="Arial" w:hAnsi="Arial" w:cs="Arial"/>
        </w:rPr>
        <w:lastRenderedPageBreak/>
        <w:t>Section 2 – Operational Policies and Procedures</w:t>
      </w:r>
      <w:bookmarkEnd w:id="8"/>
      <w:r w:rsidRPr="009735E9">
        <w:rPr>
          <w:rFonts w:ascii="Arial" w:hAnsi="Arial" w:cs="Arial"/>
        </w:rPr>
        <w:t xml:space="preserve"> </w:t>
      </w:r>
    </w:p>
    <w:p w14:paraId="69261FC5" w14:textId="6482DCAC" w:rsidR="00636C33" w:rsidRPr="009735E9" w:rsidRDefault="00636C33" w:rsidP="00326AA3">
      <w:pPr>
        <w:pStyle w:val="Heading2"/>
        <w:spacing w:line="360" w:lineRule="auto"/>
        <w:rPr>
          <w:rFonts w:ascii="Arial" w:hAnsi="Arial" w:cs="Arial"/>
        </w:rPr>
      </w:pPr>
      <w:bookmarkStart w:id="9" w:name="_Toc132128848"/>
      <w:r w:rsidRPr="009735E9">
        <w:rPr>
          <w:rFonts w:ascii="Arial" w:hAnsi="Arial" w:cs="Arial"/>
        </w:rPr>
        <w:t>HR Responsibilities in Recruitment, Training, and Workforce Planning for Taj Mahal Indian Restaurant</w:t>
      </w:r>
      <w:bookmarkEnd w:id="9"/>
    </w:p>
    <w:p w14:paraId="4E2A3934" w14:textId="7077202A" w:rsidR="00C27492" w:rsidRDefault="00636C33" w:rsidP="00326AA3">
      <w:pPr>
        <w:spacing w:line="360" w:lineRule="auto"/>
      </w:pPr>
      <w:r w:rsidRPr="00636C33">
        <w:t xml:space="preserve">Recruitment: </w:t>
      </w:r>
      <w:r w:rsidR="00C27492" w:rsidRPr="00C27492">
        <w:t>The Taj Mahal Indian Restaurant'</w:t>
      </w:r>
      <w:r w:rsidR="00384239">
        <w:t>s human resources department will be</w:t>
      </w:r>
      <w:r w:rsidR="00C27492" w:rsidRPr="00C27492">
        <w:t xml:space="preserve"> responsible for creating job descriptions, marketing job opportunities, vetting and shortlisting applicants, conducting interviews, verifying references, and making employment offers. HR also made sure that pertinent employment laws and rules in Wales, such the Employment Rights Act of 1996 and the Equality Act of 2010, were followed. In general, the law requires that qualified candidates be given opportunities during the hiring process without any kind of discrimination based on any factors like race, gender, religion, or other considerations</w:t>
      </w:r>
      <w:r w:rsidR="00C14BF2">
        <w:t xml:space="preserve"> (</w:t>
      </w:r>
      <w:r w:rsidR="00C14BF2" w:rsidRPr="00C14BF2">
        <w:t xml:space="preserve">Carroll and </w:t>
      </w:r>
      <w:proofErr w:type="spellStart"/>
      <w:r w:rsidR="00C14BF2" w:rsidRPr="00C14BF2">
        <w:t>Buchholtz</w:t>
      </w:r>
      <w:proofErr w:type="spellEnd"/>
      <w:r w:rsidR="00C14BF2">
        <w:t>, 2014)</w:t>
      </w:r>
      <w:r w:rsidR="00C27492" w:rsidRPr="00C27492">
        <w:t>.</w:t>
      </w:r>
    </w:p>
    <w:p w14:paraId="4CC83A55" w14:textId="29E6A578" w:rsidR="00C27492" w:rsidRDefault="00636C33" w:rsidP="00326AA3">
      <w:pPr>
        <w:spacing w:line="360" w:lineRule="auto"/>
      </w:pPr>
      <w:r w:rsidRPr="00636C33">
        <w:t xml:space="preserve">Training: </w:t>
      </w:r>
      <w:r w:rsidR="00C27492" w:rsidRPr="00C27492">
        <w:t>At Taj</w:t>
      </w:r>
      <w:r w:rsidR="00384239">
        <w:t xml:space="preserve"> Mahal Indian Restaurant, HR will be</w:t>
      </w:r>
      <w:r w:rsidR="00C27492" w:rsidRPr="00C27492">
        <w:t xml:space="preserve"> in charge of developing and executing training programmes for the workers. This involved determining the need for training, creating training materials, holding training sessions, and assessing the success of tr</w:t>
      </w:r>
      <w:r w:rsidR="00984AA7">
        <w:t>aining initiatives. HR also will make</w:t>
      </w:r>
      <w:r w:rsidR="00C27492" w:rsidRPr="00C27492">
        <w:t xml:space="preserve"> sure that employees were properly trained in matters related to customer service, food handling and cleanliness, health and safety, and other pertinent topics. In order for the restaurant to function according to all regulations, the Human Resource department has been involved in the procedures that the laws relating to health and safety and the provision of sanitary food to the personnel must be followed</w:t>
      </w:r>
      <w:r w:rsidR="00C14BF2">
        <w:t xml:space="preserve"> (</w:t>
      </w:r>
      <w:proofErr w:type="spellStart"/>
      <w:r w:rsidR="00C14BF2" w:rsidRPr="00C14BF2">
        <w:t>Inkson</w:t>
      </w:r>
      <w:proofErr w:type="spellEnd"/>
      <w:r w:rsidR="00C14BF2" w:rsidRPr="00C14BF2">
        <w:t xml:space="preserve"> and </w:t>
      </w:r>
      <w:proofErr w:type="spellStart"/>
      <w:r w:rsidR="00C14BF2" w:rsidRPr="00C14BF2">
        <w:t>Minnaert</w:t>
      </w:r>
      <w:proofErr w:type="spellEnd"/>
      <w:r w:rsidR="00C14BF2">
        <w:t>, 2018)</w:t>
      </w:r>
      <w:r w:rsidR="00C27492" w:rsidRPr="00C27492">
        <w:t>.</w:t>
      </w:r>
      <w:r w:rsidR="00C27492">
        <w:t xml:space="preserve"> </w:t>
      </w:r>
      <w:r w:rsidR="00C27492" w:rsidRPr="00C27492">
        <w:t xml:space="preserve">The Food Safety Act of 1990 and the Health and Safety at Work Act of 1974 were the pertinent legislation, in accordance with Wales Govt </w:t>
      </w:r>
      <w:r w:rsidR="00984AA7">
        <w:t>guidelines, that the HR team</w:t>
      </w:r>
      <w:r w:rsidR="00C27492" w:rsidRPr="00C27492">
        <w:t xml:space="preserve"> required to follow while educating the workers.</w:t>
      </w:r>
    </w:p>
    <w:p w14:paraId="7C3D5098" w14:textId="64DC6680" w:rsidR="00C27492" w:rsidRDefault="00DD3ED6" w:rsidP="00326AA3">
      <w:pPr>
        <w:spacing w:line="360" w:lineRule="auto"/>
      </w:pPr>
      <w:r w:rsidRPr="00DD3ED6">
        <w:t xml:space="preserve">Staff Rosters: </w:t>
      </w:r>
      <w:r w:rsidR="00C27492" w:rsidRPr="00C27492">
        <w:t>To develop personnel rosters that ensured sufficient staffing levels to satisfy operational demands, HR collaborated closely with operational management. Rosters would be made in accordance with pertinent employment rules and regulations, such as the Working Time Regulations of 1998, which control the hours that employees are required to work, take breaks, and relax</w:t>
      </w:r>
      <w:r w:rsidR="00C14BF2">
        <w:t xml:space="preserve"> (</w:t>
      </w:r>
      <w:r w:rsidR="00C14BF2" w:rsidRPr="00C14BF2">
        <w:t xml:space="preserve">Mullins and </w:t>
      </w:r>
      <w:proofErr w:type="spellStart"/>
      <w:r w:rsidR="00C14BF2" w:rsidRPr="00C14BF2">
        <w:t>Dossor</w:t>
      </w:r>
      <w:proofErr w:type="spellEnd"/>
      <w:r w:rsidR="00C14BF2">
        <w:t>, 2013)</w:t>
      </w:r>
      <w:r w:rsidR="00C27492" w:rsidRPr="00C27492">
        <w:t xml:space="preserve">. The Working Time Regulation Act has been taken into account throughout the </w:t>
      </w:r>
      <w:r w:rsidR="00C14BF2" w:rsidRPr="00C27492">
        <w:t>Pop-up</w:t>
      </w:r>
      <w:r w:rsidR="00C27492" w:rsidRPr="00C27492">
        <w:t xml:space="preserve"> restaurant's operation.</w:t>
      </w:r>
    </w:p>
    <w:p w14:paraId="039281DD" w14:textId="7FCAFE93" w:rsidR="00636C33" w:rsidRPr="00636C33" w:rsidRDefault="00636C33" w:rsidP="00326AA3">
      <w:pPr>
        <w:spacing w:line="360" w:lineRule="auto"/>
      </w:pPr>
      <w:r w:rsidRPr="00636C33">
        <w:lastRenderedPageBreak/>
        <w:t xml:space="preserve">Workforce Planning: </w:t>
      </w:r>
      <w:r w:rsidR="00C27492" w:rsidRPr="00C27492">
        <w:t>At the Taj</w:t>
      </w:r>
      <w:r w:rsidR="00384239">
        <w:t xml:space="preserve"> Mahal Indian Restaurant, HR will be</w:t>
      </w:r>
      <w:r w:rsidR="00C27492" w:rsidRPr="00C27492">
        <w:t xml:space="preserve"> in charge of overseeing the management of the personnel. This included developing employee </w:t>
      </w:r>
      <w:proofErr w:type="spellStart"/>
      <w:r w:rsidR="00C27492" w:rsidRPr="00C27492">
        <w:t>rotas</w:t>
      </w:r>
      <w:proofErr w:type="spellEnd"/>
      <w:r w:rsidR="00C27492" w:rsidRPr="00C27492">
        <w:t>, controlling scheduling and shift distribution, and making sure there was enough staffing to satisfy operational</w:t>
      </w:r>
      <w:r w:rsidR="00384239">
        <w:t xml:space="preserve"> requirements. </w:t>
      </w:r>
      <w:proofErr w:type="gramStart"/>
      <w:r w:rsidR="00384239">
        <w:t>Also, HR</w:t>
      </w:r>
      <w:r w:rsidR="00C27492" w:rsidRPr="00C27492">
        <w:t xml:space="preserve"> in charge of overseeing the rules and regulations for monitoring employee performance, leave, and attendance</w:t>
      </w:r>
      <w:r w:rsidR="00C14BF2">
        <w:t xml:space="preserve"> (Mullins, 2016)</w:t>
      </w:r>
      <w:r w:rsidR="00C27492" w:rsidRPr="00C27492">
        <w:t>.</w:t>
      </w:r>
      <w:proofErr w:type="gramEnd"/>
      <w:r w:rsidR="00C27492" w:rsidRPr="00C27492">
        <w:t xml:space="preserve"> To make sure that the staff is effectively organised and managed to fulfil the demands of the pop-up res</w:t>
      </w:r>
      <w:r w:rsidR="00384239">
        <w:t xml:space="preserve">taurant, HR </w:t>
      </w:r>
      <w:r w:rsidR="003A6679">
        <w:t xml:space="preserve">will </w:t>
      </w:r>
      <w:r w:rsidR="00384239">
        <w:t xml:space="preserve">closely collaborate </w:t>
      </w:r>
      <w:r w:rsidR="00C27492" w:rsidRPr="00C27492">
        <w:t>with operational management.</w:t>
      </w:r>
    </w:p>
    <w:p w14:paraId="268C9B5B" w14:textId="6B4F83DE" w:rsidR="00636C33" w:rsidRPr="009735E9" w:rsidRDefault="00636C33" w:rsidP="00326AA3">
      <w:pPr>
        <w:pStyle w:val="Heading2"/>
        <w:spacing w:line="360" w:lineRule="auto"/>
        <w:rPr>
          <w:rFonts w:ascii="Arial" w:hAnsi="Arial" w:cs="Arial"/>
        </w:rPr>
      </w:pPr>
      <w:bookmarkStart w:id="10" w:name="_Toc132128849"/>
      <w:r w:rsidRPr="009735E9">
        <w:rPr>
          <w:rFonts w:ascii="Arial" w:hAnsi="Arial" w:cs="Arial"/>
        </w:rPr>
        <w:t>Operational Policies &amp; Procedures for Taj Mahal Indian Restaurant</w:t>
      </w:r>
      <w:bookmarkEnd w:id="10"/>
    </w:p>
    <w:p w14:paraId="573FDE83" w14:textId="3F50543E" w:rsidR="00C27492" w:rsidRDefault="0086657F" w:rsidP="00326AA3">
      <w:pPr>
        <w:numPr>
          <w:ilvl w:val="0"/>
          <w:numId w:val="15"/>
        </w:numPr>
        <w:spacing w:line="360" w:lineRule="auto"/>
      </w:pPr>
      <w:r w:rsidRPr="0086657F">
        <w:t xml:space="preserve">Health and Safety Policy: </w:t>
      </w:r>
      <w:r w:rsidR="00C27492" w:rsidRPr="00C27492">
        <w:t>The Welsh Government's health and safety regulations are followed by the Taj Mahal Pop Up Restaurant. The appropriate handling of food, handwashing often, and cleaning techniques are all included in training for all staff members in terms of food safety and hygiene. Further precautions have been taken in light of the COVID-19 pandemic, such as more frequent cleaning and sanitization of high-touch areas, workers wearing face masks, and upholding social distancing standards in compliance with government regulations</w:t>
      </w:r>
      <w:r w:rsidR="00EF0336">
        <w:t xml:space="preserve"> (</w:t>
      </w:r>
      <w:r w:rsidR="00163E8F">
        <w:t>Beale et al., 2022</w:t>
      </w:r>
      <w:r w:rsidR="00EF0336">
        <w:t>)</w:t>
      </w:r>
      <w:r w:rsidR="00C27492" w:rsidRPr="00C27492">
        <w:t>.</w:t>
      </w:r>
    </w:p>
    <w:p w14:paraId="6B637DAF" w14:textId="5AD8F5B2" w:rsidR="00C27492" w:rsidRDefault="0086657F" w:rsidP="00326AA3">
      <w:pPr>
        <w:numPr>
          <w:ilvl w:val="0"/>
          <w:numId w:val="15"/>
        </w:numPr>
        <w:spacing w:line="360" w:lineRule="auto"/>
      </w:pPr>
      <w:r w:rsidRPr="0086657F">
        <w:t xml:space="preserve">Food Safety Policy: </w:t>
      </w:r>
      <w:r w:rsidR="00C27492" w:rsidRPr="00C27492">
        <w:t>Every food provided at the Taj Mahal Pop Up Restaurant is safe and of the highest quality because of the restaurant's rigorous adherence to food safety regulations. In order to avoid foodborne infections, correct food handling, preparation, storage, and temperature monitoring procedures must be followed. All employees get food safety training and follow the rules established by the Wales Government and the Food Standards Agency (FSA)</w:t>
      </w:r>
      <w:r w:rsidR="00EF0336">
        <w:t xml:space="preserve"> (Winters, 2021)</w:t>
      </w:r>
      <w:r w:rsidR="00C27492" w:rsidRPr="00C27492">
        <w:t>.</w:t>
      </w:r>
    </w:p>
    <w:p w14:paraId="651340B9" w14:textId="75F84837" w:rsidR="00C27492" w:rsidRDefault="0086657F" w:rsidP="00326AA3">
      <w:pPr>
        <w:numPr>
          <w:ilvl w:val="0"/>
          <w:numId w:val="15"/>
        </w:numPr>
        <w:spacing w:line="360" w:lineRule="auto"/>
      </w:pPr>
      <w:r w:rsidRPr="0086657F">
        <w:t xml:space="preserve">Customer Service Policy: </w:t>
      </w:r>
      <w:r w:rsidR="00C27492" w:rsidRPr="00C27492">
        <w:t xml:space="preserve">The Taj Mahal Pop Up Restaurant is dedicated to giving each and every visitor outstanding customer service. Staff employees are taught to treat clients with respect, act professionally, and pay attention to their requirements. To help consumers make educated decisions, special dietary </w:t>
      </w:r>
      <w:r w:rsidR="00C27492" w:rsidRPr="00C27492">
        <w:lastRenderedPageBreak/>
        <w:t>needs and food allergies are taken into account, and menu alternatives are properly labelled</w:t>
      </w:r>
      <w:r w:rsidR="00EF0336">
        <w:t xml:space="preserve"> (Armstrong, 2016)</w:t>
      </w:r>
      <w:r w:rsidR="00C27492" w:rsidRPr="00C27492">
        <w:t>.</w:t>
      </w:r>
    </w:p>
    <w:p w14:paraId="365E5B77" w14:textId="3DBF4D38" w:rsidR="00C27492" w:rsidRPr="00C27492" w:rsidRDefault="0086657F" w:rsidP="00326AA3">
      <w:pPr>
        <w:numPr>
          <w:ilvl w:val="0"/>
          <w:numId w:val="15"/>
        </w:numPr>
        <w:spacing w:line="360" w:lineRule="auto"/>
        <w:rPr>
          <w:b/>
          <w:bCs/>
          <w:i/>
          <w:iCs/>
        </w:rPr>
      </w:pPr>
      <w:r w:rsidRPr="0086657F">
        <w:t xml:space="preserve">Staff Training and Development Policy: </w:t>
      </w:r>
      <w:r w:rsidR="00C27492" w:rsidRPr="00C27492">
        <w:t>The Taj Mahal Pop Up Restaurant often offers its staff members the chance to grow in their knowledge and skill sets. Training covers instruction in customer service, COVID-19 safety measures, and food safety and cleanliness. To enhance their performance and contribute to the overall success of the restaurant, staff members are encouraged to take part in professional development programmes and seminars</w:t>
      </w:r>
      <w:r w:rsidR="00C14BF2">
        <w:t xml:space="preserve"> (</w:t>
      </w:r>
      <w:proofErr w:type="spellStart"/>
      <w:r w:rsidR="00C14BF2" w:rsidRPr="00C14BF2">
        <w:t>Atrill</w:t>
      </w:r>
      <w:proofErr w:type="spellEnd"/>
      <w:r w:rsidR="00C14BF2" w:rsidRPr="00C14BF2">
        <w:t xml:space="preserve"> and </w:t>
      </w:r>
      <w:proofErr w:type="spellStart"/>
      <w:r w:rsidR="00C14BF2" w:rsidRPr="00C14BF2">
        <w:t>McLaney</w:t>
      </w:r>
      <w:proofErr w:type="spellEnd"/>
      <w:r w:rsidR="00C14BF2">
        <w:t>, 2015)</w:t>
      </w:r>
      <w:r w:rsidR="00C27492" w:rsidRPr="00C27492">
        <w:t>.</w:t>
      </w:r>
    </w:p>
    <w:p w14:paraId="38B8D171" w14:textId="1A1BC4EC" w:rsidR="00084A6B" w:rsidRPr="00C27492" w:rsidRDefault="0086657F" w:rsidP="00326AA3">
      <w:pPr>
        <w:spacing w:line="360" w:lineRule="auto"/>
        <w:rPr>
          <w:b/>
          <w:bCs/>
          <w:i/>
          <w:iCs/>
        </w:rPr>
      </w:pPr>
      <w:r w:rsidRPr="00C27492">
        <w:rPr>
          <w:b/>
          <w:bCs/>
          <w:i/>
          <w:iCs/>
        </w:rPr>
        <w:t xml:space="preserve">Amendments </w:t>
      </w:r>
      <w:r w:rsidR="00084A6B" w:rsidRPr="00C27492">
        <w:rPr>
          <w:b/>
          <w:bCs/>
          <w:i/>
          <w:iCs/>
        </w:rPr>
        <w:t xml:space="preserve">and implications </w:t>
      </w:r>
    </w:p>
    <w:p w14:paraId="758CDF3A" w14:textId="78869117" w:rsidR="00C27492" w:rsidRDefault="00C27492" w:rsidP="00326AA3">
      <w:pPr>
        <w:spacing w:line="360" w:lineRule="auto"/>
      </w:pPr>
      <w:r w:rsidRPr="00C27492">
        <w:t>The</w:t>
      </w:r>
      <w:r w:rsidR="001C2F60">
        <w:t xml:space="preserve"> Taj Mahal Pop </w:t>
      </w:r>
      <w:proofErr w:type="gramStart"/>
      <w:r w:rsidR="001C2F60">
        <w:t>Up</w:t>
      </w:r>
      <w:proofErr w:type="gramEnd"/>
      <w:r w:rsidR="001C2F60">
        <w:t xml:space="preserve"> Restaurant has added</w:t>
      </w:r>
      <w:r w:rsidRPr="00C27492">
        <w:t xml:space="preserve"> extra safety precautions in compliance with the rules established by the Welsh Government in response to the ongoing negative effects of the Covid-19 outbreak. This include routinely cleaning high-touch areas, offering hand sanitizers to employees and consumers, requiring staff members to wear face masks, upholding social distance standards, and complying to government-imposed capacity restrictions. Moreover, the restaurant offers obvious signs to remind workers and guests of the safety precautions in place and promotes adherence to these precautions at all times</w:t>
      </w:r>
      <w:r w:rsidR="00EF0336">
        <w:t xml:space="preserve"> (</w:t>
      </w:r>
      <w:proofErr w:type="spellStart"/>
      <w:r w:rsidR="00EF0336" w:rsidRPr="00EF0336">
        <w:t>Rincón</w:t>
      </w:r>
      <w:proofErr w:type="spellEnd"/>
      <w:r w:rsidR="00EF0336" w:rsidRPr="00EF0336">
        <w:t xml:space="preserve">-Gallardo </w:t>
      </w:r>
      <w:proofErr w:type="spellStart"/>
      <w:r w:rsidR="00EF0336" w:rsidRPr="00EF0336">
        <w:t>Patiño</w:t>
      </w:r>
      <w:proofErr w:type="spellEnd"/>
      <w:r w:rsidR="00EF0336">
        <w:t xml:space="preserve"> et al., 2020)</w:t>
      </w:r>
      <w:r w:rsidRPr="00C27492">
        <w:t>.</w:t>
      </w:r>
    </w:p>
    <w:p w14:paraId="1E170EF6" w14:textId="59ABB36E" w:rsidR="00C27492" w:rsidRDefault="00C27492" w:rsidP="00326AA3">
      <w:pPr>
        <w:spacing w:line="360" w:lineRule="auto"/>
      </w:pPr>
      <w:r w:rsidRPr="00C27492">
        <w:t xml:space="preserve">The Taj Mahal Pop Up Restaurant has implemented a number of further adjustments to its operating rules and </w:t>
      </w:r>
      <w:proofErr w:type="spellStart"/>
      <w:r w:rsidRPr="00C27492">
        <w:t>practises</w:t>
      </w:r>
      <w:proofErr w:type="spellEnd"/>
      <w:r w:rsidRPr="00C27492">
        <w:t xml:space="preserve"> in response to the Welsh government's Covid-19 pandemic recommendations. The use of a reservation system to control seating capacity, more frequent cleaning and sanitization, employees wearing face masks, and adherence to social distance regulations are a few examples. The restaurant has also upgraded its food safety processes to guarantee compliance with regulatory requirements and changed its employee training programme to incorporate instruction on Covid-19 safety </w:t>
      </w:r>
      <w:r w:rsidR="00EF0336">
        <w:t>practices (Beale et al., 2022)</w:t>
      </w:r>
      <w:r w:rsidRPr="00C27492">
        <w:t>. To maintain continued compliance with the evolving standards and laws relating to COVID-19 safety in Wales, operational policies and procedures are regularly monitored and reviewed.</w:t>
      </w:r>
    </w:p>
    <w:p w14:paraId="6D77C1B0" w14:textId="635A6265" w:rsidR="00636C33" w:rsidRPr="009735E9" w:rsidRDefault="00636C33" w:rsidP="00326AA3">
      <w:pPr>
        <w:pStyle w:val="Heading2"/>
        <w:spacing w:line="360" w:lineRule="auto"/>
        <w:rPr>
          <w:rFonts w:ascii="Arial" w:hAnsi="Arial" w:cs="Arial"/>
        </w:rPr>
      </w:pPr>
      <w:bookmarkStart w:id="11" w:name="_Toc132128850"/>
      <w:r w:rsidRPr="009735E9">
        <w:rPr>
          <w:rFonts w:ascii="Arial" w:hAnsi="Arial" w:cs="Arial"/>
        </w:rPr>
        <w:lastRenderedPageBreak/>
        <w:t>Legal Aspects</w:t>
      </w:r>
      <w:bookmarkEnd w:id="11"/>
    </w:p>
    <w:p w14:paraId="33B8018E" w14:textId="4A62B5A1" w:rsidR="00D659C1" w:rsidRDefault="00636C33" w:rsidP="00326AA3">
      <w:pPr>
        <w:numPr>
          <w:ilvl w:val="0"/>
          <w:numId w:val="19"/>
        </w:numPr>
        <w:spacing w:line="360" w:lineRule="auto"/>
      </w:pPr>
      <w:r w:rsidRPr="00636C33">
        <w:t xml:space="preserve">Logistics Planning: </w:t>
      </w:r>
      <w:r w:rsidR="00D659C1">
        <w:t>To plan and manage the logistics of employee scheduling, leave management, and performance management, HR must collaborate with operational managers. In order to satisfy the operational requirements of Taj Mahal Indian Restaurant, this would guarantee that the staff is adequately planned and managed</w:t>
      </w:r>
      <w:r w:rsidR="000455B5">
        <w:t xml:space="preserve"> (</w:t>
      </w:r>
      <w:r w:rsidR="000455B5" w:rsidRPr="00EF0336">
        <w:t>O’Shea</w:t>
      </w:r>
      <w:r w:rsidR="000455B5">
        <w:t xml:space="preserve"> et al., 2022)</w:t>
      </w:r>
      <w:r w:rsidR="00D659C1">
        <w:t>.</w:t>
      </w:r>
    </w:p>
    <w:p w14:paraId="5536C85E" w14:textId="03BC269F" w:rsidR="00D659C1" w:rsidRDefault="00D659C1" w:rsidP="00326AA3">
      <w:pPr>
        <w:numPr>
          <w:ilvl w:val="0"/>
          <w:numId w:val="19"/>
        </w:numPr>
        <w:spacing w:line="360" w:lineRule="auto"/>
      </w:pPr>
      <w:r>
        <w:t>Policies and Procedures: In accordance with applicable employment laws and regulations, HR designed and put into effect policies and procedures pertaining to hiring, training, workforce planning, and other HR tasks. This entailed ensuring that rules and regulations are written down, shared with personnel, and updated as required.</w:t>
      </w:r>
    </w:p>
    <w:p w14:paraId="36A49C61" w14:textId="24137E22" w:rsidR="00DD3ED6" w:rsidRPr="00636C33" w:rsidRDefault="00DD3ED6" w:rsidP="00326AA3">
      <w:pPr>
        <w:numPr>
          <w:ilvl w:val="0"/>
          <w:numId w:val="19"/>
        </w:numPr>
        <w:spacing w:line="360" w:lineRule="auto"/>
      </w:pPr>
      <w:r w:rsidRPr="00636C33">
        <w:t xml:space="preserve">Health and Safety: </w:t>
      </w:r>
      <w:r w:rsidR="00D659C1" w:rsidRPr="00D659C1">
        <w:t xml:space="preserve">In accordance with pertinent laws, such as the Health and Safety at Work Act of 1974 and the Food Safety Act of 1990, HR designed and put into effect health and safety policies and procedures. This includes carrying out risk analyses, delivering instruction on health and safety </w:t>
      </w:r>
      <w:r w:rsidR="001C2F60" w:rsidRPr="00D659C1">
        <w:t>practices</w:t>
      </w:r>
      <w:r w:rsidR="00D659C1" w:rsidRPr="00D659C1">
        <w:t>, and ensuring that staff members abide by health and safety regulations at work</w:t>
      </w:r>
      <w:r w:rsidR="000455B5">
        <w:t xml:space="preserve"> (Hale and Booth, 2019)</w:t>
      </w:r>
      <w:r w:rsidR="00D659C1" w:rsidRPr="00D659C1">
        <w:t>. Since the pandemic, it has become mandatory for restaurants to abide with the health, safety, and food safety laws in order to maintain their ability to operate legally and provide services to clients in the marketplace.</w:t>
      </w:r>
    </w:p>
    <w:p w14:paraId="178775ED" w14:textId="2CF522C2" w:rsidR="00D659C1" w:rsidRDefault="00636C33" w:rsidP="00326AA3">
      <w:pPr>
        <w:numPr>
          <w:ilvl w:val="0"/>
          <w:numId w:val="19"/>
        </w:numPr>
        <w:spacing w:line="360" w:lineRule="auto"/>
      </w:pPr>
      <w:r w:rsidRPr="00636C33">
        <w:t xml:space="preserve">Legislation: </w:t>
      </w:r>
      <w:r w:rsidR="00D659C1" w:rsidRPr="00D659C1">
        <w:t>HR made sure that Taj Mahal Indian Restaurant complied with all applicable employment laws and regulations in Wales, including the Equality Act 2010, the Employment Rights Act 1996, the Food Safety Act 1990, and numerous others that are pertinent as the assurance of adhering to all legal aspects and guidelines enabled the Pop up restaurant to have successful operations for the three months, and the project came out to be a success by achieving its objective</w:t>
      </w:r>
      <w:r w:rsidR="000455B5">
        <w:t xml:space="preserve"> (</w:t>
      </w:r>
      <w:proofErr w:type="spellStart"/>
      <w:r w:rsidR="000455B5" w:rsidRPr="000455B5">
        <w:t>Kleinaltenkamp</w:t>
      </w:r>
      <w:proofErr w:type="spellEnd"/>
      <w:r w:rsidR="000455B5">
        <w:t xml:space="preserve"> et al., 2021)</w:t>
      </w:r>
      <w:r w:rsidR="00D659C1">
        <w:t>.</w:t>
      </w:r>
      <w:r w:rsidR="00D659C1" w:rsidRPr="00D659C1">
        <w:t xml:space="preserve"> </w:t>
      </w:r>
    </w:p>
    <w:p w14:paraId="6D4E7AF6" w14:textId="4FC87E9D" w:rsidR="006976BC" w:rsidRPr="002216E1" w:rsidRDefault="00D659C1" w:rsidP="00326AA3">
      <w:pPr>
        <w:spacing w:line="360" w:lineRule="auto"/>
      </w:pPr>
      <w:r w:rsidRPr="00D659C1">
        <w:t>The "Taj Mahal" Indian Restaurant pop-up unit's operating rules and processes, including hiring, tr</w:t>
      </w:r>
      <w:r w:rsidR="00C72576">
        <w:t>aining, and staff planning, will be</w:t>
      </w:r>
      <w:r w:rsidRPr="00D659C1">
        <w:t xml:space="preserve"> heavily influenced by human resources. To guarantee the smooth and efficient running of the pop-up unit, HR </w:t>
      </w:r>
      <w:r w:rsidRPr="00D659C1">
        <w:lastRenderedPageBreak/>
        <w:t>designed and implemented</w:t>
      </w:r>
      <w:r w:rsidR="00C72576">
        <w:t xml:space="preserve"> HR policies and processes, will make</w:t>
      </w:r>
      <w:r w:rsidRPr="00D659C1">
        <w:t xml:space="preserve"> sure </w:t>
      </w:r>
      <w:r w:rsidR="00C72576">
        <w:t xml:space="preserve">of </w:t>
      </w:r>
      <w:r w:rsidRPr="00D659C1">
        <w:t>compliance with current Welsh G</w:t>
      </w:r>
      <w:r w:rsidR="00C72576">
        <w:t>overnment standards, and will offer</w:t>
      </w:r>
      <w:r w:rsidRPr="00D659C1">
        <w:t xml:space="preserve"> continuing assistance to staff. To reduce risks and guarantee compliance,</w:t>
      </w:r>
      <w:r w:rsidR="00C72576">
        <w:t xml:space="preserve"> HR also continuously monitor</w:t>
      </w:r>
      <w:r w:rsidRPr="00D659C1">
        <w:t xml:space="preserve"> changes in </w:t>
      </w:r>
      <w:r w:rsidR="00C72576">
        <w:t>laws and regulations and update</w:t>
      </w:r>
      <w:r w:rsidRPr="00D659C1">
        <w:t xml:space="preserve"> processes and policies as necessary.</w:t>
      </w:r>
    </w:p>
    <w:p w14:paraId="4FDD08BB" w14:textId="77777777" w:rsidR="00F32320" w:rsidRDefault="00F32320" w:rsidP="00326AA3">
      <w:pPr>
        <w:spacing w:line="360" w:lineRule="auto"/>
        <w:rPr>
          <w:rFonts w:asciiTheme="majorHAnsi" w:eastAsiaTheme="majorEastAsia" w:hAnsiTheme="majorHAnsi" w:cstheme="majorBidi"/>
          <w:color w:val="365F91" w:themeColor="accent1" w:themeShade="BF"/>
          <w:sz w:val="32"/>
          <w:szCs w:val="32"/>
        </w:rPr>
      </w:pPr>
      <w:r>
        <w:br w:type="page"/>
      </w:r>
    </w:p>
    <w:p w14:paraId="4B865174" w14:textId="41E6D743" w:rsidR="00944219" w:rsidRPr="009735E9" w:rsidRDefault="00944219" w:rsidP="00326AA3">
      <w:pPr>
        <w:pStyle w:val="Heading1"/>
        <w:spacing w:line="360" w:lineRule="auto"/>
        <w:rPr>
          <w:rFonts w:ascii="Arial" w:hAnsi="Arial" w:cs="Arial"/>
        </w:rPr>
      </w:pPr>
      <w:bookmarkStart w:id="12" w:name="_Toc132128851"/>
      <w:r w:rsidRPr="009735E9">
        <w:rPr>
          <w:rFonts w:ascii="Arial" w:hAnsi="Arial" w:cs="Arial"/>
        </w:rPr>
        <w:lastRenderedPageBreak/>
        <w:t>Section 3 – Emergency Plan</w:t>
      </w:r>
      <w:bookmarkEnd w:id="12"/>
      <w:r w:rsidRPr="009735E9">
        <w:rPr>
          <w:rFonts w:ascii="Arial" w:hAnsi="Arial" w:cs="Arial"/>
        </w:rPr>
        <w:t xml:space="preserve"> </w:t>
      </w:r>
    </w:p>
    <w:p w14:paraId="0BB4A9D3" w14:textId="1A90D923" w:rsidR="00F32320" w:rsidRPr="009735E9" w:rsidRDefault="00F32320" w:rsidP="00326AA3">
      <w:pPr>
        <w:pStyle w:val="Heading2"/>
        <w:spacing w:line="360" w:lineRule="auto"/>
        <w:rPr>
          <w:rFonts w:ascii="Arial" w:hAnsi="Arial" w:cs="Arial"/>
        </w:rPr>
      </w:pPr>
      <w:bookmarkStart w:id="13" w:name="_Toc132128852"/>
      <w:r w:rsidRPr="009735E9">
        <w:rPr>
          <w:rFonts w:ascii="Arial" w:hAnsi="Arial" w:cs="Arial"/>
        </w:rPr>
        <w:t>Emergency Planning &amp; Procedures</w:t>
      </w:r>
      <w:bookmarkEnd w:id="13"/>
    </w:p>
    <w:p w14:paraId="7776ACC6" w14:textId="77777777" w:rsidR="00D659C1" w:rsidRDefault="00D659C1" w:rsidP="00326AA3">
      <w:pPr>
        <w:spacing w:line="360" w:lineRule="auto"/>
      </w:pPr>
      <w:r>
        <w:t>Each business, including the operation of a pop-up restaurant like "Taj Mahal" Indian Restaurant, must have emergency plans and procedures in place. It entails developing plans and procedures to deal with crises quickly and effectively while protecting people, things, and employees.</w:t>
      </w:r>
    </w:p>
    <w:p w14:paraId="51287234" w14:textId="26AE7492" w:rsidR="00944781" w:rsidRPr="00944781" w:rsidRDefault="00D659C1" w:rsidP="00944781">
      <w:pPr>
        <w:spacing w:line="360" w:lineRule="auto"/>
      </w:pPr>
      <w:r w:rsidRPr="00944781">
        <w:t>The Green Book, also known as "Emergency Response and Recovery: Non-Statutory Advice supporting the Civil Contingencies Act 2004," is a popular framework for emergency preparedness. Businesses and organisations in the UK may find advice on disaster response and preparedness in The Green Book. The guidelines for emergency preparedness are outlined, along with the best methods for risk assessment, coordination, communication, and recovery planning</w:t>
      </w:r>
      <w:r w:rsidR="00944781" w:rsidRPr="00944781">
        <w:t xml:space="preserve"> (Childs, &amp; Dietrich, 2002). </w:t>
      </w:r>
    </w:p>
    <w:p w14:paraId="250CD718" w14:textId="078DEEC1" w:rsidR="00D659C1" w:rsidRDefault="00D659C1" w:rsidP="00326AA3">
      <w:pPr>
        <w:spacing w:line="360" w:lineRule="auto"/>
      </w:pPr>
      <w:r w:rsidRPr="00D659C1">
        <w:t>The Control of Major Accident Hazards (COMAH) rules, officially known as "Emergency Planning for Significant Accidents: Control of Major Accident Hazards Regulations 2015," contain detailed instructions for companies that handle hazardous materials. For firms handling hazardous substances, it encompasses risk assessment, emergency response planning, and communication regulations</w:t>
      </w:r>
      <w:r w:rsidR="000455B5">
        <w:t xml:space="preserve"> (</w:t>
      </w:r>
      <w:proofErr w:type="spellStart"/>
      <w:r w:rsidR="000455B5" w:rsidRPr="000455B5">
        <w:t>Rusli</w:t>
      </w:r>
      <w:proofErr w:type="spellEnd"/>
      <w:r w:rsidR="000455B5" w:rsidRPr="000455B5">
        <w:t xml:space="preserve"> and </w:t>
      </w:r>
      <w:proofErr w:type="spellStart"/>
      <w:r w:rsidR="000455B5" w:rsidRPr="000455B5">
        <w:t>Abidin</w:t>
      </w:r>
      <w:proofErr w:type="spellEnd"/>
      <w:r w:rsidR="000455B5">
        <w:t>, 2021)</w:t>
      </w:r>
      <w:r w:rsidRPr="00D659C1">
        <w:t>.</w:t>
      </w:r>
    </w:p>
    <w:p w14:paraId="4564E1CA" w14:textId="77777777" w:rsidR="00F32320" w:rsidRPr="00F32320" w:rsidRDefault="00F32320" w:rsidP="00326AA3">
      <w:pPr>
        <w:spacing w:line="360" w:lineRule="auto"/>
        <w:rPr>
          <w:b/>
          <w:bCs/>
          <w:i/>
          <w:iCs/>
        </w:rPr>
      </w:pPr>
      <w:r w:rsidRPr="00F32320">
        <w:rPr>
          <w:b/>
          <w:bCs/>
          <w:i/>
          <w:iCs/>
        </w:rPr>
        <w:t>For "Taj Mahal" Indian Restaurant, the emergency procedures should include:</w:t>
      </w:r>
    </w:p>
    <w:p w14:paraId="521AE5B5" w14:textId="5562FD04" w:rsidR="00D659C1" w:rsidRDefault="00F32320" w:rsidP="00326AA3">
      <w:pPr>
        <w:numPr>
          <w:ilvl w:val="0"/>
          <w:numId w:val="23"/>
        </w:numPr>
        <w:spacing w:line="360" w:lineRule="auto"/>
      </w:pPr>
      <w:r w:rsidRPr="00F32320">
        <w:t xml:space="preserve">Risk Assessment: </w:t>
      </w:r>
      <w:r w:rsidR="00D659C1">
        <w:t>Consider the location, characteristics, and activities of the property to identify potential emergency threats, such as fire, gas leaks, floods, and medical situations. Regularly evaluate the risks to keep the emergency plans current. The appendix contains a comprehensive risk assessment of the potential significant risks that has been completed</w:t>
      </w:r>
      <w:r w:rsidR="00DB7833">
        <w:t xml:space="preserve"> (</w:t>
      </w:r>
      <w:r w:rsidR="00DB7833" w:rsidRPr="00DB7833">
        <w:t>Flynn and Thorpe</w:t>
      </w:r>
      <w:r w:rsidR="00DB7833">
        <w:t>, 2021)</w:t>
      </w:r>
      <w:r w:rsidR="00D659C1">
        <w:t>.</w:t>
      </w:r>
    </w:p>
    <w:p w14:paraId="1A759929" w14:textId="6E0AB6C3" w:rsidR="00D659C1" w:rsidRDefault="00D659C1" w:rsidP="00326AA3">
      <w:pPr>
        <w:numPr>
          <w:ilvl w:val="0"/>
          <w:numId w:val="23"/>
        </w:numPr>
        <w:spacing w:line="360" w:lineRule="auto"/>
      </w:pPr>
      <w:r>
        <w:t>Emergency Action Program: Create a thorough emergency response plan that outlines specific steps for evacuation, first aid, calling for help, and handling various crises. Staff members should be assigned roles and tasks to ensure effective collaboration during crises</w:t>
      </w:r>
      <w:r w:rsidR="00DB7833">
        <w:t xml:space="preserve"> (Hege et al., 2021)</w:t>
      </w:r>
      <w:r>
        <w:t>.</w:t>
      </w:r>
    </w:p>
    <w:p w14:paraId="04D3141A" w14:textId="07599AEC" w:rsidR="00D659C1" w:rsidRDefault="00F32320" w:rsidP="00326AA3">
      <w:pPr>
        <w:numPr>
          <w:ilvl w:val="0"/>
          <w:numId w:val="23"/>
        </w:numPr>
        <w:spacing w:line="360" w:lineRule="auto"/>
      </w:pPr>
      <w:r w:rsidRPr="00F32320">
        <w:lastRenderedPageBreak/>
        <w:t xml:space="preserve">Communication Plan: </w:t>
      </w:r>
      <w:r w:rsidR="00D659C1">
        <w:t xml:space="preserve">Create a communication strategy to enable efficient internal and external employee communication as well as communication with emergency services, clients, and stakeholders during crises. Provide phone numbers for </w:t>
      </w:r>
      <w:r w:rsidR="00F04A00">
        <w:t>neighboring</w:t>
      </w:r>
      <w:r w:rsidR="00D659C1">
        <w:t xml:space="preserve"> hospitals, emergency agencies, and any pertinent organisations</w:t>
      </w:r>
      <w:r w:rsidR="00AF6A2B">
        <w:t xml:space="preserve"> (</w:t>
      </w:r>
      <w:r w:rsidR="00AF6A2B" w:rsidRPr="00DB7833">
        <w:t>Flynn and Thorpe</w:t>
      </w:r>
      <w:r w:rsidR="00AF6A2B">
        <w:t>, 2021)</w:t>
      </w:r>
      <w:r w:rsidR="00D659C1">
        <w:t>.</w:t>
      </w:r>
    </w:p>
    <w:p w14:paraId="30B6DD39" w14:textId="4F0C7C33" w:rsidR="00D659C1" w:rsidRDefault="00D659C1" w:rsidP="00326AA3">
      <w:pPr>
        <w:numPr>
          <w:ilvl w:val="0"/>
          <w:numId w:val="23"/>
        </w:numPr>
        <w:spacing w:line="360" w:lineRule="auto"/>
      </w:pPr>
      <w:r>
        <w:t>Training and drills: Regularly instruct employees on emergency protocols, such as evacuation routes, first aid, and how to use safety gear. Do emergency exercises to test the response strategy and find areas that need work.</w:t>
      </w:r>
    </w:p>
    <w:p w14:paraId="5A0D2D18" w14:textId="652B4101" w:rsidR="00D659C1" w:rsidRDefault="00D659C1" w:rsidP="00326AA3">
      <w:pPr>
        <w:numPr>
          <w:ilvl w:val="0"/>
          <w:numId w:val="23"/>
        </w:numPr>
        <w:spacing w:line="360" w:lineRule="auto"/>
      </w:pPr>
      <w:r>
        <w:t>Upkeep and inspections: Fire extinguishers, emergency lighting, and alarms should all be routinely inspected and maintained to make sure they are in good working order. For compliance and reference, keep a record of all inspections and maintenance.</w:t>
      </w:r>
    </w:p>
    <w:p w14:paraId="705D8DF6" w14:textId="429B12E4" w:rsidR="00D659C1" w:rsidRDefault="00F32320" w:rsidP="00326AA3">
      <w:pPr>
        <w:numPr>
          <w:ilvl w:val="0"/>
          <w:numId w:val="23"/>
        </w:numPr>
        <w:spacing w:line="360" w:lineRule="auto"/>
      </w:pPr>
      <w:r w:rsidRPr="00F32320">
        <w:t xml:space="preserve">Recovery Planning: </w:t>
      </w:r>
      <w:r w:rsidR="00D659C1">
        <w:t>Create a recovery plan that includes damage assessment, scheduling repairs, and resuming business operations in order to return to regular operations following an event. To reduce interruptions, take into account business continuity methods including backup systems and other providers</w:t>
      </w:r>
      <w:r w:rsidR="00DB7833">
        <w:t xml:space="preserve"> (Norris et al., 2021)</w:t>
      </w:r>
      <w:r w:rsidR="00D659C1">
        <w:t>.</w:t>
      </w:r>
    </w:p>
    <w:p w14:paraId="46D4BF6E" w14:textId="12C12027" w:rsidR="00F32320" w:rsidRDefault="00D659C1" w:rsidP="00326AA3">
      <w:pPr>
        <w:spacing w:line="360" w:lineRule="auto"/>
      </w:pPr>
      <w:r>
        <w:t>To ensure the safety of employees, clients, and property during the Christmas season of operation, "Taj Mahal" Indian Restaurant should adhere to all applicable local, regional, and national regulations related to emergency planning and procedures, including building codes, health and safety regulations, and food safety regulations.</w:t>
      </w:r>
    </w:p>
    <w:p w14:paraId="20A68D61" w14:textId="77777777" w:rsidR="00F32320" w:rsidRDefault="00F32320" w:rsidP="00326AA3">
      <w:pPr>
        <w:spacing w:line="360" w:lineRule="auto"/>
        <w:rPr>
          <w:rFonts w:asciiTheme="majorHAnsi" w:eastAsiaTheme="majorEastAsia" w:hAnsiTheme="majorHAnsi" w:cstheme="majorBidi"/>
          <w:color w:val="365F91" w:themeColor="accent1" w:themeShade="BF"/>
          <w:sz w:val="32"/>
          <w:szCs w:val="32"/>
        </w:rPr>
      </w:pPr>
      <w:r>
        <w:br w:type="page"/>
      </w:r>
    </w:p>
    <w:p w14:paraId="05274E00" w14:textId="6F7B3320" w:rsidR="00944219" w:rsidRPr="009735E9" w:rsidRDefault="00944219" w:rsidP="00326AA3">
      <w:pPr>
        <w:pStyle w:val="Heading1"/>
        <w:spacing w:line="360" w:lineRule="auto"/>
        <w:rPr>
          <w:rFonts w:ascii="Arial" w:hAnsi="Arial" w:cs="Arial"/>
        </w:rPr>
      </w:pPr>
      <w:bookmarkStart w:id="14" w:name="_Toc132128853"/>
      <w:r w:rsidRPr="009735E9">
        <w:rPr>
          <w:rFonts w:ascii="Arial" w:hAnsi="Arial" w:cs="Arial"/>
        </w:rPr>
        <w:lastRenderedPageBreak/>
        <w:t>Section 4 – Key Performance Indicators / Yield Management Measures</w:t>
      </w:r>
      <w:bookmarkEnd w:id="14"/>
      <w:r w:rsidRPr="009735E9">
        <w:rPr>
          <w:rFonts w:ascii="Arial" w:hAnsi="Arial" w:cs="Arial"/>
        </w:rPr>
        <w:t xml:space="preserve"> </w:t>
      </w:r>
    </w:p>
    <w:p w14:paraId="646544F7" w14:textId="37E81A3A" w:rsidR="0090092A" w:rsidRPr="009735E9" w:rsidRDefault="0090092A" w:rsidP="00326AA3">
      <w:pPr>
        <w:pStyle w:val="Heading2"/>
        <w:spacing w:line="360" w:lineRule="auto"/>
        <w:rPr>
          <w:rFonts w:ascii="Arial" w:hAnsi="Arial" w:cs="Arial"/>
        </w:rPr>
      </w:pPr>
      <w:bookmarkStart w:id="15" w:name="_Toc132128854"/>
      <w:r w:rsidRPr="009735E9">
        <w:rPr>
          <w:rFonts w:ascii="Arial" w:hAnsi="Arial" w:cs="Arial"/>
        </w:rPr>
        <w:t>KPI and Yield Management</w:t>
      </w:r>
      <w:bookmarkEnd w:id="15"/>
      <w:r w:rsidRPr="009735E9">
        <w:rPr>
          <w:rFonts w:ascii="Arial" w:hAnsi="Arial" w:cs="Arial"/>
        </w:rPr>
        <w:t xml:space="preserve"> </w:t>
      </w:r>
    </w:p>
    <w:p w14:paraId="7A7131B9" w14:textId="299E3CA0" w:rsidR="00D659C1" w:rsidRDefault="005A75C9" w:rsidP="00326AA3">
      <w:pPr>
        <w:spacing w:line="360" w:lineRule="auto"/>
      </w:pPr>
      <w:r w:rsidRPr="005A75C9">
        <w:t xml:space="preserve">Key Performance Indicators (KPIs): </w:t>
      </w:r>
      <w:r w:rsidR="00D659C1" w:rsidRPr="00D659C1">
        <w:t>KPIs are quantitative measurements used to assess an organization's performance or a particular area of its operations. They are employed to assess if a company has been successful in accomplishing its objectives. KPIs offer a tool to track development, pinpoint areas for growth, and make data-driven choices. They can be financial or non-financial</w:t>
      </w:r>
      <w:r w:rsidR="00C14BF2">
        <w:t xml:space="preserve"> (Marr, 2013)</w:t>
      </w:r>
      <w:r w:rsidR="00D659C1" w:rsidRPr="00D659C1">
        <w:t>.</w:t>
      </w:r>
    </w:p>
    <w:p w14:paraId="178B8C82" w14:textId="7C82D32E" w:rsidR="00D659C1" w:rsidRDefault="005A75C9" w:rsidP="00326AA3">
      <w:pPr>
        <w:spacing w:line="360" w:lineRule="auto"/>
      </w:pPr>
      <w:r w:rsidRPr="005A75C9">
        <w:t xml:space="preserve">Yield Management: </w:t>
      </w:r>
      <w:r w:rsidR="00D659C1" w:rsidRPr="00D659C1">
        <w:t xml:space="preserve">A pricing approach used by enterprises to increase income from a fixed and perishable inventory, such as hotel rooms or restaurant tables, is known as yield management, sometimes known as revenue management. To </w:t>
      </w:r>
      <w:proofErr w:type="spellStart"/>
      <w:r w:rsidR="00D659C1" w:rsidRPr="00D659C1">
        <w:t>maximise</w:t>
      </w:r>
      <w:proofErr w:type="spellEnd"/>
      <w:r w:rsidR="00D659C1" w:rsidRPr="00D659C1">
        <w:t xml:space="preserve"> revenue and profitability, it entails dynamically altering pricing based on variables including demand, seasonality, and consumer segmentation. To increase revenue and profitability, yield management seeks to offer the right product to the right consumer at the right time for the right price</w:t>
      </w:r>
      <w:r w:rsidR="00AF6A2B">
        <w:t xml:space="preserve"> (</w:t>
      </w:r>
      <w:proofErr w:type="spellStart"/>
      <w:r w:rsidR="00AF6A2B" w:rsidRPr="00AF6A2B">
        <w:t>Viglia</w:t>
      </w:r>
      <w:proofErr w:type="spellEnd"/>
      <w:r w:rsidR="00AF6A2B" w:rsidRPr="00AF6A2B">
        <w:t xml:space="preserve"> and </w:t>
      </w:r>
      <w:proofErr w:type="spellStart"/>
      <w:r w:rsidR="00AF6A2B" w:rsidRPr="00AF6A2B">
        <w:t>Abrate</w:t>
      </w:r>
      <w:proofErr w:type="spellEnd"/>
      <w:r w:rsidR="00AF6A2B">
        <w:t>, 2020)</w:t>
      </w:r>
      <w:r w:rsidR="00D659C1" w:rsidRPr="00D659C1">
        <w:t>.</w:t>
      </w:r>
    </w:p>
    <w:p w14:paraId="79D1273F" w14:textId="5F9A05E8" w:rsidR="00F32320" w:rsidRPr="009735E9" w:rsidRDefault="00F32320" w:rsidP="00326AA3">
      <w:pPr>
        <w:pStyle w:val="Heading2"/>
        <w:spacing w:line="360" w:lineRule="auto"/>
        <w:rPr>
          <w:rFonts w:ascii="Arial" w:hAnsi="Arial" w:cs="Arial"/>
        </w:rPr>
      </w:pPr>
      <w:bookmarkStart w:id="16" w:name="_Toc132128855"/>
      <w:r w:rsidRPr="009735E9">
        <w:rPr>
          <w:rFonts w:ascii="Arial" w:hAnsi="Arial" w:cs="Arial"/>
        </w:rPr>
        <w:t>Different relevant KPI’s</w:t>
      </w:r>
      <w:bookmarkEnd w:id="16"/>
    </w:p>
    <w:p w14:paraId="1A84BF04" w14:textId="01F8C902" w:rsidR="00D659C1" w:rsidRDefault="00D659C1" w:rsidP="00326AA3">
      <w:pPr>
        <w:spacing w:line="360" w:lineRule="auto"/>
      </w:pPr>
      <w:r w:rsidRPr="00D659C1">
        <w:t xml:space="preserve">The "Taj Mahal" Indian Restaurant pop-up might use measures like total revenue, average revenue per customer, customer satisfaction ratings, table turnover rate, and repeat customer rate as key performance indicators (KPIs). These KPIs can offer information on the financial success, customer happiness, and operational effectiveness of the restaurant. In order to </w:t>
      </w:r>
      <w:proofErr w:type="spellStart"/>
      <w:r w:rsidRPr="00D659C1">
        <w:t>maximise</w:t>
      </w:r>
      <w:proofErr w:type="spellEnd"/>
      <w:r w:rsidRPr="00D659C1">
        <w:t xml:space="preserve"> revenue and profitability, price might also be adjusted using yield management tactics depending on variables like demand during the Christmas season, day of the week, and hour of the day. Assuring high levels of customer happiness through effective service delivery, superior food quality, and </w:t>
      </w:r>
      <w:proofErr w:type="spellStart"/>
      <w:r w:rsidRPr="00D659C1">
        <w:t>individualised</w:t>
      </w:r>
      <w:proofErr w:type="spellEnd"/>
      <w:r w:rsidRPr="00D659C1">
        <w:t xml:space="preserve"> customer experiences is another way to put service quality theory to use</w:t>
      </w:r>
      <w:r w:rsidR="00AF6A2B">
        <w:t xml:space="preserve"> (</w:t>
      </w:r>
      <w:proofErr w:type="spellStart"/>
      <w:r w:rsidR="00AF6A2B">
        <w:t>Milwood</w:t>
      </w:r>
      <w:proofErr w:type="spellEnd"/>
      <w:r w:rsidR="00AF6A2B">
        <w:t>, 2022)</w:t>
      </w:r>
      <w:r w:rsidRPr="00D659C1">
        <w:t>.</w:t>
      </w:r>
      <w:r>
        <w:t xml:space="preserve"> Lastly, the "Taj Mahal" Indian Restaurant's three-month pop-up time might benefit from revenue management theory to help with pricing and inventory control tactics.</w:t>
      </w:r>
    </w:p>
    <w:p w14:paraId="7FA7CB44" w14:textId="77777777" w:rsidR="00D659C1" w:rsidRDefault="00D659C1" w:rsidP="00326AA3">
      <w:pPr>
        <w:spacing w:line="360" w:lineRule="auto"/>
      </w:pPr>
      <w:r>
        <w:lastRenderedPageBreak/>
        <w:t>There are a number of key performance indicators (KPIs) that may be generated in order to evaluate the "Taj Mahal" Indian Restaurant pop-up event's effectiveness in terms of customer feedback and performance measurements. These KPIs may be used to assess various areas of the event and offer perceptions on how well it performed overall. The following are some possible KPIs the event management department could take into account:</w:t>
      </w:r>
    </w:p>
    <w:p w14:paraId="5F34C855" w14:textId="52E79E1E" w:rsidR="00D659C1" w:rsidRDefault="005A75C9" w:rsidP="00326AA3">
      <w:pPr>
        <w:pStyle w:val="ListParagraph"/>
        <w:numPr>
          <w:ilvl w:val="0"/>
          <w:numId w:val="25"/>
        </w:numPr>
        <w:spacing w:line="360" w:lineRule="auto"/>
      </w:pPr>
      <w:r w:rsidRPr="005A75C9">
        <w:t xml:space="preserve">Customer Satisfaction Score (CSAT): </w:t>
      </w:r>
      <w:r w:rsidR="00D659C1">
        <w:t>The visitor comments gathered through sites like TripAdvisor or other feedback engines may be used to measure this KPI. The event's overall quality, cuisine, service, ambiance, and other pertinent aspects are all rated by attendees</w:t>
      </w:r>
      <w:r w:rsidR="00AF6A2B">
        <w:t xml:space="preserve"> (</w:t>
      </w:r>
      <w:proofErr w:type="spellStart"/>
      <w:r w:rsidR="00AF6A2B">
        <w:t>Aggrawal</w:t>
      </w:r>
      <w:proofErr w:type="spellEnd"/>
      <w:r w:rsidR="00AF6A2B">
        <w:t>, 2021)</w:t>
      </w:r>
      <w:r w:rsidR="00D659C1">
        <w:t>. A high CSAT rating would suggest that attendees had a good time at the event.</w:t>
      </w:r>
    </w:p>
    <w:p w14:paraId="6A4D5E97" w14:textId="12559998" w:rsidR="00D659C1" w:rsidRDefault="00D659C1" w:rsidP="00326AA3">
      <w:pPr>
        <w:pStyle w:val="ListParagraph"/>
        <w:numPr>
          <w:ilvl w:val="0"/>
          <w:numId w:val="25"/>
        </w:numPr>
        <w:spacing w:line="360" w:lineRule="auto"/>
      </w:pPr>
      <w:r>
        <w:t>Internet Reviews and Ratings: Tracking and examining online reviews and ratings can offer insightful information about how attendees felt about the event. Negative reviews may point out areas for development, while positive reviews and high ratings may indicate a successful event</w:t>
      </w:r>
      <w:r w:rsidR="00AF6A2B">
        <w:t xml:space="preserve"> (Farah et al., 2022)</w:t>
      </w:r>
      <w:r>
        <w:t>.</w:t>
      </w:r>
    </w:p>
    <w:p w14:paraId="1CA3A077" w14:textId="278911C8" w:rsidR="00D659C1" w:rsidRDefault="005A75C9" w:rsidP="00326AA3">
      <w:pPr>
        <w:pStyle w:val="ListParagraph"/>
        <w:numPr>
          <w:ilvl w:val="0"/>
          <w:numId w:val="25"/>
        </w:numPr>
        <w:spacing w:line="360" w:lineRule="auto"/>
      </w:pPr>
      <w:r w:rsidRPr="005A75C9">
        <w:t xml:space="preserve">Repeat Business: </w:t>
      </w:r>
      <w:r w:rsidR="00D659C1">
        <w:t>The proportion of attendees who make reservations for subsequent events or come back to the event can be used as a gauge of patron satisfaction and loyalty. Greater repeat customer counts would suggest that attendees loved the event and are likely to return, which can help the event as a whole</w:t>
      </w:r>
      <w:r w:rsidR="00AF6A2B">
        <w:t xml:space="preserve"> (</w:t>
      </w:r>
      <w:proofErr w:type="spellStart"/>
      <w:r w:rsidR="00AF6A2B">
        <w:t>Saura</w:t>
      </w:r>
      <w:proofErr w:type="spellEnd"/>
      <w:r w:rsidR="00AF6A2B">
        <w:t xml:space="preserve"> et al., 2019)</w:t>
      </w:r>
      <w:r w:rsidR="00D659C1">
        <w:t>.</w:t>
      </w:r>
    </w:p>
    <w:p w14:paraId="4804196C" w14:textId="22ACB6C0" w:rsidR="00D659C1" w:rsidRDefault="00D659C1" w:rsidP="00326AA3">
      <w:pPr>
        <w:pStyle w:val="ListParagraph"/>
        <w:numPr>
          <w:ilvl w:val="0"/>
          <w:numId w:val="25"/>
        </w:numPr>
        <w:spacing w:line="360" w:lineRule="auto"/>
      </w:pPr>
      <w:r>
        <w:t>Average Expenditure per Guest: This KPI measures the typical amount each attendee spent at the event, including any purchases of food, drinks, and other items. A greater average visitor expenditure might result in better financial yield management and performance</w:t>
      </w:r>
      <w:r w:rsidR="00AF6A2B">
        <w:t xml:space="preserve"> (</w:t>
      </w:r>
      <w:proofErr w:type="spellStart"/>
      <w:r w:rsidR="00AF6A2B" w:rsidRPr="00AF6A2B">
        <w:t>Lorente-Martínez</w:t>
      </w:r>
      <w:proofErr w:type="spellEnd"/>
      <w:r w:rsidR="00AF6A2B">
        <w:t xml:space="preserve"> et al., 2022)</w:t>
      </w:r>
      <w:r>
        <w:t>.</w:t>
      </w:r>
    </w:p>
    <w:p w14:paraId="06AF563A" w14:textId="77777777" w:rsidR="00D659C1" w:rsidRDefault="00D659C1" w:rsidP="00326AA3">
      <w:pPr>
        <w:spacing w:line="360" w:lineRule="auto"/>
      </w:pPr>
      <w:r w:rsidRPr="00D659C1">
        <w:t>These KPIs should have a baseline set before the event, and the data should be routinely monitored and analysed during the event. The event management department will be able to use this information to gauge the success of the "Taj Mahal" Indian Restaurant pop-up event beyond only financial yield management and performance, make data-driven choices, pinpoint problem areas, and suggest areas for improvement.</w:t>
      </w:r>
    </w:p>
    <w:p w14:paraId="2A84D325" w14:textId="7AC585EA" w:rsidR="005A75C9" w:rsidRPr="009735E9" w:rsidRDefault="00F32320" w:rsidP="00326AA3">
      <w:pPr>
        <w:pStyle w:val="Heading2"/>
        <w:spacing w:line="360" w:lineRule="auto"/>
        <w:rPr>
          <w:rFonts w:ascii="Arial" w:hAnsi="Arial" w:cs="Arial"/>
        </w:rPr>
      </w:pPr>
      <w:bookmarkStart w:id="17" w:name="_Toc132128856"/>
      <w:r w:rsidRPr="009735E9">
        <w:rPr>
          <w:rFonts w:ascii="Arial" w:hAnsi="Arial" w:cs="Arial"/>
        </w:rPr>
        <w:lastRenderedPageBreak/>
        <w:t>Budget planning</w:t>
      </w:r>
      <w:bookmarkEnd w:id="17"/>
      <w:r w:rsidRPr="009735E9">
        <w:rPr>
          <w:rFonts w:ascii="Arial" w:hAnsi="Arial" w:cs="Arial"/>
        </w:rPr>
        <w:t xml:space="preserve"> </w:t>
      </w:r>
    </w:p>
    <w:tbl>
      <w:tblPr>
        <w:tblStyle w:val="ListTable4Accent3"/>
        <w:tblW w:w="9930" w:type="dxa"/>
        <w:tblLook w:val="04A0" w:firstRow="1" w:lastRow="0" w:firstColumn="1" w:lastColumn="0" w:noHBand="0" w:noVBand="1"/>
      </w:tblPr>
      <w:tblGrid>
        <w:gridCol w:w="3192"/>
        <w:gridCol w:w="2270"/>
        <w:gridCol w:w="2183"/>
        <w:gridCol w:w="2285"/>
      </w:tblGrid>
      <w:tr w:rsidR="003B17C8" w:rsidRPr="003B17C8" w14:paraId="63F29F50" w14:textId="77777777" w:rsidTr="003B17C8">
        <w:trPr>
          <w:cnfStyle w:val="100000000000" w:firstRow="1" w:lastRow="0" w:firstColumn="0" w:lastColumn="0" w:oddVBand="0" w:evenVBand="0" w:oddHBand="0"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9930" w:type="dxa"/>
            <w:gridSpan w:val="4"/>
            <w:noWrap/>
            <w:hideMark/>
          </w:tcPr>
          <w:p w14:paraId="2B407C70" w14:textId="6A5F89B2" w:rsidR="003B17C8" w:rsidRPr="003B17C8" w:rsidRDefault="003B17C8" w:rsidP="00326AA3">
            <w:pPr>
              <w:spacing w:line="360" w:lineRule="auto"/>
              <w:rPr>
                <w:rFonts w:ascii="Calibri" w:eastAsia="Times New Roman" w:hAnsi="Calibri" w:cs="Times New Roman"/>
                <w:color w:val="000000"/>
                <w:sz w:val="22"/>
              </w:rPr>
            </w:pPr>
            <w:r w:rsidRPr="003B17C8">
              <w:rPr>
                <w:rFonts w:ascii="Calibri" w:eastAsia="Times New Roman" w:hAnsi="Calibri" w:cs="Times New Roman"/>
                <w:color w:val="000000"/>
                <w:sz w:val="22"/>
              </w:rPr>
              <w:t>POP UP RESTAURANT BUDGET</w:t>
            </w:r>
          </w:p>
        </w:tc>
      </w:tr>
      <w:tr w:rsidR="003B17C8" w:rsidRPr="003B17C8" w14:paraId="776A71E8" w14:textId="77777777" w:rsidTr="003B17C8">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3192" w:type="dxa"/>
            <w:noWrap/>
            <w:hideMark/>
          </w:tcPr>
          <w:p w14:paraId="6DD6BCF7" w14:textId="634C07E3" w:rsidR="003B17C8" w:rsidRPr="003B17C8" w:rsidRDefault="003B17C8" w:rsidP="00326AA3">
            <w:pPr>
              <w:spacing w:line="360" w:lineRule="auto"/>
              <w:rPr>
                <w:rFonts w:ascii="Calibri" w:eastAsia="Times New Roman" w:hAnsi="Calibri" w:cs="Times New Roman"/>
                <w:color w:val="000000"/>
                <w:sz w:val="22"/>
              </w:rPr>
            </w:pPr>
            <w:r w:rsidRPr="003B17C8">
              <w:rPr>
                <w:rFonts w:ascii="Calibri" w:eastAsia="Times New Roman" w:hAnsi="Calibri" w:cs="Times New Roman"/>
                <w:color w:val="000000"/>
                <w:sz w:val="22"/>
              </w:rPr>
              <w:t>Requirements</w:t>
            </w:r>
          </w:p>
        </w:tc>
        <w:tc>
          <w:tcPr>
            <w:tcW w:w="2270" w:type="dxa"/>
            <w:hideMark/>
          </w:tcPr>
          <w:p w14:paraId="621C4810" w14:textId="77777777" w:rsidR="003B17C8" w:rsidRPr="003B17C8" w:rsidRDefault="003B17C8" w:rsidP="00326AA3">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2"/>
              </w:rPr>
            </w:pPr>
            <w:r w:rsidRPr="003B17C8">
              <w:rPr>
                <w:rFonts w:ascii="Calibri" w:eastAsia="Times New Roman" w:hAnsi="Calibri" w:cs="Times New Roman"/>
                <w:b/>
                <w:bCs/>
                <w:color w:val="000000"/>
                <w:sz w:val="22"/>
              </w:rPr>
              <w:t>Time period (Months)</w:t>
            </w:r>
          </w:p>
        </w:tc>
        <w:tc>
          <w:tcPr>
            <w:tcW w:w="2183" w:type="dxa"/>
            <w:hideMark/>
          </w:tcPr>
          <w:p w14:paraId="72058339" w14:textId="77777777" w:rsidR="003B17C8" w:rsidRPr="003B17C8" w:rsidRDefault="003B17C8" w:rsidP="00326AA3">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2"/>
              </w:rPr>
            </w:pPr>
            <w:r w:rsidRPr="003B17C8">
              <w:rPr>
                <w:rFonts w:ascii="Calibri" w:eastAsia="Times New Roman" w:hAnsi="Calibri" w:cs="Times New Roman"/>
                <w:b/>
                <w:bCs/>
                <w:color w:val="000000"/>
                <w:sz w:val="22"/>
              </w:rPr>
              <w:t>Unit Cost (Per Month)</w:t>
            </w:r>
          </w:p>
        </w:tc>
        <w:tc>
          <w:tcPr>
            <w:tcW w:w="2283" w:type="dxa"/>
            <w:hideMark/>
          </w:tcPr>
          <w:p w14:paraId="588813BF" w14:textId="77777777" w:rsidR="003B17C8" w:rsidRPr="003B17C8" w:rsidRDefault="003B17C8" w:rsidP="00326AA3">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b/>
                <w:bCs/>
                <w:color w:val="000000"/>
                <w:sz w:val="22"/>
              </w:rPr>
            </w:pPr>
            <w:r w:rsidRPr="003B17C8">
              <w:rPr>
                <w:rFonts w:ascii="Calibri" w:eastAsia="Times New Roman" w:hAnsi="Calibri" w:cs="Times New Roman"/>
                <w:b/>
                <w:bCs/>
                <w:color w:val="000000"/>
                <w:sz w:val="22"/>
              </w:rPr>
              <w:t>Payable Amount (£)</w:t>
            </w:r>
          </w:p>
        </w:tc>
      </w:tr>
      <w:tr w:rsidR="003B17C8" w:rsidRPr="003B17C8" w14:paraId="6FCBF106" w14:textId="77777777" w:rsidTr="003B17C8">
        <w:trPr>
          <w:trHeight w:val="518"/>
        </w:trPr>
        <w:tc>
          <w:tcPr>
            <w:cnfStyle w:val="001000000000" w:firstRow="0" w:lastRow="0" w:firstColumn="1" w:lastColumn="0" w:oddVBand="0" w:evenVBand="0" w:oddHBand="0" w:evenHBand="0" w:firstRowFirstColumn="0" w:firstRowLastColumn="0" w:lastRowFirstColumn="0" w:lastRowLastColumn="0"/>
            <w:tcW w:w="3192" w:type="dxa"/>
            <w:noWrap/>
            <w:hideMark/>
          </w:tcPr>
          <w:p w14:paraId="49A0C439" w14:textId="76D77B82" w:rsidR="003B17C8" w:rsidRPr="003B17C8" w:rsidRDefault="003B17C8" w:rsidP="00326AA3">
            <w:pPr>
              <w:spacing w:line="360" w:lineRule="auto"/>
              <w:rPr>
                <w:rFonts w:ascii="Calibri" w:eastAsia="Times New Roman" w:hAnsi="Calibri" w:cs="Times New Roman"/>
                <w:color w:val="000000"/>
                <w:sz w:val="22"/>
              </w:rPr>
            </w:pPr>
            <w:r w:rsidRPr="003B17C8">
              <w:rPr>
                <w:rFonts w:ascii="Calibri" w:eastAsia="Times New Roman" w:hAnsi="Calibri" w:cs="Times New Roman"/>
                <w:color w:val="000000"/>
                <w:sz w:val="22"/>
              </w:rPr>
              <w:t>Rent</w:t>
            </w:r>
          </w:p>
        </w:tc>
        <w:tc>
          <w:tcPr>
            <w:tcW w:w="2270" w:type="dxa"/>
            <w:noWrap/>
            <w:hideMark/>
          </w:tcPr>
          <w:p w14:paraId="37948AC3" w14:textId="77777777" w:rsidR="003B17C8" w:rsidRPr="003B17C8" w:rsidRDefault="003B17C8" w:rsidP="00326AA3">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rPr>
            </w:pPr>
            <w:r w:rsidRPr="003B17C8">
              <w:rPr>
                <w:rFonts w:ascii="Calibri" w:eastAsia="Times New Roman" w:hAnsi="Calibri" w:cs="Times New Roman"/>
                <w:color w:val="000000"/>
                <w:sz w:val="22"/>
              </w:rPr>
              <w:t>3</w:t>
            </w:r>
          </w:p>
        </w:tc>
        <w:tc>
          <w:tcPr>
            <w:tcW w:w="2183" w:type="dxa"/>
            <w:noWrap/>
            <w:hideMark/>
          </w:tcPr>
          <w:p w14:paraId="589C1C53" w14:textId="77777777" w:rsidR="003B17C8" w:rsidRPr="003B17C8" w:rsidRDefault="003B17C8" w:rsidP="00326AA3">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rPr>
            </w:pPr>
            <w:r w:rsidRPr="003B17C8">
              <w:rPr>
                <w:rFonts w:ascii="Calibri" w:eastAsia="Times New Roman" w:hAnsi="Calibri" w:cs="Times New Roman"/>
                <w:color w:val="000000"/>
                <w:sz w:val="22"/>
              </w:rPr>
              <w:t>3083.33</w:t>
            </w:r>
          </w:p>
        </w:tc>
        <w:tc>
          <w:tcPr>
            <w:tcW w:w="2283" w:type="dxa"/>
            <w:noWrap/>
            <w:hideMark/>
          </w:tcPr>
          <w:p w14:paraId="77F792E9" w14:textId="77777777" w:rsidR="003B17C8" w:rsidRPr="003B17C8" w:rsidRDefault="003B17C8" w:rsidP="00326AA3">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rPr>
            </w:pPr>
            <w:r w:rsidRPr="003B17C8">
              <w:rPr>
                <w:rFonts w:ascii="Calibri" w:eastAsia="Times New Roman" w:hAnsi="Calibri" w:cs="Times New Roman"/>
                <w:color w:val="000000"/>
                <w:sz w:val="22"/>
              </w:rPr>
              <w:t>9250</w:t>
            </w:r>
          </w:p>
        </w:tc>
      </w:tr>
      <w:tr w:rsidR="003B17C8" w:rsidRPr="003B17C8" w14:paraId="2EAE63C4" w14:textId="77777777" w:rsidTr="003B17C8">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3192" w:type="dxa"/>
            <w:noWrap/>
            <w:hideMark/>
          </w:tcPr>
          <w:p w14:paraId="7DEA6119" w14:textId="77777777" w:rsidR="003B17C8" w:rsidRPr="003B17C8" w:rsidRDefault="003B17C8" w:rsidP="00326AA3">
            <w:pPr>
              <w:spacing w:line="360" w:lineRule="auto"/>
              <w:rPr>
                <w:rFonts w:ascii="Calibri" w:eastAsia="Times New Roman" w:hAnsi="Calibri" w:cs="Times New Roman"/>
                <w:color w:val="000000"/>
                <w:sz w:val="22"/>
              </w:rPr>
            </w:pPr>
            <w:r w:rsidRPr="003B17C8">
              <w:rPr>
                <w:rFonts w:ascii="Calibri" w:eastAsia="Times New Roman" w:hAnsi="Calibri" w:cs="Times New Roman"/>
                <w:color w:val="000000"/>
                <w:sz w:val="22"/>
              </w:rPr>
              <w:t>Business Rates</w:t>
            </w:r>
          </w:p>
        </w:tc>
        <w:tc>
          <w:tcPr>
            <w:tcW w:w="2270" w:type="dxa"/>
            <w:noWrap/>
            <w:hideMark/>
          </w:tcPr>
          <w:p w14:paraId="239BE7E8" w14:textId="77777777" w:rsidR="003B17C8" w:rsidRPr="003B17C8" w:rsidRDefault="003B17C8" w:rsidP="00326AA3">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rPr>
            </w:pPr>
            <w:r w:rsidRPr="003B17C8">
              <w:rPr>
                <w:rFonts w:ascii="Calibri" w:eastAsia="Times New Roman" w:hAnsi="Calibri" w:cs="Times New Roman"/>
                <w:color w:val="000000"/>
                <w:sz w:val="22"/>
              </w:rPr>
              <w:t>3</w:t>
            </w:r>
          </w:p>
        </w:tc>
        <w:tc>
          <w:tcPr>
            <w:tcW w:w="2183" w:type="dxa"/>
            <w:noWrap/>
            <w:hideMark/>
          </w:tcPr>
          <w:p w14:paraId="2F1C7172" w14:textId="4897B8D3" w:rsidR="003B17C8" w:rsidRPr="003B17C8" w:rsidRDefault="000C3272" w:rsidP="00326AA3">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rPr>
            </w:pPr>
            <w:r>
              <w:rPr>
                <w:rFonts w:ascii="Calibri" w:eastAsia="Times New Roman" w:hAnsi="Calibri" w:cs="Times New Roman"/>
                <w:color w:val="000000"/>
                <w:sz w:val="22"/>
              </w:rPr>
              <w:t>1181.46</w:t>
            </w:r>
          </w:p>
        </w:tc>
        <w:tc>
          <w:tcPr>
            <w:tcW w:w="2283" w:type="dxa"/>
            <w:noWrap/>
            <w:hideMark/>
          </w:tcPr>
          <w:p w14:paraId="7138E4CC" w14:textId="44480599" w:rsidR="003B17C8" w:rsidRPr="003B17C8" w:rsidRDefault="000C3272" w:rsidP="00326AA3">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rPr>
            </w:pPr>
            <w:r>
              <w:rPr>
                <w:rFonts w:ascii="Calibri" w:eastAsia="Times New Roman" w:hAnsi="Calibri" w:cs="Times New Roman"/>
                <w:color w:val="000000"/>
                <w:sz w:val="22"/>
              </w:rPr>
              <w:t>3544.38</w:t>
            </w:r>
          </w:p>
        </w:tc>
      </w:tr>
      <w:tr w:rsidR="003B17C8" w:rsidRPr="003B17C8" w14:paraId="6B62417C" w14:textId="77777777" w:rsidTr="003B17C8">
        <w:trPr>
          <w:trHeight w:val="518"/>
        </w:trPr>
        <w:tc>
          <w:tcPr>
            <w:cnfStyle w:val="001000000000" w:firstRow="0" w:lastRow="0" w:firstColumn="1" w:lastColumn="0" w:oddVBand="0" w:evenVBand="0" w:oddHBand="0" w:evenHBand="0" w:firstRowFirstColumn="0" w:firstRowLastColumn="0" w:lastRowFirstColumn="0" w:lastRowLastColumn="0"/>
            <w:tcW w:w="3192" w:type="dxa"/>
            <w:noWrap/>
            <w:hideMark/>
          </w:tcPr>
          <w:p w14:paraId="73362134" w14:textId="43AA2795" w:rsidR="003B17C8" w:rsidRPr="003B17C8" w:rsidRDefault="003B17C8" w:rsidP="00326AA3">
            <w:pPr>
              <w:spacing w:line="360" w:lineRule="auto"/>
              <w:rPr>
                <w:rFonts w:ascii="Calibri" w:eastAsia="Times New Roman" w:hAnsi="Calibri" w:cs="Times New Roman"/>
                <w:color w:val="000000"/>
                <w:sz w:val="22"/>
              </w:rPr>
            </w:pPr>
            <w:r w:rsidRPr="003B17C8">
              <w:rPr>
                <w:rFonts w:ascii="Calibri" w:eastAsia="Times New Roman" w:hAnsi="Calibri" w:cs="Times New Roman"/>
                <w:color w:val="000000"/>
                <w:sz w:val="22"/>
              </w:rPr>
              <w:t>Admin charge</w:t>
            </w:r>
          </w:p>
        </w:tc>
        <w:tc>
          <w:tcPr>
            <w:tcW w:w="2270" w:type="dxa"/>
            <w:noWrap/>
            <w:hideMark/>
          </w:tcPr>
          <w:p w14:paraId="7EA4C145" w14:textId="77777777" w:rsidR="003B17C8" w:rsidRPr="003B17C8" w:rsidRDefault="003B17C8" w:rsidP="00326AA3">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rPr>
            </w:pPr>
            <w:r w:rsidRPr="003B17C8">
              <w:rPr>
                <w:rFonts w:ascii="Calibri" w:eastAsia="Times New Roman" w:hAnsi="Calibri" w:cs="Times New Roman"/>
                <w:color w:val="000000"/>
                <w:sz w:val="22"/>
              </w:rPr>
              <w:t>3</w:t>
            </w:r>
          </w:p>
        </w:tc>
        <w:tc>
          <w:tcPr>
            <w:tcW w:w="2183" w:type="dxa"/>
            <w:noWrap/>
            <w:hideMark/>
          </w:tcPr>
          <w:p w14:paraId="11977E2A" w14:textId="77777777" w:rsidR="003B17C8" w:rsidRPr="003B17C8" w:rsidRDefault="003B17C8" w:rsidP="00326AA3">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rPr>
            </w:pPr>
            <w:r w:rsidRPr="003B17C8">
              <w:rPr>
                <w:rFonts w:ascii="Calibri" w:eastAsia="Times New Roman" w:hAnsi="Calibri" w:cs="Times New Roman"/>
                <w:color w:val="000000"/>
                <w:sz w:val="22"/>
              </w:rPr>
              <w:t>200</w:t>
            </w:r>
          </w:p>
        </w:tc>
        <w:tc>
          <w:tcPr>
            <w:tcW w:w="2283" w:type="dxa"/>
            <w:noWrap/>
            <w:hideMark/>
          </w:tcPr>
          <w:p w14:paraId="7BCFBBBD" w14:textId="77777777" w:rsidR="003B17C8" w:rsidRPr="003B17C8" w:rsidRDefault="003B17C8" w:rsidP="00326AA3">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rPr>
            </w:pPr>
            <w:r w:rsidRPr="003B17C8">
              <w:rPr>
                <w:rFonts w:ascii="Calibri" w:eastAsia="Times New Roman" w:hAnsi="Calibri" w:cs="Times New Roman"/>
                <w:color w:val="000000"/>
                <w:sz w:val="22"/>
              </w:rPr>
              <w:t>600</w:t>
            </w:r>
          </w:p>
        </w:tc>
      </w:tr>
      <w:tr w:rsidR="003B17C8" w:rsidRPr="003B17C8" w14:paraId="777BAAC0" w14:textId="77777777" w:rsidTr="003B17C8">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3192" w:type="dxa"/>
            <w:noWrap/>
            <w:hideMark/>
          </w:tcPr>
          <w:p w14:paraId="33772DC1" w14:textId="71BD549F" w:rsidR="003B17C8" w:rsidRPr="003B17C8" w:rsidRDefault="003B17C8" w:rsidP="00326AA3">
            <w:pPr>
              <w:spacing w:line="360" w:lineRule="auto"/>
              <w:rPr>
                <w:rFonts w:ascii="Calibri" w:eastAsia="Times New Roman" w:hAnsi="Calibri" w:cs="Times New Roman"/>
                <w:color w:val="000000"/>
                <w:sz w:val="22"/>
              </w:rPr>
            </w:pPr>
            <w:r w:rsidRPr="003B17C8">
              <w:rPr>
                <w:rFonts w:ascii="Calibri" w:eastAsia="Times New Roman" w:hAnsi="Calibri" w:cs="Times New Roman"/>
                <w:color w:val="000000"/>
                <w:sz w:val="22"/>
              </w:rPr>
              <w:t>Licensing Fee</w:t>
            </w:r>
          </w:p>
        </w:tc>
        <w:tc>
          <w:tcPr>
            <w:tcW w:w="2270" w:type="dxa"/>
            <w:noWrap/>
            <w:hideMark/>
          </w:tcPr>
          <w:p w14:paraId="7E231AC1" w14:textId="77777777" w:rsidR="003B17C8" w:rsidRPr="003B17C8" w:rsidRDefault="003B17C8" w:rsidP="00326AA3">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rPr>
            </w:pPr>
            <w:r w:rsidRPr="003B17C8">
              <w:rPr>
                <w:rFonts w:ascii="Calibri" w:eastAsia="Times New Roman" w:hAnsi="Calibri" w:cs="Times New Roman"/>
                <w:color w:val="000000"/>
                <w:sz w:val="22"/>
              </w:rPr>
              <w:t>3</w:t>
            </w:r>
          </w:p>
        </w:tc>
        <w:tc>
          <w:tcPr>
            <w:tcW w:w="2183" w:type="dxa"/>
            <w:noWrap/>
            <w:hideMark/>
          </w:tcPr>
          <w:p w14:paraId="23C64F8F" w14:textId="2FEDA1F4" w:rsidR="003B17C8" w:rsidRPr="003B17C8" w:rsidRDefault="00D35559" w:rsidP="00326AA3">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rPr>
            </w:pPr>
            <w:r>
              <w:rPr>
                <w:rFonts w:ascii="Calibri" w:eastAsia="Times New Roman" w:hAnsi="Calibri" w:cs="Times New Roman"/>
                <w:color w:val="000000"/>
                <w:sz w:val="22"/>
              </w:rPr>
              <w:t>20.83</w:t>
            </w:r>
          </w:p>
        </w:tc>
        <w:tc>
          <w:tcPr>
            <w:tcW w:w="2283" w:type="dxa"/>
            <w:noWrap/>
            <w:hideMark/>
          </w:tcPr>
          <w:p w14:paraId="09E6D4BA" w14:textId="0A4C2B65" w:rsidR="003B17C8" w:rsidRPr="003B17C8" w:rsidRDefault="00D35559" w:rsidP="00326AA3">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rPr>
            </w:pPr>
            <w:r>
              <w:rPr>
                <w:rFonts w:ascii="Calibri" w:eastAsia="Times New Roman" w:hAnsi="Calibri" w:cs="Times New Roman"/>
                <w:color w:val="000000"/>
                <w:sz w:val="22"/>
              </w:rPr>
              <w:t>62.49</w:t>
            </w:r>
          </w:p>
        </w:tc>
      </w:tr>
      <w:tr w:rsidR="003B17C8" w:rsidRPr="003B17C8" w14:paraId="5836A7B6" w14:textId="77777777" w:rsidTr="003B17C8">
        <w:trPr>
          <w:trHeight w:val="518"/>
        </w:trPr>
        <w:tc>
          <w:tcPr>
            <w:cnfStyle w:val="001000000000" w:firstRow="0" w:lastRow="0" w:firstColumn="1" w:lastColumn="0" w:oddVBand="0" w:evenVBand="0" w:oddHBand="0" w:evenHBand="0" w:firstRowFirstColumn="0" w:firstRowLastColumn="0" w:lastRowFirstColumn="0" w:lastRowLastColumn="0"/>
            <w:tcW w:w="3192" w:type="dxa"/>
            <w:noWrap/>
            <w:hideMark/>
          </w:tcPr>
          <w:p w14:paraId="5E527704" w14:textId="07643B45" w:rsidR="003B17C8" w:rsidRPr="003B17C8" w:rsidRDefault="003B17C8" w:rsidP="00326AA3">
            <w:pPr>
              <w:spacing w:line="360" w:lineRule="auto"/>
              <w:rPr>
                <w:rFonts w:ascii="Calibri" w:eastAsia="Times New Roman" w:hAnsi="Calibri" w:cs="Times New Roman"/>
                <w:color w:val="000000"/>
                <w:sz w:val="22"/>
              </w:rPr>
            </w:pPr>
            <w:r w:rsidRPr="003B17C8">
              <w:rPr>
                <w:rFonts w:ascii="Calibri" w:eastAsia="Times New Roman" w:hAnsi="Calibri" w:cs="Times New Roman"/>
                <w:color w:val="000000"/>
                <w:sz w:val="22"/>
              </w:rPr>
              <w:t>Gas/Electric</w:t>
            </w:r>
          </w:p>
        </w:tc>
        <w:tc>
          <w:tcPr>
            <w:tcW w:w="2270" w:type="dxa"/>
            <w:noWrap/>
            <w:hideMark/>
          </w:tcPr>
          <w:p w14:paraId="1CACCA9E" w14:textId="77777777" w:rsidR="003B17C8" w:rsidRPr="003B17C8" w:rsidRDefault="003B17C8" w:rsidP="00326AA3">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rPr>
            </w:pPr>
            <w:r w:rsidRPr="003B17C8">
              <w:rPr>
                <w:rFonts w:ascii="Calibri" w:eastAsia="Times New Roman" w:hAnsi="Calibri" w:cs="Times New Roman"/>
                <w:color w:val="000000"/>
                <w:sz w:val="22"/>
              </w:rPr>
              <w:t>3</w:t>
            </w:r>
          </w:p>
        </w:tc>
        <w:tc>
          <w:tcPr>
            <w:tcW w:w="2183" w:type="dxa"/>
            <w:noWrap/>
            <w:hideMark/>
          </w:tcPr>
          <w:p w14:paraId="2BE5D409" w14:textId="77777777" w:rsidR="003B17C8" w:rsidRPr="003B17C8" w:rsidRDefault="003B17C8" w:rsidP="00326AA3">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rPr>
            </w:pPr>
            <w:r w:rsidRPr="003B17C8">
              <w:rPr>
                <w:rFonts w:ascii="Calibri" w:eastAsia="Times New Roman" w:hAnsi="Calibri" w:cs="Times New Roman"/>
                <w:color w:val="000000"/>
                <w:sz w:val="22"/>
              </w:rPr>
              <w:t>350</w:t>
            </w:r>
          </w:p>
        </w:tc>
        <w:tc>
          <w:tcPr>
            <w:tcW w:w="2283" w:type="dxa"/>
            <w:noWrap/>
            <w:hideMark/>
          </w:tcPr>
          <w:p w14:paraId="2B041F6F" w14:textId="77777777" w:rsidR="003B17C8" w:rsidRPr="003B17C8" w:rsidRDefault="003B17C8" w:rsidP="00326AA3">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2"/>
              </w:rPr>
            </w:pPr>
            <w:r w:rsidRPr="003B17C8">
              <w:rPr>
                <w:rFonts w:ascii="Calibri" w:eastAsia="Times New Roman" w:hAnsi="Calibri" w:cs="Times New Roman"/>
                <w:color w:val="000000"/>
                <w:sz w:val="22"/>
              </w:rPr>
              <w:t>1050</w:t>
            </w:r>
          </w:p>
        </w:tc>
      </w:tr>
      <w:tr w:rsidR="003B17C8" w:rsidRPr="003B17C8" w14:paraId="4FF1F92C" w14:textId="77777777" w:rsidTr="003B17C8">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3192" w:type="dxa"/>
            <w:noWrap/>
            <w:hideMark/>
          </w:tcPr>
          <w:p w14:paraId="43CCC869" w14:textId="2B4281F0" w:rsidR="003B17C8" w:rsidRPr="003B17C8" w:rsidRDefault="003B17C8" w:rsidP="00326AA3">
            <w:pPr>
              <w:spacing w:line="360" w:lineRule="auto"/>
              <w:rPr>
                <w:rFonts w:ascii="Calibri" w:eastAsia="Times New Roman" w:hAnsi="Calibri" w:cs="Times New Roman"/>
                <w:color w:val="000000"/>
                <w:sz w:val="22"/>
              </w:rPr>
            </w:pPr>
            <w:r w:rsidRPr="003B17C8">
              <w:rPr>
                <w:rFonts w:ascii="Calibri" w:eastAsia="Times New Roman" w:hAnsi="Calibri" w:cs="Times New Roman"/>
                <w:color w:val="000000"/>
                <w:sz w:val="22"/>
              </w:rPr>
              <w:t>Water</w:t>
            </w:r>
          </w:p>
        </w:tc>
        <w:tc>
          <w:tcPr>
            <w:tcW w:w="2270" w:type="dxa"/>
            <w:noWrap/>
            <w:hideMark/>
          </w:tcPr>
          <w:p w14:paraId="22312F13" w14:textId="77777777" w:rsidR="003B17C8" w:rsidRPr="003B17C8" w:rsidRDefault="003B17C8" w:rsidP="00326AA3">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rPr>
            </w:pPr>
            <w:r w:rsidRPr="003B17C8">
              <w:rPr>
                <w:rFonts w:ascii="Calibri" w:eastAsia="Times New Roman" w:hAnsi="Calibri" w:cs="Times New Roman"/>
                <w:color w:val="000000"/>
                <w:sz w:val="22"/>
              </w:rPr>
              <w:t>3</w:t>
            </w:r>
          </w:p>
        </w:tc>
        <w:tc>
          <w:tcPr>
            <w:tcW w:w="2183" w:type="dxa"/>
            <w:noWrap/>
            <w:hideMark/>
          </w:tcPr>
          <w:p w14:paraId="53E7B7F4" w14:textId="77777777" w:rsidR="003B17C8" w:rsidRPr="003B17C8" w:rsidRDefault="003B17C8" w:rsidP="00326AA3">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rPr>
            </w:pPr>
            <w:r w:rsidRPr="003B17C8">
              <w:rPr>
                <w:rFonts w:ascii="Calibri" w:eastAsia="Times New Roman" w:hAnsi="Calibri" w:cs="Times New Roman"/>
                <w:color w:val="000000"/>
                <w:sz w:val="22"/>
              </w:rPr>
              <w:t>75</w:t>
            </w:r>
          </w:p>
        </w:tc>
        <w:tc>
          <w:tcPr>
            <w:tcW w:w="2283" w:type="dxa"/>
            <w:noWrap/>
            <w:hideMark/>
          </w:tcPr>
          <w:p w14:paraId="7B88F37D" w14:textId="1E1E55D9" w:rsidR="00D35559" w:rsidRPr="003B17C8" w:rsidRDefault="003B17C8" w:rsidP="00326AA3">
            <w:pPr>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2"/>
              </w:rPr>
            </w:pPr>
            <w:r w:rsidRPr="003B17C8">
              <w:rPr>
                <w:rFonts w:ascii="Calibri" w:eastAsia="Times New Roman" w:hAnsi="Calibri" w:cs="Times New Roman"/>
                <w:color w:val="000000"/>
                <w:sz w:val="22"/>
              </w:rPr>
              <w:t>225</w:t>
            </w:r>
          </w:p>
        </w:tc>
      </w:tr>
      <w:tr w:rsidR="003B17C8" w:rsidRPr="003B17C8" w14:paraId="22559583" w14:textId="77777777" w:rsidTr="003B17C8">
        <w:trPr>
          <w:trHeight w:val="518"/>
        </w:trPr>
        <w:tc>
          <w:tcPr>
            <w:cnfStyle w:val="001000000000" w:firstRow="0" w:lastRow="0" w:firstColumn="1" w:lastColumn="0" w:oddVBand="0" w:evenVBand="0" w:oddHBand="0" w:evenHBand="0" w:firstRowFirstColumn="0" w:firstRowLastColumn="0" w:lastRowFirstColumn="0" w:lastRowLastColumn="0"/>
            <w:tcW w:w="3192" w:type="dxa"/>
            <w:noWrap/>
            <w:hideMark/>
          </w:tcPr>
          <w:p w14:paraId="10F0E315" w14:textId="317F8CAF" w:rsidR="003B17C8" w:rsidRPr="003B17C8" w:rsidRDefault="003B17C8" w:rsidP="00326AA3">
            <w:pPr>
              <w:spacing w:line="360" w:lineRule="auto"/>
              <w:rPr>
                <w:rFonts w:ascii="Calibri" w:eastAsia="Times New Roman" w:hAnsi="Calibri" w:cs="Times New Roman"/>
                <w:color w:val="000000"/>
                <w:sz w:val="22"/>
              </w:rPr>
            </w:pPr>
            <w:r w:rsidRPr="003B17C8">
              <w:rPr>
                <w:rFonts w:ascii="Calibri" w:eastAsia="Times New Roman" w:hAnsi="Calibri" w:cs="Times New Roman"/>
                <w:color w:val="000000"/>
                <w:sz w:val="22"/>
              </w:rPr>
              <w:t>Total Expenditure</w:t>
            </w:r>
          </w:p>
        </w:tc>
        <w:tc>
          <w:tcPr>
            <w:tcW w:w="2270" w:type="dxa"/>
            <w:noWrap/>
            <w:hideMark/>
          </w:tcPr>
          <w:p w14:paraId="044444CB" w14:textId="0544EDC5" w:rsidR="003B17C8" w:rsidRPr="003B17C8" w:rsidRDefault="003B17C8" w:rsidP="00326AA3">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sz w:val="22"/>
              </w:rPr>
            </w:pPr>
          </w:p>
        </w:tc>
        <w:tc>
          <w:tcPr>
            <w:tcW w:w="2183" w:type="dxa"/>
            <w:noWrap/>
            <w:hideMark/>
          </w:tcPr>
          <w:p w14:paraId="4A0FE102" w14:textId="40624A06" w:rsidR="003B17C8" w:rsidRPr="003B17C8" w:rsidRDefault="003B17C8" w:rsidP="00326AA3">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sz w:val="22"/>
              </w:rPr>
            </w:pPr>
          </w:p>
        </w:tc>
        <w:tc>
          <w:tcPr>
            <w:tcW w:w="2283" w:type="dxa"/>
            <w:noWrap/>
            <w:hideMark/>
          </w:tcPr>
          <w:p w14:paraId="5E37EB95" w14:textId="466183BF" w:rsidR="003B17C8" w:rsidRPr="003B17C8" w:rsidRDefault="00D35559" w:rsidP="00326AA3">
            <w:pPr>
              <w:spacing w:line="360" w:lineRule="auto"/>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b/>
                <w:bCs/>
                <w:color w:val="000000"/>
                <w:sz w:val="22"/>
              </w:rPr>
            </w:pPr>
            <w:r>
              <w:rPr>
                <w:rFonts w:ascii="Calibri" w:eastAsia="Times New Roman" w:hAnsi="Calibri" w:cs="Times New Roman"/>
                <w:b/>
                <w:bCs/>
                <w:color w:val="000000"/>
                <w:sz w:val="22"/>
              </w:rPr>
              <w:t>14731.87</w:t>
            </w:r>
          </w:p>
        </w:tc>
      </w:tr>
    </w:tbl>
    <w:p w14:paraId="15D60F9D" w14:textId="77777777" w:rsidR="003B17C8" w:rsidRPr="003B17C8" w:rsidRDefault="003B17C8" w:rsidP="00326AA3">
      <w:pPr>
        <w:spacing w:line="360" w:lineRule="auto"/>
      </w:pPr>
    </w:p>
    <w:p w14:paraId="4198ADA8" w14:textId="77777777" w:rsidR="00326AA3" w:rsidRDefault="00326AA3">
      <w:pPr>
        <w:jc w:val="left"/>
        <w:rPr>
          <w:rFonts w:asciiTheme="majorHAnsi" w:eastAsiaTheme="majorEastAsia" w:hAnsiTheme="majorHAnsi" w:cstheme="majorBidi"/>
          <w:color w:val="365F91" w:themeColor="accent1" w:themeShade="BF"/>
          <w:sz w:val="32"/>
          <w:szCs w:val="32"/>
        </w:rPr>
      </w:pPr>
      <w:r>
        <w:br w:type="page"/>
      </w:r>
    </w:p>
    <w:p w14:paraId="0657D52F" w14:textId="71F0E546" w:rsidR="00326AA3" w:rsidRPr="009735E9" w:rsidRDefault="00326AA3" w:rsidP="00326AA3">
      <w:pPr>
        <w:pStyle w:val="Heading1"/>
        <w:spacing w:line="360" w:lineRule="auto"/>
        <w:rPr>
          <w:rFonts w:ascii="Arial" w:hAnsi="Arial" w:cs="Arial"/>
        </w:rPr>
      </w:pPr>
      <w:bookmarkStart w:id="18" w:name="_Toc132128857"/>
      <w:r w:rsidRPr="009735E9">
        <w:rPr>
          <w:rFonts w:ascii="Arial" w:hAnsi="Arial" w:cs="Arial"/>
        </w:rPr>
        <w:lastRenderedPageBreak/>
        <w:t>Conclusion</w:t>
      </w:r>
      <w:bookmarkEnd w:id="18"/>
      <w:r w:rsidRPr="009735E9">
        <w:rPr>
          <w:rFonts w:ascii="Arial" w:hAnsi="Arial" w:cs="Arial"/>
        </w:rPr>
        <w:t xml:space="preserve"> </w:t>
      </w:r>
    </w:p>
    <w:p w14:paraId="23C87611" w14:textId="4E741FF3" w:rsidR="0090092A" w:rsidRDefault="00326AA3" w:rsidP="00326AA3">
      <w:pPr>
        <w:spacing w:line="360" w:lineRule="auto"/>
      </w:pPr>
      <w:r>
        <w:t xml:space="preserve">It could be concluded from the above study that event management is not as easy as it seems to there are various operations management concepts, policies and procedures that the event managers need to be aware of in order to carry out the events successfully. the study illustrated various aspects of operations management that empowered the event managers to carry out the event successfully. altogether the module presented a detailed knowledge of the operation management planning that individuals should be aware of for carrying out successful events. </w:t>
      </w:r>
      <w:r w:rsidR="0090092A">
        <w:br w:type="page"/>
      </w:r>
    </w:p>
    <w:p w14:paraId="598ECEC9" w14:textId="0EE12C4F" w:rsidR="005B1958" w:rsidRPr="009735E9" w:rsidRDefault="0090092A" w:rsidP="00326AA3">
      <w:pPr>
        <w:pStyle w:val="Heading1"/>
        <w:spacing w:line="360" w:lineRule="auto"/>
        <w:rPr>
          <w:rFonts w:ascii="Arial" w:hAnsi="Arial" w:cs="Arial"/>
        </w:rPr>
      </w:pPr>
      <w:bookmarkStart w:id="19" w:name="_Toc132128858"/>
      <w:r w:rsidRPr="009735E9">
        <w:rPr>
          <w:rFonts w:ascii="Arial" w:hAnsi="Arial" w:cs="Arial"/>
        </w:rPr>
        <w:lastRenderedPageBreak/>
        <w:t>References</w:t>
      </w:r>
      <w:bookmarkEnd w:id="19"/>
      <w:r w:rsidRPr="009735E9">
        <w:rPr>
          <w:rFonts w:ascii="Arial" w:hAnsi="Arial" w:cs="Arial"/>
        </w:rPr>
        <w:t xml:space="preserve"> </w:t>
      </w:r>
    </w:p>
    <w:p w14:paraId="691671C0" w14:textId="77777777" w:rsidR="00AF6A2B" w:rsidRPr="009735E9" w:rsidRDefault="00AF6A2B" w:rsidP="00AF6A2B">
      <w:pPr>
        <w:spacing w:line="360" w:lineRule="auto"/>
        <w:rPr>
          <w:rFonts w:cs="Arial"/>
          <w:szCs w:val="24"/>
        </w:rPr>
      </w:pPr>
      <w:r w:rsidRPr="009735E9">
        <w:rPr>
          <w:rFonts w:cs="Arial"/>
          <w:szCs w:val="24"/>
        </w:rPr>
        <w:t>Aggarwal, A., 2021. Recipe for a Great Customer Experience: The Three Voices–Voice of Customer (</w:t>
      </w:r>
      <w:proofErr w:type="spellStart"/>
      <w:r w:rsidRPr="009735E9">
        <w:rPr>
          <w:rFonts w:cs="Arial"/>
          <w:szCs w:val="24"/>
        </w:rPr>
        <w:t>VoC</w:t>
      </w:r>
      <w:proofErr w:type="spellEnd"/>
      <w:r w:rsidRPr="009735E9">
        <w:rPr>
          <w:rFonts w:cs="Arial"/>
          <w:szCs w:val="24"/>
        </w:rPr>
        <w:t>), Voice of Employee (</w:t>
      </w:r>
      <w:proofErr w:type="spellStart"/>
      <w:r w:rsidRPr="009735E9">
        <w:rPr>
          <w:rFonts w:cs="Arial"/>
          <w:szCs w:val="24"/>
        </w:rPr>
        <w:t>VoE</w:t>
      </w:r>
      <w:proofErr w:type="spellEnd"/>
      <w:r w:rsidRPr="009735E9">
        <w:rPr>
          <w:rFonts w:cs="Arial"/>
          <w:szCs w:val="24"/>
        </w:rPr>
        <w:t>) and Voice of Process (</w:t>
      </w:r>
      <w:proofErr w:type="spellStart"/>
      <w:r w:rsidRPr="009735E9">
        <w:rPr>
          <w:rFonts w:cs="Arial"/>
          <w:szCs w:val="24"/>
        </w:rPr>
        <w:t>VoP</w:t>
      </w:r>
      <w:proofErr w:type="spellEnd"/>
      <w:r w:rsidRPr="009735E9">
        <w:rPr>
          <w:rFonts w:cs="Arial"/>
          <w:szCs w:val="24"/>
        </w:rPr>
        <w:t>). In </w:t>
      </w:r>
      <w:r w:rsidRPr="009735E9">
        <w:rPr>
          <w:rFonts w:cs="Arial"/>
          <w:i/>
          <w:iCs/>
          <w:szCs w:val="24"/>
        </w:rPr>
        <w:t>Crafting Customer Experience Strategy</w:t>
      </w:r>
      <w:r w:rsidRPr="009735E9">
        <w:rPr>
          <w:rFonts w:cs="Arial"/>
          <w:szCs w:val="24"/>
        </w:rPr>
        <w:t> (pp. 65-90). Emerald Publishing Limited.</w:t>
      </w:r>
    </w:p>
    <w:p w14:paraId="1D16C11F" w14:textId="25A703DC" w:rsidR="00AF6A2B" w:rsidRPr="009735E9" w:rsidRDefault="00AF6A2B" w:rsidP="00AF6A2B">
      <w:pPr>
        <w:suppressAutoHyphens/>
        <w:autoSpaceDN w:val="0"/>
        <w:spacing w:before="100" w:after="100" w:line="360" w:lineRule="auto"/>
        <w:rPr>
          <w:rFonts w:cs="Arial"/>
          <w:szCs w:val="24"/>
        </w:rPr>
      </w:pPr>
      <w:r w:rsidRPr="009735E9">
        <w:rPr>
          <w:rFonts w:eastAsia="Arial" w:cs="Arial"/>
          <w:color w:val="000000"/>
          <w:szCs w:val="24"/>
        </w:rPr>
        <w:t xml:space="preserve">Armstrong, M. (2016), </w:t>
      </w:r>
      <w:r w:rsidRPr="009735E9">
        <w:rPr>
          <w:rFonts w:eastAsia="Arial" w:cs="Arial"/>
          <w:i/>
          <w:iCs/>
          <w:color w:val="000000"/>
          <w:szCs w:val="24"/>
        </w:rPr>
        <w:t>Armstrong’s Handbook of Management and Leadership for HR</w:t>
      </w:r>
      <w:r w:rsidRPr="009735E9">
        <w:rPr>
          <w:rFonts w:eastAsia="Arial" w:cs="Arial"/>
          <w:color w:val="000000"/>
          <w:szCs w:val="24"/>
        </w:rPr>
        <w:t xml:space="preserve">, (Fourth Edition), London: Kogan Page </w:t>
      </w:r>
    </w:p>
    <w:p w14:paraId="0CFB8B18" w14:textId="77777777" w:rsidR="00AF6A2B" w:rsidRPr="009735E9" w:rsidRDefault="00AF6A2B" w:rsidP="00AF6A2B">
      <w:pPr>
        <w:suppressAutoHyphens/>
        <w:autoSpaceDN w:val="0"/>
        <w:spacing w:before="100" w:after="100" w:line="360" w:lineRule="auto"/>
        <w:rPr>
          <w:rFonts w:cs="Arial"/>
          <w:szCs w:val="24"/>
        </w:rPr>
      </w:pPr>
      <w:proofErr w:type="spellStart"/>
      <w:r w:rsidRPr="009735E9">
        <w:rPr>
          <w:rFonts w:eastAsia="Arial" w:cs="Arial"/>
          <w:color w:val="000000"/>
          <w:szCs w:val="24"/>
        </w:rPr>
        <w:t>Atrill</w:t>
      </w:r>
      <w:proofErr w:type="spellEnd"/>
      <w:r w:rsidRPr="009735E9">
        <w:rPr>
          <w:rFonts w:eastAsia="Arial" w:cs="Arial"/>
          <w:color w:val="000000"/>
          <w:szCs w:val="24"/>
        </w:rPr>
        <w:t xml:space="preserve">, P and </w:t>
      </w:r>
      <w:proofErr w:type="spellStart"/>
      <w:r w:rsidRPr="009735E9">
        <w:rPr>
          <w:rFonts w:eastAsia="Arial" w:cs="Arial"/>
          <w:color w:val="000000"/>
          <w:szCs w:val="24"/>
        </w:rPr>
        <w:t>McLaney</w:t>
      </w:r>
      <w:proofErr w:type="spellEnd"/>
      <w:r w:rsidRPr="009735E9">
        <w:rPr>
          <w:rFonts w:eastAsia="Arial" w:cs="Arial"/>
          <w:color w:val="000000"/>
          <w:szCs w:val="24"/>
        </w:rPr>
        <w:t xml:space="preserve">, E. (2015), Management Accounting for Decision Makers, Harlow: Pearson </w:t>
      </w:r>
      <w:r w:rsidRPr="009735E9">
        <w:rPr>
          <w:rFonts w:ascii="MS Gothic" w:eastAsia="MS Gothic" w:hAnsi="MS Gothic" w:cs="MS Gothic" w:hint="eastAsia"/>
          <w:color w:val="000000"/>
          <w:szCs w:val="24"/>
        </w:rPr>
        <w:t>☒</w:t>
      </w:r>
    </w:p>
    <w:p w14:paraId="2913E07A" w14:textId="77777777" w:rsidR="00AF6A2B" w:rsidRPr="009735E9" w:rsidRDefault="00AF6A2B" w:rsidP="00AF6A2B">
      <w:pPr>
        <w:spacing w:line="360" w:lineRule="auto"/>
        <w:rPr>
          <w:rFonts w:cs="Arial"/>
          <w:szCs w:val="24"/>
        </w:rPr>
      </w:pPr>
      <w:r w:rsidRPr="009735E9">
        <w:rPr>
          <w:rFonts w:cs="Arial"/>
          <w:szCs w:val="24"/>
        </w:rPr>
        <w:t xml:space="preserve">Beale, S., Braithwaite, I., </w:t>
      </w:r>
      <w:proofErr w:type="spellStart"/>
      <w:r w:rsidRPr="009735E9">
        <w:rPr>
          <w:rFonts w:cs="Arial"/>
          <w:szCs w:val="24"/>
        </w:rPr>
        <w:t>Navaratnam</w:t>
      </w:r>
      <w:proofErr w:type="spellEnd"/>
      <w:r w:rsidRPr="009735E9">
        <w:rPr>
          <w:rFonts w:cs="Arial"/>
          <w:szCs w:val="24"/>
        </w:rPr>
        <w:t xml:space="preserve">, A.M., </w:t>
      </w:r>
      <w:proofErr w:type="spellStart"/>
      <w:r w:rsidRPr="009735E9">
        <w:rPr>
          <w:rFonts w:cs="Arial"/>
          <w:szCs w:val="24"/>
        </w:rPr>
        <w:t>Hardelid</w:t>
      </w:r>
      <w:proofErr w:type="spellEnd"/>
      <w:r w:rsidRPr="009735E9">
        <w:rPr>
          <w:rFonts w:cs="Arial"/>
          <w:szCs w:val="24"/>
        </w:rPr>
        <w:t xml:space="preserve">, P., Rodger, A., </w:t>
      </w:r>
      <w:proofErr w:type="spellStart"/>
      <w:r w:rsidRPr="009735E9">
        <w:rPr>
          <w:rFonts w:cs="Arial"/>
          <w:szCs w:val="24"/>
        </w:rPr>
        <w:t>Aryee</w:t>
      </w:r>
      <w:proofErr w:type="spellEnd"/>
      <w:r w:rsidRPr="009735E9">
        <w:rPr>
          <w:rFonts w:cs="Arial"/>
          <w:szCs w:val="24"/>
        </w:rPr>
        <w:t xml:space="preserve">, A., Byrne, T.E., Fong, E.W.L., </w:t>
      </w:r>
      <w:proofErr w:type="spellStart"/>
      <w:r w:rsidRPr="009735E9">
        <w:rPr>
          <w:rFonts w:cs="Arial"/>
          <w:szCs w:val="24"/>
        </w:rPr>
        <w:t>Fragaszy</w:t>
      </w:r>
      <w:proofErr w:type="spellEnd"/>
      <w:r w:rsidRPr="009735E9">
        <w:rPr>
          <w:rFonts w:cs="Arial"/>
          <w:szCs w:val="24"/>
        </w:rPr>
        <w:t>, E., Geismar, C. and Kovar, J., 2022. Deprivation and exposure to public activities during the COVID-19 pandemic in England and Wales. </w:t>
      </w:r>
      <w:r w:rsidRPr="009735E9">
        <w:rPr>
          <w:rFonts w:cs="Arial"/>
          <w:i/>
          <w:iCs/>
          <w:szCs w:val="24"/>
        </w:rPr>
        <w:t>J Epidemiol Community Health</w:t>
      </w:r>
      <w:r w:rsidRPr="009735E9">
        <w:rPr>
          <w:rFonts w:cs="Arial"/>
          <w:szCs w:val="24"/>
        </w:rPr>
        <w:t>, </w:t>
      </w:r>
      <w:r w:rsidRPr="009735E9">
        <w:rPr>
          <w:rFonts w:cs="Arial"/>
          <w:i/>
          <w:iCs/>
          <w:szCs w:val="24"/>
        </w:rPr>
        <w:t>76</w:t>
      </w:r>
      <w:r w:rsidRPr="009735E9">
        <w:rPr>
          <w:rFonts w:cs="Arial"/>
          <w:szCs w:val="24"/>
        </w:rPr>
        <w:t>(4), pp.319-326.</w:t>
      </w:r>
    </w:p>
    <w:p w14:paraId="7A976A1B" w14:textId="77777777" w:rsidR="00AF6A2B" w:rsidRPr="009735E9" w:rsidRDefault="00AF6A2B" w:rsidP="00AF6A2B">
      <w:pPr>
        <w:spacing w:line="360" w:lineRule="auto"/>
        <w:rPr>
          <w:rFonts w:cs="Arial"/>
          <w:szCs w:val="24"/>
        </w:rPr>
      </w:pPr>
      <w:proofErr w:type="spellStart"/>
      <w:r w:rsidRPr="009735E9">
        <w:rPr>
          <w:rFonts w:cs="Arial"/>
          <w:szCs w:val="24"/>
        </w:rPr>
        <w:t>Boustani</w:t>
      </w:r>
      <w:proofErr w:type="spellEnd"/>
      <w:r w:rsidRPr="009735E9">
        <w:rPr>
          <w:rFonts w:cs="Arial"/>
          <w:szCs w:val="24"/>
        </w:rPr>
        <w:t>, G., 2021. Defining Pop-up Stores. </w:t>
      </w:r>
      <w:r w:rsidRPr="009735E9">
        <w:rPr>
          <w:rFonts w:cs="Arial"/>
          <w:i/>
          <w:iCs/>
          <w:szCs w:val="24"/>
        </w:rPr>
        <w:t>Journal of Business and Retail Management Research</w:t>
      </w:r>
      <w:r w:rsidRPr="009735E9">
        <w:rPr>
          <w:rFonts w:cs="Arial"/>
          <w:szCs w:val="24"/>
        </w:rPr>
        <w:t>, </w:t>
      </w:r>
      <w:r w:rsidRPr="009735E9">
        <w:rPr>
          <w:rFonts w:cs="Arial"/>
          <w:i/>
          <w:iCs/>
          <w:szCs w:val="24"/>
        </w:rPr>
        <w:t>16</w:t>
      </w:r>
      <w:r w:rsidRPr="009735E9">
        <w:rPr>
          <w:rFonts w:cs="Arial"/>
          <w:szCs w:val="24"/>
        </w:rPr>
        <w:t>(1).</w:t>
      </w:r>
    </w:p>
    <w:p w14:paraId="1DCE7A15" w14:textId="77777777" w:rsidR="00AF6A2B" w:rsidRPr="009735E9" w:rsidRDefault="00AF6A2B" w:rsidP="00AF6A2B">
      <w:pPr>
        <w:spacing w:line="360" w:lineRule="auto"/>
        <w:rPr>
          <w:rFonts w:cs="Arial"/>
          <w:szCs w:val="24"/>
        </w:rPr>
      </w:pPr>
      <w:proofErr w:type="spellStart"/>
      <w:r w:rsidRPr="009735E9">
        <w:rPr>
          <w:rFonts w:cs="Arial"/>
          <w:szCs w:val="24"/>
        </w:rPr>
        <w:t>Cajander</w:t>
      </w:r>
      <w:proofErr w:type="spellEnd"/>
      <w:r w:rsidRPr="009735E9">
        <w:rPr>
          <w:rFonts w:cs="Arial"/>
          <w:szCs w:val="24"/>
        </w:rPr>
        <w:t>, N. and Reiman, A., 2019. High performance work practices and well-being at restaurant work. </w:t>
      </w:r>
      <w:r w:rsidRPr="009735E9">
        <w:rPr>
          <w:rFonts w:cs="Arial"/>
          <w:i/>
          <w:iCs/>
          <w:szCs w:val="24"/>
        </w:rPr>
        <w:t>European Journal of Tourism, Hospitality and Recreation</w:t>
      </w:r>
      <w:r w:rsidRPr="009735E9">
        <w:rPr>
          <w:rFonts w:cs="Arial"/>
          <w:szCs w:val="24"/>
        </w:rPr>
        <w:t>, </w:t>
      </w:r>
      <w:r w:rsidRPr="009735E9">
        <w:rPr>
          <w:rFonts w:cs="Arial"/>
          <w:i/>
          <w:iCs/>
          <w:szCs w:val="24"/>
        </w:rPr>
        <w:t>9</w:t>
      </w:r>
      <w:r w:rsidRPr="009735E9">
        <w:rPr>
          <w:rFonts w:cs="Arial"/>
          <w:szCs w:val="24"/>
        </w:rPr>
        <w:t>(1), pp.38-48.</w:t>
      </w:r>
    </w:p>
    <w:p w14:paraId="152E3D3D" w14:textId="6DA7E331" w:rsidR="00AF6A2B" w:rsidRPr="009735E9" w:rsidRDefault="00AF6A2B" w:rsidP="00AF6A2B">
      <w:pPr>
        <w:suppressAutoHyphens/>
        <w:autoSpaceDN w:val="0"/>
        <w:spacing w:before="100" w:after="100" w:line="360" w:lineRule="auto"/>
        <w:rPr>
          <w:rFonts w:cs="Arial"/>
          <w:szCs w:val="24"/>
        </w:rPr>
      </w:pPr>
      <w:r w:rsidRPr="009735E9">
        <w:rPr>
          <w:rFonts w:eastAsia="Arial" w:cs="Arial"/>
          <w:color w:val="000000"/>
          <w:szCs w:val="24"/>
        </w:rPr>
        <w:t xml:space="preserve">Carroll, A. and </w:t>
      </w:r>
      <w:proofErr w:type="spellStart"/>
      <w:r w:rsidRPr="009735E9">
        <w:rPr>
          <w:rFonts w:eastAsia="Arial" w:cs="Arial"/>
          <w:color w:val="000000"/>
          <w:szCs w:val="24"/>
        </w:rPr>
        <w:t>Buchholtz</w:t>
      </w:r>
      <w:proofErr w:type="spellEnd"/>
      <w:r w:rsidRPr="009735E9">
        <w:rPr>
          <w:rFonts w:eastAsia="Arial" w:cs="Arial"/>
          <w:color w:val="000000"/>
          <w:szCs w:val="24"/>
        </w:rPr>
        <w:t xml:space="preserve">, A. (2014) </w:t>
      </w:r>
      <w:r w:rsidRPr="009735E9">
        <w:rPr>
          <w:rFonts w:eastAsia="Arial" w:cs="Arial"/>
          <w:i/>
          <w:iCs/>
          <w:color w:val="000000"/>
          <w:szCs w:val="24"/>
        </w:rPr>
        <w:t>Business and Society: Ethics and Stakeholder Management</w:t>
      </w:r>
      <w:r w:rsidRPr="009735E9">
        <w:rPr>
          <w:rFonts w:eastAsia="Arial" w:cs="Arial"/>
          <w:color w:val="000000"/>
          <w:szCs w:val="24"/>
        </w:rPr>
        <w:t xml:space="preserve">, USA: South-Western College Publishing </w:t>
      </w:r>
    </w:p>
    <w:p w14:paraId="7B9C6D9C" w14:textId="77777777" w:rsidR="00AF6A2B" w:rsidRPr="009735E9" w:rsidRDefault="00AF6A2B" w:rsidP="00AF6A2B">
      <w:pPr>
        <w:spacing w:line="360" w:lineRule="auto"/>
        <w:rPr>
          <w:rFonts w:cs="Arial"/>
          <w:szCs w:val="24"/>
        </w:rPr>
      </w:pPr>
      <w:proofErr w:type="gramStart"/>
      <w:r w:rsidRPr="009735E9">
        <w:rPr>
          <w:rFonts w:cs="Arial"/>
          <w:szCs w:val="24"/>
        </w:rPr>
        <w:t xml:space="preserve">De Albuquerque </w:t>
      </w:r>
      <w:proofErr w:type="spellStart"/>
      <w:r w:rsidRPr="009735E9">
        <w:rPr>
          <w:rFonts w:cs="Arial"/>
          <w:szCs w:val="24"/>
        </w:rPr>
        <w:t>Meneguel</w:t>
      </w:r>
      <w:proofErr w:type="spellEnd"/>
      <w:r w:rsidRPr="009735E9">
        <w:rPr>
          <w:rFonts w:cs="Arial"/>
          <w:szCs w:val="24"/>
        </w:rPr>
        <w:t xml:space="preserve">, C.R., </w:t>
      </w:r>
      <w:proofErr w:type="spellStart"/>
      <w:r w:rsidRPr="009735E9">
        <w:rPr>
          <w:rFonts w:cs="Arial"/>
          <w:szCs w:val="24"/>
        </w:rPr>
        <w:t>Mundet</w:t>
      </w:r>
      <w:proofErr w:type="spellEnd"/>
      <w:r w:rsidRPr="009735E9">
        <w:rPr>
          <w:rFonts w:cs="Arial"/>
          <w:szCs w:val="24"/>
        </w:rPr>
        <w:t xml:space="preserve">, L. and </w:t>
      </w:r>
      <w:proofErr w:type="spellStart"/>
      <w:r w:rsidRPr="009735E9">
        <w:rPr>
          <w:rFonts w:cs="Arial"/>
          <w:szCs w:val="24"/>
        </w:rPr>
        <w:t>Aulet</w:t>
      </w:r>
      <w:proofErr w:type="spellEnd"/>
      <w:r w:rsidRPr="009735E9">
        <w:rPr>
          <w:rFonts w:cs="Arial"/>
          <w:szCs w:val="24"/>
        </w:rPr>
        <w:t>, S., 2019.</w:t>
      </w:r>
      <w:proofErr w:type="gramEnd"/>
      <w:r w:rsidRPr="009735E9">
        <w:rPr>
          <w:rFonts w:cs="Arial"/>
          <w:szCs w:val="24"/>
        </w:rPr>
        <w:t xml:space="preserve"> The role of a high-quality restaurant in stimulating the creation and development of gastronomy tourism. </w:t>
      </w:r>
      <w:r w:rsidRPr="009735E9">
        <w:rPr>
          <w:rFonts w:cs="Arial"/>
          <w:i/>
          <w:iCs/>
          <w:szCs w:val="24"/>
        </w:rPr>
        <w:t>International Journal of Hospitality Management</w:t>
      </w:r>
      <w:r w:rsidRPr="009735E9">
        <w:rPr>
          <w:rFonts w:cs="Arial"/>
          <w:szCs w:val="24"/>
        </w:rPr>
        <w:t>, </w:t>
      </w:r>
      <w:r w:rsidRPr="009735E9">
        <w:rPr>
          <w:rFonts w:cs="Arial"/>
          <w:i/>
          <w:iCs/>
          <w:szCs w:val="24"/>
        </w:rPr>
        <w:t>83</w:t>
      </w:r>
      <w:r w:rsidRPr="009735E9">
        <w:rPr>
          <w:rFonts w:cs="Arial"/>
          <w:szCs w:val="24"/>
        </w:rPr>
        <w:t>, pp.220-228.</w:t>
      </w:r>
    </w:p>
    <w:p w14:paraId="3B25FC33" w14:textId="77777777" w:rsidR="00AF6A2B" w:rsidRPr="009735E9" w:rsidRDefault="00AF6A2B" w:rsidP="00AF6A2B">
      <w:pPr>
        <w:spacing w:line="360" w:lineRule="auto"/>
        <w:rPr>
          <w:rFonts w:cs="Arial"/>
          <w:szCs w:val="24"/>
        </w:rPr>
      </w:pPr>
      <w:r w:rsidRPr="009735E9">
        <w:rPr>
          <w:rFonts w:cs="Arial"/>
          <w:szCs w:val="24"/>
        </w:rPr>
        <w:t xml:space="preserve">Farah, M.F., Ramadan, Z. and </w:t>
      </w:r>
      <w:proofErr w:type="spellStart"/>
      <w:r w:rsidRPr="009735E9">
        <w:rPr>
          <w:rFonts w:cs="Arial"/>
          <w:szCs w:val="24"/>
        </w:rPr>
        <w:t>Kanso</w:t>
      </w:r>
      <w:proofErr w:type="spellEnd"/>
      <w:r w:rsidRPr="009735E9">
        <w:rPr>
          <w:rFonts w:cs="Arial"/>
          <w:szCs w:val="24"/>
        </w:rPr>
        <w:t>, J., 2022. Satisfying the online food crave: The case of online food aggregators. </w:t>
      </w:r>
      <w:r w:rsidRPr="009735E9">
        <w:rPr>
          <w:rFonts w:cs="Arial"/>
          <w:i/>
          <w:iCs/>
          <w:szCs w:val="24"/>
        </w:rPr>
        <w:t>International Journal of Consumer Studies</w:t>
      </w:r>
      <w:r w:rsidRPr="009735E9">
        <w:rPr>
          <w:rFonts w:cs="Arial"/>
          <w:szCs w:val="24"/>
        </w:rPr>
        <w:t>, </w:t>
      </w:r>
      <w:r w:rsidRPr="009735E9">
        <w:rPr>
          <w:rFonts w:cs="Arial"/>
          <w:i/>
          <w:iCs/>
          <w:szCs w:val="24"/>
        </w:rPr>
        <w:t>46</w:t>
      </w:r>
      <w:r w:rsidRPr="009735E9">
        <w:rPr>
          <w:rFonts w:cs="Arial"/>
          <w:szCs w:val="24"/>
        </w:rPr>
        <w:t>(4), pp.1413-1427.</w:t>
      </w:r>
    </w:p>
    <w:p w14:paraId="3B48F430" w14:textId="77777777" w:rsidR="00AF6A2B" w:rsidRPr="009735E9" w:rsidRDefault="00AF6A2B" w:rsidP="00AF6A2B">
      <w:pPr>
        <w:spacing w:line="360" w:lineRule="auto"/>
        <w:rPr>
          <w:rFonts w:cs="Arial"/>
          <w:szCs w:val="24"/>
        </w:rPr>
      </w:pPr>
      <w:r w:rsidRPr="009735E9">
        <w:rPr>
          <w:rFonts w:cs="Arial"/>
          <w:szCs w:val="24"/>
        </w:rPr>
        <w:t>Flynn, A. and Thorpe, A., 2021. Pandemic pop-ups and the performance of legality. In </w:t>
      </w:r>
      <w:r w:rsidRPr="009735E9">
        <w:rPr>
          <w:rFonts w:cs="Arial"/>
          <w:i/>
          <w:iCs/>
          <w:szCs w:val="24"/>
        </w:rPr>
        <w:t>Volume 3: Public Space and Mobility</w:t>
      </w:r>
      <w:r w:rsidRPr="009735E9">
        <w:rPr>
          <w:rFonts w:cs="Arial"/>
          <w:szCs w:val="24"/>
        </w:rPr>
        <w:t> (pp. 25-34). Bristol University Press.</w:t>
      </w:r>
    </w:p>
    <w:p w14:paraId="78CCB019" w14:textId="77777777" w:rsidR="00AF6A2B" w:rsidRPr="009735E9" w:rsidRDefault="00AF6A2B" w:rsidP="00AF6A2B">
      <w:pPr>
        <w:spacing w:line="360" w:lineRule="auto"/>
        <w:rPr>
          <w:rFonts w:cs="Arial"/>
          <w:szCs w:val="24"/>
        </w:rPr>
      </w:pPr>
      <w:r w:rsidRPr="009735E9">
        <w:rPr>
          <w:rFonts w:cs="Arial"/>
          <w:szCs w:val="24"/>
        </w:rPr>
        <w:lastRenderedPageBreak/>
        <w:t>Halim, K.K. and Halim, S., 2019. Business intelligence for designing restaurant marketing strategy: A case study. </w:t>
      </w:r>
      <w:r w:rsidRPr="009735E9">
        <w:rPr>
          <w:rFonts w:cs="Arial"/>
          <w:i/>
          <w:iCs/>
          <w:szCs w:val="24"/>
        </w:rPr>
        <w:t>Procedia Computer Science</w:t>
      </w:r>
      <w:r w:rsidRPr="009735E9">
        <w:rPr>
          <w:rFonts w:cs="Arial"/>
          <w:szCs w:val="24"/>
        </w:rPr>
        <w:t>, </w:t>
      </w:r>
      <w:r w:rsidRPr="009735E9">
        <w:rPr>
          <w:rFonts w:cs="Arial"/>
          <w:i/>
          <w:iCs/>
          <w:szCs w:val="24"/>
        </w:rPr>
        <w:t>161</w:t>
      </w:r>
      <w:r w:rsidRPr="009735E9">
        <w:rPr>
          <w:rFonts w:cs="Arial"/>
          <w:szCs w:val="24"/>
        </w:rPr>
        <w:t>, pp.615-622.</w:t>
      </w:r>
    </w:p>
    <w:p w14:paraId="5F8CA70A" w14:textId="77777777" w:rsidR="00AF6A2B" w:rsidRPr="009735E9" w:rsidRDefault="00AF6A2B" w:rsidP="00AF6A2B">
      <w:pPr>
        <w:spacing w:line="360" w:lineRule="auto"/>
        <w:rPr>
          <w:rFonts w:cs="Arial"/>
          <w:szCs w:val="24"/>
        </w:rPr>
      </w:pPr>
      <w:r w:rsidRPr="009735E9">
        <w:rPr>
          <w:rFonts w:cs="Arial"/>
          <w:szCs w:val="24"/>
        </w:rPr>
        <w:t>Hege, A., McCormick, N., Robinson, P., Charles, K., Jones, J. and Aft, E., 2021. Perspectives from the front line: The post-pandemic emergency food system in North Carolina. </w:t>
      </w:r>
      <w:r w:rsidRPr="009735E9">
        <w:rPr>
          <w:rFonts w:cs="Arial"/>
          <w:i/>
          <w:iCs/>
          <w:szCs w:val="24"/>
        </w:rPr>
        <w:t>Journal of Agriculture, Food Systems, and Community Development</w:t>
      </w:r>
      <w:r w:rsidRPr="009735E9">
        <w:rPr>
          <w:rFonts w:cs="Arial"/>
          <w:szCs w:val="24"/>
        </w:rPr>
        <w:t>, </w:t>
      </w:r>
      <w:r w:rsidRPr="009735E9">
        <w:rPr>
          <w:rFonts w:cs="Arial"/>
          <w:i/>
          <w:iCs/>
          <w:szCs w:val="24"/>
        </w:rPr>
        <w:t>10</w:t>
      </w:r>
      <w:r w:rsidRPr="009735E9">
        <w:rPr>
          <w:rFonts w:cs="Arial"/>
          <w:szCs w:val="24"/>
        </w:rPr>
        <w:t>(2), pp.241-245.</w:t>
      </w:r>
    </w:p>
    <w:p w14:paraId="31F1237E" w14:textId="77777777" w:rsidR="00AF6A2B" w:rsidRPr="009735E9" w:rsidRDefault="00AF6A2B" w:rsidP="00AF6A2B">
      <w:pPr>
        <w:suppressAutoHyphens/>
        <w:autoSpaceDN w:val="0"/>
        <w:spacing w:before="100" w:after="100" w:line="360" w:lineRule="auto"/>
        <w:rPr>
          <w:rFonts w:eastAsia="Arial" w:cs="Arial"/>
          <w:color w:val="000000"/>
          <w:szCs w:val="24"/>
        </w:rPr>
      </w:pPr>
      <w:proofErr w:type="spellStart"/>
      <w:r w:rsidRPr="009735E9">
        <w:rPr>
          <w:rFonts w:eastAsia="Arial" w:cs="Arial"/>
          <w:color w:val="000000"/>
          <w:szCs w:val="24"/>
        </w:rPr>
        <w:t>Inkson</w:t>
      </w:r>
      <w:proofErr w:type="gramStart"/>
      <w:r w:rsidRPr="009735E9">
        <w:rPr>
          <w:rFonts w:eastAsia="Arial" w:cs="Arial"/>
          <w:color w:val="000000"/>
          <w:szCs w:val="24"/>
        </w:rPr>
        <w:t>,C</w:t>
      </w:r>
      <w:proofErr w:type="spellEnd"/>
      <w:proofErr w:type="gramEnd"/>
      <w:r w:rsidRPr="009735E9">
        <w:rPr>
          <w:rFonts w:eastAsia="Arial" w:cs="Arial"/>
          <w:color w:val="000000"/>
          <w:szCs w:val="24"/>
        </w:rPr>
        <w:t xml:space="preserve">. and </w:t>
      </w:r>
      <w:proofErr w:type="spellStart"/>
      <w:r w:rsidRPr="009735E9">
        <w:rPr>
          <w:rFonts w:eastAsia="Arial" w:cs="Arial"/>
          <w:color w:val="000000"/>
          <w:szCs w:val="24"/>
        </w:rPr>
        <w:t>Minnaert</w:t>
      </w:r>
      <w:proofErr w:type="spellEnd"/>
      <w:r w:rsidRPr="009735E9">
        <w:rPr>
          <w:rFonts w:eastAsia="Arial" w:cs="Arial"/>
          <w:color w:val="000000"/>
          <w:szCs w:val="24"/>
        </w:rPr>
        <w:t xml:space="preserve">, L.(2018), </w:t>
      </w:r>
      <w:r w:rsidRPr="009735E9">
        <w:rPr>
          <w:rFonts w:eastAsia="Arial" w:cs="Arial"/>
          <w:i/>
          <w:iCs/>
          <w:color w:val="000000"/>
          <w:szCs w:val="24"/>
        </w:rPr>
        <w:t>Tourism Management</w:t>
      </w:r>
      <w:r w:rsidRPr="009735E9">
        <w:rPr>
          <w:rFonts w:eastAsia="Arial" w:cs="Arial"/>
          <w:color w:val="000000"/>
          <w:szCs w:val="24"/>
        </w:rPr>
        <w:t xml:space="preserve">, (Second Edition), London: SAGE </w:t>
      </w:r>
    </w:p>
    <w:p w14:paraId="130774EA" w14:textId="09003D0E" w:rsidR="00AE73B6" w:rsidRPr="009735E9" w:rsidRDefault="00AE73B6" w:rsidP="00AE73B6">
      <w:pPr>
        <w:suppressAutoHyphens/>
        <w:autoSpaceDN w:val="0"/>
        <w:spacing w:before="100" w:after="100" w:line="360" w:lineRule="auto"/>
        <w:rPr>
          <w:rFonts w:cs="Arial"/>
          <w:szCs w:val="24"/>
        </w:rPr>
      </w:pPr>
      <w:proofErr w:type="gramStart"/>
      <w:r w:rsidRPr="009735E9">
        <w:rPr>
          <w:rFonts w:cs="Arial"/>
          <w:szCs w:val="24"/>
        </w:rPr>
        <w:t>Hale, &amp; Booth, R. (2019).</w:t>
      </w:r>
      <w:proofErr w:type="gramEnd"/>
      <w:r w:rsidRPr="009735E9">
        <w:rPr>
          <w:rFonts w:cs="Arial"/>
          <w:szCs w:val="24"/>
        </w:rPr>
        <w:t xml:space="preserve"> The safety professional in the UK: Development of a key player in occupational health and safety. Safety Science, 118, 76–87. https://doi.org/10.1016/j.ssci.2019.04.015</w:t>
      </w:r>
    </w:p>
    <w:p w14:paraId="0AEB7217" w14:textId="77777777" w:rsidR="00AF6A2B" w:rsidRPr="009735E9" w:rsidRDefault="00AF6A2B" w:rsidP="00AF6A2B">
      <w:pPr>
        <w:spacing w:line="360" w:lineRule="auto"/>
        <w:rPr>
          <w:rFonts w:cs="Arial"/>
          <w:szCs w:val="24"/>
        </w:rPr>
      </w:pPr>
      <w:proofErr w:type="spellStart"/>
      <w:proofErr w:type="gramStart"/>
      <w:r w:rsidRPr="009735E9">
        <w:rPr>
          <w:rFonts w:cs="Arial"/>
          <w:szCs w:val="24"/>
        </w:rPr>
        <w:t>Kleinaltenkamp</w:t>
      </w:r>
      <w:proofErr w:type="spellEnd"/>
      <w:r w:rsidRPr="009735E9">
        <w:rPr>
          <w:rFonts w:cs="Arial"/>
          <w:szCs w:val="24"/>
        </w:rPr>
        <w:t xml:space="preserve">, M., Conduit, J., </w:t>
      </w:r>
      <w:proofErr w:type="spellStart"/>
      <w:r w:rsidRPr="009735E9">
        <w:rPr>
          <w:rFonts w:cs="Arial"/>
          <w:szCs w:val="24"/>
        </w:rPr>
        <w:t>Plewa</w:t>
      </w:r>
      <w:proofErr w:type="spellEnd"/>
      <w:r w:rsidRPr="009735E9">
        <w:rPr>
          <w:rFonts w:cs="Arial"/>
          <w:szCs w:val="24"/>
        </w:rPr>
        <w:t xml:space="preserve">, C., </w:t>
      </w:r>
      <w:proofErr w:type="spellStart"/>
      <w:r w:rsidRPr="009735E9">
        <w:rPr>
          <w:rFonts w:cs="Arial"/>
          <w:szCs w:val="24"/>
        </w:rPr>
        <w:t>Karpen</w:t>
      </w:r>
      <w:proofErr w:type="spellEnd"/>
      <w:r w:rsidRPr="009735E9">
        <w:rPr>
          <w:rFonts w:cs="Arial"/>
          <w:szCs w:val="24"/>
        </w:rPr>
        <w:t xml:space="preserve">, I.O. and </w:t>
      </w:r>
      <w:proofErr w:type="spellStart"/>
      <w:r w:rsidRPr="009735E9">
        <w:rPr>
          <w:rFonts w:cs="Arial"/>
          <w:szCs w:val="24"/>
        </w:rPr>
        <w:t>Jaakkola</w:t>
      </w:r>
      <w:proofErr w:type="spellEnd"/>
      <w:r w:rsidRPr="009735E9">
        <w:rPr>
          <w:rFonts w:cs="Arial"/>
          <w:szCs w:val="24"/>
        </w:rPr>
        <w:t>, E., 2021.</w:t>
      </w:r>
      <w:proofErr w:type="gramEnd"/>
      <w:r w:rsidRPr="009735E9">
        <w:rPr>
          <w:rFonts w:cs="Arial"/>
          <w:szCs w:val="24"/>
        </w:rPr>
        <w:t xml:space="preserve"> Engagement-driven institutionalization in market shaping: Synchronizing and stabilizing collective engagement. </w:t>
      </w:r>
      <w:r w:rsidRPr="009735E9">
        <w:rPr>
          <w:rFonts w:cs="Arial"/>
          <w:i/>
          <w:iCs/>
          <w:szCs w:val="24"/>
        </w:rPr>
        <w:t>Industrial Marketing Management</w:t>
      </w:r>
      <w:r w:rsidRPr="009735E9">
        <w:rPr>
          <w:rFonts w:cs="Arial"/>
          <w:szCs w:val="24"/>
        </w:rPr>
        <w:t>, </w:t>
      </w:r>
      <w:r w:rsidRPr="009735E9">
        <w:rPr>
          <w:rFonts w:cs="Arial"/>
          <w:i/>
          <w:iCs/>
          <w:szCs w:val="24"/>
        </w:rPr>
        <w:t>99</w:t>
      </w:r>
      <w:r w:rsidRPr="009735E9">
        <w:rPr>
          <w:rFonts w:cs="Arial"/>
          <w:szCs w:val="24"/>
        </w:rPr>
        <w:t>, pp.69-78.</w:t>
      </w:r>
    </w:p>
    <w:p w14:paraId="0584A39E" w14:textId="77777777" w:rsidR="00AF6A2B" w:rsidRPr="009735E9" w:rsidRDefault="00AF6A2B" w:rsidP="00AF6A2B">
      <w:pPr>
        <w:spacing w:line="360" w:lineRule="auto"/>
        <w:rPr>
          <w:rFonts w:cs="Arial"/>
          <w:szCs w:val="24"/>
        </w:rPr>
      </w:pPr>
      <w:r w:rsidRPr="009735E9">
        <w:rPr>
          <w:rFonts w:cs="Arial"/>
          <w:szCs w:val="24"/>
        </w:rPr>
        <w:t>Ku, E.C., Hsu, S.F. and Wu, W.C., 2020. Connecting supplier–supplier relationships to achieve supply chain performance of restaurant companies. </w:t>
      </w:r>
      <w:r w:rsidRPr="009735E9">
        <w:rPr>
          <w:rFonts w:cs="Arial"/>
          <w:i/>
          <w:iCs/>
          <w:szCs w:val="24"/>
        </w:rPr>
        <w:t>Journal of Hospitality and Tourism Insights</w:t>
      </w:r>
      <w:r w:rsidRPr="009735E9">
        <w:rPr>
          <w:rFonts w:cs="Arial"/>
          <w:szCs w:val="24"/>
        </w:rPr>
        <w:t>.</w:t>
      </w:r>
    </w:p>
    <w:p w14:paraId="3AA1EF3F" w14:textId="77777777" w:rsidR="00AF6A2B" w:rsidRPr="009735E9" w:rsidRDefault="00AF6A2B" w:rsidP="00AF6A2B">
      <w:pPr>
        <w:spacing w:line="360" w:lineRule="auto"/>
        <w:rPr>
          <w:rFonts w:cs="Arial"/>
          <w:szCs w:val="24"/>
        </w:rPr>
      </w:pPr>
      <w:proofErr w:type="gramStart"/>
      <w:r w:rsidRPr="009735E9">
        <w:rPr>
          <w:rFonts w:cs="Arial"/>
          <w:szCs w:val="24"/>
        </w:rPr>
        <w:t xml:space="preserve">Lee, C., </w:t>
      </w:r>
      <w:proofErr w:type="spellStart"/>
      <w:r w:rsidRPr="009735E9">
        <w:rPr>
          <w:rFonts w:cs="Arial"/>
          <w:szCs w:val="24"/>
        </w:rPr>
        <w:t>Hallak</w:t>
      </w:r>
      <w:proofErr w:type="spellEnd"/>
      <w:r w:rsidRPr="009735E9">
        <w:rPr>
          <w:rFonts w:cs="Arial"/>
          <w:szCs w:val="24"/>
        </w:rPr>
        <w:t xml:space="preserve">, R. and </w:t>
      </w:r>
      <w:proofErr w:type="spellStart"/>
      <w:r w:rsidRPr="009735E9">
        <w:rPr>
          <w:rFonts w:cs="Arial"/>
          <w:szCs w:val="24"/>
        </w:rPr>
        <w:t>Sardeshmukh</w:t>
      </w:r>
      <w:proofErr w:type="spellEnd"/>
      <w:r w:rsidRPr="009735E9">
        <w:rPr>
          <w:rFonts w:cs="Arial"/>
          <w:szCs w:val="24"/>
        </w:rPr>
        <w:t>, S.R., 2019.</w:t>
      </w:r>
      <w:proofErr w:type="gramEnd"/>
      <w:r w:rsidRPr="009735E9">
        <w:rPr>
          <w:rFonts w:cs="Arial"/>
          <w:szCs w:val="24"/>
        </w:rPr>
        <w:t xml:space="preserve"> Creativity and innovation in the restaurant sector: Supply-side processes and barriers to implementation. </w:t>
      </w:r>
      <w:r w:rsidRPr="009735E9">
        <w:rPr>
          <w:rFonts w:cs="Arial"/>
          <w:i/>
          <w:iCs/>
          <w:szCs w:val="24"/>
        </w:rPr>
        <w:t>Tourism Management Perspectives</w:t>
      </w:r>
      <w:r w:rsidRPr="009735E9">
        <w:rPr>
          <w:rFonts w:cs="Arial"/>
          <w:szCs w:val="24"/>
        </w:rPr>
        <w:t>, </w:t>
      </w:r>
      <w:r w:rsidRPr="009735E9">
        <w:rPr>
          <w:rFonts w:cs="Arial"/>
          <w:i/>
          <w:iCs/>
          <w:szCs w:val="24"/>
        </w:rPr>
        <w:t>31</w:t>
      </w:r>
      <w:r w:rsidRPr="009735E9">
        <w:rPr>
          <w:rFonts w:cs="Arial"/>
          <w:szCs w:val="24"/>
        </w:rPr>
        <w:t>, pp.54-62.</w:t>
      </w:r>
    </w:p>
    <w:p w14:paraId="7164284A" w14:textId="77777777" w:rsidR="00AF6A2B" w:rsidRPr="009735E9" w:rsidRDefault="00AF6A2B" w:rsidP="00AF6A2B">
      <w:pPr>
        <w:spacing w:line="360" w:lineRule="auto"/>
        <w:rPr>
          <w:rFonts w:cs="Arial"/>
          <w:szCs w:val="24"/>
        </w:rPr>
      </w:pPr>
      <w:r w:rsidRPr="009735E9">
        <w:rPr>
          <w:rFonts w:cs="Arial"/>
          <w:szCs w:val="24"/>
        </w:rPr>
        <w:t>Li, J., Kim, W.G. and Choi, H.M., 2021. Effectiveness of social media marketing on enhancing performance: Evidence from a casual-dining restaurant setting. </w:t>
      </w:r>
      <w:r w:rsidRPr="009735E9">
        <w:rPr>
          <w:rFonts w:cs="Arial"/>
          <w:i/>
          <w:iCs/>
          <w:szCs w:val="24"/>
        </w:rPr>
        <w:t>Tourism Economics</w:t>
      </w:r>
      <w:r w:rsidRPr="009735E9">
        <w:rPr>
          <w:rFonts w:cs="Arial"/>
          <w:szCs w:val="24"/>
        </w:rPr>
        <w:t>, </w:t>
      </w:r>
      <w:r w:rsidRPr="009735E9">
        <w:rPr>
          <w:rFonts w:cs="Arial"/>
          <w:i/>
          <w:iCs/>
          <w:szCs w:val="24"/>
        </w:rPr>
        <w:t>27</w:t>
      </w:r>
      <w:r w:rsidRPr="009735E9">
        <w:rPr>
          <w:rFonts w:cs="Arial"/>
          <w:szCs w:val="24"/>
        </w:rPr>
        <w:t>(1), pp.3-22.</w:t>
      </w:r>
    </w:p>
    <w:p w14:paraId="2A6A8802" w14:textId="77777777" w:rsidR="00AF6A2B" w:rsidRPr="009735E9" w:rsidRDefault="00AF6A2B" w:rsidP="00AF6A2B">
      <w:pPr>
        <w:spacing w:line="360" w:lineRule="auto"/>
        <w:rPr>
          <w:rFonts w:cs="Arial"/>
          <w:szCs w:val="24"/>
        </w:rPr>
      </w:pPr>
      <w:r w:rsidRPr="009735E9">
        <w:rPr>
          <w:rFonts w:cs="Arial"/>
          <w:szCs w:val="24"/>
        </w:rPr>
        <w:t>Li, J., Kim, W.G. and Choi, H.M., 2021. Effectiveness of social media marketing on enhancing performance: Evidence from a casual-dining restaurant setting. </w:t>
      </w:r>
      <w:r w:rsidRPr="009735E9">
        <w:rPr>
          <w:rFonts w:cs="Arial"/>
          <w:i/>
          <w:iCs/>
          <w:szCs w:val="24"/>
        </w:rPr>
        <w:t>Tourism Economics</w:t>
      </w:r>
      <w:r w:rsidRPr="009735E9">
        <w:rPr>
          <w:rFonts w:cs="Arial"/>
          <w:szCs w:val="24"/>
        </w:rPr>
        <w:t>, </w:t>
      </w:r>
      <w:r w:rsidRPr="009735E9">
        <w:rPr>
          <w:rFonts w:cs="Arial"/>
          <w:i/>
          <w:iCs/>
          <w:szCs w:val="24"/>
        </w:rPr>
        <w:t>27</w:t>
      </w:r>
      <w:r w:rsidRPr="009735E9">
        <w:rPr>
          <w:rFonts w:cs="Arial"/>
          <w:szCs w:val="24"/>
        </w:rPr>
        <w:t>(1), pp.3-22.</w:t>
      </w:r>
    </w:p>
    <w:p w14:paraId="53F08892" w14:textId="77777777" w:rsidR="00AF6A2B" w:rsidRPr="009735E9" w:rsidRDefault="00AF6A2B" w:rsidP="00AF6A2B">
      <w:pPr>
        <w:spacing w:line="360" w:lineRule="auto"/>
        <w:rPr>
          <w:rFonts w:cs="Arial"/>
          <w:szCs w:val="24"/>
        </w:rPr>
      </w:pPr>
      <w:proofErr w:type="spellStart"/>
      <w:r w:rsidRPr="009735E9">
        <w:rPr>
          <w:rFonts w:cs="Arial"/>
          <w:szCs w:val="24"/>
        </w:rPr>
        <w:lastRenderedPageBreak/>
        <w:t>Lorente-Martínez</w:t>
      </w:r>
      <w:proofErr w:type="spellEnd"/>
      <w:r w:rsidRPr="009735E9">
        <w:rPr>
          <w:rFonts w:cs="Arial"/>
          <w:szCs w:val="24"/>
        </w:rPr>
        <w:t xml:space="preserve">, J., </w:t>
      </w:r>
      <w:proofErr w:type="spellStart"/>
      <w:r w:rsidRPr="009735E9">
        <w:rPr>
          <w:rFonts w:cs="Arial"/>
          <w:szCs w:val="24"/>
        </w:rPr>
        <w:t>Navio</w:t>
      </w:r>
      <w:proofErr w:type="spellEnd"/>
      <w:r w:rsidRPr="009735E9">
        <w:rPr>
          <w:rFonts w:cs="Arial"/>
          <w:szCs w:val="24"/>
        </w:rPr>
        <w:t>-Marco, J. and Rodrigo-Moya, B., 2022. Are retailers leveraging in-store analytics? An exploratory study. </w:t>
      </w:r>
      <w:r w:rsidRPr="009735E9">
        <w:rPr>
          <w:rFonts w:cs="Arial"/>
          <w:i/>
          <w:iCs/>
          <w:szCs w:val="24"/>
        </w:rPr>
        <w:t>International Journal of Retail &amp; Distribution Management</w:t>
      </w:r>
      <w:r w:rsidRPr="009735E9">
        <w:rPr>
          <w:rFonts w:cs="Arial"/>
          <w:szCs w:val="24"/>
        </w:rPr>
        <w:t>, </w:t>
      </w:r>
      <w:r w:rsidRPr="009735E9">
        <w:rPr>
          <w:rFonts w:cs="Arial"/>
          <w:i/>
          <w:iCs/>
          <w:szCs w:val="24"/>
        </w:rPr>
        <w:t>50</w:t>
      </w:r>
      <w:r w:rsidRPr="009735E9">
        <w:rPr>
          <w:rFonts w:cs="Arial"/>
          <w:szCs w:val="24"/>
        </w:rPr>
        <w:t>(5), pp.599-618.</w:t>
      </w:r>
    </w:p>
    <w:p w14:paraId="4DB42CB1" w14:textId="77777777" w:rsidR="00AF6A2B" w:rsidRPr="009735E9" w:rsidRDefault="00AF6A2B" w:rsidP="00AF6A2B">
      <w:pPr>
        <w:spacing w:line="360" w:lineRule="auto"/>
        <w:rPr>
          <w:rFonts w:cs="Arial"/>
          <w:szCs w:val="24"/>
        </w:rPr>
      </w:pPr>
      <w:r w:rsidRPr="009735E9">
        <w:rPr>
          <w:rFonts w:cs="Arial"/>
          <w:szCs w:val="24"/>
        </w:rPr>
        <w:t>Lugosi, P., Robinson, R.N., Walters, G. and Donaghy, S., 2020. Managing experience co-creation practices: Direct and indirect inducement in pop-up food tourism events. </w:t>
      </w:r>
      <w:r w:rsidRPr="009735E9">
        <w:rPr>
          <w:rFonts w:cs="Arial"/>
          <w:i/>
          <w:iCs/>
          <w:szCs w:val="24"/>
        </w:rPr>
        <w:t>Tourism Management Perspectives</w:t>
      </w:r>
      <w:r w:rsidRPr="009735E9">
        <w:rPr>
          <w:rFonts w:cs="Arial"/>
          <w:szCs w:val="24"/>
        </w:rPr>
        <w:t>, </w:t>
      </w:r>
      <w:r w:rsidRPr="009735E9">
        <w:rPr>
          <w:rFonts w:cs="Arial"/>
          <w:i/>
          <w:iCs/>
          <w:szCs w:val="24"/>
        </w:rPr>
        <w:t>35</w:t>
      </w:r>
      <w:r w:rsidRPr="009735E9">
        <w:rPr>
          <w:rFonts w:cs="Arial"/>
          <w:szCs w:val="24"/>
        </w:rPr>
        <w:t>, p.100702.</w:t>
      </w:r>
    </w:p>
    <w:p w14:paraId="14237279" w14:textId="77777777" w:rsidR="00AF6A2B" w:rsidRPr="009735E9" w:rsidRDefault="00AF6A2B" w:rsidP="00AF6A2B">
      <w:pPr>
        <w:suppressAutoHyphens/>
        <w:autoSpaceDN w:val="0"/>
        <w:spacing w:before="100" w:after="100" w:line="360" w:lineRule="auto"/>
        <w:rPr>
          <w:rFonts w:cs="Arial"/>
          <w:szCs w:val="24"/>
        </w:rPr>
      </w:pPr>
      <w:r w:rsidRPr="009735E9">
        <w:rPr>
          <w:rFonts w:eastAsia="Arial" w:cs="Arial"/>
          <w:color w:val="000000"/>
          <w:szCs w:val="24"/>
        </w:rPr>
        <w:t xml:space="preserve">Marr, B. (2013), </w:t>
      </w:r>
      <w:r w:rsidRPr="009735E9">
        <w:rPr>
          <w:rFonts w:eastAsia="Arial" w:cs="Arial"/>
          <w:i/>
          <w:iCs/>
          <w:color w:val="000000"/>
          <w:szCs w:val="24"/>
        </w:rPr>
        <w:t>Key Performance Indicators</w:t>
      </w:r>
      <w:r w:rsidRPr="009735E9">
        <w:rPr>
          <w:rFonts w:eastAsia="Arial" w:cs="Arial"/>
          <w:color w:val="000000"/>
          <w:szCs w:val="24"/>
        </w:rPr>
        <w:t xml:space="preserve"> (KPI), Harlow: Pearson </w:t>
      </w:r>
      <w:r w:rsidRPr="009735E9">
        <w:rPr>
          <w:rFonts w:ascii="MS Gothic" w:eastAsia="MS Gothic" w:hAnsi="MS Gothic" w:cs="MS Gothic" w:hint="eastAsia"/>
          <w:color w:val="000000"/>
          <w:szCs w:val="24"/>
        </w:rPr>
        <w:t>☒</w:t>
      </w:r>
    </w:p>
    <w:p w14:paraId="2EEB3C36" w14:textId="77777777" w:rsidR="00AF6A2B" w:rsidRPr="009735E9" w:rsidRDefault="00AF6A2B" w:rsidP="00AF6A2B">
      <w:pPr>
        <w:spacing w:line="360" w:lineRule="auto"/>
        <w:rPr>
          <w:rFonts w:cs="Arial"/>
          <w:szCs w:val="24"/>
        </w:rPr>
      </w:pPr>
      <w:proofErr w:type="spellStart"/>
      <w:r w:rsidRPr="009735E9">
        <w:rPr>
          <w:rFonts w:cs="Arial"/>
          <w:szCs w:val="24"/>
        </w:rPr>
        <w:t>Middha</w:t>
      </w:r>
      <w:proofErr w:type="spellEnd"/>
      <w:r w:rsidRPr="009735E9">
        <w:rPr>
          <w:rFonts w:cs="Arial"/>
          <w:szCs w:val="24"/>
        </w:rPr>
        <w:t>, B. and Lewis, T., 2021. Pop-up food provisioning as a sustainable third space: reshaping eating practices at an inner urban university. </w:t>
      </w:r>
      <w:r w:rsidRPr="009735E9">
        <w:rPr>
          <w:rFonts w:cs="Arial"/>
          <w:i/>
          <w:iCs/>
          <w:szCs w:val="24"/>
        </w:rPr>
        <w:t>Australian geographer</w:t>
      </w:r>
      <w:r w:rsidRPr="009735E9">
        <w:rPr>
          <w:rFonts w:cs="Arial"/>
          <w:szCs w:val="24"/>
        </w:rPr>
        <w:t>, </w:t>
      </w:r>
      <w:r w:rsidRPr="009735E9">
        <w:rPr>
          <w:rFonts w:cs="Arial"/>
          <w:i/>
          <w:iCs/>
          <w:szCs w:val="24"/>
        </w:rPr>
        <w:t>52</w:t>
      </w:r>
      <w:r w:rsidRPr="009735E9">
        <w:rPr>
          <w:rFonts w:cs="Arial"/>
          <w:szCs w:val="24"/>
        </w:rPr>
        <w:t>(4), pp.407-424.</w:t>
      </w:r>
    </w:p>
    <w:p w14:paraId="1171BC8F" w14:textId="77777777" w:rsidR="00AF6A2B" w:rsidRPr="009735E9" w:rsidRDefault="00AF6A2B" w:rsidP="00AF6A2B">
      <w:pPr>
        <w:suppressAutoHyphens/>
        <w:autoSpaceDN w:val="0"/>
        <w:spacing w:before="100" w:after="100" w:line="360" w:lineRule="auto"/>
        <w:rPr>
          <w:rFonts w:cs="Arial"/>
          <w:szCs w:val="24"/>
        </w:rPr>
      </w:pPr>
      <w:r w:rsidRPr="009735E9">
        <w:rPr>
          <w:rFonts w:eastAsia="Arial" w:cs="Arial"/>
          <w:color w:val="000000"/>
          <w:szCs w:val="24"/>
        </w:rPr>
        <w:t xml:space="preserve">Mullins, L. J. (2016), </w:t>
      </w:r>
      <w:r w:rsidRPr="009735E9">
        <w:rPr>
          <w:rFonts w:eastAsia="Arial" w:cs="Arial"/>
          <w:i/>
          <w:iCs/>
          <w:color w:val="000000"/>
          <w:szCs w:val="24"/>
        </w:rPr>
        <w:t>Management and Organisational Behaviour</w:t>
      </w:r>
      <w:r w:rsidRPr="009735E9">
        <w:rPr>
          <w:rFonts w:eastAsia="Arial" w:cs="Arial"/>
          <w:color w:val="000000"/>
          <w:szCs w:val="24"/>
        </w:rPr>
        <w:t xml:space="preserve">, (Eleventh Edition), Harlow: Pearson </w:t>
      </w:r>
    </w:p>
    <w:p w14:paraId="535B84BA" w14:textId="5CC3C9AF" w:rsidR="00AF6A2B" w:rsidRPr="009735E9" w:rsidRDefault="00AF6A2B" w:rsidP="00AF6A2B">
      <w:pPr>
        <w:suppressAutoHyphens/>
        <w:autoSpaceDN w:val="0"/>
        <w:spacing w:before="100" w:after="100" w:line="360" w:lineRule="auto"/>
        <w:rPr>
          <w:rFonts w:cs="Arial"/>
          <w:szCs w:val="24"/>
        </w:rPr>
      </w:pPr>
      <w:r w:rsidRPr="009735E9">
        <w:rPr>
          <w:rFonts w:eastAsia="Arial" w:cs="Arial"/>
          <w:color w:val="000000"/>
          <w:szCs w:val="24"/>
        </w:rPr>
        <w:t xml:space="preserve">Mullins, L.J. and </w:t>
      </w:r>
      <w:proofErr w:type="spellStart"/>
      <w:r w:rsidRPr="009735E9">
        <w:rPr>
          <w:rFonts w:eastAsia="Arial" w:cs="Arial"/>
          <w:color w:val="000000"/>
          <w:szCs w:val="24"/>
        </w:rPr>
        <w:t>Dossor</w:t>
      </w:r>
      <w:proofErr w:type="spellEnd"/>
      <w:r w:rsidRPr="009735E9">
        <w:rPr>
          <w:rFonts w:eastAsia="Arial" w:cs="Arial"/>
          <w:color w:val="000000"/>
          <w:szCs w:val="24"/>
        </w:rPr>
        <w:t xml:space="preserve">, P. (2013) </w:t>
      </w:r>
      <w:r w:rsidRPr="009735E9">
        <w:rPr>
          <w:rFonts w:eastAsia="Arial" w:cs="Arial"/>
          <w:i/>
          <w:iCs/>
          <w:color w:val="000000"/>
          <w:szCs w:val="24"/>
        </w:rPr>
        <w:t>Hospitality Management and Organisational Behaviour,</w:t>
      </w:r>
      <w:r w:rsidRPr="009735E9">
        <w:rPr>
          <w:rFonts w:eastAsia="Arial" w:cs="Arial"/>
          <w:color w:val="000000"/>
          <w:szCs w:val="24"/>
        </w:rPr>
        <w:t xml:space="preserve"> (Fifth Edition), Harlow: Pearson </w:t>
      </w:r>
    </w:p>
    <w:p w14:paraId="78FFB80C" w14:textId="77777777" w:rsidR="00AF6A2B" w:rsidRPr="009735E9" w:rsidRDefault="00AF6A2B" w:rsidP="00AF6A2B">
      <w:pPr>
        <w:spacing w:line="360" w:lineRule="auto"/>
        <w:rPr>
          <w:rFonts w:cs="Arial"/>
          <w:szCs w:val="24"/>
        </w:rPr>
      </w:pPr>
      <w:proofErr w:type="spellStart"/>
      <w:proofErr w:type="gramStart"/>
      <w:r w:rsidRPr="009735E9">
        <w:rPr>
          <w:rFonts w:cs="Arial"/>
          <w:szCs w:val="24"/>
        </w:rPr>
        <w:t>Niroo</w:t>
      </w:r>
      <w:proofErr w:type="spellEnd"/>
      <w:r w:rsidRPr="009735E9">
        <w:rPr>
          <w:rFonts w:cs="Arial"/>
          <w:szCs w:val="24"/>
        </w:rPr>
        <w:t>, F., 2020.</w:t>
      </w:r>
      <w:proofErr w:type="gramEnd"/>
      <w:r w:rsidRPr="009735E9">
        <w:rPr>
          <w:rFonts w:cs="Arial"/>
          <w:szCs w:val="24"/>
        </w:rPr>
        <w:t> </w:t>
      </w:r>
      <w:proofErr w:type="gramStart"/>
      <w:r w:rsidRPr="009735E9">
        <w:rPr>
          <w:rFonts w:cs="Arial"/>
          <w:i/>
          <w:iCs/>
          <w:szCs w:val="24"/>
        </w:rPr>
        <w:t>Exploring the culinary experiences of visitors in temporary settings–The case of pop-up restaurants</w:t>
      </w:r>
      <w:r w:rsidRPr="009735E9">
        <w:rPr>
          <w:rFonts w:cs="Arial"/>
          <w:szCs w:val="24"/>
        </w:rPr>
        <w:t> (Master's thesis).</w:t>
      </w:r>
      <w:proofErr w:type="gramEnd"/>
    </w:p>
    <w:p w14:paraId="6D99A2C3" w14:textId="2E339654" w:rsidR="00496E25" w:rsidRPr="009735E9" w:rsidRDefault="00496E25" w:rsidP="00496E25">
      <w:pPr>
        <w:spacing w:line="360" w:lineRule="auto"/>
        <w:rPr>
          <w:rFonts w:cs="Arial"/>
          <w:szCs w:val="24"/>
        </w:rPr>
      </w:pPr>
      <w:proofErr w:type="spellStart"/>
      <w:r w:rsidRPr="009735E9">
        <w:rPr>
          <w:rFonts w:cs="Arial"/>
          <w:szCs w:val="24"/>
        </w:rPr>
        <w:t>Milwood</w:t>
      </w:r>
      <w:proofErr w:type="spellEnd"/>
      <w:r w:rsidRPr="009735E9">
        <w:rPr>
          <w:rFonts w:cs="Arial"/>
          <w:szCs w:val="24"/>
        </w:rPr>
        <w:t>, &amp; Hartman-</w:t>
      </w:r>
      <w:proofErr w:type="spellStart"/>
      <w:r w:rsidRPr="009735E9">
        <w:rPr>
          <w:rFonts w:cs="Arial"/>
          <w:szCs w:val="24"/>
        </w:rPr>
        <w:t>Caverly</w:t>
      </w:r>
      <w:proofErr w:type="spellEnd"/>
      <w:r w:rsidRPr="009735E9">
        <w:rPr>
          <w:rFonts w:cs="Arial"/>
          <w:szCs w:val="24"/>
        </w:rPr>
        <w:t>, S. (2022). “Food chemistry”: High-stakes experiential entrepreneurship education in a pop-up restaurant project. Entrepreneurship Education (Online), 5(1), 37–68. https://doi.org/10.1007/s41959-022-00066-y</w:t>
      </w:r>
    </w:p>
    <w:p w14:paraId="05449475" w14:textId="77777777" w:rsidR="00AF6A2B" w:rsidRPr="009735E9" w:rsidRDefault="00AF6A2B" w:rsidP="00AF6A2B">
      <w:pPr>
        <w:spacing w:line="360" w:lineRule="auto"/>
        <w:rPr>
          <w:rFonts w:cs="Arial"/>
          <w:szCs w:val="24"/>
        </w:rPr>
      </w:pPr>
      <w:proofErr w:type="gramStart"/>
      <w:r w:rsidRPr="009735E9">
        <w:rPr>
          <w:rFonts w:cs="Arial"/>
          <w:szCs w:val="24"/>
        </w:rPr>
        <w:t>Norris, C.L., Taylor Jr, S. and Taylor, D.C., 2021.</w:t>
      </w:r>
      <w:proofErr w:type="gramEnd"/>
      <w:r w:rsidRPr="009735E9">
        <w:rPr>
          <w:rFonts w:cs="Arial"/>
          <w:szCs w:val="24"/>
        </w:rPr>
        <w:t xml:space="preserve"> Pivot! How the restaurant industry adapted during COVID-19 restrictions. </w:t>
      </w:r>
      <w:r w:rsidRPr="009735E9">
        <w:rPr>
          <w:rFonts w:cs="Arial"/>
          <w:i/>
          <w:iCs/>
          <w:szCs w:val="24"/>
        </w:rPr>
        <w:t>International Hospitality Review</w:t>
      </w:r>
      <w:r w:rsidRPr="009735E9">
        <w:rPr>
          <w:rFonts w:cs="Arial"/>
          <w:szCs w:val="24"/>
        </w:rPr>
        <w:t>.</w:t>
      </w:r>
    </w:p>
    <w:p w14:paraId="32FFF5CA" w14:textId="77777777" w:rsidR="00AF6A2B" w:rsidRPr="009735E9" w:rsidRDefault="00AF6A2B" w:rsidP="00AF6A2B">
      <w:pPr>
        <w:spacing w:line="360" w:lineRule="auto"/>
        <w:rPr>
          <w:rFonts w:cs="Arial"/>
          <w:szCs w:val="24"/>
        </w:rPr>
      </w:pPr>
      <w:r w:rsidRPr="009735E9">
        <w:rPr>
          <w:rFonts w:cs="Arial"/>
          <w:szCs w:val="24"/>
        </w:rPr>
        <w:t xml:space="preserve">O’Shea, M., Duarte Alonso, A., </w:t>
      </w:r>
      <w:proofErr w:type="spellStart"/>
      <w:r w:rsidRPr="009735E9">
        <w:rPr>
          <w:rFonts w:cs="Arial"/>
          <w:szCs w:val="24"/>
        </w:rPr>
        <w:t>Kok</w:t>
      </w:r>
      <w:proofErr w:type="spellEnd"/>
      <w:r w:rsidRPr="009735E9">
        <w:rPr>
          <w:rFonts w:cs="Arial"/>
          <w:szCs w:val="24"/>
        </w:rPr>
        <w:t>, S.K. and Vu, O.T.K., 2022. Entrepreneurial action and unprecedented uncertainty: The cases of New South Wales regional hospitality and tourism firms. </w:t>
      </w:r>
      <w:r w:rsidRPr="009735E9">
        <w:rPr>
          <w:rFonts w:cs="Arial"/>
          <w:i/>
          <w:iCs/>
          <w:szCs w:val="24"/>
        </w:rPr>
        <w:t>Tourism and Hospitality Research</w:t>
      </w:r>
      <w:r w:rsidRPr="009735E9">
        <w:rPr>
          <w:rFonts w:cs="Arial"/>
          <w:szCs w:val="24"/>
        </w:rPr>
        <w:t>, </w:t>
      </w:r>
      <w:r w:rsidRPr="009735E9">
        <w:rPr>
          <w:rFonts w:cs="Arial"/>
          <w:i/>
          <w:iCs/>
          <w:szCs w:val="24"/>
        </w:rPr>
        <w:t>22</w:t>
      </w:r>
      <w:r w:rsidRPr="009735E9">
        <w:rPr>
          <w:rFonts w:cs="Arial"/>
          <w:szCs w:val="24"/>
        </w:rPr>
        <w:t>(3), pp.362-375.</w:t>
      </w:r>
    </w:p>
    <w:p w14:paraId="20852372" w14:textId="77777777" w:rsidR="00AF6A2B" w:rsidRPr="009735E9" w:rsidRDefault="00AF6A2B" w:rsidP="00AF6A2B">
      <w:pPr>
        <w:spacing w:line="360" w:lineRule="auto"/>
        <w:rPr>
          <w:rFonts w:cs="Arial"/>
          <w:szCs w:val="24"/>
        </w:rPr>
      </w:pPr>
      <w:proofErr w:type="spellStart"/>
      <w:r w:rsidRPr="009735E9">
        <w:rPr>
          <w:rFonts w:cs="Arial"/>
          <w:szCs w:val="24"/>
        </w:rPr>
        <w:t>Olimovich</w:t>
      </w:r>
      <w:proofErr w:type="spellEnd"/>
      <w:r w:rsidRPr="009735E9">
        <w:rPr>
          <w:rFonts w:cs="Arial"/>
          <w:szCs w:val="24"/>
        </w:rPr>
        <w:t xml:space="preserve">, D.I., </w:t>
      </w:r>
      <w:proofErr w:type="spellStart"/>
      <w:r w:rsidRPr="009735E9">
        <w:rPr>
          <w:rFonts w:cs="Arial"/>
          <w:szCs w:val="24"/>
        </w:rPr>
        <w:t>Bakhtiyorovich</w:t>
      </w:r>
      <w:proofErr w:type="spellEnd"/>
      <w:r w:rsidRPr="009735E9">
        <w:rPr>
          <w:rFonts w:cs="Arial"/>
          <w:szCs w:val="24"/>
        </w:rPr>
        <w:t xml:space="preserve">, T.M. and </w:t>
      </w:r>
      <w:proofErr w:type="spellStart"/>
      <w:r w:rsidRPr="009735E9">
        <w:rPr>
          <w:rFonts w:cs="Arial"/>
          <w:szCs w:val="24"/>
        </w:rPr>
        <w:t>Salimovna</w:t>
      </w:r>
      <w:proofErr w:type="spellEnd"/>
      <w:r w:rsidRPr="009735E9">
        <w:rPr>
          <w:rFonts w:cs="Arial"/>
          <w:szCs w:val="24"/>
        </w:rPr>
        <w:t xml:space="preserve">, N.G., 2020. Improving of personnel training in hotel </w:t>
      </w:r>
      <w:proofErr w:type="spellStart"/>
      <w:r w:rsidRPr="009735E9">
        <w:rPr>
          <w:rFonts w:cs="Arial"/>
          <w:szCs w:val="24"/>
        </w:rPr>
        <w:t>bussines</w:t>
      </w:r>
      <w:proofErr w:type="spellEnd"/>
      <w:r w:rsidRPr="009735E9">
        <w:rPr>
          <w:rFonts w:cs="Arial"/>
          <w:szCs w:val="24"/>
        </w:rPr>
        <w:t>. </w:t>
      </w:r>
      <w:proofErr w:type="gramStart"/>
      <w:r w:rsidRPr="009735E9">
        <w:rPr>
          <w:rFonts w:cs="Arial"/>
          <w:i/>
          <w:iCs/>
          <w:szCs w:val="24"/>
        </w:rPr>
        <w:t>Academy</w:t>
      </w:r>
      <w:r w:rsidRPr="009735E9">
        <w:rPr>
          <w:rFonts w:cs="Arial"/>
          <w:szCs w:val="24"/>
        </w:rPr>
        <w:t>, (2 (53)), pp.18-19.</w:t>
      </w:r>
      <w:proofErr w:type="gramEnd"/>
    </w:p>
    <w:p w14:paraId="0DBAD1FE" w14:textId="413576B1" w:rsidR="00944781" w:rsidRPr="009735E9" w:rsidRDefault="00944781" w:rsidP="00944781">
      <w:pPr>
        <w:suppressAutoHyphens/>
        <w:autoSpaceDN w:val="0"/>
        <w:spacing w:before="100" w:after="100" w:line="360" w:lineRule="auto"/>
        <w:rPr>
          <w:rFonts w:eastAsia="Arial" w:cs="Arial"/>
          <w:color w:val="000000"/>
          <w:szCs w:val="24"/>
        </w:rPr>
      </w:pPr>
      <w:r w:rsidRPr="009735E9">
        <w:rPr>
          <w:rFonts w:eastAsia="Arial" w:cs="Arial"/>
          <w:color w:val="000000"/>
          <w:szCs w:val="24"/>
        </w:rPr>
        <w:lastRenderedPageBreak/>
        <w:t xml:space="preserve">Childs, &amp; Dietrich, S. (2002). Contingency planning and disaster recovery a small business guide. </w:t>
      </w:r>
      <w:proofErr w:type="gramStart"/>
      <w:r w:rsidRPr="009735E9">
        <w:rPr>
          <w:rFonts w:eastAsia="Arial" w:cs="Arial"/>
          <w:color w:val="000000"/>
          <w:szCs w:val="24"/>
        </w:rPr>
        <w:t>John Wiley.</w:t>
      </w:r>
      <w:proofErr w:type="gramEnd"/>
    </w:p>
    <w:p w14:paraId="2EAD96D2" w14:textId="77777777" w:rsidR="00AF6A2B" w:rsidRPr="009735E9" w:rsidRDefault="00AF6A2B" w:rsidP="00AF6A2B">
      <w:pPr>
        <w:suppressAutoHyphens/>
        <w:autoSpaceDN w:val="0"/>
        <w:spacing w:before="100" w:after="100" w:line="360" w:lineRule="auto"/>
        <w:rPr>
          <w:rFonts w:eastAsia="Arial" w:cs="Arial"/>
          <w:color w:val="000000"/>
          <w:szCs w:val="24"/>
        </w:rPr>
      </w:pPr>
      <w:r w:rsidRPr="009735E9">
        <w:rPr>
          <w:rFonts w:eastAsia="Arial" w:cs="Arial"/>
          <w:color w:val="000000"/>
          <w:szCs w:val="24"/>
        </w:rPr>
        <w:t xml:space="preserve">Page, S. (2019), </w:t>
      </w:r>
      <w:r w:rsidRPr="009735E9">
        <w:rPr>
          <w:rFonts w:eastAsia="Arial" w:cs="Arial"/>
          <w:i/>
          <w:iCs/>
          <w:color w:val="000000"/>
          <w:szCs w:val="24"/>
        </w:rPr>
        <w:t>Tourism Management</w:t>
      </w:r>
      <w:r w:rsidRPr="009735E9">
        <w:rPr>
          <w:rFonts w:eastAsia="Arial" w:cs="Arial"/>
          <w:color w:val="000000"/>
          <w:szCs w:val="24"/>
        </w:rPr>
        <w:t>, (</w:t>
      </w:r>
      <w:proofErr w:type="spellStart"/>
      <w:r w:rsidRPr="009735E9">
        <w:rPr>
          <w:rFonts w:eastAsia="Arial" w:cs="Arial"/>
          <w:color w:val="000000"/>
          <w:szCs w:val="24"/>
        </w:rPr>
        <w:t>Fifith</w:t>
      </w:r>
      <w:proofErr w:type="spellEnd"/>
      <w:r w:rsidRPr="009735E9">
        <w:rPr>
          <w:rFonts w:eastAsia="Arial" w:cs="Arial"/>
          <w:color w:val="000000"/>
          <w:szCs w:val="24"/>
        </w:rPr>
        <w:t xml:space="preserve"> Edition), Oxon: Routledge </w:t>
      </w:r>
    </w:p>
    <w:p w14:paraId="547FB7ED" w14:textId="77777777" w:rsidR="00AF6A2B" w:rsidRPr="009735E9" w:rsidRDefault="00AF6A2B" w:rsidP="00AF6A2B">
      <w:pPr>
        <w:spacing w:line="360" w:lineRule="auto"/>
        <w:rPr>
          <w:rFonts w:cs="Arial"/>
          <w:szCs w:val="24"/>
        </w:rPr>
      </w:pPr>
      <w:proofErr w:type="spellStart"/>
      <w:r w:rsidRPr="009735E9">
        <w:rPr>
          <w:rFonts w:cs="Arial"/>
          <w:szCs w:val="24"/>
        </w:rPr>
        <w:t>Rincón</w:t>
      </w:r>
      <w:proofErr w:type="spellEnd"/>
      <w:r w:rsidRPr="009735E9">
        <w:rPr>
          <w:rFonts w:cs="Arial"/>
          <w:szCs w:val="24"/>
        </w:rPr>
        <w:t xml:space="preserve">-Gallardo </w:t>
      </w:r>
      <w:proofErr w:type="spellStart"/>
      <w:r w:rsidRPr="009735E9">
        <w:rPr>
          <w:rFonts w:cs="Arial"/>
          <w:szCs w:val="24"/>
        </w:rPr>
        <w:t>Patiño</w:t>
      </w:r>
      <w:proofErr w:type="spellEnd"/>
      <w:r w:rsidRPr="009735E9">
        <w:rPr>
          <w:rFonts w:cs="Arial"/>
          <w:szCs w:val="24"/>
        </w:rPr>
        <w:t xml:space="preserve">, S., Zhou, M., Da Silva Gomes, F., Lemaire, R., Hedrick, V., Serrano, E. and </w:t>
      </w:r>
      <w:proofErr w:type="spellStart"/>
      <w:r w:rsidRPr="009735E9">
        <w:rPr>
          <w:rFonts w:cs="Arial"/>
          <w:szCs w:val="24"/>
        </w:rPr>
        <w:t>Kraak</w:t>
      </w:r>
      <w:proofErr w:type="spellEnd"/>
      <w:r w:rsidRPr="009735E9">
        <w:rPr>
          <w:rFonts w:cs="Arial"/>
          <w:szCs w:val="24"/>
        </w:rPr>
        <w:t>, V.I., 2020. Effects of menu labeling policies on transnational restaurant chains to promote a healthy diet: A scoping review to inform policy and research. </w:t>
      </w:r>
      <w:r w:rsidRPr="009735E9">
        <w:rPr>
          <w:rFonts w:cs="Arial"/>
          <w:i/>
          <w:iCs/>
          <w:szCs w:val="24"/>
        </w:rPr>
        <w:t>Nutrients</w:t>
      </w:r>
      <w:r w:rsidRPr="009735E9">
        <w:rPr>
          <w:rFonts w:cs="Arial"/>
          <w:szCs w:val="24"/>
        </w:rPr>
        <w:t>, </w:t>
      </w:r>
      <w:r w:rsidRPr="009735E9">
        <w:rPr>
          <w:rFonts w:cs="Arial"/>
          <w:i/>
          <w:iCs/>
          <w:szCs w:val="24"/>
        </w:rPr>
        <w:t>12</w:t>
      </w:r>
      <w:r w:rsidRPr="009735E9">
        <w:rPr>
          <w:rFonts w:cs="Arial"/>
          <w:szCs w:val="24"/>
        </w:rPr>
        <w:t>(6), p.1544.</w:t>
      </w:r>
    </w:p>
    <w:p w14:paraId="42BFDD6F" w14:textId="77777777" w:rsidR="00AF6A2B" w:rsidRPr="009735E9" w:rsidRDefault="00AF6A2B" w:rsidP="00AF6A2B">
      <w:pPr>
        <w:spacing w:line="360" w:lineRule="auto"/>
        <w:rPr>
          <w:rFonts w:cs="Arial"/>
          <w:szCs w:val="24"/>
        </w:rPr>
      </w:pPr>
      <w:proofErr w:type="spellStart"/>
      <w:r w:rsidRPr="009735E9">
        <w:rPr>
          <w:rFonts w:cs="Arial"/>
          <w:szCs w:val="24"/>
        </w:rPr>
        <w:t>Rusli</w:t>
      </w:r>
      <w:proofErr w:type="spellEnd"/>
      <w:r w:rsidRPr="009735E9">
        <w:rPr>
          <w:rFonts w:cs="Arial"/>
          <w:szCs w:val="24"/>
        </w:rPr>
        <w:t xml:space="preserve">, R. and </w:t>
      </w:r>
      <w:proofErr w:type="spellStart"/>
      <w:r w:rsidRPr="009735E9">
        <w:rPr>
          <w:rFonts w:cs="Arial"/>
          <w:szCs w:val="24"/>
        </w:rPr>
        <w:t>Abidin</w:t>
      </w:r>
      <w:proofErr w:type="spellEnd"/>
      <w:r w:rsidRPr="009735E9">
        <w:rPr>
          <w:rFonts w:cs="Arial"/>
          <w:szCs w:val="24"/>
        </w:rPr>
        <w:t>, M.Z., 2021. Inherent safety impact in complying process safety regulations and reducing human error. In </w:t>
      </w:r>
      <w:r w:rsidRPr="009735E9">
        <w:rPr>
          <w:rFonts w:cs="Arial"/>
          <w:i/>
          <w:iCs/>
          <w:szCs w:val="24"/>
        </w:rPr>
        <w:t>Process Safety Management and Human Factors</w:t>
      </w:r>
      <w:r w:rsidRPr="009735E9">
        <w:rPr>
          <w:rFonts w:cs="Arial"/>
          <w:szCs w:val="24"/>
        </w:rPr>
        <w:t> (pp. 73-87). Butterworth-Heinemann.</w:t>
      </w:r>
    </w:p>
    <w:p w14:paraId="559EB919" w14:textId="77777777" w:rsidR="00AF6A2B" w:rsidRPr="009735E9" w:rsidRDefault="00AF6A2B" w:rsidP="00AF6A2B">
      <w:pPr>
        <w:spacing w:line="360" w:lineRule="auto"/>
        <w:rPr>
          <w:rFonts w:cs="Arial"/>
          <w:szCs w:val="24"/>
        </w:rPr>
      </w:pPr>
      <w:proofErr w:type="spellStart"/>
      <w:r w:rsidRPr="009735E9">
        <w:rPr>
          <w:rFonts w:cs="Arial"/>
          <w:szCs w:val="24"/>
        </w:rPr>
        <w:t>Saura</w:t>
      </w:r>
      <w:proofErr w:type="spellEnd"/>
      <w:r w:rsidRPr="009735E9">
        <w:rPr>
          <w:rFonts w:cs="Arial"/>
          <w:szCs w:val="24"/>
        </w:rPr>
        <w:t>, J.R., Palos-Sanchez, P.R. and Correia, M.B., 2019. Digital marketing strategies based on the e-business model: Literature review and future directions. </w:t>
      </w:r>
      <w:r w:rsidRPr="009735E9">
        <w:rPr>
          <w:rFonts w:cs="Arial"/>
          <w:i/>
          <w:iCs/>
          <w:szCs w:val="24"/>
        </w:rPr>
        <w:t>Organizational transformation and managing innovation in the fourth industrial revolution</w:t>
      </w:r>
      <w:r w:rsidRPr="009735E9">
        <w:rPr>
          <w:rFonts w:cs="Arial"/>
          <w:szCs w:val="24"/>
        </w:rPr>
        <w:t>, pp.86-103.</w:t>
      </w:r>
    </w:p>
    <w:p w14:paraId="452FE2C0" w14:textId="77777777" w:rsidR="00AF6A2B" w:rsidRPr="009735E9" w:rsidRDefault="00AF6A2B" w:rsidP="00AF6A2B">
      <w:pPr>
        <w:spacing w:line="360" w:lineRule="auto"/>
        <w:rPr>
          <w:rFonts w:cs="Arial"/>
          <w:szCs w:val="24"/>
        </w:rPr>
      </w:pPr>
      <w:proofErr w:type="spellStart"/>
      <w:r w:rsidRPr="009735E9">
        <w:rPr>
          <w:rFonts w:cs="Arial"/>
          <w:szCs w:val="24"/>
        </w:rPr>
        <w:t>Shanker</w:t>
      </w:r>
      <w:proofErr w:type="spellEnd"/>
      <w:r w:rsidRPr="009735E9">
        <w:rPr>
          <w:rFonts w:cs="Arial"/>
          <w:szCs w:val="24"/>
        </w:rPr>
        <w:t xml:space="preserve">, S., Sharma, H. and </w:t>
      </w:r>
      <w:proofErr w:type="spellStart"/>
      <w:r w:rsidRPr="009735E9">
        <w:rPr>
          <w:rFonts w:cs="Arial"/>
          <w:szCs w:val="24"/>
        </w:rPr>
        <w:t>Barve</w:t>
      </w:r>
      <w:proofErr w:type="spellEnd"/>
      <w:r w:rsidRPr="009735E9">
        <w:rPr>
          <w:rFonts w:cs="Arial"/>
          <w:szCs w:val="24"/>
        </w:rPr>
        <w:t>, A., 2021. Assessment of risks associated with third-party logistics in restaurant supply chain. </w:t>
      </w:r>
      <w:r w:rsidRPr="009735E9">
        <w:rPr>
          <w:rFonts w:cs="Arial"/>
          <w:i/>
          <w:iCs/>
          <w:szCs w:val="24"/>
        </w:rPr>
        <w:t>Benchmarking: An International Journal</w:t>
      </w:r>
      <w:r w:rsidRPr="009735E9">
        <w:rPr>
          <w:rFonts w:cs="Arial"/>
          <w:szCs w:val="24"/>
        </w:rPr>
        <w:t>, </w:t>
      </w:r>
      <w:r w:rsidRPr="009735E9">
        <w:rPr>
          <w:rFonts w:cs="Arial"/>
          <w:i/>
          <w:iCs/>
          <w:szCs w:val="24"/>
        </w:rPr>
        <w:t>28</w:t>
      </w:r>
      <w:r w:rsidRPr="009735E9">
        <w:rPr>
          <w:rFonts w:cs="Arial"/>
          <w:szCs w:val="24"/>
        </w:rPr>
        <w:t>(8), pp.2432-2464.</w:t>
      </w:r>
    </w:p>
    <w:p w14:paraId="591AC474" w14:textId="77777777" w:rsidR="00AF6A2B" w:rsidRPr="009735E9" w:rsidRDefault="00AF6A2B" w:rsidP="00AF6A2B">
      <w:pPr>
        <w:spacing w:line="360" w:lineRule="auto"/>
        <w:rPr>
          <w:rFonts w:cs="Arial"/>
          <w:szCs w:val="24"/>
        </w:rPr>
      </w:pPr>
      <w:proofErr w:type="spellStart"/>
      <w:r w:rsidRPr="009735E9">
        <w:rPr>
          <w:rFonts w:cs="Arial"/>
          <w:szCs w:val="24"/>
        </w:rPr>
        <w:t>Viglia</w:t>
      </w:r>
      <w:proofErr w:type="spellEnd"/>
      <w:r w:rsidRPr="009735E9">
        <w:rPr>
          <w:rFonts w:cs="Arial"/>
          <w:szCs w:val="24"/>
        </w:rPr>
        <w:t xml:space="preserve">, G. and </w:t>
      </w:r>
      <w:proofErr w:type="spellStart"/>
      <w:r w:rsidRPr="009735E9">
        <w:rPr>
          <w:rFonts w:cs="Arial"/>
          <w:szCs w:val="24"/>
        </w:rPr>
        <w:t>Abrate</w:t>
      </w:r>
      <w:proofErr w:type="spellEnd"/>
      <w:r w:rsidRPr="009735E9">
        <w:rPr>
          <w:rFonts w:cs="Arial"/>
          <w:szCs w:val="24"/>
        </w:rPr>
        <w:t>, G., 2020. Revenue and yield management: a perspective article. </w:t>
      </w:r>
      <w:r w:rsidRPr="009735E9">
        <w:rPr>
          <w:rFonts w:cs="Arial"/>
          <w:i/>
          <w:iCs/>
          <w:szCs w:val="24"/>
        </w:rPr>
        <w:t>Tourism Review</w:t>
      </w:r>
      <w:r w:rsidRPr="009735E9">
        <w:rPr>
          <w:rFonts w:cs="Arial"/>
          <w:szCs w:val="24"/>
        </w:rPr>
        <w:t>, </w:t>
      </w:r>
      <w:r w:rsidRPr="009735E9">
        <w:rPr>
          <w:rFonts w:cs="Arial"/>
          <w:i/>
          <w:iCs/>
          <w:szCs w:val="24"/>
        </w:rPr>
        <w:t>75</w:t>
      </w:r>
      <w:r w:rsidRPr="009735E9">
        <w:rPr>
          <w:rFonts w:cs="Arial"/>
          <w:szCs w:val="24"/>
        </w:rPr>
        <w:t>(1), pp.294-298.</w:t>
      </w:r>
    </w:p>
    <w:p w14:paraId="72EF74C6" w14:textId="77777777" w:rsidR="00AF6A2B" w:rsidRPr="009735E9" w:rsidRDefault="00AF6A2B" w:rsidP="00AF6A2B">
      <w:pPr>
        <w:suppressAutoHyphens/>
        <w:autoSpaceDN w:val="0"/>
        <w:spacing w:before="100" w:after="100" w:line="360" w:lineRule="auto"/>
        <w:rPr>
          <w:rFonts w:cs="Arial"/>
          <w:szCs w:val="24"/>
        </w:rPr>
      </w:pPr>
      <w:r w:rsidRPr="009735E9">
        <w:rPr>
          <w:rFonts w:cs="Arial"/>
          <w:color w:val="222222"/>
          <w:szCs w:val="24"/>
          <w:shd w:val="clear" w:color="auto" w:fill="FFFFFF"/>
        </w:rPr>
        <w:t>Winters, D.R., 2021. Pop-Ups and the Pandemic: Is That Delicious “Pop-Up” Restaurant Legal</w:t>
      </w:r>
      <w:proofErr w:type="gramStart"/>
      <w:r w:rsidRPr="009735E9">
        <w:rPr>
          <w:rFonts w:cs="Arial"/>
          <w:color w:val="222222"/>
          <w:szCs w:val="24"/>
          <w:shd w:val="clear" w:color="auto" w:fill="FFFFFF"/>
        </w:rPr>
        <w:t>?.</w:t>
      </w:r>
      <w:proofErr w:type="gramEnd"/>
      <w:r w:rsidRPr="009735E9">
        <w:rPr>
          <w:rFonts w:cs="Arial"/>
          <w:color w:val="222222"/>
          <w:szCs w:val="24"/>
          <w:shd w:val="clear" w:color="auto" w:fill="FFFFFF"/>
        </w:rPr>
        <w:t> </w:t>
      </w:r>
      <w:proofErr w:type="spellStart"/>
      <w:r w:rsidRPr="009735E9">
        <w:rPr>
          <w:rFonts w:cs="Arial"/>
          <w:i/>
          <w:iCs/>
          <w:color w:val="222222"/>
          <w:szCs w:val="24"/>
          <w:shd w:val="clear" w:color="auto" w:fill="FFFFFF"/>
        </w:rPr>
        <w:t>Scitech</w:t>
      </w:r>
      <w:proofErr w:type="spellEnd"/>
      <w:r w:rsidRPr="009735E9">
        <w:rPr>
          <w:rFonts w:cs="Arial"/>
          <w:i/>
          <w:iCs/>
          <w:color w:val="222222"/>
          <w:szCs w:val="24"/>
          <w:shd w:val="clear" w:color="auto" w:fill="FFFFFF"/>
        </w:rPr>
        <w:t xml:space="preserve"> Lawyer</w:t>
      </w:r>
      <w:r w:rsidRPr="009735E9">
        <w:rPr>
          <w:rFonts w:cs="Arial"/>
          <w:color w:val="222222"/>
          <w:szCs w:val="24"/>
          <w:shd w:val="clear" w:color="auto" w:fill="FFFFFF"/>
        </w:rPr>
        <w:t>, </w:t>
      </w:r>
      <w:r w:rsidRPr="009735E9">
        <w:rPr>
          <w:rFonts w:cs="Arial"/>
          <w:i/>
          <w:iCs/>
          <w:color w:val="222222"/>
          <w:szCs w:val="24"/>
          <w:shd w:val="clear" w:color="auto" w:fill="FFFFFF"/>
        </w:rPr>
        <w:t>17</w:t>
      </w:r>
      <w:r w:rsidRPr="009735E9">
        <w:rPr>
          <w:rFonts w:cs="Arial"/>
          <w:color w:val="222222"/>
          <w:szCs w:val="24"/>
          <w:shd w:val="clear" w:color="auto" w:fill="FFFFFF"/>
        </w:rPr>
        <w:t>(4), pp.18-21.</w:t>
      </w:r>
    </w:p>
    <w:p w14:paraId="6F6D868C" w14:textId="77777777" w:rsidR="00AF6A2B" w:rsidRPr="00AF6A2B" w:rsidRDefault="00AF6A2B" w:rsidP="00AF6A2B"/>
    <w:p w14:paraId="7FE12EFD" w14:textId="77777777" w:rsidR="0090092A" w:rsidRDefault="0090092A" w:rsidP="00326AA3">
      <w:pPr>
        <w:spacing w:line="360" w:lineRule="auto"/>
        <w:rPr>
          <w:rFonts w:asciiTheme="majorHAnsi" w:eastAsiaTheme="majorEastAsia" w:hAnsiTheme="majorHAnsi" w:cstheme="majorBidi"/>
          <w:color w:val="365F91" w:themeColor="accent1" w:themeShade="BF"/>
          <w:sz w:val="32"/>
          <w:szCs w:val="32"/>
        </w:rPr>
      </w:pPr>
      <w:r>
        <w:br w:type="page"/>
      </w:r>
    </w:p>
    <w:p w14:paraId="583B36EB" w14:textId="7CD48AC1" w:rsidR="0090092A" w:rsidRPr="009735E9" w:rsidRDefault="0090092A" w:rsidP="00326AA3">
      <w:pPr>
        <w:pStyle w:val="Heading1"/>
        <w:spacing w:line="360" w:lineRule="auto"/>
        <w:rPr>
          <w:rFonts w:ascii="Arial" w:hAnsi="Arial" w:cs="Arial"/>
        </w:rPr>
      </w:pPr>
      <w:bookmarkStart w:id="20" w:name="_Toc132128859"/>
      <w:r w:rsidRPr="009735E9">
        <w:rPr>
          <w:rFonts w:ascii="Arial" w:hAnsi="Arial" w:cs="Arial"/>
        </w:rPr>
        <w:lastRenderedPageBreak/>
        <w:t>Appendix</w:t>
      </w:r>
      <w:bookmarkEnd w:id="20"/>
      <w:r w:rsidRPr="009735E9">
        <w:rPr>
          <w:rFonts w:ascii="Arial" w:hAnsi="Arial" w:cs="Arial"/>
        </w:rPr>
        <w:t xml:space="preserve"> </w:t>
      </w:r>
    </w:p>
    <w:p w14:paraId="00DC0F38" w14:textId="28CA306C" w:rsidR="0090092A" w:rsidRPr="009735E9" w:rsidRDefault="0090092A" w:rsidP="00326AA3">
      <w:pPr>
        <w:pStyle w:val="Heading2"/>
        <w:spacing w:line="360" w:lineRule="auto"/>
        <w:rPr>
          <w:rFonts w:ascii="Arial" w:hAnsi="Arial" w:cs="Arial"/>
        </w:rPr>
      </w:pPr>
      <w:bookmarkStart w:id="21" w:name="_Toc132128860"/>
      <w:r w:rsidRPr="009735E9">
        <w:rPr>
          <w:rFonts w:ascii="Arial" w:hAnsi="Arial" w:cs="Arial"/>
        </w:rPr>
        <w:t>Risk assessment plan</w:t>
      </w:r>
      <w:bookmarkEnd w:id="21"/>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1854"/>
        <w:gridCol w:w="1280"/>
        <w:gridCol w:w="934"/>
        <w:gridCol w:w="1014"/>
        <w:gridCol w:w="4713"/>
      </w:tblGrid>
      <w:tr w:rsidR="0090092A" w:rsidRPr="0090092A" w14:paraId="2C7BD6F8" w14:textId="77777777" w:rsidTr="0090092A">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FFFFF" w:themeFill="background1"/>
            <w:vAlign w:val="bottom"/>
            <w:hideMark/>
          </w:tcPr>
          <w:p w14:paraId="29ABB837" w14:textId="77777777" w:rsidR="0090092A" w:rsidRPr="0090092A" w:rsidRDefault="0090092A" w:rsidP="00326AA3">
            <w:pPr>
              <w:spacing w:line="360" w:lineRule="auto"/>
              <w:rPr>
                <w:b/>
                <w:bCs/>
              </w:rPr>
            </w:pPr>
            <w:r w:rsidRPr="0090092A">
              <w:rPr>
                <w:b/>
                <w:bCs/>
              </w:rPr>
              <w:t>Risk</w:t>
            </w:r>
          </w:p>
        </w:tc>
        <w:tc>
          <w:tcPr>
            <w:tcW w:w="0" w:type="auto"/>
            <w:tcBorders>
              <w:top w:val="single" w:sz="6" w:space="0" w:color="D9D9E3"/>
              <w:left w:val="single" w:sz="6" w:space="0" w:color="D9D9E3"/>
              <w:bottom w:val="single" w:sz="6" w:space="0" w:color="D9D9E3"/>
              <w:right w:val="single" w:sz="2" w:space="0" w:color="D9D9E3"/>
            </w:tcBorders>
            <w:shd w:val="clear" w:color="auto" w:fill="FFFFFF" w:themeFill="background1"/>
            <w:vAlign w:val="bottom"/>
            <w:hideMark/>
          </w:tcPr>
          <w:p w14:paraId="3BC6D90B" w14:textId="77777777" w:rsidR="0090092A" w:rsidRPr="0090092A" w:rsidRDefault="0090092A" w:rsidP="00326AA3">
            <w:pPr>
              <w:spacing w:line="360" w:lineRule="auto"/>
              <w:rPr>
                <w:b/>
                <w:bCs/>
              </w:rPr>
            </w:pPr>
            <w:r w:rsidRPr="0090092A">
              <w:rPr>
                <w:b/>
                <w:bCs/>
              </w:rPr>
              <w:t>Likelihood</w:t>
            </w:r>
          </w:p>
        </w:tc>
        <w:tc>
          <w:tcPr>
            <w:tcW w:w="0" w:type="auto"/>
            <w:tcBorders>
              <w:top w:val="single" w:sz="6" w:space="0" w:color="D9D9E3"/>
              <w:left w:val="single" w:sz="6" w:space="0" w:color="D9D9E3"/>
              <w:bottom w:val="single" w:sz="6" w:space="0" w:color="D9D9E3"/>
              <w:right w:val="single" w:sz="2" w:space="0" w:color="D9D9E3"/>
            </w:tcBorders>
            <w:shd w:val="clear" w:color="auto" w:fill="FFFFFF" w:themeFill="background1"/>
            <w:vAlign w:val="bottom"/>
            <w:hideMark/>
          </w:tcPr>
          <w:p w14:paraId="56814446" w14:textId="77777777" w:rsidR="0090092A" w:rsidRPr="0090092A" w:rsidRDefault="0090092A" w:rsidP="00326AA3">
            <w:pPr>
              <w:spacing w:line="360" w:lineRule="auto"/>
              <w:rPr>
                <w:b/>
                <w:bCs/>
              </w:rPr>
            </w:pPr>
            <w:r w:rsidRPr="0090092A">
              <w:rPr>
                <w:b/>
                <w:bCs/>
              </w:rPr>
              <w:t>Impact</w:t>
            </w:r>
          </w:p>
        </w:tc>
        <w:tc>
          <w:tcPr>
            <w:tcW w:w="0" w:type="auto"/>
            <w:tcBorders>
              <w:top w:val="single" w:sz="6" w:space="0" w:color="D9D9E3"/>
              <w:left w:val="single" w:sz="6" w:space="0" w:color="D9D9E3"/>
              <w:bottom w:val="single" w:sz="6" w:space="0" w:color="D9D9E3"/>
              <w:right w:val="single" w:sz="2" w:space="0" w:color="D9D9E3"/>
            </w:tcBorders>
            <w:shd w:val="clear" w:color="auto" w:fill="FFFFFF" w:themeFill="background1"/>
            <w:vAlign w:val="bottom"/>
            <w:hideMark/>
          </w:tcPr>
          <w:p w14:paraId="382523FF" w14:textId="77777777" w:rsidR="0090092A" w:rsidRPr="0090092A" w:rsidRDefault="0090092A" w:rsidP="00326AA3">
            <w:pPr>
              <w:spacing w:line="360" w:lineRule="auto"/>
              <w:rPr>
                <w:b/>
                <w:bCs/>
              </w:rPr>
            </w:pPr>
            <w:r w:rsidRPr="0090092A">
              <w:rPr>
                <w:b/>
                <w:bCs/>
              </w:rPr>
              <w:t>Severity</w:t>
            </w:r>
          </w:p>
        </w:tc>
        <w:tc>
          <w:tcPr>
            <w:tcW w:w="0" w:type="auto"/>
            <w:tcBorders>
              <w:top w:val="single" w:sz="6" w:space="0" w:color="D9D9E3"/>
              <w:left w:val="single" w:sz="6" w:space="0" w:color="D9D9E3"/>
              <w:bottom w:val="single" w:sz="6" w:space="0" w:color="D9D9E3"/>
              <w:right w:val="single" w:sz="6" w:space="0" w:color="D9D9E3"/>
            </w:tcBorders>
            <w:shd w:val="clear" w:color="auto" w:fill="FFFFFF" w:themeFill="background1"/>
            <w:vAlign w:val="bottom"/>
            <w:hideMark/>
          </w:tcPr>
          <w:p w14:paraId="03E2BD11" w14:textId="77777777" w:rsidR="0090092A" w:rsidRPr="0090092A" w:rsidRDefault="0090092A" w:rsidP="00326AA3">
            <w:pPr>
              <w:spacing w:line="360" w:lineRule="auto"/>
              <w:rPr>
                <w:b/>
                <w:bCs/>
              </w:rPr>
            </w:pPr>
            <w:r w:rsidRPr="0090092A">
              <w:rPr>
                <w:b/>
                <w:bCs/>
              </w:rPr>
              <w:t>Risk Mitigation</w:t>
            </w:r>
          </w:p>
        </w:tc>
      </w:tr>
      <w:tr w:rsidR="0090092A" w:rsidRPr="0090092A" w14:paraId="2C964C1B" w14:textId="77777777" w:rsidTr="00537FA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25F2BEDD" w14:textId="77777777" w:rsidR="0090092A" w:rsidRPr="0090092A" w:rsidRDefault="0090092A" w:rsidP="00537FA2">
            <w:pPr>
              <w:spacing w:line="360" w:lineRule="auto"/>
              <w:jc w:val="center"/>
            </w:pPr>
            <w:r w:rsidRPr="0090092A">
              <w:t>Financial Risk - Rent and Utilities</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6C90E4CC" w14:textId="77777777" w:rsidR="0090092A" w:rsidRPr="0090092A" w:rsidRDefault="0090092A" w:rsidP="00537FA2">
            <w:pPr>
              <w:spacing w:line="360" w:lineRule="auto"/>
              <w:jc w:val="center"/>
            </w:pPr>
            <w:r w:rsidRPr="0090092A">
              <w:t>High</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0DA64F03" w14:textId="77777777" w:rsidR="0090092A" w:rsidRPr="0090092A" w:rsidRDefault="0090092A" w:rsidP="00537FA2">
            <w:pPr>
              <w:spacing w:line="360" w:lineRule="auto"/>
              <w:jc w:val="center"/>
            </w:pPr>
            <w:r w:rsidRPr="0090092A">
              <w:t>High</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4031E4F4" w14:textId="77777777" w:rsidR="0090092A" w:rsidRPr="0090092A" w:rsidRDefault="0090092A" w:rsidP="00537FA2">
            <w:pPr>
              <w:spacing w:line="360" w:lineRule="auto"/>
              <w:jc w:val="center"/>
            </w:pPr>
            <w:r w:rsidRPr="0090092A">
              <w:t>High</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55294DB0" w14:textId="2A82139B" w:rsidR="0090092A" w:rsidRPr="0090092A" w:rsidRDefault="00D659C1" w:rsidP="00326AA3">
            <w:pPr>
              <w:spacing w:line="360" w:lineRule="auto"/>
            </w:pPr>
            <w:r w:rsidRPr="00D659C1">
              <w:t>The business plan includes a budget for rent, gas/electricity, and water expenses for a three-month period. To prevent any disruptions, keep a watchful eye on costs and make sure rent and utilities are paid on time.</w:t>
            </w:r>
          </w:p>
        </w:tc>
      </w:tr>
      <w:tr w:rsidR="0090092A" w:rsidRPr="0090092A" w14:paraId="068861E4" w14:textId="77777777" w:rsidTr="00537FA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1CF26241" w14:textId="77777777" w:rsidR="0090092A" w:rsidRPr="0090092A" w:rsidRDefault="0090092A" w:rsidP="00537FA2">
            <w:pPr>
              <w:spacing w:line="360" w:lineRule="auto"/>
              <w:jc w:val="center"/>
            </w:pPr>
            <w:r w:rsidRPr="0090092A">
              <w:t>Location Risk - Competition</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19B0252B" w14:textId="77777777" w:rsidR="0090092A" w:rsidRPr="0090092A" w:rsidRDefault="0090092A" w:rsidP="00537FA2">
            <w:pPr>
              <w:spacing w:line="360" w:lineRule="auto"/>
              <w:jc w:val="center"/>
            </w:pPr>
            <w:r w:rsidRPr="0090092A">
              <w:t>Medium</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158E9606" w14:textId="77777777" w:rsidR="0090092A" w:rsidRPr="0090092A" w:rsidRDefault="0090092A" w:rsidP="00537FA2">
            <w:pPr>
              <w:spacing w:line="360" w:lineRule="auto"/>
              <w:jc w:val="center"/>
            </w:pPr>
            <w:r w:rsidRPr="0090092A">
              <w:t>High</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1A1E2EE3" w14:textId="77777777" w:rsidR="0090092A" w:rsidRPr="0090092A" w:rsidRDefault="0090092A" w:rsidP="00537FA2">
            <w:pPr>
              <w:spacing w:line="360" w:lineRule="auto"/>
              <w:jc w:val="center"/>
            </w:pPr>
            <w:r w:rsidRPr="0090092A">
              <w:t>High</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39CAA005" w14:textId="77777777" w:rsidR="0090092A" w:rsidRDefault="00D659C1" w:rsidP="00326AA3">
            <w:pPr>
              <w:spacing w:line="360" w:lineRule="auto"/>
            </w:pPr>
            <w:r w:rsidRPr="00D659C1">
              <w:t>Perform market research to evaluate the local competitors and develop marketing plans as necessary. To draw clients, provide special and alluring discounts or promotions.</w:t>
            </w:r>
          </w:p>
          <w:p w14:paraId="12F9719D" w14:textId="7E1D42D5" w:rsidR="00537FA2" w:rsidRPr="0090092A" w:rsidRDefault="00537FA2" w:rsidP="00326AA3">
            <w:pPr>
              <w:spacing w:line="360" w:lineRule="auto"/>
            </w:pPr>
          </w:p>
        </w:tc>
      </w:tr>
      <w:tr w:rsidR="0090092A" w:rsidRPr="0090092A" w14:paraId="50D3AA68" w14:textId="77777777" w:rsidTr="00537FA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392010BD" w14:textId="77777777" w:rsidR="0090092A" w:rsidRPr="0090092A" w:rsidRDefault="0090092A" w:rsidP="00537FA2">
            <w:pPr>
              <w:spacing w:line="360" w:lineRule="auto"/>
              <w:jc w:val="center"/>
            </w:pPr>
            <w:r w:rsidRPr="0090092A">
              <w:t>Operational Risk - Staffing</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1E2F033F" w14:textId="77777777" w:rsidR="0090092A" w:rsidRPr="0090092A" w:rsidRDefault="0090092A" w:rsidP="00537FA2">
            <w:pPr>
              <w:spacing w:line="360" w:lineRule="auto"/>
              <w:jc w:val="center"/>
            </w:pPr>
            <w:r w:rsidRPr="0090092A">
              <w:t>Medium</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0C9C4089" w14:textId="77777777" w:rsidR="0090092A" w:rsidRPr="0090092A" w:rsidRDefault="0090092A" w:rsidP="00537FA2">
            <w:pPr>
              <w:spacing w:line="360" w:lineRule="auto"/>
              <w:jc w:val="center"/>
            </w:pPr>
            <w:r w:rsidRPr="0090092A">
              <w:t>Medium</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61648788" w14:textId="77777777" w:rsidR="0090092A" w:rsidRPr="0090092A" w:rsidRDefault="0090092A" w:rsidP="00537FA2">
            <w:pPr>
              <w:spacing w:line="360" w:lineRule="auto"/>
              <w:jc w:val="center"/>
            </w:pPr>
            <w:r w:rsidRPr="0090092A">
              <w:t>Medium</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2D69A893" w14:textId="77777777" w:rsidR="0090092A" w:rsidRDefault="00D659C1" w:rsidP="00326AA3">
            <w:pPr>
              <w:spacing w:line="360" w:lineRule="auto"/>
            </w:pPr>
            <w:r w:rsidRPr="00D659C1">
              <w:t>For the restaurant to run well, hire and train a necessary number of employees. Prepare contingency strategies, such as hiring temporary workers or cross-training existing employees, for any unanticipated staffing difficulties.</w:t>
            </w:r>
          </w:p>
          <w:p w14:paraId="68B05C59" w14:textId="142DCD0E" w:rsidR="00537FA2" w:rsidRPr="0090092A" w:rsidRDefault="00537FA2" w:rsidP="00326AA3">
            <w:pPr>
              <w:spacing w:line="360" w:lineRule="auto"/>
            </w:pPr>
          </w:p>
        </w:tc>
      </w:tr>
      <w:tr w:rsidR="0090092A" w:rsidRPr="0090092A" w14:paraId="0BA685C3" w14:textId="77777777" w:rsidTr="00537FA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633D3D15" w14:textId="77777777" w:rsidR="0090092A" w:rsidRPr="0090092A" w:rsidRDefault="0090092A" w:rsidP="00537FA2">
            <w:pPr>
              <w:spacing w:line="360" w:lineRule="auto"/>
              <w:jc w:val="center"/>
            </w:pPr>
            <w:r w:rsidRPr="0090092A">
              <w:t>Health and Safety Risk - Compliance</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3F5D3EA6" w14:textId="77777777" w:rsidR="0090092A" w:rsidRPr="0090092A" w:rsidRDefault="0090092A" w:rsidP="00537FA2">
            <w:pPr>
              <w:spacing w:line="360" w:lineRule="auto"/>
              <w:jc w:val="center"/>
            </w:pPr>
            <w:r w:rsidRPr="0090092A">
              <w:t>High</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77392EFB" w14:textId="77777777" w:rsidR="0090092A" w:rsidRPr="0090092A" w:rsidRDefault="0090092A" w:rsidP="00537FA2">
            <w:pPr>
              <w:spacing w:line="360" w:lineRule="auto"/>
              <w:jc w:val="center"/>
            </w:pPr>
            <w:r w:rsidRPr="0090092A">
              <w:t>High</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67CC5ABA" w14:textId="77777777" w:rsidR="0090092A" w:rsidRPr="0090092A" w:rsidRDefault="0090092A" w:rsidP="00537FA2">
            <w:pPr>
              <w:spacing w:line="360" w:lineRule="auto"/>
              <w:jc w:val="center"/>
            </w:pPr>
            <w:r w:rsidRPr="0090092A">
              <w:t>High</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25C1820A" w14:textId="09AFD039" w:rsidR="0090092A" w:rsidRPr="0090092A" w:rsidRDefault="00D659C1" w:rsidP="00326AA3">
            <w:pPr>
              <w:spacing w:line="360" w:lineRule="auto"/>
            </w:pPr>
            <w:r w:rsidRPr="00D659C1">
              <w:t xml:space="preserve">Make that all health and safety rules are followed, particularly those pertaining to fire safety, food safety and cleanliness, and accessibility standards. Make sure all </w:t>
            </w:r>
            <w:r w:rsidRPr="00D659C1">
              <w:lastRenderedPageBreak/>
              <w:t>portions of the property are regularly inspected and maintained to the required standards.</w:t>
            </w:r>
          </w:p>
        </w:tc>
      </w:tr>
      <w:tr w:rsidR="0090092A" w:rsidRPr="0090092A" w14:paraId="34F162DF" w14:textId="77777777" w:rsidTr="00537FA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0E66524D" w14:textId="77777777" w:rsidR="0090092A" w:rsidRPr="0090092A" w:rsidRDefault="0090092A" w:rsidP="00537FA2">
            <w:pPr>
              <w:spacing w:line="360" w:lineRule="auto"/>
              <w:jc w:val="center"/>
            </w:pPr>
            <w:r w:rsidRPr="0090092A">
              <w:lastRenderedPageBreak/>
              <w:t>Reputation Risk - Customer Reviews</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066FF9E4" w14:textId="77777777" w:rsidR="0090092A" w:rsidRPr="0090092A" w:rsidRDefault="0090092A" w:rsidP="00537FA2">
            <w:pPr>
              <w:spacing w:line="360" w:lineRule="auto"/>
              <w:jc w:val="center"/>
            </w:pPr>
            <w:r w:rsidRPr="0090092A">
              <w:t>High</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10D24FDC" w14:textId="77777777" w:rsidR="0090092A" w:rsidRPr="0090092A" w:rsidRDefault="0090092A" w:rsidP="00537FA2">
            <w:pPr>
              <w:spacing w:line="360" w:lineRule="auto"/>
              <w:jc w:val="center"/>
            </w:pPr>
            <w:r w:rsidRPr="0090092A">
              <w:t>High</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6F4E6EF4" w14:textId="77777777" w:rsidR="0090092A" w:rsidRPr="0090092A" w:rsidRDefault="0090092A" w:rsidP="00537FA2">
            <w:pPr>
              <w:spacing w:line="360" w:lineRule="auto"/>
              <w:jc w:val="center"/>
            </w:pPr>
            <w:r w:rsidRPr="0090092A">
              <w:t>High</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2F038426" w14:textId="6D844B0E" w:rsidR="0090092A" w:rsidRPr="0090092A" w:rsidRDefault="00D659C1" w:rsidP="00326AA3">
            <w:pPr>
              <w:spacing w:line="360" w:lineRule="auto"/>
            </w:pPr>
            <w:r w:rsidRPr="00D659C1">
              <w:t xml:space="preserve">To get </w:t>
            </w:r>
            <w:r w:rsidR="00913B37" w:rsidRPr="00D659C1">
              <w:t>favorable</w:t>
            </w:r>
            <w:r w:rsidRPr="00D659C1">
              <w:t xml:space="preserve"> ratings and have a good reputation, offer top-notch customer service. Keep an eye on internet reviews and feedback and reply right away. Customer complaints should be handled properly, and the appropriate action should be taken to fix them.</w:t>
            </w:r>
          </w:p>
        </w:tc>
      </w:tr>
      <w:tr w:rsidR="0090092A" w:rsidRPr="0090092A" w14:paraId="3A8F5FE3" w14:textId="77777777" w:rsidTr="00537FA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60202E78" w14:textId="77777777" w:rsidR="0090092A" w:rsidRPr="0090092A" w:rsidRDefault="0090092A" w:rsidP="00537FA2">
            <w:pPr>
              <w:spacing w:line="360" w:lineRule="auto"/>
              <w:jc w:val="center"/>
            </w:pPr>
            <w:r w:rsidRPr="0090092A">
              <w:t>Marketing and Promotion Risk - Brand Awareness</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4DA390D4" w14:textId="77777777" w:rsidR="0090092A" w:rsidRPr="0090092A" w:rsidRDefault="0090092A" w:rsidP="00537FA2">
            <w:pPr>
              <w:spacing w:line="360" w:lineRule="auto"/>
              <w:jc w:val="center"/>
            </w:pPr>
            <w:r w:rsidRPr="0090092A">
              <w:t>Medium</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16F7E9B0" w14:textId="77777777" w:rsidR="0090092A" w:rsidRPr="0090092A" w:rsidRDefault="0090092A" w:rsidP="00537FA2">
            <w:pPr>
              <w:spacing w:line="360" w:lineRule="auto"/>
              <w:jc w:val="center"/>
            </w:pPr>
            <w:r w:rsidRPr="0090092A">
              <w:t>Medium</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3FCCC227" w14:textId="77777777" w:rsidR="0090092A" w:rsidRPr="0090092A" w:rsidRDefault="0090092A" w:rsidP="00537FA2">
            <w:pPr>
              <w:spacing w:line="360" w:lineRule="auto"/>
              <w:jc w:val="center"/>
            </w:pPr>
            <w:r w:rsidRPr="0090092A">
              <w:t>Medium</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2D413B5E" w14:textId="232E57B5" w:rsidR="0090092A" w:rsidRPr="0090092A" w:rsidRDefault="00D659C1" w:rsidP="00326AA3">
            <w:pPr>
              <w:spacing w:line="360" w:lineRule="auto"/>
            </w:pPr>
            <w:r w:rsidRPr="00D659C1">
              <w:t>Create a thorough marketing and promotion strategy to raise brand recognition and draw in customers. Make good use of local advertising, online advertising, and social media.</w:t>
            </w:r>
          </w:p>
        </w:tc>
      </w:tr>
      <w:tr w:rsidR="0090092A" w:rsidRPr="0090092A" w14:paraId="1B6AE0CF" w14:textId="77777777" w:rsidTr="00537FA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295E6008" w14:textId="77777777" w:rsidR="0090092A" w:rsidRPr="0090092A" w:rsidRDefault="0090092A" w:rsidP="00537FA2">
            <w:pPr>
              <w:spacing w:line="360" w:lineRule="auto"/>
              <w:jc w:val="center"/>
            </w:pPr>
            <w:r w:rsidRPr="0090092A">
              <w:t>Food Supply and Quality Risk</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2496E135" w14:textId="77777777" w:rsidR="0090092A" w:rsidRPr="0090092A" w:rsidRDefault="0090092A" w:rsidP="00537FA2">
            <w:pPr>
              <w:spacing w:line="360" w:lineRule="auto"/>
              <w:jc w:val="center"/>
            </w:pPr>
            <w:r w:rsidRPr="0090092A">
              <w:t>Medium</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4B4A80F9" w14:textId="77777777" w:rsidR="0090092A" w:rsidRPr="0090092A" w:rsidRDefault="0090092A" w:rsidP="00537FA2">
            <w:pPr>
              <w:spacing w:line="360" w:lineRule="auto"/>
              <w:jc w:val="center"/>
            </w:pPr>
            <w:r w:rsidRPr="0090092A">
              <w:t>High</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0442BEAE" w14:textId="77777777" w:rsidR="0090092A" w:rsidRPr="0090092A" w:rsidRDefault="0090092A" w:rsidP="00537FA2">
            <w:pPr>
              <w:spacing w:line="360" w:lineRule="auto"/>
              <w:jc w:val="center"/>
            </w:pPr>
            <w:r w:rsidRPr="0090092A">
              <w:t>High</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0F99D41C" w14:textId="6A34D26D" w:rsidR="0090092A" w:rsidRPr="0090092A" w:rsidRDefault="00D659C1" w:rsidP="00326AA3">
            <w:pPr>
              <w:spacing w:line="360" w:lineRule="auto"/>
            </w:pPr>
            <w:r w:rsidRPr="00D659C1">
              <w:t>To guarantee that the restaurant has access to fresh and high-quality ingredients, establish trustworthy food supply networks. To preserve client pleasure, regularly check and monitor the food's quality.</w:t>
            </w:r>
          </w:p>
        </w:tc>
      </w:tr>
      <w:tr w:rsidR="0090092A" w:rsidRPr="0090092A" w14:paraId="2A14776F" w14:textId="77777777" w:rsidTr="00537FA2">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6E3F263C" w14:textId="77777777" w:rsidR="0090092A" w:rsidRPr="0090092A" w:rsidRDefault="0090092A" w:rsidP="00537FA2">
            <w:pPr>
              <w:spacing w:line="360" w:lineRule="auto"/>
              <w:jc w:val="center"/>
            </w:pPr>
            <w:r w:rsidRPr="0090092A">
              <w:t>COVID-19 Risk</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07AABF1E" w14:textId="77777777" w:rsidR="0090092A" w:rsidRPr="0090092A" w:rsidRDefault="0090092A" w:rsidP="00537FA2">
            <w:pPr>
              <w:spacing w:line="360" w:lineRule="auto"/>
              <w:jc w:val="center"/>
            </w:pPr>
            <w:r w:rsidRPr="0090092A">
              <w:t>High</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3C7283FE" w14:textId="77777777" w:rsidR="0090092A" w:rsidRPr="0090092A" w:rsidRDefault="0090092A" w:rsidP="00537FA2">
            <w:pPr>
              <w:spacing w:line="360" w:lineRule="auto"/>
              <w:jc w:val="center"/>
            </w:pPr>
            <w:r w:rsidRPr="0090092A">
              <w:t>High</w:t>
            </w:r>
          </w:p>
        </w:tc>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hideMark/>
          </w:tcPr>
          <w:p w14:paraId="103E738E" w14:textId="77777777" w:rsidR="0090092A" w:rsidRPr="0090092A" w:rsidRDefault="0090092A" w:rsidP="00537FA2">
            <w:pPr>
              <w:spacing w:line="360" w:lineRule="auto"/>
              <w:jc w:val="center"/>
            </w:pPr>
            <w:r w:rsidRPr="0090092A">
              <w:t>High</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46E3BE9D" w14:textId="71B8BC48" w:rsidR="0090092A" w:rsidRPr="0090092A" w:rsidRDefault="00D659C1" w:rsidP="00326AA3">
            <w:pPr>
              <w:spacing w:line="360" w:lineRule="auto"/>
            </w:pPr>
            <w:r w:rsidRPr="00D659C1">
              <w:t xml:space="preserve">Observe all COVID-19-related government directives and rules, including social seclusion, hygienic standards, and security precautions. Prepare backup preparations for any potential interruptions brought on </w:t>
            </w:r>
            <w:r w:rsidRPr="00D659C1">
              <w:lastRenderedPageBreak/>
              <w:t>b</w:t>
            </w:r>
            <w:r w:rsidR="00410709">
              <w:t>y shifting COVID-19 regulations.</w:t>
            </w:r>
          </w:p>
        </w:tc>
      </w:tr>
    </w:tbl>
    <w:p w14:paraId="6FB0770C" w14:textId="77777777" w:rsidR="0090092A" w:rsidRPr="0090092A" w:rsidRDefault="0090092A" w:rsidP="00326AA3">
      <w:pPr>
        <w:spacing w:line="360" w:lineRule="auto"/>
      </w:pPr>
    </w:p>
    <w:sectPr w:rsidR="0090092A" w:rsidRPr="0090092A" w:rsidSect="00C5088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DBEBB4" w14:textId="77777777" w:rsidR="00407EDD" w:rsidRDefault="00407EDD" w:rsidP="00F32320">
      <w:pPr>
        <w:spacing w:after="0" w:line="240" w:lineRule="auto"/>
      </w:pPr>
      <w:r>
        <w:separator/>
      </w:r>
    </w:p>
  </w:endnote>
  <w:endnote w:type="continuationSeparator" w:id="0">
    <w:p w14:paraId="0F74B0DB" w14:textId="77777777" w:rsidR="00407EDD" w:rsidRDefault="00407EDD" w:rsidP="00F32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0401658"/>
      <w:docPartObj>
        <w:docPartGallery w:val="Page Numbers (Bottom of Page)"/>
        <w:docPartUnique/>
      </w:docPartObj>
    </w:sdtPr>
    <w:sdtEndPr>
      <w:rPr>
        <w:noProof/>
      </w:rPr>
    </w:sdtEndPr>
    <w:sdtContent>
      <w:p w14:paraId="67BBAF2D" w14:textId="6EE9CFBE" w:rsidR="00DB7833" w:rsidRDefault="00DB7833">
        <w:pPr>
          <w:pStyle w:val="Footer"/>
          <w:jc w:val="right"/>
        </w:pPr>
        <w:r>
          <w:fldChar w:fldCharType="begin"/>
        </w:r>
        <w:r>
          <w:instrText xml:space="preserve"> PAGE   \* MERGEFORMAT </w:instrText>
        </w:r>
        <w:r>
          <w:fldChar w:fldCharType="separate"/>
        </w:r>
        <w:r w:rsidR="00C56198">
          <w:rPr>
            <w:noProof/>
          </w:rPr>
          <w:t>1</w:t>
        </w:r>
        <w:r>
          <w:rPr>
            <w:noProof/>
          </w:rPr>
          <w:fldChar w:fldCharType="end"/>
        </w:r>
      </w:p>
    </w:sdtContent>
  </w:sdt>
  <w:p w14:paraId="28D35024" w14:textId="77777777" w:rsidR="00DB7833" w:rsidRDefault="00DB78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0E938E" w14:textId="77777777" w:rsidR="00407EDD" w:rsidRDefault="00407EDD" w:rsidP="00F32320">
      <w:pPr>
        <w:spacing w:after="0" w:line="240" w:lineRule="auto"/>
      </w:pPr>
      <w:r>
        <w:separator/>
      </w:r>
    </w:p>
  </w:footnote>
  <w:footnote w:type="continuationSeparator" w:id="0">
    <w:p w14:paraId="1C44D091" w14:textId="77777777" w:rsidR="00407EDD" w:rsidRDefault="00407EDD" w:rsidP="00F323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91BD1"/>
    <w:multiLevelType w:val="multilevel"/>
    <w:tmpl w:val="C01EF91C"/>
    <w:lvl w:ilvl="0">
      <w:numFmt w:val="bullet"/>
      <w:lvlText w:val="o"/>
      <w:lvlJc w:val="left"/>
      <w:pPr>
        <w:ind w:left="800" w:hanging="360"/>
      </w:pPr>
      <w:rPr>
        <w:rFonts w:ascii="Courier New" w:hAnsi="Courier New" w:cs="Courier New"/>
      </w:rPr>
    </w:lvl>
    <w:lvl w:ilvl="1">
      <w:numFmt w:val="bullet"/>
      <w:lvlText w:val="o"/>
      <w:lvlJc w:val="left"/>
      <w:pPr>
        <w:ind w:left="1520" w:hanging="360"/>
      </w:pPr>
      <w:rPr>
        <w:rFonts w:ascii="Courier New" w:hAnsi="Courier New" w:cs="Courier New"/>
      </w:rPr>
    </w:lvl>
    <w:lvl w:ilvl="2">
      <w:numFmt w:val="bullet"/>
      <w:lvlText w:val=""/>
      <w:lvlJc w:val="left"/>
      <w:pPr>
        <w:ind w:left="2240" w:hanging="360"/>
      </w:pPr>
      <w:rPr>
        <w:rFonts w:ascii="Wingdings" w:hAnsi="Wingdings"/>
      </w:rPr>
    </w:lvl>
    <w:lvl w:ilvl="3">
      <w:numFmt w:val="bullet"/>
      <w:lvlText w:val=""/>
      <w:lvlJc w:val="left"/>
      <w:pPr>
        <w:ind w:left="2960" w:hanging="360"/>
      </w:pPr>
      <w:rPr>
        <w:rFonts w:ascii="Symbol" w:hAnsi="Symbol"/>
      </w:rPr>
    </w:lvl>
    <w:lvl w:ilvl="4">
      <w:numFmt w:val="bullet"/>
      <w:lvlText w:val="o"/>
      <w:lvlJc w:val="left"/>
      <w:pPr>
        <w:ind w:left="3680" w:hanging="360"/>
      </w:pPr>
      <w:rPr>
        <w:rFonts w:ascii="Courier New" w:hAnsi="Courier New" w:cs="Courier New"/>
      </w:rPr>
    </w:lvl>
    <w:lvl w:ilvl="5">
      <w:numFmt w:val="bullet"/>
      <w:lvlText w:val=""/>
      <w:lvlJc w:val="left"/>
      <w:pPr>
        <w:ind w:left="4400" w:hanging="360"/>
      </w:pPr>
      <w:rPr>
        <w:rFonts w:ascii="Wingdings" w:hAnsi="Wingdings"/>
      </w:rPr>
    </w:lvl>
    <w:lvl w:ilvl="6">
      <w:numFmt w:val="bullet"/>
      <w:lvlText w:val=""/>
      <w:lvlJc w:val="left"/>
      <w:pPr>
        <w:ind w:left="5120" w:hanging="360"/>
      </w:pPr>
      <w:rPr>
        <w:rFonts w:ascii="Symbol" w:hAnsi="Symbol"/>
      </w:rPr>
    </w:lvl>
    <w:lvl w:ilvl="7">
      <w:numFmt w:val="bullet"/>
      <w:lvlText w:val="o"/>
      <w:lvlJc w:val="left"/>
      <w:pPr>
        <w:ind w:left="5840" w:hanging="360"/>
      </w:pPr>
      <w:rPr>
        <w:rFonts w:ascii="Courier New" w:hAnsi="Courier New" w:cs="Courier New"/>
      </w:rPr>
    </w:lvl>
    <w:lvl w:ilvl="8">
      <w:numFmt w:val="bullet"/>
      <w:lvlText w:val=""/>
      <w:lvlJc w:val="left"/>
      <w:pPr>
        <w:ind w:left="6560" w:hanging="360"/>
      </w:pPr>
      <w:rPr>
        <w:rFonts w:ascii="Wingdings" w:hAnsi="Wingdings"/>
      </w:rPr>
    </w:lvl>
  </w:abstractNum>
  <w:abstractNum w:abstractNumId="1">
    <w:nsid w:val="09EA0BB6"/>
    <w:multiLevelType w:val="multilevel"/>
    <w:tmpl w:val="FE34C2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5A2D04"/>
    <w:multiLevelType w:val="multilevel"/>
    <w:tmpl w:val="FE34C2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9F6AE4"/>
    <w:multiLevelType w:val="multilevel"/>
    <w:tmpl w:val="E586E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592C2E"/>
    <w:multiLevelType w:val="multilevel"/>
    <w:tmpl w:val="126E761C"/>
    <w:lvl w:ilvl="0">
      <w:numFmt w:val="bullet"/>
      <w:lvlText w:val="o"/>
      <w:lvlJc w:val="left"/>
      <w:pPr>
        <w:ind w:left="720" w:hanging="360"/>
      </w:pPr>
      <w:rPr>
        <w:rFonts w:ascii="Courier New" w:hAnsi="Courier New"/>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nsid w:val="1D7D79DA"/>
    <w:multiLevelType w:val="multilevel"/>
    <w:tmpl w:val="FE34C2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6A37AEC"/>
    <w:multiLevelType w:val="multilevel"/>
    <w:tmpl w:val="FF1684E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7372525"/>
    <w:multiLevelType w:val="multilevel"/>
    <w:tmpl w:val="603696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A833070"/>
    <w:multiLevelType w:val="multilevel"/>
    <w:tmpl w:val="FE34C2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C016380"/>
    <w:multiLevelType w:val="multilevel"/>
    <w:tmpl w:val="FE34C2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43F0A68"/>
    <w:multiLevelType w:val="multilevel"/>
    <w:tmpl w:val="FE34C2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A203D4"/>
    <w:multiLevelType w:val="multilevel"/>
    <w:tmpl w:val="20304654"/>
    <w:lvl w:ilvl="0">
      <w:numFmt w:val="bullet"/>
      <w:lvlText w:val="o"/>
      <w:lvlJc w:val="left"/>
      <w:pPr>
        <w:ind w:left="720" w:hanging="360"/>
      </w:pPr>
      <w:rPr>
        <w:rFonts w:ascii="Courier New" w:hAnsi="Courier New"/>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nsid w:val="3B8465DA"/>
    <w:multiLevelType w:val="multilevel"/>
    <w:tmpl w:val="30628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3414BAE"/>
    <w:multiLevelType w:val="multilevel"/>
    <w:tmpl w:val="FE34C2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0008CE"/>
    <w:multiLevelType w:val="multilevel"/>
    <w:tmpl w:val="0C16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71006E4"/>
    <w:multiLevelType w:val="multilevel"/>
    <w:tmpl w:val="FE34C2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A764E00"/>
    <w:multiLevelType w:val="multilevel"/>
    <w:tmpl w:val="3ADC7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AE74F88"/>
    <w:multiLevelType w:val="multilevel"/>
    <w:tmpl w:val="C81A23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0133622"/>
    <w:multiLevelType w:val="multilevel"/>
    <w:tmpl w:val="DE46C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6814EC3"/>
    <w:multiLevelType w:val="multilevel"/>
    <w:tmpl w:val="C906A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71F7A6C"/>
    <w:multiLevelType w:val="multilevel"/>
    <w:tmpl w:val="93989CF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89B7876"/>
    <w:multiLevelType w:val="multilevel"/>
    <w:tmpl w:val="4E1C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AC50837"/>
    <w:multiLevelType w:val="multilevel"/>
    <w:tmpl w:val="B628D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32D73E2"/>
    <w:multiLevelType w:val="multilevel"/>
    <w:tmpl w:val="FE34C2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DA7FAD"/>
    <w:multiLevelType w:val="multilevel"/>
    <w:tmpl w:val="BB625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69A79C8"/>
    <w:multiLevelType w:val="multilevel"/>
    <w:tmpl w:val="FE34C2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87E71AA"/>
    <w:multiLevelType w:val="multilevel"/>
    <w:tmpl w:val="FE34C28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B2B1F3F"/>
    <w:multiLevelType w:val="multilevel"/>
    <w:tmpl w:val="D7E05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BD313D8"/>
    <w:multiLevelType w:val="multilevel"/>
    <w:tmpl w:val="FD3436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14"/>
  </w:num>
  <w:num w:numId="3">
    <w:abstractNumId w:val="28"/>
  </w:num>
  <w:num w:numId="4">
    <w:abstractNumId w:val="19"/>
  </w:num>
  <w:num w:numId="5">
    <w:abstractNumId w:val="7"/>
  </w:num>
  <w:num w:numId="6">
    <w:abstractNumId w:val="24"/>
  </w:num>
  <w:num w:numId="7">
    <w:abstractNumId w:val="17"/>
  </w:num>
  <w:num w:numId="8">
    <w:abstractNumId w:val="16"/>
  </w:num>
  <w:num w:numId="9">
    <w:abstractNumId w:val="20"/>
  </w:num>
  <w:num w:numId="10">
    <w:abstractNumId w:val="12"/>
  </w:num>
  <w:num w:numId="11">
    <w:abstractNumId w:val="6"/>
  </w:num>
  <w:num w:numId="12">
    <w:abstractNumId w:val="21"/>
  </w:num>
  <w:num w:numId="13">
    <w:abstractNumId w:val="27"/>
  </w:num>
  <w:num w:numId="14">
    <w:abstractNumId w:val="3"/>
  </w:num>
  <w:num w:numId="15">
    <w:abstractNumId w:val="25"/>
  </w:num>
  <w:num w:numId="16">
    <w:abstractNumId w:val="22"/>
  </w:num>
  <w:num w:numId="17">
    <w:abstractNumId w:val="2"/>
  </w:num>
  <w:num w:numId="18">
    <w:abstractNumId w:val="9"/>
  </w:num>
  <w:num w:numId="19">
    <w:abstractNumId w:val="5"/>
  </w:num>
  <w:num w:numId="20">
    <w:abstractNumId w:val="1"/>
  </w:num>
  <w:num w:numId="21">
    <w:abstractNumId w:val="15"/>
  </w:num>
  <w:num w:numId="22">
    <w:abstractNumId w:val="26"/>
  </w:num>
  <w:num w:numId="23">
    <w:abstractNumId w:val="13"/>
  </w:num>
  <w:num w:numId="24">
    <w:abstractNumId w:val="8"/>
  </w:num>
  <w:num w:numId="25">
    <w:abstractNumId w:val="23"/>
  </w:num>
  <w:num w:numId="26">
    <w:abstractNumId w:val="0"/>
  </w:num>
  <w:num w:numId="27">
    <w:abstractNumId w:val="4"/>
  </w:num>
  <w:num w:numId="28">
    <w:abstractNumId w:val="11"/>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219"/>
    <w:rsid w:val="00010646"/>
    <w:rsid w:val="000455B5"/>
    <w:rsid w:val="00067408"/>
    <w:rsid w:val="00084A6B"/>
    <w:rsid w:val="000A774D"/>
    <w:rsid w:val="000C3272"/>
    <w:rsid w:val="00163E8F"/>
    <w:rsid w:val="0016533E"/>
    <w:rsid w:val="001C2F60"/>
    <w:rsid w:val="001D13B0"/>
    <w:rsid w:val="002050FB"/>
    <w:rsid w:val="002216E1"/>
    <w:rsid w:val="00262A54"/>
    <w:rsid w:val="002B22C9"/>
    <w:rsid w:val="002C3008"/>
    <w:rsid w:val="00326AA3"/>
    <w:rsid w:val="00384239"/>
    <w:rsid w:val="00384B49"/>
    <w:rsid w:val="003A6679"/>
    <w:rsid w:val="003B17C8"/>
    <w:rsid w:val="0040144E"/>
    <w:rsid w:val="00407EDD"/>
    <w:rsid w:val="00410709"/>
    <w:rsid w:val="00496E25"/>
    <w:rsid w:val="004A57A7"/>
    <w:rsid w:val="004C1CB0"/>
    <w:rsid w:val="00537FA2"/>
    <w:rsid w:val="00597BFE"/>
    <w:rsid w:val="005A75C9"/>
    <w:rsid w:val="005B1958"/>
    <w:rsid w:val="005E5D53"/>
    <w:rsid w:val="00636C33"/>
    <w:rsid w:val="006441D8"/>
    <w:rsid w:val="006630DF"/>
    <w:rsid w:val="006905E8"/>
    <w:rsid w:val="006976BC"/>
    <w:rsid w:val="00710E8A"/>
    <w:rsid w:val="00811D29"/>
    <w:rsid w:val="00812620"/>
    <w:rsid w:val="0086657F"/>
    <w:rsid w:val="0090092A"/>
    <w:rsid w:val="00913B37"/>
    <w:rsid w:val="00944219"/>
    <w:rsid w:val="00944781"/>
    <w:rsid w:val="0097226B"/>
    <w:rsid w:val="009735E9"/>
    <w:rsid w:val="00984AA7"/>
    <w:rsid w:val="009F234E"/>
    <w:rsid w:val="00A279FE"/>
    <w:rsid w:val="00A46480"/>
    <w:rsid w:val="00AE73B6"/>
    <w:rsid w:val="00AF6A2B"/>
    <w:rsid w:val="00B0393C"/>
    <w:rsid w:val="00B1002E"/>
    <w:rsid w:val="00B65A06"/>
    <w:rsid w:val="00C00BE1"/>
    <w:rsid w:val="00C14BF2"/>
    <w:rsid w:val="00C15E8F"/>
    <w:rsid w:val="00C27492"/>
    <w:rsid w:val="00C35891"/>
    <w:rsid w:val="00C5088C"/>
    <w:rsid w:val="00C56198"/>
    <w:rsid w:val="00C72576"/>
    <w:rsid w:val="00CA5D30"/>
    <w:rsid w:val="00CC01F8"/>
    <w:rsid w:val="00CF3B26"/>
    <w:rsid w:val="00D35559"/>
    <w:rsid w:val="00D5674C"/>
    <w:rsid w:val="00D659C1"/>
    <w:rsid w:val="00DB7833"/>
    <w:rsid w:val="00DD3ED6"/>
    <w:rsid w:val="00EB1AB4"/>
    <w:rsid w:val="00EF0336"/>
    <w:rsid w:val="00F04A00"/>
    <w:rsid w:val="00F32320"/>
    <w:rsid w:val="00F60D9C"/>
    <w:rsid w:val="00F72186"/>
    <w:rsid w:val="00F921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B7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2159"/>
    <w:pPr>
      <w:jc w:val="both"/>
    </w:pPr>
    <w:rPr>
      <w:rFonts w:ascii="Arial" w:hAnsi="Arial"/>
      <w:sz w:val="24"/>
    </w:rPr>
  </w:style>
  <w:style w:type="paragraph" w:styleId="Heading1">
    <w:name w:val="heading 1"/>
    <w:basedOn w:val="Normal"/>
    <w:next w:val="Normal"/>
    <w:link w:val="Heading1Char"/>
    <w:uiPriority w:val="9"/>
    <w:qFormat/>
    <w:rsid w:val="0094421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630D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442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421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44219"/>
    <w:rPr>
      <w:rFonts w:asciiTheme="majorHAnsi" w:eastAsiaTheme="majorEastAsia" w:hAnsiTheme="majorHAnsi" w:cstheme="majorBidi"/>
      <w:color w:val="365F91" w:themeColor="accent1" w:themeShade="BF"/>
      <w:sz w:val="32"/>
      <w:szCs w:val="32"/>
    </w:rPr>
  </w:style>
  <w:style w:type="table" w:customStyle="1" w:styleId="ListTable4Accent3">
    <w:name w:val="List Table 4 Accent 3"/>
    <w:basedOn w:val="TableNormal"/>
    <w:uiPriority w:val="49"/>
    <w:rsid w:val="003B17C8"/>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Heading2Char">
    <w:name w:val="Heading 2 Char"/>
    <w:basedOn w:val="DefaultParagraphFont"/>
    <w:link w:val="Heading2"/>
    <w:uiPriority w:val="9"/>
    <w:rsid w:val="006630DF"/>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663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23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2320"/>
    <w:rPr>
      <w:rFonts w:ascii="Arial" w:hAnsi="Arial"/>
      <w:sz w:val="24"/>
    </w:rPr>
  </w:style>
  <w:style w:type="paragraph" w:styleId="Footer">
    <w:name w:val="footer"/>
    <w:basedOn w:val="Normal"/>
    <w:link w:val="FooterChar"/>
    <w:uiPriority w:val="99"/>
    <w:unhideWhenUsed/>
    <w:rsid w:val="00F323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2320"/>
    <w:rPr>
      <w:rFonts w:ascii="Arial" w:hAnsi="Arial"/>
      <w:sz w:val="24"/>
    </w:rPr>
  </w:style>
  <w:style w:type="paragraph" w:styleId="TOCHeading">
    <w:name w:val="TOC Heading"/>
    <w:basedOn w:val="Heading1"/>
    <w:next w:val="Normal"/>
    <w:uiPriority w:val="39"/>
    <w:unhideWhenUsed/>
    <w:qFormat/>
    <w:rsid w:val="0090092A"/>
    <w:pPr>
      <w:spacing w:line="259" w:lineRule="auto"/>
      <w:jc w:val="left"/>
      <w:outlineLvl w:val="9"/>
    </w:pPr>
  </w:style>
  <w:style w:type="paragraph" w:styleId="TOC1">
    <w:name w:val="toc 1"/>
    <w:basedOn w:val="Normal"/>
    <w:next w:val="Normal"/>
    <w:autoRedefine/>
    <w:uiPriority w:val="39"/>
    <w:unhideWhenUsed/>
    <w:rsid w:val="0090092A"/>
    <w:pPr>
      <w:spacing w:after="100"/>
    </w:pPr>
  </w:style>
  <w:style w:type="paragraph" w:styleId="TOC2">
    <w:name w:val="toc 2"/>
    <w:basedOn w:val="Normal"/>
    <w:next w:val="Normal"/>
    <w:autoRedefine/>
    <w:uiPriority w:val="39"/>
    <w:unhideWhenUsed/>
    <w:rsid w:val="0090092A"/>
    <w:pPr>
      <w:spacing w:after="100"/>
      <w:ind w:left="240"/>
    </w:pPr>
  </w:style>
  <w:style w:type="character" w:styleId="Hyperlink">
    <w:name w:val="Hyperlink"/>
    <w:basedOn w:val="DefaultParagraphFont"/>
    <w:uiPriority w:val="99"/>
    <w:unhideWhenUsed/>
    <w:rsid w:val="0090092A"/>
    <w:rPr>
      <w:color w:val="0000FF" w:themeColor="hyperlink"/>
      <w:u w:val="single"/>
    </w:rPr>
  </w:style>
  <w:style w:type="paragraph" w:styleId="ListParagraph">
    <w:name w:val="List Paragraph"/>
    <w:basedOn w:val="Normal"/>
    <w:qFormat/>
    <w:rsid w:val="00C27492"/>
    <w:pPr>
      <w:ind w:left="720"/>
      <w:contextualSpacing/>
    </w:pPr>
  </w:style>
  <w:style w:type="paragraph" w:styleId="BalloonText">
    <w:name w:val="Balloon Text"/>
    <w:basedOn w:val="Normal"/>
    <w:link w:val="BalloonTextChar"/>
    <w:uiPriority w:val="99"/>
    <w:semiHidden/>
    <w:unhideWhenUsed/>
    <w:rsid w:val="00C508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88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2159"/>
    <w:pPr>
      <w:jc w:val="both"/>
    </w:pPr>
    <w:rPr>
      <w:rFonts w:ascii="Arial" w:hAnsi="Arial"/>
      <w:sz w:val="24"/>
    </w:rPr>
  </w:style>
  <w:style w:type="paragraph" w:styleId="Heading1">
    <w:name w:val="heading 1"/>
    <w:basedOn w:val="Normal"/>
    <w:next w:val="Normal"/>
    <w:link w:val="Heading1Char"/>
    <w:uiPriority w:val="9"/>
    <w:qFormat/>
    <w:rsid w:val="0094421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6630D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442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421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44219"/>
    <w:rPr>
      <w:rFonts w:asciiTheme="majorHAnsi" w:eastAsiaTheme="majorEastAsia" w:hAnsiTheme="majorHAnsi" w:cstheme="majorBidi"/>
      <w:color w:val="365F91" w:themeColor="accent1" w:themeShade="BF"/>
      <w:sz w:val="32"/>
      <w:szCs w:val="32"/>
    </w:rPr>
  </w:style>
  <w:style w:type="table" w:customStyle="1" w:styleId="ListTable4Accent3">
    <w:name w:val="List Table 4 Accent 3"/>
    <w:basedOn w:val="TableNormal"/>
    <w:uiPriority w:val="49"/>
    <w:rsid w:val="003B17C8"/>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Heading2Char">
    <w:name w:val="Heading 2 Char"/>
    <w:basedOn w:val="DefaultParagraphFont"/>
    <w:link w:val="Heading2"/>
    <w:uiPriority w:val="9"/>
    <w:rsid w:val="006630DF"/>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59"/>
    <w:rsid w:val="00663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23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2320"/>
    <w:rPr>
      <w:rFonts w:ascii="Arial" w:hAnsi="Arial"/>
      <w:sz w:val="24"/>
    </w:rPr>
  </w:style>
  <w:style w:type="paragraph" w:styleId="Footer">
    <w:name w:val="footer"/>
    <w:basedOn w:val="Normal"/>
    <w:link w:val="FooterChar"/>
    <w:uiPriority w:val="99"/>
    <w:unhideWhenUsed/>
    <w:rsid w:val="00F323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2320"/>
    <w:rPr>
      <w:rFonts w:ascii="Arial" w:hAnsi="Arial"/>
      <w:sz w:val="24"/>
    </w:rPr>
  </w:style>
  <w:style w:type="paragraph" w:styleId="TOCHeading">
    <w:name w:val="TOC Heading"/>
    <w:basedOn w:val="Heading1"/>
    <w:next w:val="Normal"/>
    <w:uiPriority w:val="39"/>
    <w:unhideWhenUsed/>
    <w:qFormat/>
    <w:rsid w:val="0090092A"/>
    <w:pPr>
      <w:spacing w:line="259" w:lineRule="auto"/>
      <w:jc w:val="left"/>
      <w:outlineLvl w:val="9"/>
    </w:pPr>
  </w:style>
  <w:style w:type="paragraph" w:styleId="TOC1">
    <w:name w:val="toc 1"/>
    <w:basedOn w:val="Normal"/>
    <w:next w:val="Normal"/>
    <w:autoRedefine/>
    <w:uiPriority w:val="39"/>
    <w:unhideWhenUsed/>
    <w:rsid w:val="0090092A"/>
    <w:pPr>
      <w:spacing w:after="100"/>
    </w:pPr>
  </w:style>
  <w:style w:type="paragraph" w:styleId="TOC2">
    <w:name w:val="toc 2"/>
    <w:basedOn w:val="Normal"/>
    <w:next w:val="Normal"/>
    <w:autoRedefine/>
    <w:uiPriority w:val="39"/>
    <w:unhideWhenUsed/>
    <w:rsid w:val="0090092A"/>
    <w:pPr>
      <w:spacing w:after="100"/>
      <w:ind w:left="240"/>
    </w:pPr>
  </w:style>
  <w:style w:type="character" w:styleId="Hyperlink">
    <w:name w:val="Hyperlink"/>
    <w:basedOn w:val="DefaultParagraphFont"/>
    <w:uiPriority w:val="99"/>
    <w:unhideWhenUsed/>
    <w:rsid w:val="0090092A"/>
    <w:rPr>
      <w:color w:val="0000FF" w:themeColor="hyperlink"/>
      <w:u w:val="single"/>
    </w:rPr>
  </w:style>
  <w:style w:type="paragraph" w:styleId="ListParagraph">
    <w:name w:val="List Paragraph"/>
    <w:basedOn w:val="Normal"/>
    <w:qFormat/>
    <w:rsid w:val="00C27492"/>
    <w:pPr>
      <w:ind w:left="720"/>
      <w:contextualSpacing/>
    </w:pPr>
  </w:style>
  <w:style w:type="paragraph" w:styleId="BalloonText">
    <w:name w:val="Balloon Text"/>
    <w:basedOn w:val="Normal"/>
    <w:link w:val="BalloonTextChar"/>
    <w:uiPriority w:val="99"/>
    <w:semiHidden/>
    <w:unhideWhenUsed/>
    <w:rsid w:val="00C508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8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280324">
      <w:bodyDiv w:val="1"/>
      <w:marLeft w:val="0"/>
      <w:marRight w:val="0"/>
      <w:marTop w:val="0"/>
      <w:marBottom w:val="0"/>
      <w:divBdr>
        <w:top w:val="none" w:sz="0" w:space="0" w:color="auto"/>
        <w:left w:val="none" w:sz="0" w:space="0" w:color="auto"/>
        <w:bottom w:val="none" w:sz="0" w:space="0" w:color="auto"/>
        <w:right w:val="none" w:sz="0" w:space="0" w:color="auto"/>
      </w:divBdr>
    </w:div>
    <w:div w:id="137652874">
      <w:bodyDiv w:val="1"/>
      <w:marLeft w:val="0"/>
      <w:marRight w:val="0"/>
      <w:marTop w:val="0"/>
      <w:marBottom w:val="0"/>
      <w:divBdr>
        <w:top w:val="none" w:sz="0" w:space="0" w:color="auto"/>
        <w:left w:val="none" w:sz="0" w:space="0" w:color="auto"/>
        <w:bottom w:val="none" w:sz="0" w:space="0" w:color="auto"/>
        <w:right w:val="none" w:sz="0" w:space="0" w:color="auto"/>
      </w:divBdr>
    </w:div>
    <w:div w:id="151724247">
      <w:bodyDiv w:val="1"/>
      <w:marLeft w:val="0"/>
      <w:marRight w:val="0"/>
      <w:marTop w:val="0"/>
      <w:marBottom w:val="0"/>
      <w:divBdr>
        <w:top w:val="none" w:sz="0" w:space="0" w:color="auto"/>
        <w:left w:val="none" w:sz="0" w:space="0" w:color="auto"/>
        <w:bottom w:val="none" w:sz="0" w:space="0" w:color="auto"/>
        <w:right w:val="none" w:sz="0" w:space="0" w:color="auto"/>
      </w:divBdr>
    </w:div>
    <w:div w:id="208499637">
      <w:bodyDiv w:val="1"/>
      <w:marLeft w:val="0"/>
      <w:marRight w:val="0"/>
      <w:marTop w:val="0"/>
      <w:marBottom w:val="0"/>
      <w:divBdr>
        <w:top w:val="none" w:sz="0" w:space="0" w:color="auto"/>
        <w:left w:val="none" w:sz="0" w:space="0" w:color="auto"/>
        <w:bottom w:val="none" w:sz="0" w:space="0" w:color="auto"/>
        <w:right w:val="none" w:sz="0" w:space="0" w:color="auto"/>
      </w:divBdr>
    </w:div>
    <w:div w:id="280188834">
      <w:bodyDiv w:val="1"/>
      <w:marLeft w:val="0"/>
      <w:marRight w:val="0"/>
      <w:marTop w:val="0"/>
      <w:marBottom w:val="0"/>
      <w:divBdr>
        <w:top w:val="none" w:sz="0" w:space="0" w:color="auto"/>
        <w:left w:val="none" w:sz="0" w:space="0" w:color="auto"/>
        <w:bottom w:val="none" w:sz="0" w:space="0" w:color="auto"/>
        <w:right w:val="none" w:sz="0" w:space="0" w:color="auto"/>
      </w:divBdr>
    </w:div>
    <w:div w:id="357436345">
      <w:bodyDiv w:val="1"/>
      <w:marLeft w:val="0"/>
      <w:marRight w:val="0"/>
      <w:marTop w:val="0"/>
      <w:marBottom w:val="0"/>
      <w:divBdr>
        <w:top w:val="none" w:sz="0" w:space="0" w:color="auto"/>
        <w:left w:val="none" w:sz="0" w:space="0" w:color="auto"/>
        <w:bottom w:val="none" w:sz="0" w:space="0" w:color="auto"/>
        <w:right w:val="none" w:sz="0" w:space="0" w:color="auto"/>
      </w:divBdr>
    </w:div>
    <w:div w:id="366372581">
      <w:bodyDiv w:val="1"/>
      <w:marLeft w:val="0"/>
      <w:marRight w:val="0"/>
      <w:marTop w:val="0"/>
      <w:marBottom w:val="0"/>
      <w:divBdr>
        <w:top w:val="none" w:sz="0" w:space="0" w:color="auto"/>
        <w:left w:val="none" w:sz="0" w:space="0" w:color="auto"/>
        <w:bottom w:val="none" w:sz="0" w:space="0" w:color="auto"/>
        <w:right w:val="none" w:sz="0" w:space="0" w:color="auto"/>
      </w:divBdr>
    </w:div>
    <w:div w:id="487987105">
      <w:bodyDiv w:val="1"/>
      <w:marLeft w:val="0"/>
      <w:marRight w:val="0"/>
      <w:marTop w:val="0"/>
      <w:marBottom w:val="0"/>
      <w:divBdr>
        <w:top w:val="none" w:sz="0" w:space="0" w:color="auto"/>
        <w:left w:val="none" w:sz="0" w:space="0" w:color="auto"/>
        <w:bottom w:val="none" w:sz="0" w:space="0" w:color="auto"/>
        <w:right w:val="none" w:sz="0" w:space="0" w:color="auto"/>
      </w:divBdr>
    </w:div>
    <w:div w:id="588319685">
      <w:bodyDiv w:val="1"/>
      <w:marLeft w:val="0"/>
      <w:marRight w:val="0"/>
      <w:marTop w:val="0"/>
      <w:marBottom w:val="0"/>
      <w:divBdr>
        <w:top w:val="none" w:sz="0" w:space="0" w:color="auto"/>
        <w:left w:val="none" w:sz="0" w:space="0" w:color="auto"/>
        <w:bottom w:val="none" w:sz="0" w:space="0" w:color="auto"/>
        <w:right w:val="none" w:sz="0" w:space="0" w:color="auto"/>
      </w:divBdr>
    </w:div>
    <w:div w:id="699474039">
      <w:bodyDiv w:val="1"/>
      <w:marLeft w:val="0"/>
      <w:marRight w:val="0"/>
      <w:marTop w:val="0"/>
      <w:marBottom w:val="0"/>
      <w:divBdr>
        <w:top w:val="none" w:sz="0" w:space="0" w:color="auto"/>
        <w:left w:val="none" w:sz="0" w:space="0" w:color="auto"/>
        <w:bottom w:val="none" w:sz="0" w:space="0" w:color="auto"/>
        <w:right w:val="none" w:sz="0" w:space="0" w:color="auto"/>
      </w:divBdr>
    </w:div>
    <w:div w:id="816264327">
      <w:bodyDiv w:val="1"/>
      <w:marLeft w:val="0"/>
      <w:marRight w:val="0"/>
      <w:marTop w:val="0"/>
      <w:marBottom w:val="0"/>
      <w:divBdr>
        <w:top w:val="none" w:sz="0" w:space="0" w:color="auto"/>
        <w:left w:val="none" w:sz="0" w:space="0" w:color="auto"/>
        <w:bottom w:val="none" w:sz="0" w:space="0" w:color="auto"/>
        <w:right w:val="none" w:sz="0" w:space="0" w:color="auto"/>
      </w:divBdr>
    </w:div>
    <w:div w:id="845167693">
      <w:bodyDiv w:val="1"/>
      <w:marLeft w:val="0"/>
      <w:marRight w:val="0"/>
      <w:marTop w:val="0"/>
      <w:marBottom w:val="0"/>
      <w:divBdr>
        <w:top w:val="none" w:sz="0" w:space="0" w:color="auto"/>
        <w:left w:val="none" w:sz="0" w:space="0" w:color="auto"/>
        <w:bottom w:val="none" w:sz="0" w:space="0" w:color="auto"/>
        <w:right w:val="none" w:sz="0" w:space="0" w:color="auto"/>
      </w:divBdr>
    </w:div>
    <w:div w:id="880173149">
      <w:bodyDiv w:val="1"/>
      <w:marLeft w:val="0"/>
      <w:marRight w:val="0"/>
      <w:marTop w:val="0"/>
      <w:marBottom w:val="0"/>
      <w:divBdr>
        <w:top w:val="none" w:sz="0" w:space="0" w:color="auto"/>
        <w:left w:val="none" w:sz="0" w:space="0" w:color="auto"/>
        <w:bottom w:val="none" w:sz="0" w:space="0" w:color="auto"/>
        <w:right w:val="none" w:sz="0" w:space="0" w:color="auto"/>
      </w:divBdr>
    </w:div>
    <w:div w:id="942496757">
      <w:bodyDiv w:val="1"/>
      <w:marLeft w:val="0"/>
      <w:marRight w:val="0"/>
      <w:marTop w:val="0"/>
      <w:marBottom w:val="0"/>
      <w:divBdr>
        <w:top w:val="none" w:sz="0" w:space="0" w:color="auto"/>
        <w:left w:val="none" w:sz="0" w:space="0" w:color="auto"/>
        <w:bottom w:val="none" w:sz="0" w:space="0" w:color="auto"/>
        <w:right w:val="none" w:sz="0" w:space="0" w:color="auto"/>
      </w:divBdr>
    </w:div>
    <w:div w:id="943607876">
      <w:bodyDiv w:val="1"/>
      <w:marLeft w:val="0"/>
      <w:marRight w:val="0"/>
      <w:marTop w:val="0"/>
      <w:marBottom w:val="0"/>
      <w:divBdr>
        <w:top w:val="none" w:sz="0" w:space="0" w:color="auto"/>
        <w:left w:val="none" w:sz="0" w:space="0" w:color="auto"/>
        <w:bottom w:val="none" w:sz="0" w:space="0" w:color="auto"/>
        <w:right w:val="none" w:sz="0" w:space="0" w:color="auto"/>
      </w:divBdr>
    </w:div>
    <w:div w:id="1057243629">
      <w:bodyDiv w:val="1"/>
      <w:marLeft w:val="0"/>
      <w:marRight w:val="0"/>
      <w:marTop w:val="0"/>
      <w:marBottom w:val="0"/>
      <w:divBdr>
        <w:top w:val="none" w:sz="0" w:space="0" w:color="auto"/>
        <w:left w:val="none" w:sz="0" w:space="0" w:color="auto"/>
        <w:bottom w:val="none" w:sz="0" w:space="0" w:color="auto"/>
        <w:right w:val="none" w:sz="0" w:space="0" w:color="auto"/>
      </w:divBdr>
    </w:div>
    <w:div w:id="1118794709">
      <w:bodyDiv w:val="1"/>
      <w:marLeft w:val="0"/>
      <w:marRight w:val="0"/>
      <w:marTop w:val="0"/>
      <w:marBottom w:val="0"/>
      <w:divBdr>
        <w:top w:val="none" w:sz="0" w:space="0" w:color="auto"/>
        <w:left w:val="none" w:sz="0" w:space="0" w:color="auto"/>
        <w:bottom w:val="none" w:sz="0" w:space="0" w:color="auto"/>
        <w:right w:val="none" w:sz="0" w:space="0" w:color="auto"/>
      </w:divBdr>
    </w:div>
    <w:div w:id="1165322550">
      <w:bodyDiv w:val="1"/>
      <w:marLeft w:val="0"/>
      <w:marRight w:val="0"/>
      <w:marTop w:val="0"/>
      <w:marBottom w:val="0"/>
      <w:divBdr>
        <w:top w:val="none" w:sz="0" w:space="0" w:color="auto"/>
        <w:left w:val="none" w:sz="0" w:space="0" w:color="auto"/>
        <w:bottom w:val="none" w:sz="0" w:space="0" w:color="auto"/>
        <w:right w:val="none" w:sz="0" w:space="0" w:color="auto"/>
      </w:divBdr>
    </w:div>
    <w:div w:id="1226648137">
      <w:bodyDiv w:val="1"/>
      <w:marLeft w:val="0"/>
      <w:marRight w:val="0"/>
      <w:marTop w:val="0"/>
      <w:marBottom w:val="0"/>
      <w:divBdr>
        <w:top w:val="none" w:sz="0" w:space="0" w:color="auto"/>
        <w:left w:val="none" w:sz="0" w:space="0" w:color="auto"/>
        <w:bottom w:val="none" w:sz="0" w:space="0" w:color="auto"/>
        <w:right w:val="none" w:sz="0" w:space="0" w:color="auto"/>
      </w:divBdr>
    </w:div>
    <w:div w:id="1429236411">
      <w:bodyDiv w:val="1"/>
      <w:marLeft w:val="0"/>
      <w:marRight w:val="0"/>
      <w:marTop w:val="0"/>
      <w:marBottom w:val="0"/>
      <w:divBdr>
        <w:top w:val="none" w:sz="0" w:space="0" w:color="auto"/>
        <w:left w:val="none" w:sz="0" w:space="0" w:color="auto"/>
        <w:bottom w:val="none" w:sz="0" w:space="0" w:color="auto"/>
        <w:right w:val="none" w:sz="0" w:space="0" w:color="auto"/>
      </w:divBdr>
    </w:div>
    <w:div w:id="1446079376">
      <w:bodyDiv w:val="1"/>
      <w:marLeft w:val="0"/>
      <w:marRight w:val="0"/>
      <w:marTop w:val="0"/>
      <w:marBottom w:val="0"/>
      <w:divBdr>
        <w:top w:val="none" w:sz="0" w:space="0" w:color="auto"/>
        <w:left w:val="none" w:sz="0" w:space="0" w:color="auto"/>
        <w:bottom w:val="none" w:sz="0" w:space="0" w:color="auto"/>
        <w:right w:val="none" w:sz="0" w:space="0" w:color="auto"/>
      </w:divBdr>
    </w:div>
    <w:div w:id="1524784463">
      <w:bodyDiv w:val="1"/>
      <w:marLeft w:val="0"/>
      <w:marRight w:val="0"/>
      <w:marTop w:val="0"/>
      <w:marBottom w:val="0"/>
      <w:divBdr>
        <w:top w:val="none" w:sz="0" w:space="0" w:color="auto"/>
        <w:left w:val="none" w:sz="0" w:space="0" w:color="auto"/>
        <w:bottom w:val="none" w:sz="0" w:space="0" w:color="auto"/>
        <w:right w:val="none" w:sz="0" w:space="0" w:color="auto"/>
      </w:divBdr>
    </w:div>
    <w:div w:id="1678531654">
      <w:bodyDiv w:val="1"/>
      <w:marLeft w:val="0"/>
      <w:marRight w:val="0"/>
      <w:marTop w:val="0"/>
      <w:marBottom w:val="0"/>
      <w:divBdr>
        <w:top w:val="none" w:sz="0" w:space="0" w:color="auto"/>
        <w:left w:val="none" w:sz="0" w:space="0" w:color="auto"/>
        <w:bottom w:val="none" w:sz="0" w:space="0" w:color="auto"/>
        <w:right w:val="none" w:sz="0" w:space="0" w:color="auto"/>
      </w:divBdr>
    </w:div>
    <w:div w:id="1754273588">
      <w:bodyDiv w:val="1"/>
      <w:marLeft w:val="0"/>
      <w:marRight w:val="0"/>
      <w:marTop w:val="0"/>
      <w:marBottom w:val="0"/>
      <w:divBdr>
        <w:top w:val="none" w:sz="0" w:space="0" w:color="auto"/>
        <w:left w:val="none" w:sz="0" w:space="0" w:color="auto"/>
        <w:bottom w:val="none" w:sz="0" w:space="0" w:color="auto"/>
        <w:right w:val="none" w:sz="0" w:space="0" w:color="auto"/>
      </w:divBdr>
    </w:div>
    <w:div w:id="1765109135">
      <w:bodyDiv w:val="1"/>
      <w:marLeft w:val="0"/>
      <w:marRight w:val="0"/>
      <w:marTop w:val="0"/>
      <w:marBottom w:val="0"/>
      <w:divBdr>
        <w:top w:val="none" w:sz="0" w:space="0" w:color="auto"/>
        <w:left w:val="none" w:sz="0" w:space="0" w:color="auto"/>
        <w:bottom w:val="none" w:sz="0" w:space="0" w:color="auto"/>
        <w:right w:val="none" w:sz="0" w:space="0" w:color="auto"/>
      </w:divBdr>
    </w:div>
    <w:div w:id="1776098457">
      <w:bodyDiv w:val="1"/>
      <w:marLeft w:val="0"/>
      <w:marRight w:val="0"/>
      <w:marTop w:val="0"/>
      <w:marBottom w:val="0"/>
      <w:divBdr>
        <w:top w:val="none" w:sz="0" w:space="0" w:color="auto"/>
        <w:left w:val="none" w:sz="0" w:space="0" w:color="auto"/>
        <w:bottom w:val="none" w:sz="0" w:space="0" w:color="auto"/>
        <w:right w:val="none" w:sz="0" w:space="0" w:color="auto"/>
      </w:divBdr>
    </w:div>
    <w:div w:id="1978100226">
      <w:bodyDiv w:val="1"/>
      <w:marLeft w:val="0"/>
      <w:marRight w:val="0"/>
      <w:marTop w:val="0"/>
      <w:marBottom w:val="0"/>
      <w:divBdr>
        <w:top w:val="none" w:sz="0" w:space="0" w:color="auto"/>
        <w:left w:val="none" w:sz="0" w:space="0" w:color="auto"/>
        <w:bottom w:val="none" w:sz="0" w:space="0" w:color="auto"/>
        <w:right w:val="none" w:sz="0" w:space="0" w:color="auto"/>
      </w:divBdr>
    </w:div>
    <w:div w:id="2063211749">
      <w:bodyDiv w:val="1"/>
      <w:marLeft w:val="0"/>
      <w:marRight w:val="0"/>
      <w:marTop w:val="0"/>
      <w:marBottom w:val="0"/>
      <w:divBdr>
        <w:top w:val="none" w:sz="0" w:space="0" w:color="auto"/>
        <w:left w:val="none" w:sz="0" w:space="0" w:color="auto"/>
        <w:bottom w:val="none" w:sz="0" w:space="0" w:color="auto"/>
        <w:right w:val="none" w:sz="0" w:space="0" w:color="auto"/>
      </w:divBdr>
    </w:div>
    <w:div w:id="2126002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49287-59A0-4258-A3C2-75554C60E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1813</TotalTime>
  <Pages>27</Pages>
  <Words>5649</Words>
  <Characters>32202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37776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 sikder</cp:lastModifiedBy>
  <cp:revision>48</cp:revision>
  <dcterms:created xsi:type="dcterms:W3CDTF">2023-04-30T17:02:00Z</dcterms:created>
  <dcterms:modified xsi:type="dcterms:W3CDTF">2023-05-07T23:00:00Z</dcterms:modified>
</cp:coreProperties>
</file>