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AD3641" w14:textId="17C5C3B2" w:rsidR="00ED50EE" w:rsidRPr="00ED50EE" w:rsidRDefault="00ED50EE" w:rsidP="00ED50EE">
      <w:pPr>
        <w:spacing w:line="480" w:lineRule="auto"/>
        <w:jc w:val="center"/>
        <w:rPr>
          <w:u w:val="single"/>
        </w:rPr>
      </w:pPr>
      <w:r>
        <w:rPr>
          <w:u w:val="single"/>
        </w:rPr>
        <w:t xml:space="preserve">Ptolemy, son of </w:t>
      </w:r>
      <w:proofErr w:type="spellStart"/>
      <w:r>
        <w:rPr>
          <w:u w:val="single"/>
        </w:rPr>
        <w:t>Lagus</w:t>
      </w:r>
      <w:proofErr w:type="spellEnd"/>
      <w:r>
        <w:rPr>
          <w:u w:val="single"/>
        </w:rPr>
        <w:t>.</w:t>
      </w:r>
    </w:p>
    <w:p w14:paraId="775F9730" w14:textId="6AFC49EF" w:rsidR="0072527D" w:rsidRPr="0069547D" w:rsidRDefault="00022158" w:rsidP="00ED50EE">
      <w:pPr>
        <w:spacing w:line="480" w:lineRule="auto"/>
      </w:pPr>
      <w:r>
        <w:t>Born in 367BC</w:t>
      </w:r>
      <w:r w:rsidR="00715F6B">
        <w:rPr>
          <w:rStyle w:val="FootnoteReference"/>
        </w:rPr>
        <w:footnoteReference w:id="1"/>
      </w:r>
      <w:r w:rsidR="008B08D8">
        <w:t xml:space="preserve"> to </w:t>
      </w:r>
      <w:proofErr w:type="spellStart"/>
      <w:r w:rsidR="008B08D8">
        <w:t>Lagus</w:t>
      </w:r>
      <w:proofErr w:type="spellEnd"/>
      <w:r w:rsidR="008B08D8">
        <w:t xml:space="preserve"> and </w:t>
      </w:r>
      <w:proofErr w:type="spellStart"/>
      <w:r w:rsidR="008B08D8">
        <w:t>Arsinoë</w:t>
      </w:r>
      <w:proofErr w:type="spellEnd"/>
      <w:r w:rsidR="008B08D8">
        <w:t xml:space="preserve">, Ptolemy would </w:t>
      </w:r>
      <w:r w:rsidR="0085414D">
        <w:t>become the eponymous</w:t>
      </w:r>
      <w:r w:rsidR="008B08D8">
        <w:t xml:space="preserve"> found</w:t>
      </w:r>
      <w:r w:rsidR="0085414D">
        <w:t>er of</w:t>
      </w:r>
      <w:r w:rsidR="008B08D8">
        <w:t xml:space="preserve"> the Ptolemaic dynasty. </w:t>
      </w:r>
      <w:r w:rsidR="0085414D">
        <w:t>His early years in Macedonia are obscure</w:t>
      </w:r>
      <w:r w:rsidR="00B93C51">
        <w:t>d by conflicting a</w:t>
      </w:r>
      <w:r w:rsidR="006869AA">
        <w:t>ncient accounts, however as Ellis proves piecing together an entirely plausible background for this figure is not impossible</w:t>
      </w:r>
      <w:r w:rsidR="00FA3565">
        <w:rPr>
          <w:rStyle w:val="FootnoteReference"/>
        </w:rPr>
        <w:footnoteReference w:id="2"/>
      </w:r>
      <w:r w:rsidR="006869AA">
        <w:t>. At first one must examine the question of the patrilineage of Ptolemy and</w:t>
      </w:r>
      <w:r w:rsidR="00FA3565">
        <w:t xml:space="preserve"> whilst</w:t>
      </w:r>
      <w:r w:rsidR="006869AA">
        <w:t xml:space="preserve"> it may be </w:t>
      </w:r>
      <w:r w:rsidR="00FA3565">
        <w:t xml:space="preserve">uncomplicated </w:t>
      </w:r>
      <w:r w:rsidR="006869AA">
        <w:t xml:space="preserve">to disregard the claim that he was one of Phillip of Macedon’s </w:t>
      </w:r>
      <w:r w:rsidR="00FA3565">
        <w:t xml:space="preserve">bastard sons through </w:t>
      </w:r>
      <w:proofErr w:type="spellStart"/>
      <w:r w:rsidR="00FA3565">
        <w:t>Arsinoë</w:t>
      </w:r>
      <w:proofErr w:type="spellEnd"/>
      <w:r w:rsidR="00FA3565">
        <w:t xml:space="preserve"> (thus making him half-brother to Alexander himself) as later Ptolemaic propaganda, this is a trope that one must not be so easily tempted to accept. Ptolemy was by no means as Justin would have us believe </w:t>
      </w:r>
      <w:r w:rsidR="00146BDF">
        <w:t>‘</w:t>
      </w:r>
      <w:r w:rsidR="00146BDF">
        <w:rPr>
          <w:i/>
        </w:rPr>
        <w:t xml:space="preserve">ex </w:t>
      </w:r>
      <w:proofErr w:type="spellStart"/>
      <w:r w:rsidR="00146BDF">
        <w:rPr>
          <w:i/>
        </w:rPr>
        <w:t>gregario</w:t>
      </w:r>
      <w:proofErr w:type="spellEnd"/>
      <w:r w:rsidR="00146BDF">
        <w:rPr>
          <w:i/>
        </w:rPr>
        <w:t xml:space="preserve"> </w:t>
      </w:r>
      <w:proofErr w:type="spellStart"/>
      <w:r w:rsidR="00146BDF">
        <w:rPr>
          <w:i/>
        </w:rPr>
        <w:t>milite</w:t>
      </w:r>
      <w:proofErr w:type="spellEnd"/>
      <w:r w:rsidR="00146BDF">
        <w:rPr>
          <w:i/>
        </w:rPr>
        <w:t>’</w:t>
      </w:r>
      <w:r w:rsidR="00146BDF">
        <w:rPr>
          <w:rStyle w:val="FootnoteReference"/>
          <w:i/>
        </w:rPr>
        <w:footnoteReference w:id="3"/>
      </w:r>
      <w:r w:rsidR="00146BDF">
        <w:t xml:space="preserve">, despite his nominative father </w:t>
      </w:r>
      <w:proofErr w:type="spellStart"/>
      <w:r w:rsidR="00146BDF">
        <w:t>Lagus</w:t>
      </w:r>
      <w:proofErr w:type="spellEnd"/>
      <w:r w:rsidR="00146BDF">
        <w:t xml:space="preserve"> lacking any high status</w:t>
      </w:r>
      <w:r w:rsidR="00146BDF">
        <w:rPr>
          <w:rStyle w:val="FootnoteReference"/>
        </w:rPr>
        <w:footnoteReference w:id="4"/>
      </w:r>
      <w:r w:rsidR="00146BDF">
        <w:t xml:space="preserve"> Ptolemy almost certainly </w:t>
      </w:r>
      <w:r w:rsidR="001B1966">
        <w:t xml:space="preserve">grew up </w:t>
      </w:r>
      <w:r w:rsidR="002C58F7">
        <w:t>as one of the Royal Pages</w:t>
      </w:r>
      <w:r w:rsidR="002C58F7">
        <w:rPr>
          <w:rStyle w:val="FootnoteReference"/>
        </w:rPr>
        <w:footnoteReference w:id="5"/>
      </w:r>
      <w:r w:rsidR="002C58F7">
        <w:t xml:space="preserve">in the court of Phillip. It is this patrilineal lack of distinction or notoriety that leads Ellis to question whether </w:t>
      </w:r>
      <w:proofErr w:type="spellStart"/>
      <w:r w:rsidR="002C58F7">
        <w:t>Arsinoë’s</w:t>
      </w:r>
      <w:proofErr w:type="spellEnd"/>
      <w:r w:rsidR="002C58F7">
        <w:t xml:space="preserve"> marriage to </w:t>
      </w:r>
      <w:proofErr w:type="spellStart"/>
      <w:r w:rsidR="002C58F7">
        <w:t>Lagus</w:t>
      </w:r>
      <w:proofErr w:type="spellEnd"/>
      <w:r w:rsidR="002C58F7">
        <w:t xml:space="preserve"> was one of convenience to hide the truth. I can agree with this argument as although Ptolemy names his firstborn son </w:t>
      </w:r>
      <w:proofErr w:type="spellStart"/>
      <w:r w:rsidR="002C58F7">
        <w:t>Lagus</w:t>
      </w:r>
      <w:proofErr w:type="spellEnd"/>
      <w:r w:rsidR="002C58F7">
        <w:rPr>
          <w:rStyle w:val="FootnoteReference"/>
        </w:rPr>
        <w:footnoteReference w:id="6"/>
      </w:r>
      <w:r w:rsidR="002C58F7">
        <w:t xml:space="preserve"> demonstrating to us who he believed his own father was, the rumour that he may be a royal bastard and therefore have </w:t>
      </w:r>
      <w:proofErr w:type="spellStart"/>
      <w:r w:rsidR="002C58F7">
        <w:t>Argead</w:t>
      </w:r>
      <w:proofErr w:type="spellEnd"/>
      <w:r w:rsidR="002C58F7">
        <w:t xml:space="preserve"> blood must have been too good of an opportunity </w:t>
      </w:r>
      <w:r w:rsidR="00D02B3F">
        <w:t>to pass on as it would i</w:t>
      </w:r>
      <w:r w:rsidR="002C58F7">
        <w:t xml:space="preserve">ncrease his legitimacy </w:t>
      </w:r>
      <w:r w:rsidR="00D02B3F">
        <w:t>as an independent ruler in the years following Alexander’s death. The first we really see of Ptolemy as a young man is mentioned by Plutarch, who describes the former’s banishment</w:t>
      </w:r>
      <w:r w:rsidR="001D193E">
        <w:t xml:space="preserve">, alongside </w:t>
      </w:r>
      <w:proofErr w:type="spellStart"/>
      <w:r w:rsidR="001D193E">
        <w:t>Harpalus</w:t>
      </w:r>
      <w:proofErr w:type="spellEnd"/>
      <w:r w:rsidR="001D193E">
        <w:t xml:space="preserve"> and </w:t>
      </w:r>
      <w:proofErr w:type="spellStart"/>
      <w:r w:rsidR="001D193E">
        <w:t>Nearchus</w:t>
      </w:r>
      <w:proofErr w:type="spellEnd"/>
      <w:r w:rsidR="001D193E">
        <w:t xml:space="preserve">, </w:t>
      </w:r>
      <w:r w:rsidR="00D02B3F">
        <w:t>from Macedonia on the orders of Phillip</w:t>
      </w:r>
      <w:r w:rsidR="001D193E">
        <w:t xml:space="preserve"> of Macedon for conducing Alexander to court the daughter of the Satrap of Caria against the King’s wishes</w:t>
      </w:r>
      <w:r w:rsidR="001D193E">
        <w:rPr>
          <w:rStyle w:val="FootnoteReference"/>
        </w:rPr>
        <w:footnoteReference w:id="7"/>
      </w:r>
      <w:r w:rsidR="001D193E">
        <w:t>. This brief interlude from the Macedonian court only lasted from the aftermath of the battle of Chaeronea in 338BC</w:t>
      </w:r>
      <w:r w:rsidR="001D193E">
        <w:rPr>
          <w:rStyle w:val="FootnoteReference"/>
        </w:rPr>
        <w:footnoteReference w:id="8"/>
      </w:r>
      <w:r w:rsidR="001D193E">
        <w:t xml:space="preserve"> to the ascension of Alexander to the throne </w:t>
      </w:r>
      <w:r w:rsidR="001D193E">
        <w:lastRenderedPageBreak/>
        <w:t>in late 336BC</w:t>
      </w:r>
      <w:r w:rsidR="001D193E">
        <w:rPr>
          <w:rStyle w:val="FootnoteReference"/>
        </w:rPr>
        <w:footnoteReference w:id="9"/>
      </w:r>
      <w:r w:rsidR="001D193E">
        <w:t xml:space="preserve">. </w:t>
      </w:r>
      <w:r w:rsidR="00895568">
        <w:t>There is a distinct lack of any sources firmly placing Ptolemy’s whereabouts over the following four years</w:t>
      </w:r>
      <w:r w:rsidR="00E7691E">
        <w:t xml:space="preserve">, </w:t>
      </w:r>
      <w:proofErr w:type="spellStart"/>
      <w:r w:rsidR="00E7691E">
        <w:t>Arrian</w:t>
      </w:r>
      <w:proofErr w:type="spellEnd"/>
      <w:r w:rsidR="00E7691E">
        <w:t xml:space="preserve"> places Ptolemy at the battle of Issus</w:t>
      </w:r>
      <w:r w:rsidR="00E7691E">
        <w:rPr>
          <w:rStyle w:val="FootnoteReference"/>
        </w:rPr>
        <w:footnoteReference w:id="10"/>
      </w:r>
      <w:r w:rsidR="00E7691E">
        <w:t xml:space="preserve"> which took place in 333BC but as </w:t>
      </w:r>
      <w:r w:rsidR="00895568">
        <w:t xml:space="preserve">Ellis remarks </w:t>
      </w:r>
      <w:proofErr w:type="spellStart"/>
      <w:r w:rsidR="00895568">
        <w:t>Arrian</w:t>
      </w:r>
      <w:proofErr w:type="spellEnd"/>
      <w:r w:rsidR="00E7691E">
        <w:t xml:space="preserve"> also</w:t>
      </w:r>
      <w:r w:rsidR="00895568">
        <w:t xml:space="preserve"> state</w:t>
      </w:r>
      <w:r w:rsidR="00E7691E">
        <w:t>s</w:t>
      </w:r>
      <w:r w:rsidR="00895568">
        <w:t xml:space="preserve"> that Ptolemy accompanied Alexander on his pilgrimage to </w:t>
      </w:r>
      <w:proofErr w:type="spellStart"/>
      <w:r w:rsidR="00895568">
        <w:t>Siwa</w:t>
      </w:r>
      <w:proofErr w:type="spellEnd"/>
      <w:r w:rsidR="00E7691E">
        <w:rPr>
          <w:rStyle w:val="FootnoteReference"/>
        </w:rPr>
        <w:footnoteReference w:id="11"/>
      </w:r>
      <w:r w:rsidR="00E7691E">
        <w:t xml:space="preserve"> in the consecutive year. However, as</w:t>
      </w:r>
      <w:r w:rsidR="00895568">
        <w:t xml:space="preserve"> </w:t>
      </w:r>
      <w:proofErr w:type="spellStart"/>
      <w:r w:rsidR="00895568">
        <w:t>Arrian’s</w:t>
      </w:r>
      <w:proofErr w:type="spellEnd"/>
      <w:r w:rsidR="00895568">
        <w:t xml:space="preserve"> account is based on the now lost histories written by Ptolemy himself, who would</w:t>
      </w:r>
      <w:r w:rsidR="0078516B">
        <w:t xml:space="preserve"> have</w:t>
      </w:r>
      <w:r w:rsidR="00895568">
        <w:t xml:space="preserve"> </w:t>
      </w:r>
      <w:r w:rsidR="00E7691E">
        <w:t>been</w:t>
      </w:r>
      <w:r w:rsidR="00895568">
        <w:t xml:space="preserve"> keen to demonstrate both his earliest interactions with Egypt and his close connection with Alexander.</w:t>
      </w:r>
      <w:r w:rsidR="00E7691E">
        <w:t xml:space="preserve"> Whatever Ptolemy’s involvement was in Alexander’s initial campaigns into Asia Minor and through to Egypt, </w:t>
      </w:r>
      <w:proofErr w:type="spellStart"/>
      <w:r w:rsidR="00E7691E">
        <w:t>Arrian</w:t>
      </w:r>
      <w:proofErr w:type="spellEnd"/>
      <w:r w:rsidR="00E7691E">
        <w:t xml:space="preserve"> does state that he becomes one of Alexander’s </w:t>
      </w:r>
      <w:r w:rsidR="00E7691E">
        <w:rPr>
          <w:i/>
        </w:rPr>
        <w:t>somatophylakes</w:t>
      </w:r>
      <w:r w:rsidR="003C289E">
        <w:rPr>
          <w:i/>
        </w:rPr>
        <w:t xml:space="preserve">, </w:t>
      </w:r>
      <w:r w:rsidR="003C289E">
        <w:t xml:space="preserve">replacing Demetrius, whom Alexander suspected of being involved with the </w:t>
      </w:r>
      <w:proofErr w:type="spellStart"/>
      <w:r w:rsidR="003C289E">
        <w:t>Philotas</w:t>
      </w:r>
      <w:proofErr w:type="spellEnd"/>
      <w:r w:rsidR="003C289E">
        <w:t>’ conspiracy and thus had promptly arrested</w:t>
      </w:r>
      <w:r w:rsidR="003C289E">
        <w:rPr>
          <w:rStyle w:val="FootnoteReference"/>
        </w:rPr>
        <w:footnoteReference w:id="12"/>
      </w:r>
      <w:r w:rsidR="003C289E">
        <w:t xml:space="preserve">, therefore we know that by 330BC Ptolemy was amongst Alexander’s inner circle. </w:t>
      </w:r>
      <w:r w:rsidR="0072527D">
        <w:t xml:space="preserve">Ptolemy’s first major command comes in the following year in the campaign against Bessus, however as Ellis argues this is only attested by </w:t>
      </w:r>
      <w:proofErr w:type="spellStart"/>
      <w:r w:rsidR="0072527D">
        <w:t>Arrian</w:t>
      </w:r>
      <w:proofErr w:type="spellEnd"/>
      <w:r w:rsidR="0072527D">
        <w:t xml:space="preserve"> and therefore we can assume some exaggeration of the difficulty of the mission. </w:t>
      </w:r>
      <w:r w:rsidR="00441ED5">
        <w:t xml:space="preserve">Ultimately Ptolemy succeeded in handing over a restrained Bessus over to Alexander, demonstrating some level of military capability. As we know the great host of Alexander’s army would stay in Sogdiana until the beginning of his Indian campaign in 327BC, yet little is mentioned of Ptolemy in these years bar </w:t>
      </w:r>
      <w:proofErr w:type="spellStart"/>
      <w:r w:rsidR="004A612F">
        <w:t>Arrian</w:t>
      </w:r>
      <w:proofErr w:type="spellEnd"/>
      <w:r w:rsidR="004A612F">
        <w:t xml:space="preserve"> stating that he attempted to restrain Alexander as he attacked </w:t>
      </w:r>
      <w:proofErr w:type="spellStart"/>
      <w:r w:rsidR="004A612F">
        <w:t>Clitus</w:t>
      </w:r>
      <w:proofErr w:type="spellEnd"/>
      <w:r w:rsidR="004A612F">
        <w:rPr>
          <w:rStyle w:val="FootnoteReference"/>
        </w:rPr>
        <w:footnoteReference w:id="13"/>
      </w:r>
      <w:r w:rsidR="004A612F">
        <w:t xml:space="preserve">. Ptolemy certainly had more involvement in Alexander’s Indian Campaign appears to have had a significant command during the siege of the rock of </w:t>
      </w:r>
      <w:proofErr w:type="spellStart"/>
      <w:r w:rsidR="004A612F">
        <w:t>Aornos</w:t>
      </w:r>
      <w:proofErr w:type="spellEnd"/>
      <w:r w:rsidR="004A612F">
        <w:rPr>
          <w:rStyle w:val="FootnoteReference"/>
        </w:rPr>
        <w:footnoteReference w:id="14"/>
      </w:r>
      <w:r w:rsidR="0069547D">
        <w:t xml:space="preserve">, yet again this is only referred to in </w:t>
      </w:r>
      <w:proofErr w:type="spellStart"/>
      <w:r w:rsidR="0069547D">
        <w:t>Arrian’s</w:t>
      </w:r>
      <w:proofErr w:type="spellEnd"/>
      <w:r w:rsidR="0069547D">
        <w:t xml:space="preserve"> Anabasis and thus is coming from Ptolemy’s own histories. Later in the Indus Valley campaign Ptolemy is wounded by a poisonous arrow, only being saved by Alexander knowing the appropriate antidote. Furthermore, this event reaches us through another ancient historian, </w:t>
      </w:r>
      <w:proofErr w:type="spellStart"/>
      <w:r w:rsidR="0069547D">
        <w:t>Curtius</w:t>
      </w:r>
      <w:proofErr w:type="spellEnd"/>
      <w:r w:rsidR="0069547D">
        <w:rPr>
          <w:rStyle w:val="FootnoteReference"/>
        </w:rPr>
        <w:footnoteReference w:id="15"/>
      </w:r>
      <w:r w:rsidR="0069547D">
        <w:t xml:space="preserve">, thus demonstrating Ptolemy’s slow rise in importance over the course of this Campaign. At the time of Alexander’s </w:t>
      </w:r>
      <w:r w:rsidR="0069547D">
        <w:lastRenderedPageBreak/>
        <w:t xml:space="preserve">Death in 323BC Ptolemy is in Babylon along with </w:t>
      </w:r>
      <w:proofErr w:type="gramStart"/>
      <w:r w:rsidR="0069547D">
        <w:t>the majority of</w:t>
      </w:r>
      <w:proofErr w:type="gramEnd"/>
      <w:r w:rsidR="0069547D">
        <w:t xml:space="preserve"> the Macedonian elite. By this </w:t>
      </w:r>
      <w:proofErr w:type="gramStart"/>
      <w:r w:rsidR="0069547D">
        <w:t>time</w:t>
      </w:r>
      <w:proofErr w:type="gramEnd"/>
      <w:r w:rsidR="0069547D">
        <w:t xml:space="preserve"> he has distinguished himself as a capable military leader in the Indian campaign, remained amongst Alexander’s elite advisors in is role as one of his </w:t>
      </w:r>
      <w:r w:rsidR="0069547D">
        <w:rPr>
          <w:i/>
        </w:rPr>
        <w:t xml:space="preserve">somatophylakes </w:t>
      </w:r>
      <w:r w:rsidR="0069547D">
        <w:t xml:space="preserve">and therefore rightfully assumes the role as one of the key influencers at the agreement of Babylon. This power is demonstrated in the fact that he is awarded the province of Egypt by </w:t>
      </w:r>
      <w:proofErr w:type="spellStart"/>
      <w:r w:rsidR="0069547D">
        <w:t>Perdiccas</w:t>
      </w:r>
      <w:proofErr w:type="spellEnd"/>
      <w:r w:rsidR="00ED50EE">
        <w:rPr>
          <w:rStyle w:val="FootnoteReference"/>
        </w:rPr>
        <w:footnoteReference w:id="16"/>
      </w:r>
      <w:r w:rsidR="00ED50EE">
        <w:t>, as a clear way of moving this strong leader away from the court in Babylon.</w:t>
      </w:r>
    </w:p>
    <w:p w14:paraId="5F856843" w14:textId="79F8A84A" w:rsidR="002E6C72" w:rsidRDefault="002E6C72" w:rsidP="00ED50EE">
      <w:pPr>
        <w:tabs>
          <w:tab w:val="left" w:pos="3105"/>
        </w:tabs>
        <w:spacing w:line="480" w:lineRule="auto"/>
      </w:pPr>
    </w:p>
    <w:p w14:paraId="535D078F" w14:textId="32F7C959" w:rsidR="00ED50EE" w:rsidRDefault="00ED50EE" w:rsidP="00ED50EE">
      <w:pPr>
        <w:tabs>
          <w:tab w:val="left" w:pos="3105"/>
        </w:tabs>
        <w:spacing w:line="480" w:lineRule="auto"/>
      </w:pPr>
    </w:p>
    <w:p w14:paraId="66F43159" w14:textId="41161141" w:rsidR="00ED50EE" w:rsidRDefault="00ED50EE" w:rsidP="00ED50EE">
      <w:pPr>
        <w:tabs>
          <w:tab w:val="left" w:pos="3105"/>
        </w:tabs>
        <w:spacing w:line="480" w:lineRule="auto"/>
      </w:pPr>
    </w:p>
    <w:p w14:paraId="06A0B000" w14:textId="5D8CAB1E" w:rsidR="00ED50EE" w:rsidRDefault="00ED50EE" w:rsidP="00ED50EE">
      <w:pPr>
        <w:tabs>
          <w:tab w:val="left" w:pos="3105"/>
        </w:tabs>
        <w:spacing w:line="480" w:lineRule="auto"/>
      </w:pPr>
    </w:p>
    <w:p w14:paraId="788D83CC" w14:textId="68062A82" w:rsidR="00ED50EE" w:rsidRDefault="00ED50EE" w:rsidP="00ED50EE">
      <w:pPr>
        <w:tabs>
          <w:tab w:val="left" w:pos="3105"/>
        </w:tabs>
        <w:spacing w:line="480" w:lineRule="auto"/>
      </w:pPr>
    </w:p>
    <w:p w14:paraId="4F99B1BD" w14:textId="56448ACE" w:rsidR="00ED50EE" w:rsidRDefault="00ED50EE" w:rsidP="00ED50EE">
      <w:pPr>
        <w:tabs>
          <w:tab w:val="left" w:pos="3105"/>
        </w:tabs>
        <w:spacing w:line="480" w:lineRule="auto"/>
      </w:pPr>
    </w:p>
    <w:p w14:paraId="1E8DF74D" w14:textId="4754FF1E" w:rsidR="00ED50EE" w:rsidRDefault="00ED50EE" w:rsidP="00ED50EE">
      <w:pPr>
        <w:tabs>
          <w:tab w:val="left" w:pos="3105"/>
        </w:tabs>
        <w:spacing w:line="480" w:lineRule="auto"/>
      </w:pPr>
    </w:p>
    <w:p w14:paraId="22CBF9F1" w14:textId="06405671" w:rsidR="00ED50EE" w:rsidRDefault="00ED50EE" w:rsidP="00ED50EE">
      <w:pPr>
        <w:tabs>
          <w:tab w:val="left" w:pos="3105"/>
        </w:tabs>
        <w:spacing w:line="480" w:lineRule="auto"/>
      </w:pPr>
    </w:p>
    <w:p w14:paraId="6D40CFE4" w14:textId="6A74496C" w:rsidR="00ED50EE" w:rsidRDefault="00ED50EE" w:rsidP="00ED50EE">
      <w:pPr>
        <w:tabs>
          <w:tab w:val="left" w:pos="3105"/>
        </w:tabs>
        <w:spacing w:line="480" w:lineRule="auto"/>
      </w:pPr>
    </w:p>
    <w:p w14:paraId="0A31AE25" w14:textId="2EF28939" w:rsidR="00ED50EE" w:rsidRDefault="00ED50EE" w:rsidP="00ED50EE">
      <w:pPr>
        <w:tabs>
          <w:tab w:val="left" w:pos="3105"/>
        </w:tabs>
        <w:spacing w:line="480" w:lineRule="auto"/>
      </w:pPr>
    </w:p>
    <w:p w14:paraId="298729FF" w14:textId="4162F0C1" w:rsidR="00ED50EE" w:rsidRDefault="00ED50EE" w:rsidP="00ED50EE">
      <w:pPr>
        <w:tabs>
          <w:tab w:val="left" w:pos="3105"/>
        </w:tabs>
        <w:spacing w:line="480" w:lineRule="auto"/>
      </w:pPr>
    </w:p>
    <w:p w14:paraId="0BBB0325" w14:textId="20744C8E" w:rsidR="00ED50EE" w:rsidRDefault="00ED50EE" w:rsidP="00ED50EE">
      <w:pPr>
        <w:tabs>
          <w:tab w:val="left" w:pos="3105"/>
        </w:tabs>
        <w:spacing w:line="480" w:lineRule="auto"/>
      </w:pPr>
    </w:p>
    <w:p w14:paraId="28A99A36" w14:textId="0D8DCD0E" w:rsidR="00ED50EE" w:rsidRDefault="00ED50EE" w:rsidP="00ED50EE">
      <w:pPr>
        <w:tabs>
          <w:tab w:val="left" w:pos="3105"/>
        </w:tabs>
        <w:spacing w:line="480" w:lineRule="auto"/>
      </w:pPr>
    </w:p>
    <w:p w14:paraId="38480552" w14:textId="3E00F886" w:rsidR="00ED50EE" w:rsidRDefault="00ED50EE" w:rsidP="00ED50EE">
      <w:pPr>
        <w:tabs>
          <w:tab w:val="left" w:pos="3105"/>
        </w:tabs>
        <w:spacing w:line="480" w:lineRule="auto"/>
      </w:pPr>
    </w:p>
    <w:p w14:paraId="464B0F6F" w14:textId="26DE974F" w:rsidR="00ED50EE" w:rsidRDefault="00EC27F4" w:rsidP="00ED50EE">
      <w:pPr>
        <w:tabs>
          <w:tab w:val="left" w:pos="3105"/>
        </w:tabs>
        <w:spacing w:line="480" w:lineRule="auto"/>
      </w:pPr>
      <w:proofErr w:type="spellStart"/>
      <w:r w:rsidRPr="00EC27F4">
        <w:lastRenderedPageBreak/>
        <w:t>Arrian</w:t>
      </w:r>
      <w:proofErr w:type="spellEnd"/>
      <w:r w:rsidRPr="00EC27F4">
        <w:t xml:space="preserve">. </w:t>
      </w:r>
      <w:r w:rsidRPr="00EC27F4">
        <w:rPr>
          <w:i/>
        </w:rPr>
        <w:t>Anabasis of Alexander, Volume I: Books 1-4</w:t>
      </w:r>
      <w:r w:rsidRPr="00EC27F4">
        <w:t>. P. A. Brunt</w:t>
      </w:r>
      <w:r>
        <w:t xml:space="preserve"> [trans</w:t>
      </w:r>
      <w:r w:rsidRPr="00EC27F4">
        <w:t>.</w:t>
      </w:r>
      <w:r>
        <w:t>]. 1976.</w:t>
      </w:r>
      <w:r w:rsidRPr="00EC27F4">
        <w:t xml:space="preserve"> Loeb Classical Library 236. Cambridge, MA: Harvard University Press</w:t>
      </w:r>
      <w:r>
        <w:t>.</w:t>
      </w:r>
    </w:p>
    <w:p w14:paraId="445F8ACA" w14:textId="0C55C5B8" w:rsidR="00EC27F4" w:rsidRDefault="00EC27F4" w:rsidP="00ED50EE">
      <w:pPr>
        <w:tabs>
          <w:tab w:val="left" w:pos="3105"/>
        </w:tabs>
        <w:spacing w:line="480" w:lineRule="auto"/>
      </w:pPr>
      <w:r>
        <w:t xml:space="preserve">Quintus </w:t>
      </w:r>
      <w:proofErr w:type="spellStart"/>
      <w:r>
        <w:t>Curtius</w:t>
      </w:r>
      <w:proofErr w:type="spellEnd"/>
      <w:r>
        <w:t xml:space="preserve"> Rufus. </w:t>
      </w:r>
      <w:r>
        <w:rPr>
          <w:i/>
        </w:rPr>
        <w:t xml:space="preserve">The History of Alexander. </w:t>
      </w:r>
      <w:r>
        <w:t>John Yardley [trans.]. 1984. London: Penguin Classics.</w:t>
      </w:r>
    </w:p>
    <w:p w14:paraId="518EC94F" w14:textId="709C36A2" w:rsidR="00EC27F4" w:rsidRDefault="00EC27F4" w:rsidP="00ED50EE">
      <w:pPr>
        <w:tabs>
          <w:tab w:val="left" w:pos="3105"/>
        </w:tabs>
        <w:spacing w:line="480" w:lineRule="auto"/>
      </w:pPr>
      <w:r w:rsidRPr="00EC27F4">
        <w:t xml:space="preserve">Marcus </w:t>
      </w:r>
      <w:proofErr w:type="spellStart"/>
      <w:r w:rsidRPr="00EC27F4">
        <w:t>Junianus</w:t>
      </w:r>
      <w:proofErr w:type="spellEnd"/>
      <w:r w:rsidRPr="00EC27F4">
        <w:t xml:space="preserve"> Justinus</w:t>
      </w:r>
      <w:r>
        <w:t xml:space="preserve">. </w:t>
      </w:r>
      <w:proofErr w:type="spellStart"/>
      <w:r w:rsidRPr="00EC27F4">
        <w:rPr>
          <w:i/>
        </w:rPr>
        <w:t>Historiae</w:t>
      </w:r>
      <w:proofErr w:type="spellEnd"/>
      <w:r w:rsidRPr="00EC27F4">
        <w:rPr>
          <w:i/>
        </w:rPr>
        <w:t xml:space="preserve"> </w:t>
      </w:r>
      <w:proofErr w:type="spellStart"/>
      <w:r w:rsidRPr="00EC27F4">
        <w:rPr>
          <w:i/>
        </w:rPr>
        <w:t>Philippicae</w:t>
      </w:r>
      <w:proofErr w:type="spellEnd"/>
      <w:r>
        <w:rPr>
          <w:i/>
        </w:rPr>
        <w:t>.</w:t>
      </w:r>
      <w:r>
        <w:t xml:space="preserve"> Via: </w:t>
      </w:r>
      <w:hyperlink r:id="rId8" w:history="1">
        <w:r w:rsidRPr="004C4D25">
          <w:rPr>
            <w:rStyle w:val="Hyperlink"/>
          </w:rPr>
          <w:t>http://www.forumromanum.org/literature/justin/texte13.html#1</w:t>
        </w:r>
      </w:hyperlink>
      <w:r>
        <w:t xml:space="preserve"> [accessed on: 25.10.18 22.54]</w:t>
      </w:r>
    </w:p>
    <w:p w14:paraId="33E8EA60" w14:textId="64CD1E11" w:rsidR="00EC27F4" w:rsidRDefault="00EC27F4" w:rsidP="00ED50EE">
      <w:pPr>
        <w:tabs>
          <w:tab w:val="left" w:pos="3105"/>
        </w:tabs>
        <w:spacing w:line="480" w:lineRule="auto"/>
      </w:pPr>
      <w:r>
        <w:t xml:space="preserve">Pausanias. </w:t>
      </w:r>
      <w:r>
        <w:rPr>
          <w:i/>
        </w:rPr>
        <w:t>Description of Greece.</w:t>
      </w:r>
      <w:r>
        <w:t xml:space="preserve"> </w:t>
      </w:r>
      <w:r w:rsidRPr="00EC27F4">
        <w:t>W.H.S. Jones, Litt.D., and H.A. Ormerod, M.A.</w:t>
      </w:r>
      <w:r>
        <w:t xml:space="preserve"> [trans.]. 1918. </w:t>
      </w:r>
      <w:r w:rsidRPr="00EC27F4">
        <w:t>London</w:t>
      </w:r>
      <w:r w:rsidR="00A00728">
        <w:t>:</w:t>
      </w:r>
      <w:r w:rsidRPr="00EC27F4">
        <w:t xml:space="preserve"> William Heinemann Ltd.</w:t>
      </w:r>
    </w:p>
    <w:p w14:paraId="1D51A812" w14:textId="5043D30F" w:rsidR="00EC27F4" w:rsidRDefault="00EC27F4" w:rsidP="00ED50EE">
      <w:pPr>
        <w:tabs>
          <w:tab w:val="left" w:pos="3105"/>
        </w:tabs>
        <w:spacing w:line="480" w:lineRule="auto"/>
      </w:pPr>
      <w:r>
        <w:t xml:space="preserve">Plutarch. </w:t>
      </w:r>
      <w:r>
        <w:rPr>
          <w:i/>
        </w:rPr>
        <w:t xml:space="preserve">Alexander. </w:t>
      </w:r>
      <w:r>
        <w:t>B. Perrin</w:t>
      </w:r>
      <w:r w:rsidR="00A00728">
        <w:t xml:space="preserve"> [trans.]. 1919. </w:t>
      </w:r>
      <w:r w:rsidR="00A00728" w:rsidRPr="00EC27F4">
        <w:t>London</w:t>
      </w:r>
      <w:r w:rsidR="00A00728">
        <w:t>:</w:t>
      </w:r>
      <w:r w:rsidR="00A00728" w:rsidRPr="00EC27F4">
        <w:t xml:space="preserve"> William Heinemann Ltd.</w:t>
      </w:r>
    </w:p>
    <w:p w14:paraId="5504CA67" w14:textId="1E750A1C" w:rsidR="00A00728" w:rsidRDefault="00A00728" w:rsidP="00ED50EE">
      <w:pPr>
        <w:tabs>
          <w:tab w:val="left" w:pos="3105"/>
        </w:tabs>
        <w:spacing w:line="480" w:lineRule="auto"/>
      </w:pPr>
      <w:r>
        <w:t xml:space="preserve">Strabo. </w:t>
      </w:r>
      <w:r>
        <w:rPr>
          <w:i/>
        </w:rPr>
        <w:t xml:space="preserve">Geography. </w:t>
      </w:r>
      <w:r w:rsidRPr="00A00728">
        <w:t xml:space="preserve">H.C. Hamilton, </w:t>
      </w:r>
      <w:proofErr w:type="spellStart"/>
      <w:r w:rsidRPr="00A00728">
        <w:t>Esq.</w:t>
      </w:r>
      <w:proofErr w:type="spellEnd"/>
      <w:r w:rsidRPr="00A00728">
        <w:t>, W. Falconer, M.A.</w:t>
      </w:r>
      <w:r>
        <w:t xml:space="preserve"> [trans.]. 1903. </w:t>
      </w:r>
      <w:r w:rsidRPr="00A00728">
        <w:t>London</w:t>
      </w:r>
      <w:r>
        <w:t>:</w:t>
      </w:r>
      <w:r w:rsidRPr="00A00728">
        <w:t xml:space="preserve"> George Bell &amp; Sons.</w:t>
      </w:r>
    </w:p>
    <w:p w14:paraId="0B119C55" w14:textId="77777777" w:rsidR="00A00728" w:rsidRDefault="00A00728" w:rsidP="00ED50EE">
      <w:pPr>
        <w:tabs>
          <w:tab w:val="left" w:pos="3105"/>
        </w:tabs>
        <w:spacing w:line="480" w:lineRule="auto"/>
      </w:pPr>
      <w:bookmarkStart w:id="0" w:name="_GoBack"/>
      <w:bookmarkEnd w:id="0"/>
    </w:p>
    <w:p w14:paraId="5383317C" w14:textId="77777777" w:rsidR="00A00728" w:rsidRDefault="00A00728" w:rsidP="00A00728">
      <w:pPr>
        <w:pStyle w:val="Bibliography"/>
        <w:rPr>
          <w:noProof/>
          <w:sz w:val="24"/>
          <w:szCs w:val="24"/>
        </w:rPr>
      </w:pPr>
      <w:r>
        <w:fldChar w:fldCharType="begin"/>
      </w:r>
      <w:r>
        <w:instrText xml:space="preserve"> BIBLIOGRAPHY  \l 2057 </w:instrText>
      </w:r>
      <w:r>
        <w:fldChar w:fldCharType="separate"/>
      </w:r>
      <w:r>
        <w:rPr>
          <w:noProof/>
        </w:rPr>
        <w:t xml:space="preserve">Ellis, W. M., 1994. </w:t>
      </w:r>
      <w:r>
        <w:rPr>
          <w:i/>
          <w:iCs/>
          <w:noProof/>
        </w:rPr>
        <w:t xml:space="preserve">Ptolemy of Egypt. </w:t>
      </w:r>
      <w:r>
        <w:rPr>
          <w:noProof/>
        </w:rPr>
        <w:t>1st ed. London: Routledge .</w:t>
      </w:r>
    </w:p>
    <w:p w14:paraId="6B0E4B8B" w14:textId="77777777" w:rsidR="00A00728" w:rsidRDefault="00A00728" w:rsidP="00A00728">
      <w:pPr>
        <w:pStyle w:val="Bibliography"/>
        <w:rPr>
          <w:noProof/>
        </w:rPr>
      </w:pPr>
      <w:r>
        <w:rPr>
          <w:noProof/>
        </w:rPr>
        <w:t xml:space="preserve">Lendering, J., 2004. </w:t>
      </w:r>
      <w:r>
        <w:rPr>
          <w:i/>
          <w:iCs/>
          <w:noProof/>
        </w:rPr>
        <w:t xml:space="preserve">Ptolemy I Soter. </w:t>
      </w:r>
      <w:r>
        <w:rPr>
          <w:noProof/>
        </w:rPr>
        <w:t xml:space="preserve">[Online] </w:t>
      </w:r>
      <w:r>
        <w:rPr>
          <w:noProof/>
        </w:rPr>
        <w:br/>
        <w:t xml:space="preserve">Available at: </w:t>
      </w:r>
      <w:r>
        <w:rPr>
          <w:noProof/>
          <w:u w:val="single"/>
        </w:rPr>
        <w:t>http://www.livius.org/articles/person/ptolemy-i-soter/</w:t>
      </w:r>
      <w:r>
        <w:rPr>
          <w:noProof/>
        </w:rPr>
        <w:br/>
        <w:t>[Accessed 25th october 2018].</w:t>
      </w:r>
    </w:p>
    <w:p w14:paraId="2A21959B" w14:textId="1EC1ED13" w:rsidR="00A00728" w:rsidRPr="00A00728" w:rsidRDefault="00A00728" w:rsidP="00A00728">
      <w:pPr>
        <w:tabs>
          <w:tab w:val="left" w:pos="3105"/>
        </w:tabs>
        <w:spacing w:line="480" w:lineRule="auto"/>
      </w:pPr>
      <w:r>
        <w:fldChar w:fldCharType="end"/>
      </w:r>
    </w:p>
    <w:sectPr w:rsidR="00A00728" w:rsidRPr="00A007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F26157" w14:textId="77777777" w:rsidR="00715F6B" w:rsidRDefault="00715F6B" w:rsidP="00715F6B">
      <w:pPr>
        <w:spacing w:after="0" w:line="240" w:lineRule="auto"/>
      </w:pPr>
      <w:r>
        <w:separator/>
      </w:r>
    </w:p>
  </w:endnote>
  <w:endnote w:type="continuationSeparator" w:id="0">
    <w:p w14:paraId="269C8BBF" w14:textId="77777777" w:rsidR="00715F6B" w:rsidRDefault="00715F6B" w:rsidP="00715F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89E10D" w14:textId="77777777" w:rsidR="00715F6B" w:rsidRDefault="00715F6B" w:rsidP="00715F6B">
      <w:pPr>
        <w:spacing w:after="0" w:line="240" w:lineRule="auto"/>
      </w:pPr>
      <w:r>
        <w:separator/>
      </w:r>
    </w:p>
  </w:footnote>
  <w:footnote w:type="continuationSeparator" w:id="0">
    <w:p w14:paraId="77CA1D9F" w14:textId="77777777" w:rsidR="00715F6B" w:rsidRDefault="00715F6B" w:rsidP="00715F6B">
      <w:pPr>
        <w:spacing w:after="0" w:line="240" w:lineRule="auto"/>
      </w:pPr>
      <w:r>
        <w:continuationSeparator/>
      </w:r>
    </w:p>
  </w:footnote>
  <w:footnote w:id="1">
    <w:p w14:paraId="0F2C6D3B" w14:textId="2E60BD24" w:rsidR="00715F6B" w:rsidRDefault="00715F6B">
      <w:pPr>
        <w:pStyle w:val="FootnoteText"/>
      </w:pPr>
      <w:r>
        <w:rPr>
          <w:rStyle w:val="FootnoteReference"/>
        </w:rPr>
        <w:footnoteRef/>
      </w:r>
      <w:r>
        <w:t xml:space="preserve"> </w:t>
      </w:r>
      <w:proofErr w:type="spellStart"/>
      <w:r w:rsidR="00ED50EE">
        <w:t>Lendering</w:t>
      </w:r>
      <w:proofErr w:type="spellEnd"/>
      <w:r w:rsidR="00ED50EE">
        <w:t>, 2004.</w:t>
      </w:r>
    </w:p>
  </w:footnote>
  <w:footnote w:id="2">
    <w:p w14:paraId="52E5A0A3" w14:textId="738F5A5F" w:rsidR="00FA3565" w:rsidRDefault="00FA3565">
      <w:pPr>
        <w:pStyle w:val="FootnoteText"/>
      </w:pPr>
      <w:r>
        <w:rPr>
          <w:rStyle w:val="FootnoteReference"/>
        </w:rPr>
        <w:footnoteRef/>
      </w:r>
      <w:r>
        <w:t xml:space="preserve"> </w:t>
      </w:r>
      <w:r w:rsidR="00ED50EE">
        <w:t>Ellis, 1994. Pg.</w:t>
      </w:r>
      <w:r>
        <w:t>2-3</w:t>
      </w:r>
    </w:p>
  </w:footnote>
  <w:footnote w:id="3">
    <w:p w14:paraId="67D087F6" w14:textId="36093906" w:rsidR="00146BDF" w:rsidRDefault="00146BDF">
      <w:pPr>
        <w:pStyle w:val="FootnoteText"/>
      </w:pPr>
      <w:r>
        <w:rPr>
          <w:rStyle w:val="FootnoteReference"/>
        </w:rPr>
        <w:footnoteRef/>
      </w:r>
      <w:r>
        <w:t xml:space="preserve"> Just</w:t>
      </w:r>
      <w:r w:rsidRPr="00ED50EE">
        <w:rPr>
          <w:i/>
        </w:rPr>
        <w:t>. Phil. Hist.</w:t>
      </w:r>
      <w:r>
        <w:t xml:space="preserve"> 13.4</w:t>
      </w:r>
    </w:p>
  </w:footnote>
  <w:footnote w:id="4">
    <w:p w14:paraId="7E1CD586" w14:textId="34088525" w:rsidR="00146BDF" w:rsidRDefault="00146BDF">
      <w:pPr>
        <w:pStyle w:val="FootnoteText"/>
      </w:pPr>
      <w:r>
        <w:rPr>
          <w:rStyle w:val="FootnoteReference"/>
        </w:rPr>
        <w:footnoteRef/>
      </w:r>
      <w:r>
        <w:t xml:space="preserve"> Ellis</w:t>
      </w:r>
      <w:r w:rsidR="00ED50EE">
        <w:t>, 1994.</w:t>
      </w:r>
      <w:r>
        <w:t xml:space="preserve"> Pg</w:t>
      </w:r>
      <w:r w:rsidR="00ED50EE">
        <w:t>.</w:t>
      </w:r>
      <w:r>
        <w:t xml:space="preserve">2: refers to a wisecrack about Ptolemy’s father </w:t>
      </w:r>
      <w:proofErr w:type="spellStart"/>
      <w:r>
        <w:t>Lagus</w:t>
      </w:r>
      <w:proofErr w:type="spellEnd"/>
      <w:r>
        <w:t>’ lack of familial distinction recorded by Plutarch</w:t>
      </w:r>
      <w:r w:rsidR="00D02B3F">
        <w:t xml:space="preserve">: </w:t>
      </w:r>
      <w:r w:rsidR="00ED50EE">
        <w:t>(</w:t>
      </w:r>
      <w:proofErr w:type="spellStart"/>
      <w:r w:rsidR="00D02B3F">
        <w:t>Plut</w:t>
      </w:r>
      <w:proofErr w:type="spellEnd"/>
      <w:r w:rsidR="00D02B3F">
        <w:t>.</w:t>
      </w:r>
      <w:r w:rsidR="00D02B3F" w:rsidRPr="00ED50EE">
        <w:rPr>
          <w:i/>
        </w:rPr>
        <w:t xml:space="preserve"> De </w:t>
      </w:r>
      <w:proofErr w:type="spellStart"/>
      <w:r w:rsidR="00D02B3F" w:rsidRPr="00ED50EE">
        <w:rPr>
          <w:i/>
        </w:rPr>
        <w:t>Cohib</w:t>
      </w:r>
      <w:proofErr w:type="spellEnd"/>
      <w:r w:rsidR="00D02B3F">
        <w:t>. 9</w:t>
      </w:r>
      <w:r w:rsidR="00ED50EE">
        <w:t>)</w:t>
      </w:r>
    </w:p>
  </w:footnote>
  <w:footnote w:id="5">
    <w:p w14:paraId="4B8AB0C2" w14:textId="5D555D6A" w:rsidR="002C58F7" w:rsidRDefault="002C58F7">
      <w:pPr>
        <w:pStyle w:val="FootnoteText"/>
      </w:pPr>
      <w:r>
        <w:rPr>
          <w:rStyle w:val="FootnoteReference"/>
        </w:rPr>
        <w:footnoteRef/>
      </w:r>
      <w:r>
        <w:t xml:space="preserve"> Ellis</w:t>
      </w:r>
      <w:r w:rsidR="00ED50EE">
        <w:t>, 1994.</w:t>
      </w:r>
      <w:r>
        <w:t xml:space="preserve"> </w:t>
      </w:r>
      <w:r w:rsidR="00ED50EE">
        <w:t>P</w:t>
      </w:r>
      <w:r>
        <w:t>g</w:t>
      </w:r>
      <w:r w:rsidR="00ED50EE">
        <w:t>.</w:t>
      </w:r>
      <w:r>
        <w:t>3</w:t>
      </w:r>
    </w:p>
  </w:footnote>
  <w:footnote w:id="6">
    <w:p w14:paraId="49B277E4" w14:textId="246447AD" w:rsidR="002C58F7" w:rsidRDefault="002C58F7">
      <w:pPr>
        <w:pStyle w:val="FootnoteText"/>
      </w:pPr>
      <w:r>
        <w:rPr>
          <w:rStyle w:val="FootnoteReference"/>
        </w:rPr>
        <w:footnoteRef/>
      </w:r>
      <w:r>
        <w:t xml:space="preserve"> Ellis</w:t>
      </w:r>
      <w:r w:rsidR="00ED50EE">
        <w:t>, 1994.</w:t>
      </w:r>
      <w:r>
        <w:t xml:space="preserve"> </w:t>
      </w:r>
      <w:r w:rsidR="00ED50EE">
        <w:t>P</w:t>
      </w:r>
      <w:r>
        <w:t>g. 12</w:t>
      </w:r>
    </w:p>
  </w:footnote>
  <w:footnote w:id="7">
    <w:p w14:paraId="5DE23897" w14:textId="710AB44F" w:rsidR="001D193E" w:rsidRDefault="001D193E">
      <w:pPr>
        <w:pStyle w:val="FootnoteText"/>
      </w:pPr>
      <w:r>
        <w:rPr>
          <w:rStyle w:val="FootnoteReference"/>
        </w:rPr>
        <w:footnoteRef/>
      </w:r>
      <w:r>
        <w:t xml:space="preserve"> </w:t>
      </w:r>
      <w:proofErr w:type="spellStart"/>
      <w:r>
        <w:t>Plut</w:t>
      </w:r>
      <w:proofErr w:type="spellEnd"/>
      <w:r>
        <w:t xml:space="preserve">. </w:t>
      </w:r>
      <w:r w:rsidRPr="00ED50EE">
        <w:rPr>
          <w:i/>
        </w:rPr>
        <w:t xml:space="preserve">Alex. </w:t>
      </w:r>
      <w:r>
        <w:t>10.3</w:t>
      </w:r>
    </w:p>
  </w:footnote>
  <w:footnote w:id="8">
    <w:p w14:paraId="302CB9E3" w14:textId="41D54952" w:rsidR="001D193E" w:rsidRDefault="001D193E">
      <w:pPr>
        <w:pStyle w:val="FootnoteText"/>
      </w:pPr>
      <w:r>
        <w:rPr>
          <w:rStyle w:val="FootnoteReference"/>
        </w:rPr>
        <w:footnoteRef/>
      </w:r>
      <w:r>
        <w:t xml:space="preserve"> </w:t>
      </w:r>
      <w:proofErr w:type="spellStart"/>
      <w:r>
        <w:t>Lendering</w:t>
      </w:r>
      <w:proofErr w:type="spellEnd"/>
      <w:r w:rsidR="00ED50EE">
        <w:t>, 2004.</w:t>
      </w:r>
    </w:p>
  </w:footnote>
  <w:footnote w:id="9">
    <w:p w14:paraId="3690D6B3" w14:textId="5044C9A5" w:rsidR="001D193E" w:rsidRDefault="001D193E">
      <w:pPr>
        <w:pStyle w:val="FootnoteText"/>
      </w:pPr>
      <w:r>
        <w:rPr>
          <w:rStyle w:val="FootnoteReference"/>
        </w:rPr>
        <w:footnoteRef/>
      </w:r>
      <w:r>
        <w:t xml:space="preserve"> Ibid</w:t>
      </w:r>
      <w:r w:rsidR="00ED50EE">
        <w:t>.</w:t>
      </w:r>
    </w:p>
  </w:footnote>
  <w:footnote w:id="10">
    <w:p w14:paraId="4936C197" w14:textId="617CD32A" w:rsidR="00E7691E" w:rsidRDefault="00E7691E">
      <w:pPr>
        <w:pStyle w:val="FootnoteText"/>
      </w:pPr>
      <w:r>
        <w:rPr>
          <w:rStyle w:val="FootnoteReference"/>
        </w:rPr>
        <w:footnoteRef/>
      </w:r>
      <w:r>
        <w:t xml:space="preserve"> Arr. </w:t>
      </w:r>
      <w:r w:rsidRPr="00ED50EE">
        <w:rPr>
          <w:i/>
        </w:rPr>
        <w:t>Ana</w:t>
      </w:r>
      <w:r>
        <w:t>. 2.11.8-9</w:t>
      </w:r>
    </w:p>
  </w:footnote>
  <w:footnote w:id="11">
    <w:p w14:paraId="6B90271E" w14:textId="5CD1B3D3" w:rsidR="00E7691E" w:rsidRDefault="00E7691E">
      <w:pPr>
        <w:pStyle w:val="FootnoteText"/>
      </w:pPr>
      <w:r>
        <w:rPr>
          <w:rStyle w:val="FootnoteReference"/>
        </w:rPr>
        <w:footnoteRef/>
      </w:r>
      <w:r>
        <w:t xml:space="preserve"> Ellis, 1994. Pg.6</w:t>
      </w:r>
    </w:p>
  </w:footnote>
  <w:footnote w:id="12">
    <w:p w14:paraId="4D08ACE7" w14:textId="3C1BAA2C" w:rsidR="003C289E" w:rsidRDefault="003C289E">
      <w:pPr>
        <w:pStyle w:val="FootnoteText"/>
      </w:pPr>
      <w:r>
        <w:rPr>
          <w:rStyle w:val="FootnoteReference"/>
        </w:rPr>
        <w:footnoteRef/>
      </w:r>
      <w:r>
        <w:t xml:space="preserve"> Arr. </w:t>
      </w:r>
      <w:r w:rsidRPr="00ED50EE">
        <w:rPr>
          <w:i/>
        </w:rPr>
        <w:t>Ana</w:t>
      </w:r>
      <w:r>
        <w:t>. 3.27.5</w:t>
      </w:r>
    </w:p>
  </w:footnote>
  <w:footnote w:id="13">
    <w:p w14:paraId="57C91732" w14:textId="3E52CDD5" w:rsidR="004A612F" w:rsidRDefault="004A612F">
      <w:pPr>
        <w:pStyle w:val="FootnoteText"/>
      </w:pPr>
      <w:r>
        <w:rPr>
          <w:rStyle w:val="FootnoteReference"/>
        </w:rPr>
        <w:footnoteRef/>
      </w:r>
      <w:r>
        <w:t xml:space="preserve"> Arr. </w:t>
      </w:r>
      <w:r w:rsidRPr="00ED50EE">
        <w:rPr>
          <w:i/>
        </w:rPr>
        <w:t>Ana.</w:t>
      </w:r>
      <w:r>
        <w:t xml:space="preserve"> 4.8.9</w:t>
      </w:r>
    </w:p>
  </w:footnote>
  <w:footnote w:id="14">
    <w:p w14:paraId="39EF524F" w14:textId="1C8A54C1" w:rsidR="004A612F" w:rsidRDefault="004A612F">
      <w:pPr>
        <w:pStyle w:val="FootnoteText"/>
      </w:pPr>
      <w:r>
        <w:rPr>
          <w:rStyle w:val="FootnoteReference"/>
        </w:rPr>
        <w:footnoteRef/>
      </w:r>
      <w:r>
        <w:t xml:space="preserve"> Arr. </w:t>
      </w:r>
      <w:r w:rsidRPr="00ED50EE">
        <w:rPr>
          <w:i/>
        </w:rPr>
        <w:t>Ana.</w:t>
      </w:r>
      <w:r>
        <w:t xml:space="preserve"> 4.28.1-30.1</w:t>
      </w:r>
    </w:p>
  </w:footnote>
  <w:footnote w:id="15">
    <w:p w14:paraId="2B828388" w14:textId="7F9001A8" w:rsidR="0069547D" w:rsidRDefault="0069547D">
      <w:pPr>
        <w:pStyle w:val="FootnoteText"/>
      </w:pPr>
      <w:r>
        <w:rPr>
          <w:rStyle w:val="FootnoteReference"/>
        </w:rPr>
        <w:footnoteRef/>
      </w:r>
      <w:r>
        <w:t xml:space="preserve"> Curt.</w:t>
      </w:r>
      <w:r w:rsidRPr="00ED50EE">
        <w:rPr>
          <w:i/>
        </w:rPr>
        <w:t xml:space="preserve"> Hist. Alex</w:t>
      </w:r>
      <w:r>
        <w:t>. 9.8.22</w:t>
      </w:r>
    </w:p>
  </w:footnote>
  <w:footnote w:id="16">
    <w:p w14:paraId="5DF57AFB" w14:textId="73DD4F01" w:rsidR="00ED50EE" w:rsidRDefault="00ED50EE">
      <w:pPr>
        <w:pStyle w:val="FootnoteText"/>
      </w:pPr>
      <w:r>
        <w:rPr>
          <w:rStyle w:val="FootnoteReference"/>
        </w:rPr>
        <w:footnoteRef/>
      </w:r>
      <w:r>
        <w:t xml:space="preserve"> Ellis, 1994. Pg.23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032CC5"/>
    <w:multiLevelType w:val="hybridMultilevel"/>
    <w:tmpl w:val="685E6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37177"/>
    <w:rsid w:val="00022158"/>
    <w:rsid w:val="00037177"/>
    <w:rsid w:val="00087AFE"/>
    <w:rsid w:val="00107763"/>
    <w:rsid w:val="00136858"/>
    <w:rsid w:val="00146BDF"/>
    <w:rsid w:val="001B1966"/>
    <w:rsid w:val="001D193E"/>
    <w:rsid w:val="002658CF"/>
    <w:rsid w:val="002817EE"/>
    <w:rsid w:val="00297C38"/>
    <w:rsid w:val="002C12FF"/>
    <w:rsid w:val="002C58F7"/>
    <w:rsid w:val="002E6C72"/>
    <w:rsid w:val="00335E32"/>
    <w:rsid w:val="003C289E"/>
    <w:rsid w:val="00414195"/>
    <w:rsid w:val="00441ED5"/>
    <w:rsid w:val="004A612F"/>
    <w:rsid w:val="006869AA"/>
    <w:rsid w:val="0069547D"/>
    <w:rsid w:val="00715F6B"/>
    <w:rsid w:val="0072527D"/>
    <w:rsid w:val="00772196"/>
    <w:rsid w:val="0078516B"/>
    <w:rsid w:val="007857AE"/>
    <w:rsid w:val="0078766C"/>
    <w:rsid w:val="00790EED"/>
    <w:rsid w:val="007C4AF2"/>
    <w:rsid w:val="007F27EC"/>
    <w:rsid w:val="00806A11"/>
    <w:rsid w:val="00824BEC"/>
    <w:rsid w:val="0085414D"/>
    <w:rsid w:val="00884343"/>
    <w:rsid w:val="00887D8D"/>
    <w:rsid w:val="00895568"/>
    <w:rsid w:val="008B08D8"/>
    <w:rsid w:val="00950C68"/>
    <w:rsid w:val="00A00728"/>
    <w:rsid w:val="00A042C6"/>
    <w:rsid w:val="00A734B8"/>
    <w:rsid w:val="00AD45EB"/>
    <w:rsid w:val="00B93C51"/>
    <w:rsid w:val="00BA1467"/>
    <w:rsid w:val="00BE415C"/>
    <w:rsid w:val="00CA222D"/>
    <w:rsid w:val="00D02B3F"/>
    <w:rsid w:val="00D0563E"/>
    <w:rsid w:val="00DE28E7"/>
    <w:rsid w:val="00DF137F"/>
    <w:rsid w:val="00DF1DBA"/>
    <w:rsid w:val="00DF5568"/>
    <w:rsid w:val="00E7691E"/>
    <w:rsid w:val="00EC27F4"/>
    <w:rsid w:val="00ED50EE"/>
    <w:rsid w:val="00F164D7"/>
    <w:rsid w:val="00F27DB5"/>
    <w:rsid w:val="00F92D5B"/>
    <w:rsid w:val="00FA35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4C593"/>
  <w15:chartTrackingRefBased/>
  <w15:docId w15:val="{4D907D72-AF15-414E-95ED-F36D6A31B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7177"/>
    <w:pPr>
      <w:ind w:left="720"/>
      <w:contextualSpacing/>
    </w:pPr>
  </w:style>
  <w:style w:type="paragraph" w:styleId="FootnoteText">
    <w:name w:val="footnote text"/>
    <w:basedOn w:val="Normal"/>
    <w:link w:val="FootnoteTextChar"/>
    <w:uiPriority w:val="99"/>
    <w:semiHidden/>
    <w:unhideWhenUsed/>
    <w:rsid w:val="00715F6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5F6B"/>
    <w:rPr>
      <w:sz w:val="20"/>
      <w:szCs w:val="20"/>
    </w:rPr>
  </w:style>
  <w:style w:type="character" w:styleId="FootnoteReference">
    <w:name w:val="footnote reference"/>
    <w:basedOn w:val="DefaultParagraphFont"/>
    <w:uiPriority w:val="99"/>
    <w:semiHidden/>
    <w:unhideWhenUsed/>
    <w:rsid w:val="00715F6B"/>
    <w:rPr>
      <w:vertAlign w:val="superscript"/>
    </w:rPr>
  </w:style>
  <w:style w:type="character" w:styleId="Hyperlink">
    <w:name w:val="Hyperlink"/>
    <w:basedOn w:val="DefaultParagraphFont"/>
    <w:uiPriority w:val="99"/>
    <w:unhideWhenUsed/>
    <w:rsid w:val="00EC27F4"/>
    <w:rPr>
      <w:color w:val="0000FF" w:themeColor="hyperlink"/>
      <w:u w:val="single"/>
    </w:rPr>
  </w:style>
  <w:style w:type="character" w:styleId="UnresolvedMention">
    <w:name w:val="Unresolved Mention"/>
    <w:basedOn w:val="DefaultParagraphFont"/>
    <w:uiPriority w:val="99"/>
    <w:semiHidden/>
    <w:unhideWhenUsed/>
    <w:rsid w:val="00EC27F4"/>
    <w:rPr>
      <w:color w:val="605E5C"/>
      <w:shd w:val="clear" w:color="auto" w:fill="E1DFDD"/>
    </w:rPr>
  </w:style>
  <w:style w:type="paragraph" w:styleId="Bibliography">
    <w:name w:val="Bibliography"/>
    <w:basedOn w:val="Normal"/>
    <w:next w:val="Normal"/>
    <w:uiPriority w:val="37"/>
    <w:unhideWhenUsed/>
    <w:rsid w:val="00A007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422494">
      <w:bodyDiv w:val="1"/>
      <w:marLeft w:val="0"/>
      <w:marRight w:val="0"/>
      <w:marTop w:val="0"/>
      <w:marBottom w:val="0"/>
      <w:divBdr>
        <w:top w:val="none" w:sz="0" w:space="0" w:color="auto"/>
        <w:left w:val="none" w:sz="0" w:space="0" w:color="auto"/>
        <w:bottom w:val="none" w:sz="0" w:space="0" w:color="auto"/>
        <w:right w:val="none" w:sz="0" w:space="0" w:color="auto"/>
      </w:divBdr>
    </w:div>
    <w:div w:id="248080294">
      <w:bodyDiv w:val="1"/>
      <w:marLeft w:val="0"/>
      <w:marRight w:val="0"/>
      <w:marTop w:val="0"/>
      <w:marBottom w:val="0"/>
      <w:divBdr>
        <w:top w:val="none" w:sz="0" w:space="0" w:color="auto"/>
        <w:left w:val="none" w:sz="0" w:space="0" w:color="auto"/>
        <w:bottom w:val="none" w:sz="0" w:space="0" w:color="auto"/>
        <w:right w:val="none" w:sz="0" w:space="0" w:color="auto"/>
      </w:divBdr>
    </w:div>
    <w:div w:id="279996425">
      <w:bodyDiv w:val="1"/>
      <w:marLeft w:val="0"/>
      <w:marRight w:val="0"/>
      <w:marTop w:val="0"/>
      <w:marBottom w:val="0"/>
      <w:divBdr>
        <w:top w:val="none" w:sz="0" w:space="0" w:color="auto"/>
        <w:left w:val="none" w:sz="0" w:space="0" w:color="auto"/>
        <w:bottom w:val="none" w:sz="0" w:space="0" w:color="auto"/>
        <w:right w:val="none" w:sz="0" w:space="0" w:color="auto"/>
      </w:divBdr>
    </w:div>
    <w:div w:id="697967141">
      <w:bodyDiv w:val="1"/>
      <w:marLeft w:val="0"/>
      <w:marRight w:val="0"/>
      <w:marTop w:val="0"/>
      <w:marBottom w:val="0"/>
      <w:divBdr>
        <w:top w:val="none" w:sz="0" w:space="0" w:color="auto"/>
        <w:left w:val="none" w:sz="0" w:space="0" w:color="auto"/>
        <w:bottom w:val="none" w:sz="0" w:space="0" w:color="auto"/>
        <w:right w:val="none" w:sz="0" w:space="0" w:color="auto"/>
      </w:divBdr>
    </w:div>
    <w:div w:id="1402479257">
      <w:bodyDiv w:val="1"/>
      <w:marLeft w:val="0"/>
      <w:marRight w:val="0"/>
      <w:marTop w:val="0"/>
      <w:marBottom w:val="0"/>
      <w:divBdr>
        <w:top w:val="none" w:sz="0" w:space="0" w:color="auto"/>
        <w:left w:val="none" w:sz="0" w:space="0" w:color="auto"/>
        <w:bottom w:val="none" w:sz="0" w:space="0" w:color="auto"/>
        <w:right w:val="none" w:sz="0" w:space="0" w:color="auto"/>
      </w:divBdr>
    </w:div>
    <w:div w:id="1555123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umromanum.org/literature/justin/texte13.html#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Wal94</b:Tag>
    <b:SourceType>Book</b:SourceType>
    <b:Guid>{E6A409C1-E737-4766-BBB9-9CC8A5AD9F52}</b:Guid>
    <b:Author>
      <b:Author>
        <b:NameList>
          <b:Person>
            <b:Last>Ellis</b:Last>
            <b:First>Walter</b:First>
            <b:Middle>M.</b:Middle>
          </b:Person>
        </b:NameList>
      </b:Author>
    </b:Author>
    <b:Title>Ptolemy of Egypt</b:Title>
    <b:Year>1994</b:Year>
    <b:City>London</b:City>
    <b:Publisher>Routledge </b:Publisher>
    <b:Edition>1st</b:Edition>
    <b:RefOrder>1</b:RefOrder>
  </b:Source>
  <b:Source>
    <b:Tag>Len04</b:Tag>
    <b:SourceType>DocumentFromInternetSite</b:SourceType>
    <b:Guid>{808CCB88-B89F-4204-A1D7-A874ED45DC26}</b:Guid>
    <b:Author>
      <b:Author>
        <b:NameList>
          <b:Person>
            <b:Last>Lendering</b:Last>
            <b:First>Jona</b:First>
          </b:Person>
        </b:NameList>
      </b:Author>
    </b:Author>
    <b:Title>Ptolemy I Soter</b:Title>
    <b:Year>2004</b:Year>
    <b:Publisher>Li</b:Publisher>
    <b:YearAccessed>2018</b:YearAccessed>
    <b:MonthAccessed>october</b:MonthAccessed>
    <b:DayAccessed>25th</b:DayAccessed>
    <b:URL>http://www.livius.org/articles/person/ptolemy-i-soter/</b:URL>
    <b:RefOrder>2</b:RefOrder>
  </b:Source>
</b:Sources>
</file>

<file path=customXml/itemProps1.xml><?xml version="1.0" encoding="utf-8"?>
<ds:datastoreItem xmlns:ds="http://schemas.openxmlformats.org/officeDocument/2006/customXml" ds:itemID="{E67262FA-E688-4C7F-A186-A1A06511D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1674</TotalTime>
  <Pages>4</Pages>
  <Words>830</Words>
  <Characters>4737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dc:creator>
  <cp:keywords/>
  <dc:description/>
  <cp:lastModifiedBy>Sam</cp:lastModifiedBy>
  <cp:revision>1</cp:revision>
  <dcterms:created xsi:type="dcterms:W3CDTF">2018-10-25T18:08:00Z</dcterms:created>
  <dcterms:modified xsi:type="dcterms:W3CDTF">2018-10-26T22:02:00Z</dcterms:modified>
</cp:coreProperties>
</file>