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2E05" w14:textId="77777777" w:rsidR="004336FE" w:rsidRDefault="00000000">
      <w:pPr>
        <w:pStyle w:val="Normal1"/>
        <w:jc w:val="center"/>
        <w:rPr>
          <w:b/>
          <w:sz w:val="36"/>
          <w:szCs w:val="36"/>
        </w:rPr>
      </w:pPr>
      <w:r>
        <w:rPr>
          <w:noProof/>
        </w:rPr>
        <w:drawing>
          <wp:anchor distT="114300" distB="114300" distL="114300" distR="114300" simplePos="0" relativeHeight="251658240" behindDoc="0" locked="0" layoutInCell="1" allowOverlap="1" wp14:anchorId="45EFF5BE" wp14:editId="21B363F9">
            <wp:simplePos x="0" y="0"/>
            <wp:positionH relativeFrom="column">
              <wp:posOffset>-361949</wp:posOffset>
            </wp:positionH>
            <wp:positionV relativeFrom="paragraph">
              <wp:posOffset>114300</wp:posOffset>
            </wp:positionV>
            <wp:extent cx="2714625" cy="11906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2714625" cy="1190625"/>
                    </a:xfrm>
                    <a:prstGeom prst="rect">
                      <a:avLst/>
                    </a:prstGeom>
                  </pic:spPr>
                </pic:pic>
              </a:graphicData>
            </a:graphic>
          </wp:anchor>
        </w:drawing>
      </w:r>
    </w:p>
    <w:p w14:paraId="45D63F65" w14:textId="77777777" w:rsidR="004336FE" w:rsidRDefault="004336FE">
      <w:pPr>
        <w:pStyle w:val="Normal1"/>
        <w:jc w:val="center"/>
        <w:rPr>
          <w:b/>
          <w:sz w:val="36"/>
          <w:szCs w:val="36"/>
        </w:rPr>
      </w:pPr>
    </w:p>
    <w:p w14:paraId="474AEDC4" w14:textId="77777777" w:rsidR="004336FE" w:rsidRDefault="004336FE">
      <w:pPr>
        <w:pStyle w:val="Normal1"/>
        <w:jc w:val="center"/>
        <w:rPr>
          <w:b/>
          <w:sz w:val="36"/>
          <w:szCs w:val="36"/>
        </w:rPr>
      </w:pPr>
    </w:p>
    <w:p w14:paraId="20905D82" w14:textId="77777777" w:rsidR="004336FE" w:rsidRDefault="004336FE">
      <w:pPr>
        <w:pStyle w:val="Normal1"/>
        <w:jc w:val="center"/>
        <w:rPr>
          <w:b/>
          <w:sz w:val="36"/>
          <w:szCs w:val="36"/>
        </w:rPr>
      </w:pPr>
    </w:p>
    <w:p w14:paraId="5D600DE1" w14:textId="77777777" w:rsidR="004336FE" w:rsidRDefault="00000000">
      <w:pPr>
        <w:pStyle w:val="Normal1"/>
        <w:jc w:val="center"/>
        <w:rPr>
          <w:b/>
          <w:sz w:val="36"/>
          <w:szCs w:val="36"/>
        </w:rPr>
      </w:pPr>
      <w:r>
        <w:rPr>
          <w:b/>
          <w:sz w:val="36"/>
          <w:szCs w:val="36"/>
        </w:rPr>
        <w:t xml:space="preserve">International Financial Management </w:t>
      </w:r>
    </w:p>
    <w:p w14:paraId="49015FC8" w14:textId="593B47B1" w:rsidR="004336FE" w:rsidRDefault="00AA7518">
      <w:pPr>
        <w:pStyle w:val="Normal1"/>
        <w:jc w:val="center"/>
        <w:rPr>
          <w:b/>
          <w:sz w:val="36"/>
          <w:szCs w:val="36"/>
        </w:rPr>
      </w:pPr>
      <w:r>
        <w:rPr>
          <w:b/>
          <w:sz w:val="36"/>
          <w:szCs w:val="36"/>
        </w:rPr>
        <w:t xml:space="preserve">Name: Remus Nicolae </w:t>
      </w:r>
      <w:proofErr w:type="spellStart"/>
      <w:r>
        <w:rPr>
          <w:b/>
          <w:sz w:val="36"/>
          <w:szCs w:val="36"/>
        </w:rPr>
        <w:t>Pirvu</w:t>
      </w:r>
      <w:proofErr w:type="spellEnd"/>
    </w:p>
    <w:p w14:paraId="523A3388" w14:textId="2378CF70" w:rsidR="00AA7518" w:rsidRDefault="00AA7518">
      <w:pPr>
        <w:pStyle w:val="Normal1"/>
        <w:jc w:val="center"/>
        <w:rPr>
          <w:b/>
          <w:sz w:val="36"/>
          <w:szCs w:val="36"/>
        </w:rPr>
      </w:pPr>
      <w:r>
        <w:rPr>
          <w:b/>
          <w:sz w:val="36"/>
          <w:szCs w:val="36"/>
        </w:rPr>
        <w:t>Student Id: 2112416</w:t>
      </w:r>
    </w:p>
    <w:p w14:paraId="6CBAB47B" w14:textId="75EAB74F" w:rsidR="00AA7518" w:rsidRDefault="00AA7518">
      <w:pPr>
        <w:pStyle w:val="Normal1"/>
        <w:jc w:val="center"/>
        <w:rPr>
          <w:b/>
          <w:sz w:val="36"/>
          <w:szCs w:val="36"/>
        </w:rPr>
      </w:pPr>
      <w:r>
        <w:rPr>
          <w:b/>
          <w:sz w:val="36"/>
          <w:szCs w:val="36"/>
        </w:rPr>
        <w:t>Module Code: LCBB6002</w:t>
      </w:r>
    </w:p>
    <w:p w14:paraId="54C45CD6" w14:textId="77777777" w:rsidR="004336FE" w:rsidRDefault="00000000">
      <w:pPr>
        <w:pStyle w:val="Normal1"/>
        <w:jc w:val="left"/>
      </w:pPr>
      <w:r>
        <w:br w:type="page"/>
      </w:r>
    </w:p>
    <w:p w14:paraId="0C2A6E23" w14:textId="77777777" w:rsidR="004336FE" w:rsidRDefault="00000000">
      <w:pPr>
        <w:pStyle w:val="Normal1"/>
        <w:jc w:val="center"/>
        <w:rPr>
          <w:b/>
        </w:rPr>
      </w:pPr>
      <w:r>
        <w:rPr>
          <w:b/>
        </w:rPr>
        <w:lastRenderedPageBreak/>
        <w:t>Table of Content</w:t>
      </w:r>
    </w:p>
    <w:sdt>
      <w:sdtPr>
        <w:id w:val="1805335259"/>
        <w:docPartObj>
          <w:docPartGallery w:val="Table of Contents"/>
          <w:docPartUnique/>
        </w:docPartObj>
      </w:sdtPr>
      <w:sdtContent>
        <w:p w14:paraId="52CFF9DF" w14:textId="77777777" w:rsidR="004336FE" w:rsidRDefault="00000000">
          <w:pPr>
            <w:pStyle w:val="Normal1"/>
            <w:widowControl w:val="0"/>
            <w:tabs>
              <w:tab w:val="righ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5gdiugfqv9ix">
            <w:r>
              <w:rPr>
                <w:color w:val="000000"/>
              </w:rPr>
              <w:t>Introduction</w:t>
            </w:r>
            <w:r>
              <w:rPr>
                <w:color w:val="000000"/>
              </w:rPr>
              <w:tab/>
              <w:t>3</w:t>
            </w:r>
          </w:hyperlink>
        </w:p>
        <w:p w14:paraId="0FB1D2F4" w14:textId="77777777" w:rsidR="004336FE" w:rsidRDefault="00000000">
          <w:pPr>
            <w:pStyle w:val="Normal1"/>
            <w:widowControl w:val="0"/>
            <w:tabs>
              <w:tab w:val="right" w:pos="12000"/>
            </w:tabs>
            <w:spacing w:before="60"/>
            <w:jc w:val="left"/>
            <w:rPr>
              <w:b/>
              <w:color w:val="000000"/>
            </w:rPr>
          </w:pPr>
          <w:hyperlink w:anchor="_jgzv399mnnqw">
            <w:r>
              <w:rPr>
                <w:color w:val="000000"/>
              </w:rPr>
              <w:t>What is foreign exchange risk?</w:t>
            </w:r>
            <w:r>
              <w:rPr>
                <w:color w:val="000000"/>
              </w:rPr>
              <w:tab/>
              <w:t>3</w:t>
            </w:r>
          </w:hyperlink>
        </w:p>
        <w:p w14:paraId="33F6A68B" w14:textId="77777777" w:rsidR="004336FE" w:rsidRDefault="00000000">
          <w:pPr>
            <w:pStyle w:val="Normal1"/>
            <w:widowControl w:val="0"/>
            <w:tabs>
              <w:tab w:val="right" w:pos="12000"/>
            </w:tabs>
            <w:spacing w:before="60"/>
            <w:jc w:val="left"/>
            <w:rPr>
              <w:b/>
              <w:color w:val="000000"/>
            </w:rPr>
          </w:pPr>
          <w:hyperlink w:anchor="_2tagonkzjk2x">
            <w:r>
              <w:rPr>
                <w:color w:val="000000"/>
              </w:rPr>
              <w:t>What are Multinational Corporations?</w:t>
            </w:r>
            <w:r>
              <w:rPr>
                <w:color w:val="000000"/>
              </w:rPr>
              <w:tab/>
              <w:t>3</w:t>
            </w:r>
          </w:hyperlink>
        </w:p>
        <w:p w14:paraId="185FFC6A" w14:textId="77777777" w:rsidR="004336FE" w:rsidRDefault="00000000">
          <w:pPr>
            <w:pStyle w:val="Normal1"/>
            <w:widowControl w:val="0"/>
            <w:tabs>
              <w:tab w:val="right" w:pos="12000"/>
            </w:tabs>
            <w:spacing w:before="60"/>
            <w:jc w:val="left"/>
            <w:rPr>
              <w:b/>
              <w:color w:val="000000"/>
            </w:rPr>
          </w:pPr>
          <w:hyperlink w:anchor="_8dge1c3galoz">
            <w:r>
              <w:rPr>
                <w:color w:val="000000"/>
              </w:rPr>
              <w:t>What are the foreign exchange risks faced by Multinational corporations</w:t>
            </w:r>
            <w:r>
              <w:rPr>
                <w:color w:val="000000"/>
              </w:rPr>
              <w:tab/>
              <w:t>3</w:t>
            </w:r>
          </w:hyperlink>
        </w:p>
        <w:p w14:paraId="356320C9" w14:textId="77777777" w:rsidR="004336FE" w:rsidRDefault="00000000">
          <w:pPr>
            <w:pStyle w:val="Normal1"/>
            <w:widowControl w:val="0"/>
            <w:tabs>
              <w:tab w:val="right" w:pos="12000"/>
            </w:tabs>
            <w:spacing w:before="60"/>
            <w:jc w:val="left"/>
            <w:rPr>
              <w:b/>
              <w:color w:val="000000"/>
            </w:rPr>
          </w:pPr>
          <w:hyperlink w:anchor="_dd1umt84goyr">
            <w:r>
              <w:rPr>
                <w:color w:val="000000"/>
              </w:rPr>
              <w:t>The strategy adopted by Multinational corporations against such risk</w:t>
            </w:r>
            <w:r>
              <w:rPr>
                <w:color w:val="000000"/>
              </w:rPr>
              <w:tab/>
              <w:t>4</w:t>
            </w:r>
          </w:hyperlink>
        </w:p>
        <w:p w14:paraId="36ED944A" w14:textId="77777777" w:rsidR="004336FE" w:rsidRDefault="00000000">
          <w:pPr>
            <w:pStyle w:val="Normal1"/>
            <w:widowControl w:val="0"/>
            <w:tabs>
              <w:tab w:val="right" w:pos="12000"/>
            </w:tabs>
            <w:spacing w:before="60"/>
            <w:jc w:val="left"/>
            <w:rPr>
              <w:b/>
              <w:color w:val="000000"/>
            </w:rPr>
          </w:pPr>
          <w:hyperlink w:anchor="_sreu11oeg5ac">
            <w:r>
              <w:rPr>
                <w:color w:val="000000"/>
              </w:rPr>
              <w:t>International Financial Management</w:t>
            </w:r>
            <w:r>
              <w:rPr>
                <w:color w:val="000000"/>
              </w:rPr>
              <w:tab/>
              <w:t>5</w:t>
            </w:r>
          </w:hyperlink>
        </w:p>
        <w:p w14:paraId="535EA97B" w14:textId="77777777" w:rsidR="004336FE" w:rsidRDefault="00000000">
          <w:pPr>
            <w:pStyle w:val="Normal1"/>
            <w:widowControl w:val="0"/>
            <w:tabs>
              <w:tab w:val="right" w:pos="12000"/>
            </w:tabs>
            <w:spacing w:before="60"/>
            <w:jc w:val="left"/>
            <w:rPr>
              <w:b/>
              <w:color w:val="000000"/>
            </w:rPr>
          </w:pPr>
          <w:hyperlink w:anchor="_tgh0n4w2ah38">
            <w:r>
              <w:rPr>
                <w:color w:val="000000"/>
              </w:rPr>
              <w:t>Theories Related to International Financial Management</w:t>
            </w:r>
            <w:r>
              <w:rPr>
                <w:color w:val="000000"/>
              </w:rPr>
              <w:tab/>
              <w:t>5</w:t>
            </w:r>
          </w:hyperlink>
        </w:p>
        <w:p w14:paraId="7198C246" w14:textId="77777777" w:rsidR="004336FE" w:rsidRDefault="00000000">
          <w:pPr>
            <w:pStyle w:val="Normal1"/>
            <w:widowControl w:val="0"/>
            <w:tabs>
              <w:tab w:val="right" w:pos="12000"/>
            </w:tabs>
            <w:spacing w:before="60"/>
            <w:jc w:val="left"/>
            <w:rPr>
              <w:b/>
              <w:color w:val="000000"/>
            </w:rPr>
          </w:pPr>
          <w:hyperlink w:anchor="_7hlzavroamw9">
            <w:r>
              <w:rPr>
                <w:color w:val="000000"/>
              </w:rPr>
              <w:t>References</w:t>
            </w:r>
            <w:r>
              <w:rPr>
                <w:color w:val="000000"/>
              </w:rPr>
              <w:tab/>
              <w:t>7</w:t>
            </w:r>
          </w:hyperlink>
          <w:r>
            <w:fldChar w:fldCharType="end"/>
          </w:r>
        </w:p>
      </w:sdtContent>
    </w:sdt>
    <w:p w14:paraId="0C61FB88" w14:textId="77777777" w:rsidR="004336FE" w:rsidRDefault="004336FE">
      <w:pPr>
        <w:pStyle w:val="Normal1"/>
      </w:pPr>
    </w:p>
    <w:p w14:paraId="25FB4CE0" w14:textId="77777777" w:rsidR="004336FE" w:rsidRDefault="00000000">
      <w:pPr>
        <w:pStyle w:val="Normal1"/>
        <w:jc w:val="left"/>
      </w:pPr>
      <w:r>
        <w:br w:type="page"/>
      </w:r>
    </w:p>
    <w:p w14:paraId="34C0F741" w14:textId="77777777" w:rsidR="004336FE" w:rsidRDefault="00000000">
      <w:pPr>
        <w:pStyle w:val="Heading1"/>
      </w:pPr>
      <w:bookmarkStart w:id="0" w:name="_5gdiugfqv9ix" w:colFirst="0" w:colLast="0"/>
      <w:bookmarkEnd w:id="0"/>
      <w:r>
        <w:lastRenderedPageBreak/>
        <w:t xml:space="preserve">Introduction </w:t>
      </w:r>
    </w:p>
    <w:p w14:paraId="69DA5632" w14:textId="77777777" w:rsidR="004336FE" w:rsidRDefault="00000000">
      <w:pPr>
        <w:pStyle w:val="Normal1"/>
      </w:pPr>
      <w:r>
        <w:t xml:space="preserve">The utmost concern of the study is to impart information about the concept of foreign exchange risk which impacts the financial performance and the exchange rates between the currencies. Then the study also imparts information about the description of the multinational corporation. Further, this study also imparts information about the foreign exchange risk which is being faced by the multinational corporation along with the strategy adopted to </w:t>
      </w:r>
      <w:proofErr w:type="spellStart"/>
      <w:r>
        <w:t>minimise</w:t>
      </w:r>
      <w:proofErr w:type="spellEnd"/>
      <w:r>
        <w:t xml:space="preserve"> the risk. It also highlights the information about International financial management and its theory. International financial management refers to deal in the financial management of a global business. </w:t>
      </w:r>
    </w:p>
    <w:p w14:paraId="7829B758" w14:textId="77777777" w:rsidR="004336FE" w:rsidRDefault="00000000">
      <w:pPr>
        <w:pStyle w:val="Heading1"/>
      </w:pPr>
      <w:bookmarkStart w:id="1" w:name="_jgzv399mnnqw" w:colFirst="0" w:colLast="0"/>
      <w:bookmarkEnd w:id="1"/>
      <w:r>
        <w:t xml:space="preserve">What is foreign exchange risk? </w:t>
      </w:r>
    </w:p>
    <w:p w14:paraId="736B9C7B" w14:textId="77777777" w:rsidR="004336FE" w:rsidRDefault="00000000">
      <w:pPr>
        <w:pStyle w:val="Normal1"/>
      </w:pPr>
      <w:r>
        <w:t xml:space="preserve">The concept of foreign exchange risk also termed as the exchange rate risk leads to creating financial impact due to the fluctuation in exchange rate. In simple, it refers to the risk which creates an adverse impact on the financial performance and the position of the business due to changes in the exchange rate between currencies. These risks are categorised into three </w:t>
      </w:r>
      <w:proofErr w:type="gramStart"/>
      <w:r>
        <w:t>types</w:t>
      </w:r>
      <w:proofErr w:type="gramEnd"/>
      <w:r>
        <w:t xml:space="preserve"> namely transaction risk, translation risk, and economic risk (Corporate Finance Institute, 2023). Basically, this risk is being faced by the firm in the business environment while conducting business at the international level and it is required to manage such risk (Maitha, 2020).</w:t>
      </w:r>
    </w:p>
    <w:p w14:paraId="025F2215" w14:textId="77777777" w:rsidR="004336FE" w:rsidRDefault="00000000">
      <w:pPr>
        <w:pStyle w:val="Heading1"/>
      </w:pPr>
      <w:bookmarkStart w:id="2" w:name="_2tagonkzjk2x" w:colFirst="0" w:colLast="0"/>
      <w:bookmarkEnd w:id="2"/>
      <w:r>
        <w:t>What are Multinational Corporations?</w:t>
      </w:r>
    </w:p>
    <w:p w14:paraId="16AB3BCD" w14:textId="77777777" w:rsidR="004336FE" w:rsidRDefault="00000000">
      <w:pPr>
        <w:pStyle w:val="Normal1"/>
      </w:pPr>
      <w:r>
        <w:t xml:space="preserve">A multinational corporation refers to those companies which conduct their business in a </w:t>
      </w:r>
      <w:proofErr w:type="gramStart"/>
      <w:r>
        <w:t>selected few countries</w:t>
      </w:r>
      <w:proofErr w:type="gramEnd"/>
      <w:r>
        <w:t xml:space="preserve"> around the world. This corporation makes the use of establishing a warehouse and a distribution channel which enables them to do so. Although this company established its business at the global level it provides the </w:t>
      </w:r>
      <w:proofErr w:type="gramStart"/>
      <w:r>
        <w:t>main focus</w:t>
      </w:r>
      <w:proofErr w:type="gramEnd"/>
      <w:r>
        <w:t xml:space="preserve"> on the domestic market (BDC, 2023). The multinational corporation meets their need for profit </w:t>
      </w:r>
      <w:proofErr w:type="spellStart"/>
      <w:r>
        <w:t>maximisation</w:t>
      </w:r>
      <w:proofErr w:type="spellEnd"/>
      <w:r>
        <w:t xml:space="preserve"> with the help of their capital principles and with the extent of the ideologies of producing violation of human rights in the merging economics. This corporation makes use of different strategies to increase shareholder returns by taking an active part in society (BDC, 2023).</w:t>
      </w:r>
    </w:p>
    <w:p w14:paraId="4221D57B" w14:textId="77777777" w:rsidR="004336FE" w:rsidRDefault="00000000">
      <w:pPr>
        <w:pStyle w:val="Heading1"/>
      </w:pPr>
      <w:bookmarkStart w:id="3" w:name="_8dge1c3galoz" w:colFirst="0" w:colLast="0"/>
      <w:bookmarkEnd w:id="3"/>
      <w:r>
        <w:t xml:space="preserve">What are the foreign exchange risks faced by Multinational corporations </w:t>
      </w:r>
    </w:p>
    <w:p w14:paraId="2707AE65" w14:textId="77777777" w:rsidR="004336FE" w:rsidRDefault="00000000">
      <w:pPr>
        <w:pStyle w:val="Normal1"/>
      </w:pPr>
      <w:r>
        <w:t>There are three different types of foreign exchange risk which are faced by the Multinational corporation and those are stated below.</w:t>
      </w:r>
    </w:p>
    <w:p w14:paraId="6CBA22F1" w14:textId="77777777" w:rsidR="004336FE" w:rsidRDefault="00000000">
      <w:pPr>
        <w:pStyle w:val="Normal1"/>
      </w:pPr>
      <w:r>
        <w:rPr>
          <w:b/>
        </w:rPr>
        <w:t xml:space="preserve">Transaction risk: </w:t>
      </w:r>
      <w:r>
        <w:t xml:space="preserve">The transactional risk refers to the risk faced by the multinational corporation by incurring future gains or losses in respect of foreign currency denomination while executing </w:t>
      </w:r>
      <w:r>
        <w:lastRenderedPageBreak/>
        <w:t xml:space="preserve">transactions. With the fluctuation in the exchange rate </w:t>
      </w:r>
      <w:proofErr w:type="gramStart"/>
      <w:r>
        <w:t>at the moment</w:t>
      </w:r>
      <w:proofErr w:type="gramEnd"/>
      <w:r>
        <w:t xml:space="preserve"> of transaction and the moment of settlement. This risk is mainly measured in currency by currency (</w:t>
      </w:r>
      <w:proofErr w:type="spellStart"/>
      <w:r>
        <w:t>Kantox</w:t>
      </w:r>
      <w:proofErr w:type="spellEnd"/>
      <w:r>
        <w:t>, 2021).</w:t>
      </w:r>
    </w:p>
    <w:p w14:paraId="3BDB77FA" w14:textId="77777777" w:rsidR="004336FE" w:rsidRDefault="00000000">
      <w:pPr>
        <w:pStyle w:val="Normal1"/>
      </w:pPr>
      <w:r>
        <w:rPr>
          <w:b/>
        </w:rPr>
        <w:t xml:space="preserve">Economic risk: </w:t>
      </w:r>
      <w:r>
        <w:t>This risk is influenced by the condition of macroeconomics and leads to a crate adverse impact on the investment made by multinational corporations domestically or internationally. This risk includes several other risks namely fluctuation in the exchange rate, shift in the government policy, and instability in the political situation. This risk is mainly difficult to foresee and leads to change in the world business environment (Market Business News, 2020).</w:t>
      </w:r>
    </w:p>
    <w:p w14:paraId="6D96988B" w14:textId="77777777" w:rsidR="004336FE" w:rsidRDefault="00000000">
      <w:pPr>
        <w:pStyle w:val="Normal1"/>
      </w:pPr>
      <w:r>
        <w:rPr>
          <w:b/>
        </w:rPr>
        <w:t>Translation risk:</w:t>
      </w:r>
      <w:r>
        <w:t xml:space="preserve"> This risk also referred to as translation exposure is faced by the headquarters of multinational companies while conducting business in any jurisdiction of foreign countries. This risk leads to denote the financial performance of the company in its domestic currency. Multinational corporations face this risk at a higher level when they hold large amounts of assets, equity, and liability in foreign currency (Adams and </w:t>
      </w:r>
      <w:proofErr w:type="spellStart"/>
      <w:r>
        <w:t>Verdelhan</w:t>
      </w:r>
      <w:proofErr w:type="spellEnd"/>
      <w:r>
        <w:t>, 2021).</w:t>
      </w:r>
    </w:p>
    <w:p w14:paraId="45670DD3" w14:textId="77777777" w:rsidR="004336FE" w:rsidRDefault="00000000">
      <w:pPr>
        <w:pStyle w:val="Heading1"/>
      </w:pPr>
      <w:bookmarkStart w:id="4" w:name="_dd1umt84goyr" w:colFirst="0" w:colLast="0"/>
      <w:bookmarkEnd w:id="4"/>
      <w:r>
        <w:t xml:space="preserve">The strategy adopted by Multinational corporations against such risk </w:t>
      </w:r>
    </w:p>
    <w:p w14:paraId="1D8A1EE9" w14:textId="77777777" w:rsidR="004336FE" w:rsidRDefault="00000000">
      <w:pPr>
        <w:pStyle w:val="Normal1"/>
      </w:pPr>
      <w:r>
        <w:t xml:space="preserve">The strategies that multinational corporations consider </w:t>
      </w:r>
      <w:proofErr w:type="gramStart"/>
      <w:r>
        <w:t>to provide</w:t>
      </w:r>
      <w:proofErr w:type="gramEnd"/>
      <w:r>
        <w:t xml:space="preserve"> limitations to the foreign exchange risk are listed below.</w:t>
      </w:r>
    </w:p>
    <w:p w14:paraId="56D0A084" w14:textId="77777777" w:rsidR="004336FE" w:rsidRDefault="00000000">
      <w:pPr>
        <w:pStyle w:val="Normal1"/>
      </w:pPr>
      <w:r>
        <w:rPr>
          <w:b/>
        </w:rPr>
        <w:t>Established a forward contract with the foreign exchange service provider or with the banks</w:t>
      </w:r>
      <w:r>
        <w:t xml:space="preserve">: This strategy refers to the direct method of limiting the </w:t>
      </w:r>
      <w:r>
        <w:rPr>
          <w:b/>
        </w:rPr>
        <w:t>Transaction risk</w:t>
      </w:r>
      <w:r>
        <w:t xml:space="preserve"> as this provides the surety that a multinational corporation is entitled to receive predetermined payment in the same currency irrespective of the fluctuation in the exchange rate. Through this strategy, the corporation </w:t>
      </w:r>
      <w:proofErr w:type="gramStart"/>
      <w:r>
        <w:t>is able to</w:t>
      </w:r>
      <w:proofErr w:type="gramEnd"/>
      <w:r>
        <w:t xml:space="preserve"> contact foreign exchange service providers to make negotiations at a 60-day forward rate (</w:t>
      </w:r>
      <w:proofErr w:type="spellStart"/>
      <w:r>
        <w:t>Tipalti</w:t>
      </w:r>
      <w:proofErr w:type="spellEnd"/>
      <w:r>
        <w:t xml:space="preserve">, 2023). Both the exporter and the importer </w:t>
      </w:r>
      <w:proofErr w:type="spellStart"/>
      <w:r>
        <w:t>finalise</w:t>
      </w:r>
      <w:proofErr w:type="spellEnd"/>
      <w:r>
        <w:t xml:space="preserve"> the price at which sales are to be done and the terms of making a payment with commitment from the bank (Luo, 2022).</w:t>
      </w:r>
    </w:p>
    <w:p w14:paraId="1CAAD9EC" w14:textId="77777777" w:rsidR="004336FE" w:rsidRDefault="00000000">
      <w:pPr>
        <w:pStyle w:val="Normal1"/>
      </w:pPr>
      <w:r>
        <w:rPr>
          <w:b/>
        </w:rPr>
        <w:t>Accept the payment of foreign currency digitally as an advance:</w:t>
      </w:r>
      <w:r>
        <w:t xml:space="preserve"> Through this strategy, the multinational corporation can enable small international transactions to establish a new relationship with the importers of different nations which helps in eliminating the </w:t>
      </w:r>
      <w:r>
        <w:rPr>
          <w:b/>
        </w:rPr>
        <w:t>economic risk</w:t>
      </w:r>
      <w:r>
        <w:t>. This transaction enables one to make the full payment and reduces the foreign exchange risk. Some multinational corporations may baulk because they consider advance cash as the least desirable payment method. This helps in managing the risk of foreign exchange rates through the promotion of digital transactions (Adrian and Mancini-</w:t>
      </w:r>
      <w:proofErr w:type="spellStart"/>
      <w:r>
        <w:t>Griffoli</w:t>
      </w:r>
      <w:proofErr w:type="spellEnd"/>
      <w:r>
        <w:t>, 2021).</w:t>
      </w:r>
    </w:p>
    <w:p w14:paraId="6176F0C6" w14:textId="77777777" w:rsidR="004336FE" w:rsidRDefault="00000000">
      <w:pPr>
        <w:pStyle w:val="Normal1"/>
      </w:pPr>
      <w:r>
        <w:rPr>
          <w:b/>
        </w:rPr>
        <w:t>The strategy of matching foreign currency receipt with expenditure:</w:t>
      </w:r>
      <w:r>
        <w:t xml:space="preserve"> Through this strategy, multinational corporations </w:t>
      </w:r>
      <w:proofErr w:type="gramStart"/>
      <w:r>
        <w:t>are able to</w:t>
      </w:r>
      <w:proofErr w:type="gramEnd"/>
      <w:r>
        <w:t xml:space="preserve"> foreign bank accounts which promote transactions and </w:t>
      </w:r>
      <w:r>
        <w:lastRenderedPageBreak/>
        <w:t xml:space="preserve">eliminate currency conversion fees which reduces </w:t>
      </w:r>
      <w:r>
        <w:rPr>
          <w:b/>
        </w:rPr>
        <w:t>translation risk</w:t>
      </w:r>
      <w:r>
        <w:t>. This helps in assessing the effort and the cost of maintaining bank accounts in the foreign currency and records the gain and losses which leads to the currency conversions in the financial statement (</w:t>
      </w:r>
      <w:proofErr w:type="spellStart"/>
      <w:r>
        <w:t>Tipalti</w:t>
      </w:r>
      <w:proofErr w:type="spellEnd"/>
      <w:r>
        <w:t>, 2023).</w:t>
      </w:r>
    </w:p>
    <w:p w14:paraId="2AFFC50E" w14:textId="77777777" w:rsidR="004336FE" w:rsidRDefault="00000000">
      <w:pPr>
        <w:pStyle w:val="Heading1"/>
      </w:pPr>
      <w:bookmarkStart w:id="5" w:name="_sreu11oeg5ac" w:colFirst="0" w:colLast="0"/>
      <w:bookmarkEnd w:id="5"/>
      <w:r>
        <w:t xml:space="preserve">International Financial Management </w:t>
      </w:r>
    </w:p>
    <w:p w14:paraId="31377DDB" w14:textId="77777777" w:rsidR="004336FE" w:rsidRDefault="00000000">
      <w:pPr>
        <w:pStyle w:val="Normal1"/>
      </w:pPr>
      <w:r>
        <w:t xml:space="preserve">The term international financial management indicates the financial aspect related to international trade. International financial management includes managing foreign investment and the currency exchange rate. It also provides a description of the way in which the financial systems of different countries interact. Through this management system, the multinational corporation </w:t>
      </w:r>
      <w:proofErr w:type="gramStart"/>
      <w:r>
        <w:t>is able to</w:t>
      </w:r>
      <w:proofErr w:type="gramEnd"/>
      <w:r>
        <w:t xml:space="preserve"> interact with the conditions of the local market and become aware of its financial regulations to conduct the business. With this management system, the corporation </w:t>
      </w:r>
      <w:proofErr w:type="gramStart"/>
      <w:r>
        <w:t>is able to</w:t>
      </w:r>
      <w:proofErr w:type="gramEnd"/>
      <w:r>
        <w:t xml:space="preserve"> prepare a statement related to the balance of payment which provides information about the transactions done between different corporations in the country (FreshBooks, 2023).</w:t>
      </w:r>
    </w:p>
    <w:p w14:paraId="38E4173F" w14:textId="77777777" w:rsidR="004336FE" w:rsidRDefault="00000000">
      <w:pPr>
        <w:pStyle w:val="Heading1"/>
      </w:pPr>
      <w:bookmarkStart w:id="6" w:name="_tgh0n4w2ah38" w:colFirst="0" w:colLast="0"/>
      <w:bookmarkEnd w:id="6"/>
      <w:r>
        <w:t xml:space="preserve">Theories Related to International Financial Management  </w:t>
      </w:r>
    </w:p>
    <w:p w14:paraId="215C99D0" w14:textId="77777777" w:rsidR="004336FE" w:rsidRDefault="00000000">
      <w:pPr>
        <w:pStyle w:val="Normal1"/>
      </w:pPr>
      <w:r>
        <w:rPr>
          <w:b/>
        </w:rPr>
        <w:t>Mundell-Fleming model:</w:t>
      </w:r>
      <w:r>
        <w:t xml:space="preserve"> This theory of International Financial Management also referred to as the IS-LM model states the assumption of fixing the price level which helps in showing the interaction between the goods market and the money market. This indicates that the adjustment related to the macroeconomics occurs only through the change in the exchange rate (Kari, 2015). The main </w:t>
      </w:r>
      <w:r>
        <w:rPr>
          <w:b/>
        </w:rPr>
        <w:t xml:space="preserve">advantage </w:t>
      </w:r>
      <w:r>
        <w:t xml:space="preserve">of the Mundell-Fleming model is that it provides a vast scope of application which helps in understanding the choice under fixed and variable rates of exchange and how this rate impacts the efficiency of the economic policies (50minutes, 2023). The </w:t>
      </w:r>
      <w:r>
        <w:rPr>
          <w:b/>
        </w:rPr>
        <w:t xml:space="preserve">disadvantage </w:t>
      </w:r>
      <w:r>
        <w:t xml:space="preserve">of the Mundell-Fleming model it needs attention to eliminate the assumption related to the free movement of capital which leads to rendering the foreign exchange rate intervention. Monetary authority is required to set the intervention rule which helps in seeking a moderate exchange rate system (Mendoza, 2019). This theory leads to the promotion of foreign exchange service providers as it helps in supplying foreign exchange when the government pay attention to the major receipt of the foreign exchange. It helps in </w:t>
      </w:r>
      <w:proofErr w:type="spellStart"/>
      <w:r>
        <w:t>stabilising</w:t>
      </w:r>
      <w:proofErr w:type="spellEnd"/>
      <w:r>
        <w:t xml:space="preserve"> the disorderly market with the intervention of the central bank by raising awareness more frequently. This helps in managing the risk of foreign exchange rates through the promotion of digital transactions. This theory helps in the promotion of international trade and allows it to anticipate eliminating customs duty and the promotion of digital currencies. This theory enables Multinational corporations can borrow or make the lending </w:t>
      </w:r>
      <w:r>
        <w:lastRenderedPageBreak/>
        <w:t>activity freely from the international capital market due to the prevailing rate of interest by matching foreign currency receipt with expenditure (IMF, 2023).</w:t>
      </w:r>
    </w:p>
    <w:p w14:paraId="788596CD" w14:textId="77777777" w:rsidR="004336FE" w:rsidRDefault="00000000">
      <w:pPr>
        <w:pStyle w:val="Normal1"/>
      </w:pPr>
      <w:r>
        <w:rPr>
          <w:b/>
        </w:rPr>
        <w:t>The optimum currency area:</w:t>
      </w:r>
      <w:r>
        <w:t xml:space="preserve"> This theory helps in </w:t>
      </w:r>
      <w:proofErr w:type="spellStart"/>
      <w:r>
        <w:t>characterising</w:t>
      </w:r>
      <w:proofErr w:type="spellEnd"/>
      <w:r>
        <w:t xml:space="preserve"> the international monetary system with the multiplicity of the different countries. At the time of the monetary union, this theory states that some of the countries need to maintain their own gold link. This provides the practical need for </w:t>
      </w:r>
      <w:proofErr w:type="spellStart"/>
      <w:r>
        <w:t>stabilising</w:t>
      </w:r>
      <w:proofErr w:type="spellEnd"/>
      <w:r>
        <w:t xml:space="preserve"> policies of the economics with the need for separate currency. (Europa, 2023). The main </w:t>
      </w:r>
      <w:r>
        <w:rPr>
          <w:b/>
        </w:rPr>
        <w:t xml:space="preserve">benefit </w:t>
      </w:r>
      <w:r>
        <w:t xml:space="preserve">of this theory is that it provides feasibility to the union in exceeding the cost and helps in stating the measure which leads to equilibrium in the rate of exchange. The </w:t>
      </w:r>
      <w:r>
        <w:rPr>
          <w:b/>
        </w:rPr>
        <w:t xml:space="preserve">limitation </w:t>
      </w:r>
      <w:r>
        <w:t xml:space="preserve">of this theory is that each member of the nation fails to pursue independent stability, </w:t>
      </w:r>
      <w:proofErr w:type="gramStart"/>
      <w:r>
        <w:t>growth</w:t>
      </w:r>
      <w:proofErr w:type="gramEnd"/>
      <w:r>
        <w:t xml:space="preserve"> and related policies on the special condition. The promotion of having separate currency fails to eliminate the risk of poverty, inflation, unemployment, and deficit in the balance of payment (Aahana, 2018). It leads to the formation of the currency union which helps in gaining the resources related to the banks and the foreign exchange dealing which leads to the reallocation of the resources as well. This theory promotes the strategy of digital payment which is a promotion of the macroeconomics shock in which the cost of economics is adjusted with respect to changes in wages and price level which helps in the mobility of the factors. This theory promotes the concept of receiving predetermined payments in the same currency irrespective of the fluctuation in the exchange rate. This theory creates the sense of providing attention towards fluctuation in the exchange rate, shift in government policy, and instability in the political situation.  (</w:t>
      </w:r>
      <w:proofErr w:type="spellStart"/>
      <w:r>
        <w:t>Tipalti</w:t>
      </w:r>
      <w:proofErr w:type="spellEnd"/>
      <w:r>
        <w:t>, 2023).</w:t>
      </w:r>
    </w:p>
    <w:p w14:paraId="37F7394C" w14:textId="77777777" w:rsidR="004336FE" w:rsidRDefault="00000000">
      <w:pPr>
        <w:pStyle w:val="Normal1"/>
      </w:pPr>
      <w:r>
        <w:rPr>
          <w:b/>
        </w:rPr>
        <w:t>Conclusion</w:t>
      </w:r>
      <w:r>
        <w:t xml:space="preserve"> </w:t>
      </w:r>
    </w:p>
    <w:p w14:paraId="225DF825" w14:textId="77777777" w:rsidR="004336FE" w:rsidRDefault="00000000">
      <w:pPr>
        <w:pStyle w:val="Normal1"/>
      </w:pPr>
      <w:r>
        <w:t xml:space="preserve">With the competition of this study, the information concluded about the concept of foreign exchange risk which creates an adverse impact on the financial performance and the position of the business due to changes in the exchange rate between currencies. It also provides information about multinational corporation that makes the use of establishing a warehouse and a distribution channel which enables them to conduct business smoothly. It also provided information about the strategy of foreign exchange service providers to reduce the impact of foreign exchange risk. It imparts information related to the theories of international finance management. </w:t>
      </w:r>
      <w:r>
        <w:br w:type="page"/>
      </w:r>
    </w:p>
    <w:p w14:paraId="0A056DA0" w14:textId="77777777" w:rsidR="004336FE" w:rsidRDefault="00000000">
      <w:pPr>
        <w:pStyle w:val="Heading1"/>
      </w:pPr>
      <w:bookmarkStart w:id="7" w:name="_7hlzavroamw9" w:colFirst="0" w:colLast="0"/>
      <w:bookmarkEnd w:id="7"/>
      <w:r>
        <w:lastRenderedPageBreak/>
        <w:t>References</w:t>
      </w:r>
    </w:p>
    <w:p w14:paraId="31F87A48" w14:textId="77777777" w:rsidR="00683F5A" w:rsidRDefault="00683F5A">
      <w:pPr>
        <w:pStyle w:val="Normal1"/>
      </w:pPr>
      <w:r>
        <w:t xml:space="preserve">50minutes (2023) The Mundell-Fleming Economic Model " 50minutes.com - knowledge at your fingertips, 50Minutes.com - Knowledge at your fingertips. Available at: https://www.50minutes.com/title/the-mundell-fleming-economic-model/#:~:text=Mundell%2DFleming%20model-,The%20Mundell%2DFleming%20model%20has%20a%20wide%20range%20of%20applications,effects%20of%20the%20removal%20of (Accessed: 08 November 2023). </w:t>
      </w:r>
    </w:p>
    <w:p w14:paraId="2477F3E6" w14:textId="77777777" w:rsidR="00683F5A" w:rsidRDefault="00683F5A">
      <w:pPr>
        <w:pStyle w:val="Normal1"/>
      </w:pPr>
      <w:r>
        <w:t xml:space="preserve">Aahana (2018) Optimum currency areas: Benefits and limitations: Economics, Economics Discussion. Available at: https://www.economicsdiscussion.net/foreign-exchange/optimum-currency-areas-benefits-and-limitations-economics/30935 (Accessed: 08 November 2023). </w:t>
      </w:r>
    </w:p>
    <w:p w14:paraId="28D48CEE" w14:textId="77777777" w:rsidR="00683F5A" w:rsidRDefault="00683F5A">
      <w:pPr>
        <w:pStyle w:val="Normal1"/>
      </w:pPr>
      <w:r>
        <w:t xml:space="preserve">Adams, P. and </w:t>
      </w:r>
      <w:proofErr w:type="spellStart"/>
      <w:r>
        <w:t>Verdelhan</w:t>
      </w:r>
      <w:proofErr w:type="spellEnd"/>
      <w:r>
        <w:t xml:space="preserve">, A., (2021). FX transaction and translation risk. Working Paper, July. Link: </w:t>
      </w:r>
      <w:hyperlink r:id="rId7">
        <w:r>
          <w:rPr>
            <w:color w:val="1155CC"/>
            <w:u w:val="single"/>
          </w:rPr>
          <w:t>https://www.lse.ac.uk/economics/Assets/Documents/Adrien-Verdelhan-Paper-May2022.pdf</w:t>
        </w:r>
      </w:hyperlink>
    </w:p>
    <w:p w14:paraId="7D2F6026" w14:textId="77777777" w:rsidR="00683F5A" w:rsidRDefault="00683F5A">
      <w:pPr>
        <w:pStyle w:val="Normal1"/>
      </w:pPr>
      <w:r>
        <w:t>Adrian, T. and Mancini-</w:t>
      </w:r>
      <w:proofErr w:type="spellStart"/>
      <w:r>
        <w:t>Griffoli</w:t>
      </w:r>
      <w:proofErr w:type="spellEnd"/>
      <w:r>
        <w:t xml:space="preserve">, T., (2021). The rise of digital money. Annual Review of Financial Economics, 13, pp.57-77. Link: </w:t>
      </w:r>
      <w:hyperlink r:id="rId8">
        <w:r>
          <w:rPr>
            <w:color w:val="1155CC"/>
            <w:u w:val="single"/>
          </w:rPr>
          <w:t>https://www.annualreviews.org/doi/abs/10.1146/annurev-financial-101620-063859</w:t>
        </w:r>
      </w:hyperlink>
    </w:p>
    <w:p w14:paraId="1D887BE8" w14:textId="77777777" w:rsidR="00683F5A" w:rsidRDefault="00683F5A">
      <w:pPr>
        <w:pStyle w:val="Normal1"/>
      </w:pPr>
      <w:r>
        <w:t xml:space="preserve">BDC (2023) What is a multinational corporation, BDC.ca. Available at: https://www.bdc.ca/en/articles-tools/entrepreneur-toolkit/templates-business-guides/glossary/multinational-corporation (Accessed: 08 November 2023). Link: </w:t>
      </w:r>
      <w:hyperlink r:id="rId9">
        <w:r>
          <w:rPr>
            <w:color w:val="1155CC"/>
            <w:u w:val="single"/>
          </w:rPr>
          <w:t>https://www.sciencedirect.com/science/article/abs/pii/S0301479720316145</w:t>
        </w:r>
      </w:hyperlink>
    </w:p>
    <w:p w14:paraId="18062E8D" w14:textId="77777777" w:rsidR="00683F5A" w:rsidRDefault="00683F5A">
      <w:pPr>
        <w:pStyle w:val="Normal1"/>
      </w:pPr>
      <w:r>
        <w:t xml:space="preserve">Corporate Finance Institute (2023) </w:t>
      </w:r>
      <w:r>
        <w:rPr>
          <w:i/>
        </w:rPr>
        <w:t>Foreign Exchange Risk</w:t>
      </w:r>
      <w:r>
        <w:t xml:space="preserve">, </w:t>
      </w:r>
      <w:r>
        <w:rPr>
          <w:i/>
        </w:rPr>
        <w:t>Corporate Finance Institute</w:t>
      </w:r>
      <w:r>
        <w:t xml:space="preserve">. Available at: https://corporatefinanceinstitute.com/resources/foreign-exchange/foreign-exchange-risk/ (Accessed: 08 November 2023). </w:t>
      </w:r>
    </w:p>
    <w:p w14:paraId="4034A4B3" w14:textId="77777777" w:rsidR="00683F5A" w:rsidRDefault="00683F5A">
      <w:pPr>
        <w:pStyle w:val="Normal1"/>
      </w:pPr>
      <w:r>
        <w:t xml:space="preserve">Europa (2023) I. Optimum Currency Areas. Available at: https://www.europarl.europa.eu/workingpapers/econ/104/chap1_en.htm (Accessed: 08 November 2023). </w:t>
      </w:r>
    </w:p>
    <w:p w14:paraId="3E9F39D3" w14:textId="77777777" w:rsidR="00683F5A" w:rsidRDefault="00683F5A">
      <w:pPr>
        <w:pStyle w:val="Normal1"/>
      </w:pPr>
      <w:r>
        <w:t xml:space="preserve">FreshBooks (2023) International finance: Definition &amp; example, FreshBooks. Available at: https://www.freshbooks.com/glossary/financial/international-finance (Accessed: 08 November 2023). </w:t>
      </w:r>
    </w:p>
    <w:p w14:paraId="7D7A2279" w14:textId="77777777" w:rsidR="00683F5A" w:rsidRDefault="00683F5A">
      <w:pPr>
        <w:pStyle w:val="Normal1"/>
      </w:pPr>
      <w:r>
        <w:lastRenderedPageBreak/>
        <w:t xml:space="preserve">IMF (2023) Mundell-Fleming Lecture Exchange Rate Systems, surveillance, and ... - IMF. Available at: https://www.imf.org/external/np/res/seminars/2007/arc/pdf/sf1.pdf (Accessed: 08 November 2023). </w:t>
      </w:r>
    </w:p>
    <w:p w14:paraId="51897F75" w14:textId="77777777" w:rsidR="00683F5A" w:rsidRDefault="00683F5A">
      <w:pPr>
        <w:pStyle w:val="Normal1"/>
      </w:pPr>
      <w:proofErr w:type="spellStart"/>
      <w:r>
        <w:t>Kantox</w:t>
      </w:r>
      <w:proofErr w:type="spellEnd"/>
      <w:r>
        <w:t xml:space="preserve"> (2021) Transaction risk, </w:t>
      </w:r>
      <w:proofErr w:type="spellStart"/>
      <w:r>
        <w:t>Kantox</w:t>
      </w:r>
      <w:proofErr w:type="spellEnd"/>
      <w:r>
        <w:t xml:space="preserve">. Available at: https://www.kantox.com/en/glossary/transaction-risk/ (Accessed: 08 November 2023). </w:t>
      </w:r>
    </w:p>
    <w:p w14:paraId="22EB7CF4" w14:textId="77777777" w:rsidR="00683F5A" w:rsidRDefault="00683F5A">
      <w:pPr>
        <w:pStyle w:val="Normal1"/>
      </w:pPr>
      <w:r>
        <w:t xml:space="preserve">Kari, D. (2015) Mundell-Fleming model: Meaning and main message (with diagram), Economics Discussion. Available at: https://www.economicsdiscussion.net/open-economy/aggregate-demand/mundell-fleming-model-meaning-and-main-message-with-diagram/15836 (Accessed: 08 November 2023). </w:t>
      </w:r>
    </w:p>
    <w:p w14:paraId="3F256120" w14:textId="77777777" w:rsidR="00683F5A" w:rsidRDefault="00683F5A">
      <w:pPr>
        <w:pStyle w:val="Normal1"/>
      </w:pPr>
      <w:r>
        <w:t xml:space="preserve">Luo, Y., (2022). A general framework of digitization risks in international business. Journal of international business studies, 53(2), pp.344-361. Link: </w:t>
      </w:r>
      <w:hyperlink r:id="rId10">
        <w:r>
          <w:rPr>
            <w:color w:val="1155CC"/>
            <w:u w:val="single"/>
          </w:rPr>
          <w:t>https://link.springer.com/article/10.1057/s41267-021-00448-9</w:t>
        </w:r>
      </w:hyperlink>
    </w:p>
    <w:p w14:paraId="180BE337" w14:textId="77777777" w:rsidR="00683F5A" w:rsidRDefault="00683F5A">
      <w:pPr>
        <w:pStyle w:val="Normal1"/>
      </w:pPr>
      <w:r>
        <w:t xml:space="preserve">Maitha, A.K., (2020). Foreign Exchange Risk Management Practices and Financial Performance of Manufacturing Firms in Kenya (Doctoral dissertation, University of Nairobi). Link: </w:t>
      </w:r>
      <w:hyperlink r:id="rId11">
        <w:r>
          <w:rPr>
            <w:color w:val="1155CC"/>
            <w:u w:val="single"/>
          </w:rPr>
          <w:t>http://erepository.uonbi.ac.ke/handle/11295/153900</w:t>
        </w:r>
      </w:hyperlink>
    </w:p>
    <w:p w14:paraId="1B187F9D" w14:textId="77777777" w:rsidR="00683F5A" w:rsidRDefault="00683F5A">
      <w:pPr>
        <w:pStyle w:val="Normal1"/>
      </w:pPr>
      <w:r>
        <w:t xml:space="preserve">Market Business News (2020) What is economic risk? definition and example, Market Business News. Available at: https://marketbusinessnews.com/financial-glossary/economic-risk/ (Accessed: 08 November 2023). </w:t>
      </w:r>
    </w:p>
    <w:p w14:paraId="15E45A38" w14:textId="77777777" w:rsidR="00683F5A" w:rsidRDefault="00683F5A">
      <w:pPr>
        <w:pStyle w:val="Normal1"/>
      </w:pPr>
      <w:r>
        <w:t xml:space="preserve">Mendoza, W., (2019). The Mundell-Fleming Model: A dirty Float Version. Link: </w:t>
      </w:r>
      <w:hyperlink r:id="rId12">
        <w:r>
          <w:rPr>
            <w:color w:val="1155CC"/>
            <w:u w:val="single"/>
          </w:rPr>
          <w:t>https://repositorio.pucp.edu.pe/index/bitstream/handle/123456789/176218/DDD477%20%281%29.pdf?sequence=3&amp;isAllowed=y</w:t>
        </w:r>
      </w:hyperlink>
    </w:p>
    <w:p w14:paraId="7465C1F3" w14:textId="77777777" w:rsidR="00683F5A" w:rsidRDefault="00683F5A">
      <w:pPr>
        <w:pStyle w:val="Normal1"/>
      </w:pPr>
      <w:proofErr w:type="spellStart"/>
      <w:r>
        <w:t>Tipalti</w:t>
      </w:r>
      <w:proofErr w:type="spellEnd"/>
      <w:r>
        <w:t xml:space="preserve"> (2023) Understanding foreign exchange risk and how to minimize it, </w:t>
      </w:r>
      <w:proofErr w:type="spellStart"/>
      <w:r>
        <w:t>Tipalti</w:t>
      </w:r>
      <w:proofErr w:type="spellEnd"/>
      <w:r>
        <w:t xml:space="preserve">. Available at: https://tipalti.com/foreign-exchange-risk/ (Accessed: 08 November 2023). </w:t>
      </w:r>
    </w:p>
    <w:p w14:paraId="068C0D89" w14:textId="77777777" w:rsidR="004336FE" w:rsidRDefault="004336FE">
      <w:pPr>
        <w:pStyle w:val="Normal1"/>
        <w:rPr>
          <w:rFonts w:ascii="Arial" w:eastAsia="Arial" w:hAnsi="Arial" w:cs="Arial"/>
          <w:color w:val="222222"/>
          <w:sz w:val="20"/>
          <w:szCs w:val="20"/>
          <w:highlight w:val="white"/>
        </w:rPr>
      </w:pPr>
    </w:p>
    <w:sectPr w:rsidR="004336FE" w:rsidSect="00683F5A">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42A93" w14:textId="77777777" w:rsidR="00165B54" w:rsidRDefault="00165B54" w:rsidP="00683F5A">
      <w:pPr>
        <w:spacing w:line="240" w:lineRule="auto"/>
      </w:pPr>
      <w:r>
        <w:separator/>
      </w:r>
    </w:p>
  </w:endnote>
  <w:endnote w:type="continuationSeparator" w:id="0">
    <w:p w14:paraId="794B684A" w14:textId="77777777" w:rsidR="00165B54" w:rsidRDefault="00165B54" w:rsidP="00683F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806849"/>
      <w:docPartObj>
        <w:docPartGallery w:val="Page Numbers (Bottom of Page)"/>
        <w:docPartUnique/>
      </w:docPartObj>
    </w:sdtPr>
    <w:sdtEndPr>
      <w:rPr>
        <w:noProof/>
      </w:rPr>
    </w:sdtEndPr>
    <w:sdtContent>
      <w:p w14:paraId="6F3F3F8A" w14:textId="7CE5F4FF" w:rsidR="00683F5A" w:rsidRDefault="00683F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3D915" w14:textId="77777777" w:rsidR="00683F5A" w:rsidRDefault="00683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B655D" w14:textId="77777777" w:rsidR="00165B54" w:rsidRDefault="00165B54" w:rsidP="00683F5A">
      <w:pPr>
        <w:spacing w:line="240" w:lineRule="auto"/>
      </w:pPr>
      <w:r>
        <w:separator/>
      </w:r>
    </w:p>
  </w:footnote>
  <w:footnote w:type="continuationSeparator" w:id="0">
    <w:p w14:paraId="4FB59A4A" w14:textId="77777777" w:rsidR="00165B54" w:rsidRDefault="00165B54" w:rsidP="00683F5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6FE"/>
    <w:rsid w:val="00165B54"/>
    <w:rsid w:val="002B7E41"/>
    <w:rsid w:val="004336FE"/>
    <w:rsid w:val="00683F5A"/>
    <w:rsid w:val="00AA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E283"/>
  <w15:docId w15:val="{7359C003-7EEB-4C3D-A969-AA9A9841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83F5A"/>
    <w:pPr>
      <w:tabs>
        <w:tab w:val="center" w:pos="4680"/>
        <w:tab w:val="right" w:pos="9360"/>
      </w:tabs>
      <w:spacing w:line="240" w:lineRule="auto"/>
    </w:pPr>
  </w:style>
  <w:style w:type="character" w:customStyle="1" w:styleId="HeaderChar">
    <w:name w:val="Header Char"/>
    <w:basedOn w:val="DefaultParagraphFont"/>
    <w:link w:val="Header"/>
    <w:uiPriority w:val="99"/>
    <w:rsid w:val="00683F5A"/>
  </w:style>
  <w:style w:type="paragraph" w:styleId="Footer">
    <w:name w:val="footer"/>
    <w:basedOn w:val="Normal"/>
    <w:link w:val="FooterChar"/>
    <w:uiPriority w:val="99"/>
    <w:unhideWhenUsed/>
    <w:rsid w:val="00683F5A"/>
    <w:pPr>
      <w:tabs>
        <w:tab w:val="center" w:pos="4680"/>
        <w:tab w:val="right" w:pos="9360"/>
      </w:tabs>
      <w:spacing w:line="240" w:lineRule="auto"/>
    </w:pPr>
  </w:style>
  <w:style w:type="character" w:customStyle="1" w:styleId="FooterChar">
    <w:name w:val="Footer Char"/>
    <w:basedOn w:val="DefaultParagraphFont"/>
    <w:link w:val="Footer"/>
    <w:uiPriority w:val="99"/>
    <w:rsid w:val="00683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nnualreviews.org/doi/abs/10.1146/annurev-financial-101620-063859"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lse.ac.uk/economics/Assets/Documents/Adrien-Verdelhan-Paper-May2022.pdf" TargetMode="External"/><Relationship Id="rId12" Type="http://schemas.openxmlformats.org/officeDocument/2006/relationships/hyperlink" Target="https://repositorio.pucp.edu.pe/index/bitstream/handle/123456789/176218/DDD477%20%281%29.pdf?sequence=3&amp;isAllowed=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erepository.uonbi.ac.ke/handle/11295/153900"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ink.springer.com/article/10.1057/s41267-021-00448-9" TargetMode="External"/><Relationship Id="rId4" Type="http://schemas.openxmlformats.org/officeDocument/2006/relationships/footnotes" Target="footnotes.xml"/><Relationship Id="rId9" Type="http://schemas.openxmlformats.org/officeDocument/2006/relationships/hyperlink" Target="https://www.sciencedirect.com/science/article/abs/pii/S03014797203161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2317</Words>
  <Characters>13209</Characters>
  <Application>Microsoft Office Word</Application>
  <DocSecurity>0</DocSecurity>
  <Lines>110</Lines>
  <Paragraphs>30</Paragraphs>
  <ScaleCrop>false</ScaleCrop>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Nicu Pirvu</cp:lastModifiedBy>
  <cp:revision>3</cp:revision>
  <dcterms:created xsi:type="dcterms:W3CDTF">2023-11-08T09:16:00Z</dcterms:created>
  <dcterms:modified xsi:type="dcterms:W3CDTF">2023-12-22T14:54:00Z</dcterms:modified>
</cp:coreProperties>
</file>