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15D0BE" w14:textId="77777777" w:rsidR="00CA0DA7" w:rsidRDefault="00CA0DA7" w:rsidP="00D24329">
      <w:pPr>
        <w:jc w:val="right"/>
        <w:rPr>
          <w:rFonts w:ascii="Arial" w:hAnsi="Arial" w:cs="Arial"/>
          <w:sz w:val="22"/>
        </w:rPr>
      </w:pPr>
    </w:p>
    <w:p w14:paraId="36B5C0E9" w14:textId="0413D66D" w:rsidR="00854D74" w:rsidRDefault="00D24329" w:rsidP="00D24329">
      <w:pPr>
        <w:jc w:val="right"/>
        <w:rPr>
          <w:rFonts w:ascii="Arial" w:hAnsi="Arial" w:cs="Arial"/>
          <w:sz w:val="22"/>
        </w:rPr>
      </w:pPr>
      <w:r w:rsidRPr="00D24329">
        <w:rPr>
          <w:rFonts w:ascii="Arial" w:hAnsi="Arial" w:cs="Arial"/>
          <w:noProof/>
          <w:sz w:val="22"/>
          <w:lang w:val="en-GB" w:eastAsia="en-GB"/>
        </w:rPr>
        <w:drawing>
          <wp:inline distT="0" distB="0" distL="0" distR="0" wp14:anchorId="244E657D" wp14:editId="03B616C8">
            <wp:extent cx="2011442" cy="805378"/>
            <wp:effectExtent l="0" t="0" r="8255" b="0"/>
            <wp:docPr id="360649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4060" cy="806426"/>
                    </a:xfrm>
                    <a:prstGeom prst="rect">
                      <a:avLst/>
                    </a:prstGeom>
                    <a:noFill/>
                    <a:ln>
                      <a:noFill/>
                    </a:ln>
                  </pic:spPr>
                </pic:pic>
              </a:graphicData>
            </a:graphic>
          </wp:inline>
        </w:drawing>
      </w:r>
    </w:p>
    <w:p w14:paraId="775E4B32" w14:textId="77777777" w:rsidR="00854D74" w:rsidRDefault="00854D74" w:rsidP="00854D74">
      <w:pPr>
        <w:rPr>
          <w:rFonts w:ascii="Arial" w:hAnsi="Arial" w:cs="Arial"/>
          <w:sz w:val="22"/>
        </w:rPr>
      </w:pPr>
    </w:p>
    <w:p w14:paraId="2B62953E" w14:textId="75B68D79" w:rsidR="00854D74" w:rsidRPr="00CA0DA7" w:rsidRDefault="00854D74" w:rsidP="00854D74">
      <w:pPr>
        <w:rPr>
          <w:rFonts w:ascii="Arial" w:hAnsi="Arial" w:cs="Arial"/>
          <w:szCs w:val="24"/>
        </w:rPr>
      </w:pPr>
      <w:r w:rsidRPr="00CA0DA7">
        <w:rPr>
          <w:rFonts w:ascii="Arial" w:hAnsi="Arial" w:cs="Arial"/>
          <w:szCs w:val="24"/>
        </w:rPr>
        <w:t>Programme: BSc (Hons) Health and Social Care</w:t>
      </w:r>
    </w:p>
    <w:p w14:paraId="4C4B2D68" w14:textId="77777777" w:rsidR="00854D74" w:rsidRPr="00CA0DA7" w:rsidRDefault="00854D74" w:rsidP="00854D74">
      <w:pPr>
        <w:rPr>
          <w:rFonts w:ascii="Arial" w:hAnsi="Arial" w:cs="Arial"/>
          <w:szCs w:val="24"/>
        </w:rPr>
      </w:pPr>
      <w:r w:rsidRPr="00CA0DA7">
        <w:rPr>
          <w:rFonts w:ascii="Arial" w:hAnsi="Arial" w:cs="Arial"/>
          <w:szCs w:val="24"/>
        </w:rPr>
        <w:t>Module: Changemakers: Creativity and Value Creation</w:t>
      </w:r>
    </w:p>
    <w:p w14:paraId="2F6302BD" w14:textId="77777777" w:rsidR="00854D74" w:rsidRPr="00CA0DA7" w:rsidRDefault="00854D74" w:rsidP="00854D74">
      <w:pPr>
        <w:rPr>
          <w:rFonts w:ascii="Arial" w:hAnsi="Arial" w:cs="Arial"/>
          <w:szCs w:val="24"/>
        </w:rPr>
      </w:pPr>
      <w:r w:rsidRPr="00CA0DA7">
        <w:rPr>
          <w:rFonts w:ascii="Arial" w:hAnsi="Arial" w:cs="Arial"/>
          <w:szCs w:val="24"/>
        </w:rPr>
        <w:t>Module code: BMHP5014</w:t>
      </w:r>
    </w:p>
    <w:p w14:paraId="378DFDC9" w14:textId="77777777" w:rsidR="00854D74" w:rsidRPr="00CA0DA7" w:rsidRDefault="00854D74" w:rsidP="00854D74">
      <w:pPr>
        <w:rPr>
          <w:rFonts w:ascii="Arial" w:hAnsi="Arial" w:cs="Arial"/>
          <w:szCs w:val="24"/>
        </w:rPr>
      </w:pPr>
      <w:r w:rsidRPr="00CA0DA7">
        <w:rPr>
          <w:rFonts w:ascii="Arial" w:hAnsi="Arial" w:cs="Arial"/>
          <w:szCs w:val="24"/>
        </w:rPr>
        <w:t>Assignment Title: Component 1: Online portfolio of set exercises</w:t>
      </w:r>
    </w:p>
    <w:p w14:paraId="2E475D9D" w14:textId="28E5B805" w:rsidR="00854D74" w:rsidRPr="00CA0DA7" w:rsidRDefault="00854D74" w:rsidP="00854D74">
      <w:pPr>
        <w:rPr>
          <w:rFonts w:ascii="Arial" w:hAnsi="Arial" w:cs="Arial"/>
        </w:rPr>
      </w:pPr>
      <w:r w:rsidRPr="00CA0DA7">
        <w:rPr>
          <w:rFonts w:ascii="Arial" w:hAnsi="Arial" w:cs="Arial"/>
        </w:rPr>
        <w:t>Student name:</w:t>
      </w:r>
      <w:r w:rsidR="0040604B">
        <w:rPr>
          <w:rFonts w:ascii="Arial" w:hAnsi="Arial" w:cs="Arial"/>
        </w:rPr>
        <w:t xml:space="preserve"> Evelyn Alexander</w:t>
      </w:r>
    </w:p>
    <w:p w14:paraId="02DF219F" w14:textId="2027BC56" w:rsidR="00854D74" w:rsidRPr="00CA0DA7" w:rsidRDefault="00854D74" w:rsidP="00854D74">
      <w:pPr>
        <w:rPr>
          <w:rFonts w:ascii="Arial" w:hAnsi="Arial" w:cs="Arial"/>
        </w:rPr>
      </w:pPr>
      <w:r w:rsidRPr="00CA0DA7">
        <w:rPr>
          <w:rFonts w:ascii="Arial" w:hAnsi="Arial" w:cs="Arial"/>
        </w:rPr>
        <w:t>Student number:</w:t>
      </w:r>
      <w:r w:rsidR="0040604B">
        <w:rPr>
          <w:rFonts w:ascii="Arial" w:hAnsi="Arial" w:cs="Arial"/>
        </w:rPr>
        <w:t>2417638</w:t>
      </w:r>
    </w:p>
    <w:p w14:paraId="483E0A2C" w14:textId="2CC379DF" w:rsidR="00854D74" w:rsidRPr="0040604B" w:rsidRDefault="0040604B" w:rsidP="00854D74">
      <w:pPr>
        <w:rPr>
          <w:rFonts w:ascii="Arial" w:hAnsi="Arial" w:cs="Arial"/>
        </w:rPr>
      </w:pPr>
      <w:r>
        <w:rPr>
          <w:rFonts w:ascii="Arial" w:hAnsi="Arial" w:cs="Arial"/>
        </w:rPr>
        <w:t>Lecturer’s name Laila Surani</w:t>
      </w:r>
      <w:r w:rsidR="00854D74" w:rsidRPr="00854D74">
        <w:rPr>
          <w:rFonts w:ascii="Arial" w:hAnsi="Arial" w:cs="Arial"/>
          <w:sz w:val="22"/>
          <w:szCs w:val="20"/>
        </w:rPr>
        <w:br/>
      </w:r>
    </w:p>
    <w:p w14:paraId="4DB8F2BE" w14:textId="77777777" w:rsidR="00854D74" w:rsidRDefault="00854D74" w:rsidP="00854D74"/>
    <w:p w14:paraId="62B75898" w14:textId="77777777" w:rsidR="00CA0DA7" w:rsidRDefault="00CA0DA7" w:rsidP="00854D74"/>
    <w:p w14:paraId="48AA10E9" w14:textId="77777777" w:rsidR="00CA0DA7" w:rsidRDefault="00CA0DA7" w:rsidP="00854D74"/>
    <w:p w14:paraId="200A5226" w14:textId="77777777" w:rsidR="00CA0DA7" w:rsidRDefault="00CA0DA7" w:rsidP="00854D74"/>
    <w:p w14:paraId="23BB888D" w14:textId="77777777" w:rsidR="00CA0DA7" w:rsidRDefault="00CA0DA7" w:rsidP="00854D74"/>
    <w:p w14:paraId="76A92406" w14:textId="77777777" w:rsidR="00CA0DA7" w:rsidRDefault="00CA0DA7" w:rsidP="00854D74"/>
    <w:p w14:paraId="6293F70A" w14:textId="77777777" w:rsidR="00CA0DA7" w:rsidRDefault="00CA0DA7" w:rsidP="00854D74"/>
    <w:p w14:paraId="01C7A172" w14:textId="77777777" w:rsidR="00CA0DA7" w:rsidRDefault="00CA0DA7" w:rsidP="00854D74"/>
    <w:p w14:paraId="472B6EED" w14:textId="77777777" w:rsidR="00CA0DA7" w:rsidRDefault="00CA0DA7" w:rsidP="00854D74"/>
    <w:p w14:paraId="2B8CBF1F" w14:textId="77777777" w:rsidR="00CA0DA7" w:rsidRDefault="00CA0DA7" w:rsidP="00854D74"/>
    <w:p w14:paraId="22DC675D" w14:textId="77777777" w:rsidR="00CA0DA7" w:rsidRDefault="00CA0DA7" w:rsidP="00854D74"/>
    <w:p w14:paraId="75CB6B2A" w14:textId="77777777" w:rsidR="00CA0DA7" w:rsidRDefault="00CA0DA7" w:rsidP="00854D74"/>
    <w:p w14:paraId="38DE0BBC" w14:textId="4CBC90D7" w:rsidR="00854D74" w:rsidRPr="009A61EA" w:rsidRDefault="00CA0DA7" w:rsidP="009A61EA">
      <w:pPr>
        <w:pStyle w:val="Heading1"/>
        <w:rPr>
          <w:rFonts w:ascii="Arial" w:hAnsi="Arial" w:cs="Arial"/>
          <w:sz w:val="22"/>
          <w:szCs w:val="22"/>
        </w:rPr>
      </w:pPr>
      <w:bookmarkStart w:id="0" w:name="_Toc235649313"/>
      <w:r w:rsidRPr="009A61EA">
        <w:rPr>
          <w:rFonts w:ascii="Arial" w:hAnsi="Arial" w:cs="Arial"/>
          <w:sz w:val="22"/>
          <w:szCs w:val="22"/>
        </w:rPr>
        <w:lastRenderedPageBreak/>
        <w:t>TABLE OF CONENTS</w:t>
      </w:r>
      <w:bookmarkEnd w:id="0"/>
    </w:p>
    <w:sdt>
      <w:sdtPr>
        <w:rPr>
          <w:rFonts w:ascii="Times New Roman" w:eastAsiaTheme="minorEastAsia" w:hAnsi="Times New Roman" w:cstheme="minorBidi"/>
          <w:b w:val="0"/>
          <w:bCs w:val="0"/>
          <w:color w:val="auto"/>
          <w:sz w:val="24"/>
          <w:szCs w:val="22"/>
        </w:rPr>
        <w:id w:val="2041239295"/>
        <w:docPartObj>
          <w:docPartGallery w:val="Table of Contents"/>
          <w:docPartUnique/>
        </w:docPartObj>
      </w:sdtPr>
      <w:sdtEndPr>
        <w:rPr>
          <w:noProof/>
        </w:rPr>
      </w:sdtEndPr>
      <w:sdtContent>
        <w:p w14:paraId="67DAFFC2" w14:textId="7BB5DE96" w:rsidR="009A61EA" w:rsidRDefault="009A61EA">
          <w:pPr>
            <w:pStyle w:val="TOCHeading"/>
          </w:pPr>
        </w:p>
        <w:p w14:paraId="2BBFD5D4" w14:textId="5CA7D028" w:rsidR="007716CA" w:rsidRDefault="009A61EA">
          <w:pPr>
            <w:pStyle w:val="TOC1"/>
            <w:tabs>
              <w:tab w:val="right" w:leader="dot" w:pos="8630"/>
            </w:tabs>
            <w:rPr>
              <w:rFonts w:asciiTheme="minorHAnsi" w:hAnsiTheme="minorHAnsi"/>
              <w:noProof/>
              <w:kern w:val="2"/>
              <w:szCs w:val="24"/>
              <w14:ligatures w14:val="standardContextual"/>
            </w:rPr>
          </w:pPr>
          <w:r w:rsidRPr="007716CA">
            <w:rPr>
              <w:sz w:val="18"/>
              <w:szCs w:val="18"/>
            </w:rPr>
            <w:fldChar w:fldCharType="begin"/>
          </w:r>
          <w:r w:rsidRPr="007716CA">
            <w:rPr>
              <w:sz w:val="18"/>
              <w:szCs w:val="18"/>
            </w:rPr>
            <w:instrText xml:space="preserve"> TOC \o "1-3" \h \z \u </w:instrText>
          </w:r>
          <w:r w:rsidRPr="007716CA">
            <w:rPr>
              <w:sz w:val="18"/>
              <w:szCs w:val="18"/>
            </w:rPr>
            <w:fldChar w:fldCharType="separate"/>
          </w:r>
          <w:hyperlink w:anchor="_Toc235649313" w:history="1">
            <w:r w:rsidR="007716CA" w:rsidRPr="004B49B0">
              <w:rPr>
                <w:rStyle w:val="Hyperlink"/>
                <w:rFonts w:ascii="Arial" w:hAnsi="Arial" w:cs="Arial"/>
                <w:noProof/>
              </w:rPr>
              <w:t>TABLE OF CONENTS</w:t>
            </w:r>
            <w:r w:rsidR="007716CA">
              <w:rPr>
                <w:noProof/>
                <w:webHidden/>
              </w:rPr>
              <w:tab/>
            </w:r>
            <w:r w:rsidR="007716CA">
              <w:rPr>
                <w:noProof/>
                <w:webHidden/>
              </w:rPr>
              <w:fldChar w:fldCharType="begin"/>
            </w:r>
            <w:r w:rsidR="007716CA">
              <w:rPr>
                <w:noProof/>
                <w:webHidden/>
              </w:rPr>
              <w:instrText xml:space="preserve"> PAGEREF _Toc235649313 \h </w:instrText>
            </w:r>
            <w:r w:rsidR="007716CA">
              <w:rPr>
                <w:noProof/>
                <w:webHidden/>
              </w:rPr>
            </w:r>
            <w:r w:rsidR="007716CA">
              <w:rPr>
                <w:noProof/>
                <w:webHidden/>
              </w:rPr>
              <w:fldChar w:fldCharType="separate"/>
            </w:r>
            <w:r w:rsidR="007716CA">
              <w:rPr>
                <w:noProof/>
                <w:webHidden/>
              </w:rPr>
              <w:t>ii</w:t>
            </w:r>
            <w:r w:rsidR="007716CA">
              <w:rPr>
                <w:noProof/>
                <w:webHidden/>
              </w:rPr>
              <w:fldChar w:fldCharType="end"/>
            </w:r>
          </w:hyperlink>
        </w:p>
        <w:p w14:paraId="797AFBCE" w14:textId="152FC9D4" w:rsidR="007716CA" w:rsidRDefault="00F24603">
          <w:pPr>
            <w:pStyle w:val="TOC1"/>
            <w:tabs>
              <w:tab w:val="right" w:leader="dot" w:pos="8630"/>
            </w:tabs>
            <w:rPr>
              <w:rFonts w:asciiTheme="minorHAnsi" w:hAnsiTheme="minorHAnsi"/>
              <w:noProof/>
              <w:kern w:val="2"/>
              <w:szCs w:val="24"/>
              <w14:ligatures w14:val="standardContextual"/>
            </w:rPr>
          </w:pPr>
          <w:hyperlink w:anchor="_Toc235649314" w:history="1">
            <w:r w:rsidR="007716CA" w:rsidRPr="004B49B0">
              <w:rPr>
                <w:rStyle w:val="Hyperlink"/>
                <w:rFonts w:ascii="Arial" w:hAnsi="Arial" w:cs="Arial"/>
                <w:noProof/>
              </w:rPr>
              <w:t>LIST OF FIGURES</w:t>
            </w:r>
            <w:r w:rsidR="007716CA">
              <w:rPr>
                <w:noProof/>
                <w:webHidden/>
              </w:rPr>
              <w:tab/>
            </w:r>
            <w:r w:rsidR="007716CA">
              <w:rPr>
                <w:noProof/>
                <w:webHidden/>
              </w:rPr>
              <w:fldChar w:fldCharType="begin"/>
            </w:r>
            <w:r w:rsidR="007716CA">
              <w:rPr>
                <w:noProof/>
                <w:webHidden/>
              </w:rPr>
              <w:instrText xml:space="preserve"> PAGEREF _Toc235649314 \h </w:instrText>
            </w:r>
            <w:r w:rsidR="007716CA">
              <w:rPr>
                <w:noProof/>
                <w:webHidden/>
              </w:rPr>
            </w:r>
            <w:r w:rsidR="007716CA">
              <w:rPr>
                <w:noProof/>
                <w:webHidden/>
              </w:rPr>
              <w:fldChar w:fldCharType="separate"/>
            </w:r>
            <w:r w:rsidR="007716CA">
              <w:rPr>
                <w:noProof/>
                <w:webHidden/>
              </w:rPr>
              <w:t>ii</w:t>
            </w:r>
            <w:r w:rsidR="007716CA">
              <w:rPr>
                <w:noProof/>
                <w:webHidden/>
              </w:rPr>
              <w:fldChar w:fldCharType="end"/>
            </w:r>
          </w:hyperlink>
        </w:p>
        <w:p w14:paraId="7E1B0D36" w14:textId="75D2F300" w:rsidR="007716CA" w:rsidRDefault="00F24603">
          <w:pPr>
            <w:pStyle w:val="TOC2"/>
            <w:tabs>
              <w:tab w:val="right" w:leader="dot" w:pos="8630"/>
            </w:tabs>
            <w:rPr>
              <w:rFonts w:asciiTheme="minorHAnsi" w:hAnsiTheme="minorHAnsi"/>
              <w:noProof/>
              <w:kern w:val="2"/>
              <w:szCs w:val="24"/>
              <w14:ligatures w14:val="standardContextual"/>
            </w:rPr>
          </w:pPr>
          <w:hyperlink w:anchor="_Toc235649315" w:history="1">
            <w:r w:rsidR="007716CA" w:rsidRPr="004B49B0">
              <w:rPr>
                <w:rStyle w:val="Hyperlink"/>
                <w:rFonts w:ascii="Arial" w:hAnsi="Arial" w:cs="Arial"/>
                <w:noProof/>
              </w:rPr>
              <w:t>INTRODUCTION</w:t>
            </w:r>
            <w:r w:rsidR="007716CA">
              <w:rPr>
                <w:noProof/>
                <w:webHidden/>
              </w:rPr>
              <w:tab/>
            </w:r>
            <w:r w:rsidR="007716CA">
              <w:rPr>
                <w:noProof/>
                <w:webHidden/>
              </w:rPr>
              <w:fldChar w:fldCharType="begin"/>
            </w:r>
            <w:r w:rsidR="007716CA">
              <w:rPr>
                <w:noProof/>
                <w:webHidden/>
              </w:rPr>
              <w:instrText xml:space="preserve"> PAGEREF _Toc235649315 \h </w:instrText>
            </w:r>
            <w:r w:rsidR="007716CA">
              <w:rPr>
                <w:noProof/>
                <w:webHidden/>
              </w:rPr>
            </w:r>
            <w:r w:rsidR="007716CA">
              <w:rPr>
                <w:noProof/>
                <w:webHidden/>
              </w:rPr>
              <w:fldChar w:fldCharType="separate"/>
            </w:r>
            <w:r w:rsidR="007716CA">
              <w:rPr>
                <w:noProof/>
                <w:webHidden/>
              </w:rPr>
              <w:t>1</w:t>
            </w:r>
            <w:r w:rsidR="007716CA">
              <w:rPr>
                <w:noProof/>
                <w:webHidden/>
              </w:rPr>
              <w:fldChar w:fldCharType="end"/>
            </w:r>
          </w:hyperlink>
        </w:p>
        <w:p w14:paraId="6ED6C8BA" w14:textId="6AACFE03" w:rsidR="007716CA" w:rsidRDefault="00F24603">
          <w:pPr>
            <w:pStyle w:val="TOC2"/>
            <w:tabs>
              <w:tab w:val="right" w:leader="dot" w:pos="8630"/>
            </w:tabs>
            <w:rPr>
              <w:rFonts w:asciiTheme="minorHAnsi" w:hAnsiTheme="minorHAnsi"/>
              <w:noProof/>
              <w:kern w:val="2"/>
              <w:szCs w:val="24"/>
              <w14:ligatures w14:val="standardContextual"/>
            </w:rPr>
          </w:pPr>
          <w:hyperlink w:anchor="_Toc235649316" w:history="1">
            <w:r w:rsidR="007716CA" w:rsidRPr="004B49B0">
              <w:rPr>
                <w:rStyle w:val="Hyperlink"/>
                <w:rFonts w:ascii="Arial" w:hAnsi="Arial" w:cs="Arial"/>
                <w:noProof/>
              </w:rPr>
              <w:t>TASK 1: DEFINING KEY CONCEPTS IN PRACTICE</w:t>
            </w:r>
            <w:r w:rsidR="007716CA">
              <w:rPr>
                <w:noProof/>
                <w:webHidden/>
              </w:rPr>
              <w:tab/>
            </w:r>
            <w:r w:rsidR="007716CA">
              <w:rPr>
                <w:noProof/>
                <w:webHidden/>
              </w:rPr>
              <w:fldChar w:fldCharType="begin"/>
            </w:r>
            <w:r w:rsidR="007716CA">
              <w:rPr>
                <w:noProof/>
                <w:webHidden/>
              </w:rPr>
              <w:instrText xml:space="preserve"> PAGEREF _Toc235649316 \h </w:instrText>
            </w:r>
            <w:r w:rsidR="007716CA">
              <w:rPr>
                <w:noProof/>
                <w:webHidden/>
              </w:rPr>
            </w:r>
            <w:r w:rsidR="007716CA">
              <w:rPr>
                <w:noProof/>
                <w:webHidden/>
              </w:rPr>
              <w:fldChar w:fldCharType="separate"/>
            </w:r>
            <w:r w:rsidR="007716CA">
              <w:rPr>
                <w:noProof/>
                <w:webHidden/>
              </w:rPr>
              <w:t>1</w:t>
            </w:r>
            <w:r w:rsidR="007716CA">
              <w:rPr>
                <w:noProof/>
                <w:webHidden/>
              </w:rPr>
              <w:fldChar w:fldCharType="end"/>
            </w:r>
          </w:hyperlink>
        </w:p>
        <w:p w14:paraId="40DF6801" w14:textId="6558929A" w:rsidR="007716CA" w:rsidRDefault="00F24603">
          <w:pPr>
            <w:pStyle w:val="TOC2"/>
            <w:tabs>
              <w:tab w:val="right" w:leader="dot" w:pos="8630"/>
            </w:tabs>
            <w:rPr>
              <w:rFonts w:asciiTheme="minorHAnsi" w:hAnsiTheme="minorHAnsi"/>
              <w:noProof/>
              <w:kern w:val="2"/>
              <w:szCs w:val="24"/>
              <w14:ligatures w14:val="standardContextual"/>
            </w:rPr>
          </w:pPr>
          <w:hyperlink w:anchor="_Toc235649317" w:history="1">
            <w:r w:rsidR="007716CA" w:rsidRPr="004B49B0">
              <w:rPr>
                <w:rStyle w:val="Hyperlink"/>
                <w:rFonts w:ascii="Arial" w:hAnsi="Arial" w:cs="Arial"/>
                <w:noProof/>
              </w:rPr>
              <w:t>TASK 2: MIND MAP – MENTAL HEALTH SERVICE GAPS FOR ETHNIC MINORITY COMMUNITIES</w:t>
            </w:r>
            <w:r w:rsidR="007716CA">
              <w:rPr>
                <w:noProof/>
                <w:webHidden/>
              </w:rPr>
              <w:tab/>
            </w:r>
            <w:r w:rsidR="007716CA">
              <w:rPr>
                <w:noProof/>
                <w:webHidden/>
              </w:rPr>
              <w:fldChar w:fldCharType="begin"/>
            </w:r>
            <w:r w:rsidR="007716CA">
              <w:rPr>
                <w:noProof/>
                <w:webHidden/>
              </w:rPr>
              <w:instrText xml:space="preserve"> PAGEREF _Toc235649317 \h </w:instrText>
            </w:r>
            <w:r w:rsidR="007716CA">
              <w:rPr>
                <w:noProof/>
                <w:webHidden/>
              </w:rPr>
            </w:r>
            <w:r w:rsidR="007716CA">
              <w:rPr>
                <w:noProof/>
                <w:webHidden/>
              </w:rPr>
              <w:fldChar w:fldCharType="separate"/>
            </w:r>
            <w:r w:rsidR="007716CA">
              <w:rPr>
                <w:noProof/>
                <w:webHidden/>
              </w:rPr>
              <w:t>2</w:t>
            </w:r>
            <w:r w:rsidR="007716CA">
              <w:rPr>
                <w:noProof/>
                <w:webHidden/>
              </w:rPr>
              <w:fldChar w:fldCharType="end"/>
            </w:r>
          </w:hyperlink>
        </w:p>
        <w:p w14:paraId="55A5BF82" w14:textId="352458DE" w:rsidR="007716CA" w:rsidRDefault="00F24603">
          <w:pPr>
            <w:pStyle w:val="TOC2"/>
            <w:tabs>
              <w:tab w:val="right" w:leader="dot" w:pos="8630"/>
            </w:tabs>
            <w:rPr>
              <w:rFonts w:asciiTheme="minorHAnsi" w:hAnsiTheme="minorHAnsi"/>
              <w:noProof/>
              <w:kern w:val="2"/>
              <w:szCs w:val="24"/>
              <w14:ligatures w14:val="standardContextual"/>
            </w:rPr>
          </w:pPr>
          <w:hyperlink w:anchor="_Toc235649318" w:history="1">
            <w:r w:rsidR="007716CA" w:rsidRPr="004B49B0">
              <w:rPr>
                <w:rStyle w:val="Hyperlink"/>
                <w:rFonts w:ascii="Arial" w:hAnsi="Arial" w:cs="Arial"/>
                <w:noProof/>
              </w:rPr>
              <w:t>TASK 3: SELF-REFLECTION ON CONVERGENT AND DIVERGENT THINKING</w:t>
            </w:r>
            <w:r w:rsidR="007716CA">
              <w:rPr>
                <w:noProof/>
                <w:webHidden/>
              </w:rPr>
              <w:tab/>
            </w:r>
            <w:r w:rsidR="007716CA">
              <w:rPr>
                <w:noProof/>
                <w:webHidden/>
              </w:rPr>
              <w:fldChar w:fldCharType="begin"/>
            </w:r>
            <w:r w:rsidR="007716CA">
              <w:rPr>
                <w:noProof/>
                <w:webHidden/>
              </w:rPr>
              <w:instrText xml:space="preserve"> PAGEREF _Toc235649318 \h </w:instrText>
            </w:r>
            <w:r w:rsidR="007716CA">
              <w:rPr>
                <w:noProof/>
                <w:webHidden/>
              </w:rPr>
            </w:r>
            <w:r w:rsidR="007716CA">
              <w:rPr>
                <w:noProof/>
                <w:webHidden/>
              </w:rPr>
              <w:fldChar w:fldCharType="separate"/>
            </w:r>
            <w:r w:rsidR="007716CA">
              <w:rPr>
                <w:noProof/>
                <w:webHidden/>
              </w:rPr>
              <w:t>3</w:t>
            </w:r>
            <w:r w:rsidR="007716CA">
              <w:rPr>
                <w:noProof/>
                <w:webHidden/>
              </w:rPr>
              <w:fldChar w:fldCharType="end"/>
            </w:r>
          </w:hyperlink>
        </w:p>
        <w:p w14:paraId="52B0D390" w14:textId="08853A38" w:rsidR="007716CA" w:rsidRDefault="00F24603">
          <w:pPr>
            <w:pStyle w:val="TOC2"/>
            <w:tabs>
              <w:tab w:val="right" w:leader="dot" w:pos="8630"/>
            </w:tabs>
            <w:rPr>
              <w:rFonts w:asciiTheme="minorHAnsi" w:hAnsiTheme="minorHAnsi"/>
              <w:noProof/>
              <w:kern w:val="2"/>
              <w:szCs w:val="24"/>
              <w14:ligatures w14:val="standardContextual"/>
            </w:rPr>
          </w:pPr>
          <w:hyperlink w:anchor="_Toc235649319" w:history="1">
            <w:r w:rsidR="007716CA" w:rsidRPr="004B49B0">
              <w:rPr>
                <w:rStyle w:val="Hyperlink"/>
                <w:rFonts w:ascii="Arial" w:hAnsi="Arial" w:cs="Arial"/>
                <w:noProof/>
              </w:rPr>
              <w:t>TASK 4: CASE STUDY - Virtual wards</w:t>
            </w:r>
            <w:r w:rsidR="007716CA">
              <w:rPr>
                <w:noProof/>
                <w:webHidden/>
              </w:rPr>
              <w:tab/>
            </w:r>
            <w:r w:rsidR="007716CA">
              <w:rPr>
                <w:noProof/>
                <w:webHidden/>
              </w:rPr>
              <w:fldChar w:fldCharType="begin"/>
            </w:r>
            <w:r w:rsidR="007716CA">
              <w:rPr>
                <w:noProof/>
                <w:webHidden/>
              </w:rPr>
              <w:instrText xml:space="preserve"> PAGEREF _Toc235649319 \h </w:instrText>
            </w:r>
            <w:r w:rsidR="007716CA">
              <w:rPr>
                <w:noProof/>
                <w:webHidden/>
              </w:rPr>
            </w:r>
            <w:r w:rsidR="007716CA">
              <w:rPr>
                <w:noProof/>
                <w:webHidden/>
              </w:rPr>
              <w:fldChar w:fldCharType="separate"/>
            </w:r>
            <w:r w:rsidR="007716CA">
              <w:rPr>
                <w:noProof/>
                <w:webHidden/>
              </w:rPr>
              <w:t>3</w:t>
            </w:r>
            <w:r w:rsidR="007716CA">
              <w:rPr>
                <w:noProof/>
                <w:webHidden/>
              </w:rPr>
              <w:fldChar w:fldCharType="end"/>
            </w:r>
          </w:hyperlink>
        </w:p>
        <w:p w14:paraId="64B12662" w14:textId="631FAC51" w:rsidR="007716CA" w:rsidRDefault="00F24603">
          <w:pPr>
            <w:pStyle w:val="TOC2"/>
            <w:tabs>
              <w:tab w:val="right" w:leader="dot" w:pos="8630"/>
            </w:tabs>
            <w:rPr>
              <w:rFonts w:asciiTheme="minorHAnsi" w:hAnsiTheme="minorHAnsi"/>
              <w:noProof/>
              <w:kern w:val="2"/>
              <w:szCs w:val="24"/>
              <w14:ligatures w14:val="standardContextual"/>
            </w:rPr>
          </w:pPr>
          <w:hyperlink w:anchor="_Toc235649320" w:history="1">
            <w:r w:rsidR="007716CA" w:rsidRPr="004B49B0">
              <w:rPr>
                <w:rStyle w:val="Hyperlink"/>
                <w:rFonts w:ascii="Arial" w:hAnsi="Arial" w:cs="Arial"/>
                <w:noProof/>
              </w:rPr>
              <w:t>TASK 5: RESEARCH TASK - Mental Health access for Black, Asian, and Minority Ethnic Communities.</w:t>
            </w:r>
            <w:r w:rsidR="007716CA">
              <w:rPr>
                <w:noProof/>
                <w:webHidden/>
              </w:rPr>
              <w:tab/>
            </w:r>
            <w:r w:rsidR="007716CA">
              <w:rPr>
                <w:noProof/>
                <w:webHidden/>
              </w:rPr>
              <w:fldChar w:fldCharType="begin"/>
            </w:r>
            <w:r w:rsidR="007716CA">
              <w:rPr>
                <w:noProof/>
                <w:webHidden/>
              </w:rPr>
              <w:instrText xml:space="preserve"> PAGEREF _Toc235649320 \h </w:instrText>
            </w:r>
            <w:r w:rsidR="007716CA">
              <w:rPr>
                <w:noProof/>
                <w:webHidden/>
              </w:rPr>
            </w:r>
            <w:r w:rsidR="007716CA">
              <w:rPr>
                <w:noProof/>
                <w:webHidden/>
              </w:rPr>
              <w:fldChar w:fldCharType="separate"/>
            </w:r>
            <w:r w:rsidR="007716CA">
              <w:rPr>
                <w:noProof/>
                <w:webHidden/>
              </w:rPr>
              <w:t>4</w:t>
            </w:r>
            <w:r w:rsidR="007716CA">
              <w:rPr>
                <w:noProof/>
                <w:webHidden/>
              </w:rPr>
              <w:fldChar w:fldCharType="end"/>
            </w:r>
          </w:hyperlink>
        </w:p>
        <w:p w14:paraId="7B1A6D17" w14:textId="34BADE8C" w:rsidR="007716CA" w:rsidRDefault="00F24603">
          <w:pPr>
            <w:pStyle w:val="TOC2"/>
            <w:tabs>
              <w:tab w:val="right" w:leader="dot" w:pos="8630"/>
            </w:tabs>
            <w:rPr>
              <w:rFonts w:asciiTheme="minorHAnsi" w:hAnsiTheme="minorHAnsi"/>
              <w:noProof/>
              <w:kern w:val="2"/>
              <w:szCs w:val="24"/>
              <w14:ligatures w14:val="standardContextual"/>
            </w:rPr>
          </w:pPr>
          <w:hyperlink w:anchor="_Toc235649321" w:history="1">
            <w:r w:rsidR="007716CA" w:rsidRPr="004B49B0">
              <w:rPr>
                <w:rStyle w:val="Hyperlink"/>
                <w:rFonts w:ascii="Arial" w:hAnsi="Arial" w:cs="Arial"/>
                <w:noProof/>
              </w:rPr>
              <w:t>TASK 6: EXPLORING DIGITAL INNOVATION IN HEALTH AND SOCIAL CARE</w:t>
            </w:r>
            <w:r w:rsidR="007716CA">
              <w:rPr>
                <w:noProof/>
                <w:webHidden/>
              </w:rPr>
              <w:tab/>
            </w:r>
            <w:r w:rsidR="007716CA">
              <w:rPr>
                <w:noProof/>
                <w:webHidden/>
              </w:rPr>
              <w:fldChar w:fldCharType="begin"/>
            </w:r>
            <w:r w:rsidR="007716CA">
              <w:rPr>
                <w:noProof/>
                <w:webHidden/>
              </w:rPr>
              <w:instrText xml:space="preserve"> PAGEREF _Toc235649321 \h </w:instrText>
            </w:r>
            <w:r w:rsidR="007716CA">
              <w:rPr>
                <w:noProof/>
                <w:webHidden/>
              </w:rPr>
            </w:r>
            <w:r w:rsidR="007716CA">
              <w:rPr>
                <w:noProof/>
                <w:webHidden/>
              </w:rPr>
              <w:fldChar w:fldCharType="separate"/>
            </w:r>
            <w:r w:rsidR="007716CA">
              <w:rPr>
                <w:noProof/>
                <w:webHidden/>
              </w:rPr>
              <w:t>4</w:t>
            </w:r>
            <w:r w:rsidR="007716CA">
              <w:rPr>
                <w:noProof/>
                <w:webHidden/>
              </w:rPr>
              <w:fldChar w:fldCharType="end"/>
            </w:r>
          </w:hyperlink>
        </w:p>
        <w:p w14:paraId="3FD81659" w14:textId="76DEE0DB" w:rsidR="007716CA" w:rsidRDefault="00F24603">
          <w:pPr>
            <w:pStyle w:val="TOC2"/>
            <w:tabs>
              <w:tab w:val="right" w:leader="dot" w:pos="8630"/>
            </w:tabs>
            <w:rPr>
              <w:rFonts w:asciiTheme="minorHAnsi" w:hAnsiTheme="minorHAnsi"/>
              <w:noProof/>
              <w:kern w:val="2"/>
              <w:szCs w:val="24"/>
              <w14:ligatures w14:val="standardContextual"/>
            </w:rPr>
          </w:pPr>
          <w:hyperlink w:anchor="_Toc235649322" w:history="1">
            <w:r w:rsidR="007716CA" w:rsidRPr="004B49B0">
              <w:rPr>
                <w:rStyle w:val="Hyperlink"/>
                <w:rFonts w:ascii="Arial" w:hAnsi="Arial" w:cs="Arial"/>
                <w:noProof/>
              </w:rPr>
              <w:t>TASK 7: NHS LEADERSHIP FRAMEWORK</w:t>
            </w:r>
            <w:r w:rsidR="007716CA">
              <w:rPr>
                <w:noProof/>
                <w:webHidden/>
              </w:rPr>
              <w:tab/>
            </w:r>
            <w:r w:rsidR="007716CA">
              <w:rPr>
                <w:noProof/>
                <w:webHidden/>
              </w:rPr>
              <w:fldChar w:fldCharType="begin"/>
            </w:r>
            <w:r w:rsidR="007716CA">
              <w:rPr>
                <w:noProof/>
                <w:webHidden/>
              </w:rPr>
              <w:instrText xml:space="preserve"> PAGEREF _Toc235649322 \h </w:instrText>
            </w:r>
            <w:r w:rsidR="007716CA">
              <w:rPr>
                <w:noProof/>
                <w:webHidden/>
              </w:rPr>
            </w:r>
            <w:r w:rsidR="007716CA">
              <w:rPr>
                <w:noProof/>
                <w:webHidden/>
              </w:rPr>
              <w:fldChar w:fldCharType="separate"/>
            </w:r>
            <w:r w:rsidR="007716CA">
              <w:rPr>
                <w:noProof/>
                <w:webHidden/>
              </w:rPr>
              <w:t>5</w:t>
            </w:r>
            <w:r w:rsidR="007716CA">
              <w:rPr>
                <w:noProof/>
                <w:webHidden/>
              </w:rPr>
              <w:fldChar w:fldCharType="end"/>
            </w:r>
          </w:hyperlink>
        </w:p>
        <w:p w14:paraId="5FDE2C12" w14:textId="483E5712" w:rsidR="007716CA" w:rsidRDefault="00F24603">
          <w:pPr>
            <w:pStyle w:val="TOC2"/>
            <w:tabs>
              <w:tab w:val="right" w:leader="dot" w:pos="8630"/>
            </w:tabs>
            <w:rPr>
              <w:rFonts w:asciiTheme="minorHAnsi" w:hAnsiTheme="minorHAnsi"/>
              <w:noProof/>
              <w:kern w:val="2"/>
              <w:szCs w:val="24"/>
              <w14:ligatures w14:val="standardContextual"/>
            </w:rPr>
          </w:pPr>
          <w:hyperlink w:anchor="_Toc235649323" w:history="1">
            <w:r w:rsidR="007716CA" w:rsidRPr="004B49B0">
              <w:rPr>
                <w:rStyle w:val="Hyperlink"/>
                <w:rFonts w:ascii="Arial" w:hAnsi="Arial" w:cs="Arial"/>
                <w:noProof/>
              </w:rPr>
              <w:t>TASK 8: SELF-REFLECTION JOURNAL</w:t>
            </w:r>
            <w:r w:rsidR="007716CA">
              <w:rPr>
                <w:noProof/>
                <w:webHidden/>
              </w:rPr>
              <w:tab/>
            </w:r>
            <w:r w:rsidR="007716CA">
              <w:rPr>
                <w:noProof/>
                <w:webHidden/>
              </w:rPr>
              <w:fldChar w:fldCharType="begin"/>
            </w:r>
            <w:r w:rsidR="007716CA">
              <w:rPr>
                <w:noProof/>
                <w:webHidden/>
              </w:rPr>
              <w:instrText xml:space="preserve"> PAGEREF _Toc235649323 \h </w:instrText>
            </w:r>
            <w:r w:rsidR="007716CA">
              <w:rPr>
                <w:noProof/>
                <w:webHidden/>
              </w:rPr>
            </w:r>
            <w:r w:rsidR="007716CA">
              <w:rPr>
                <w:noProof/>
                <w:webHidden/>
              </w:rPr>
              <w:fldChar w:fldCharType="separate"/>
            </w:r>
            <w:r w:rsidR="007716CA">
              <w:rPr>
                <w:noProof/>
                <w:webHidden/>
              </w:rPr>
              <w:t>7</w:t>
            </w:r>
            <w:r w:rsidR="007716CA">
              <w:rPr>
                <w:noProof/>
                <w:webHidden/>
              </w:rPr>
              <w:fldChar w:fldCharType="end"/>
            </w:r>
          </w:hyperlink>
        </w:p>
        <w:p w14:paraId="694DA346" w14:textId="6538371C" w:rsidR="007716CA" w:rsidRDefault="00F24603">
          <w:pPr>
            <w:pStyle w:val="TOC1"/>
            <w:tabs>
              <w:tab w:val="right" w:leader="dot" w:pos="8630"/>
            </w:tabs>
            <w:rPr>
              <w:rFonts w:asciiTheme="minorHAnsi" w:hAnsiTheme="minorHAnsi"/>
              <w:noProof/>
              <w:kern w:val="2"/>
              <w:szCs w:val="24"/>
              <w14:ligatures w14:val="standardContextual"/>
            </w:rPr>
          </w:pPr>
          <w:hyperlink w:anchor="_Toc235649324" w:history="1">
            <w:r w:rsidR="007716CA" w:rsidRPr="004B49B0">
              <w:rPr>
                <w:rStyle w:val="Hyperlink"/>
                <w:rFonts w:ascii="Arial" w:hAnsi="Arial" w:cs="Arial"/>
                <w:noProof/>
              </w:rPr>
              <w:t>REFERENCES</w:t>
            </w:r>
            <w:r w:rsidR="007716CA">
              <w:rPr>
                <w:noProof/>
                <w:webHidden/>
              </w:rPr>
              <w:tab/>
            </w:r>
            <w:r w:rsidR="007716CA">
              <w:rPr>
                <w:noProof/>
                <w:webHidden/>
              </w:rPr>
              <w:fldChar w:fldCharType="begin"/>
            </w:r>
            <w:r w:rsidR="007716CA">
              <w:rPr>
                <w:noProof/>
                <w:webHidden/>
              </w:rPr>
              <w:instrText xml:space="preserve"> PAGEREF _Toc235649324 \h </w:instrText>
            </w:r>
            <w:r w:rsidR="007716CA">
              <w:rPr>
                <w:noProof/>
                <w:webHidden/>
              </w:rPr>
            </w:r>
            <w:r w:rsidR="007716CA">
              <w:rPr>
                <w:noProof/>
                <w:webHidden/>
              </w:rPr>
              <w:fldChar w:fldCharType="separate"/>
            </w:r>
            <w:r w:rsidR="007716CA">
              <w:rPr>
                <w:noProof/>
                <w:webHidden/>
              </w:rPr>
              <w:t>8</w:t>
            </w:r>
            <w:r w:rsidR="007716CA">
              <w:rPr>
                <w:noProof/>
                <w:webHidden/>
              </w:rPr>
              <w:fldChar w:fldCharType="end"/>
            </w:r>
          </w:hyperlink>
        </w:p>
        <w:p w14:paraId="57929B27" w14:textId="627DB47B" w:rsidR="009A61EA" w:rsidRDefault="009A61EA">
          <w:r w:rsidRPr="007716CA">
            <w:rPr>
              <w:b/>
              <w:bCs/>
              <w:noProof/>
              <w:sz w:val="18"/>
              <w:szCs w:val="18"/>
            </w:rPr>
            <w:fldChar w:fldCharType="end"/>
          </w:r>
        </w:p>
      </w:sdtContent>
    </w:sdt>
    <w:p w14:paraId="0908561D" w14:textId="44876C61" w:rsidR="006C58CB" w:rsidRPr="007716CA" w:rsidRDefault="007716CA" w:rsidP="007716CA">
      <w:pPr>
        <w:pStyle w:val="Heading1"/>
        <w:rPr>
          <w:rFonts w:ascii="Arial" w:hAnsi="Arial" w:cs="Arial"/>
          <w:sz w:val="22"/>
          <w:szCs w:val="22"/>
        </w:rPr>
      </w:pPr>
      <w:bookmarkStart w:id="1" w:name="_Toc235649314"/>
      <w:r w:rsidRPr="007716CA">
        <w:rPr>
          <w:rFonts w:ascii="Arial" w:hAnsi="Arial" w:cs="Arial"/>
          <w:sz w:val="22"/>
          <w:szCs w:val="22"/>
        </w:rPr>
        <w:t>LIST OF FIGURES</w:t>
      </w:r>
      <w:bookmarkEnd w:id="1"/>
    </w:p>
    <w:p w14:paraId="7BC71AF6" w14:textId="02E77855" w:rsidR="007716CA" w:rsidRPr="007716CA" w:rsidRDefault="007716CA">
      <w:pPr>
        <w:pStyle w:val="TableofFigures"/>
        <w:tabs>
          <w:tab w:val="right" w:leader="dot" w:pos="8630"/>
        </w:tabs>
        <w:rPr>
          <w:noProof/>
          <w:sz w:val="22"/>
          <w:szCs w:val="20"/>
        </w:rPr>
      </w:pPr>
      <w:r w:rsidRPr="007716CA">
        <w:rPr>
          <w:sz w:val="22"/>
          <w:szCs w:val="20"/>
        </w:rPr>
        <w:fldChar w:fldCharType="begin"/>
      </w:r>
      <w:r w:rsidRPr="007716CA">
        <w:rPr>
          <w:sz w:val="22"/>
          <w:szCs w:val="20"/>
        </w:rPr>
        <w:instrText xml:space="preserve"> TOC \h \z \c "Figure" </w:instrText>
      </w:r>
      <w:r w:rsidRPr="007716CA">
        <w:rPr>
          <w:sz w:val="22"/>
          <w:szCs w:val="20"/>
        </w:rPr>
        <w:fldChar w:fldCharType="separate"/>
      </w:r>
      <w:hyperlink w:anchor="_Toc235649299" w:history="1">
        <w:r w:rsidRPr="007716CA">
          <w:rPr>
            <w:rStyle w:val="Hyperlink"/>
            <w:rFonts w:ascii="Arial" w:hAnsi="Arial" w:cs="Arial"/>
            <w:i/>
            <w:iCs/>
            <w:noProof/>
            <w:sz w:val="22"/>
            <w:szCs w:val="20"/>
          </w:rPr>
          <w:t>Figure 1: Mind Gap (Source: Author)</w:t>
        </w:r>
        <w:r w:rsidRPr="007716CA">
          <w:rPr>
            <w:noProof/>
            <w:webHidden/>
            <w:sz w:val="22"/>
            <w:szCs w:val="20"/>
          </w:rPr>
          <w:tab/>
        </w:r>
        <w:r w:rsidRPr="007716CA">
          <w:rPr>
            <w:noProof/>
            <w:webHidden/>
            <w:sz w:val="22"/>
            <w:szCs w:val="20"/>
          </w:rPr>
          <w:fldChar w:fldCharType="begin"/>
        </w:r>
        <w:r w:rsidRPr="007716CA">
          <w:rPr>
            <w:noProof/>
            <w:webHidden/>
            <w:sz w:val="22"/>
            <w:szCs w:val="20"/>
          </w:rPr>
          <w:instrText xml:space="preserve"> PAGEREF _Toc235649299 \h </w:instrText>
        </w:r>
        <w:r w:rsidRPr="007716CA">
          <w:rPr>
            <w:noProof/>
            <w:webHidden/>
            <w:sz w:val="22"/>
            <w:szCs w:val="20"/>
          </w:rPr>
        </w:r>
        <w:r w:rsidRPr="007716CA">
          <w:rPr>
            <w:noProof/>
            <w:webHidden/>
            <w:sz w:val="22"/>
            <w:szCs w:val="20"/>
          </w:rPr>
          <w:fldChar w:fldCharType="separate"/>
        </w:r>
        <w:r w:rsidRPr="007716CA">
          <w:rPr>
            <w:noProof/>
            <w:webHidden/>
            <w:sz w:val="22"/>
            <w:szCs w:val="20"/>
          </w:rPr>
          <w:t>2</w:t>
        </w:r>
        <w:r w:rsidRPr="007716CA">
          <w:rPr>
            <w:noProof/>
            <w:webHidden/>
            <w:sz w:val="22"/>
            <w:szCs w:val="20"/>
          </w:rPr>
          <w:fldChar w:fldCharType="end"/>
        </w:r>
      </w:hyperlink>
    </w:p>
    <w:p w14:paraId="607AAD7C" w14:textId="206245D5" w:rsidR="006C58CB" w:rsidRPr="007716CA" w:rsidRDefault="007716CA" w:rsidP="004B4F56">
      <w:pPr>
        <w:rPr>
          <w:sz w:val="22"/>
          <w:szCs w:val="20"/>
        </w:rPr>
      </w:pPr>
      <w:r w:rsidRPr="007716CA">
        <w:rPr>
          <w:sz w:val="22"/>
          <w:szCs w:val="20"/>
        </w:rPr>
        <w:fldChar w:fldCharType="end"/>
      </w:r>
    </w:p>
    <w:p w14:paraId="0845BB1E" w14:textId="77777777" w:rsidR="006C58CB" w:rsidRDefault="006C58CB" w:rsidP="004B4F56"/>
    <w:p w14:paraId="7EEB16A5" w14:textId="77777777" w:rsidR="006C58CB" w:rsidRDefault="006C58CB" w:rsidP="004B4F56"/>
    <w:p w14:paraId="2F2FCC78" w14:textId="77777777" w:rsidR="006C58CB" w:rsidRDefault="006C58CB" w:rsidP="004B4F56"/>
    <w:p w14:paraId="103AC1B8" w14:textId="77777777" w:rsidR="006C58CB" w:rsidRDefault="006C58CB" w:rsidP="004B4F56"/>
    <w:p w14:paraId="11B16779" w14:textId="77777777" w:rsidR="006C58CB" w:rsidRDefault="006C58CB" w:rsidP="004B4F56"/>
    <w:p w14:paraId="3E71DD70" w14:textId="77777777" w:rsidR="006C58CB" w:rsidRDefault="006C58CB" w:rsidP="004B4F56"/>
    <w:p w14:paraId="548656F7" w14:textId="77777777" w:rsidR="006C58CB" w:rsidRDefault="006C58CB" w:rsidP="004B4F56"/>
    <w:p w14:paraId="2D0C9CA2" w14:textId="77777777" w:rsidR="009A61EA" w:rsidRDefault="009A61EA" w:rsidP="0076247E">
      <w:pPr>
        <w:spacing w:line="360" w:lineRule="auto"/>
        <w:sectPr w:rsidR="009A61EA" w:rsidSect="009A61EA">
          <w:footerReference w:type="default" r:id="rId9"/>
          <w:footerReference w:type="first" r:id="rId10"/>
          <w:pgSz w:w="12240" w:h="15840"/>
          <w:pgMar w:top="1440" w:right="1800" w:bottom="1440" w:left="1800" w:header="720" w:footer="720" w:gutter="0"/>
          <w:pgNumType w:fmt="lowerRoman" w:start="1"/>
          <w:cols w:space="720"/>
          <w:titlePg/>
          <w:docGrid w:linePitch="360"/>
        </w:sectPr>
      </w:pPr>
    </w:p>
    <w:p w14:paraId="491C670D" w14:textId="77777777" w:rsidR="006C58CB" w:rsidRPr="006C58CB" w:rsidRDefault="006C58CB" w:rsidP="0076247E">
      <w:pPr>
        <w:spacing w:line="360" w:lineRule="auto"/>
      </w:pPr>
    </w:p>
    <w:p w14:paraId="1BC5B612" w14:textId="1F1D51AB" w:rsidR="001D11EA" w:rsidRPr="002435E0" w:rsidRDefault="00CA0DA7" w:rsidP="00854D74">
      <w:pPr>
        <w:pStyle w:val="Heading2"/>
        <w:spacing w:line="360" w:lineRule="auto"/>
        <w:jc w:val="both"/>
        <w:rPr>
          <w:rFonts w:ascii="Arial" w:hAnsi="Arial" w:cs="Arial"/>
          <w:sz w:val="22"/>
          <w:szCs w:val="22"/>
        </w:rPr>
      </w:pPr>
      <w:bookmarkStart w:id="2" w:name="_Toc235649315"/>
      <w:r w:rsidRPr="002435E0">
        <w:rPr>
          <w:rFonts w:ascii="Arial" w:hAnsi="Arial" w:cs="Arial"/>
          <w:sz w:val="22"/>
          <w:szCs w:val="22"/>
        </w:rPr>
        <w:t>INTRODUCTION</w:t>
      </w:r>
      <w:bookmarkEnd w:id="2"/>
    </w:p>
    <w:p w14:paraId="19099559" w14:textId="77777777" w:rsidR="0076247E" w:rsidRPr="0076247E" w:rsidRDefault="0076247E" w:rsidP="0076247E">
      <w:pPr>
        <w:spacing w:line="360" w:lineRule="auto"/>
        <w:jc w:val="both"/>
        <w:rPr>
          <w:rFonts w:ascii="Arial" w:hAnsi="Arial" w:cs="Arial"/>
          <w:b/>
          <w:bCs/>
          <w:sz w:val="22"/>
          <w:szCs w:val="20"/>
        </w:rPr>
      </w:pPr>
      <w:r w:rsidRPr="0076247E">
        <w:rPr>
          <w:rFonts w:ascii="Arial" w:hAnsi="Arial" w:cs="Arial"/>
          <w:sz w:val="22"/>
          <w:szCs w:val="20"/>
        </w:rPr>
        <w:t>This portfolio demonstrates my understanding of creativity, innovation, value creation, leadership, and digital technology in health and social care. It brings together academic theory, evidence and personal reflection to real practice, demonstrating how creative thinking and effective leadership can enhance services, minimise inequalities and improve outcomes for patients and communities.</w:t>
      </w:r>
    </w:p>
    <w:p w14:paraId="48B99B3F" w14:textId="24BA4584" w:rsidR="001D11EA" w:rsidRPr="002435E0" w:rsidRDefault="00CA0DA7" w:rsidP="002435E0">
      <w:pPr>
        <w:pStyle w:val="Heading2"/>
        <w:spacing w:line="360" w:lineRule="auto"/>
        <w:jc w:val="both"/>
        <w:rPr>
          <w:rFonts w:ascii="Arial" w:hAnsi="Arial" w:cs="Arial"/>
          <w:sz w:val="22"/>
          <w:szCs w:val="22"/>
        </w:rPr>
      </w:pPr>
      <w:bookmarkStart w:id="3" w:name="_Toc235649316"/>
      <w:r w:rsidRPr="002435E0">
        <w:rPr>
          <w:rFonts w:ascii="Arial" w:hAnsi="Arial" w:cs="Arial"/>
          <w:sz w:val="22"/>
          <w:szCs w:val="22"/>
        </w:rPr>
        <w:t>TASK 1: DEFINING KEY CONCEPTS IN PRACTICE</w:t>
      </w:r>
      <w:bookmarkEnd w:id="3"/>
    </w:p>
    <w:p w14:paraId="4172484B" w14:textId="77777777" w:rsidR="00F03EDA" w:rsidRPr="00F03EDA" w:rsidRDefault="00F03EDA" w:rsidP="00F03EDA">
      <w:pPr>
        <w:spacing w:line="360" w:lineRule="auto"/>
        <w:jc w:val="both"/>
        <w:rPr>
          <w:rFonts w:ascii="Arial" w:hAnsi="Arial" w:cs="Arial"/>
          <w:sz w:val="22"/>
          <w:szCs w:val="20"/>
        </w:rPr>
      </w:pPr>
      <w:r w:rsidRPr="00F03EDA">
        <w:rPr>
          <w:rFonts w:ascii="Arial" w:hAnsi="Arial" w:cs="Arial"/>
          <w:b/>
          <w:bCs/>
          <w:sz w:val="22"/>
          <w:szCs w:val="20"/>
        </w:rPr>
        <w:t xml:space="preserve">Innovation </w:t>
      </w:r>
      <w:r w:rsidRPr="00F03EDA">
        <w:rPr>
          <w:rFonts w:ascii="Arial" w:hAnsi="Arial" w:cs="Arial"/>
          <w:sz w:val="22"/>
          <w:szCs w:val="20"/>
        </w:rPr>
        <w:t>is the process of introducing new ideas, processes or services that create value and improve outcomes (Tidd and Bessant, 2018). In health and social care, innovation is used to meet the evolving needs of patients and the growing demand for services. The NHS Long Term Plan sets out innovation as a key part of improving quality and sustainability (NHS England, 2019). One example is the integration of community health workers to assist individuals who have difficulty accessing health care. This improves access for underserved groups. Rogers' Diffusion of Innovation Theory explains that innovations are more likely to be adopted when they are seen as useful and beneficial (Rogers, 2003).</w:t>
      </w:r>
    </w:p>
    <w:p w14:paraId="584C31F9" w14:textId="77777777" w:rsidR="00F03EDA" w:rsidRPr="00F03EDA" w:rsidRDefault="00F03EDA" w:rsidP="00F03EDA">
      <w:pPr>
        <w:spacing w:line="360" w:lineRule="auto"/>
        <w:jc w:val="both"/>
        <w:rPr>
          <w:rFonts w:ascii="Arial" w:hAnsi="Arial" w:cs="Arial"/>
          <w:sz w:val="22"/>
          <w:szCs w:val="20"/>
        </w:rPr>
      </w:pPr>
      <w:r w:rsidRPr="00F03EDA">
        <w:rPr>
          <w:rFonts w:ascii="Arial" w:hAnsi="Arial" w:cs="Arial"/>
          <w:b/>
          <w:bCs/>
          <w:sz w:val="22"/>
          <w:szCs w:val="20"/>
        </w:rPr>
        <w:t>Creativity</w:t>
      </w:r>
      <w:r w:rsidRPr="00F03EDA">
        <w:rPr>
          <w:rFonts w:ascii="Arial" w:hAnsi="Arial" w:cs="Arial"/>
          <w:sz w:val="22"/>
          <w:szCs w:val="20"/>
        </w:rPr>
        <w:t xml:space="preserve"> is the capacity to generate original and useful ideas (Sternberg and Lubart, 1999). Creativity is used in health and social care to find practical solutions to complex problems. For instance, community mental health teams can restructure services to better meet the needs of various communities. De Bono's (1970) theory of lateral thinking is a theory that encourages professionals to question the assumptions they make and to look at other ways of solving problems.</w:t>
      </w:r>
    </w:p>
    <w:p w14:paraId="7E25F74B" w14:textId="77777777" w:rsidR="00F03EDA" w:rsidRPr="00F03EDA" w:rsidRDefault="00F03EDA" w:rsidP="00F03EDA">
      <w:pPr>
        <w:spacing w:line="360" w:lineRule="auto"/>
        <w:jc w:val="both"/>
        <w:rPr>
          <w:rFonts w:ascii="Arial" w:hAnsi="Arial" w:cs="Arial"/>
          <w:sz w:val="22"/>
          <w:szCs w:val="20"/>
        </w:rPr>
      </w:pPr>
      <w:r w:rsidRPr="00F03EDA">
        <w:rPr>
          <w:rFonts w:ascii="Arial" w:hAnsi="Arial" w:cs="Arial"/>
          <w:b/>
          <w:bCs/>
          <w:sz w:val="22"/>
          <w:szCs w:val="20"/>
        </w:rPr>
        <w:t>Value</w:t>
      </w:r>
      <w:r w:rsidRPr="00F03EDA">
        <w:rPr>
          <w:rFonts w:ascii="Arial" w:hAnsi="Arial" w:cs="Arial"/>
          <w:sz w:val="22"/>
          <w:szCs w:val="20"/>
        </w:rPr>
        <w:t xml:space="preserve"> creation is about enhancing outcomes that are important to patients and using resources effectively. It focuses on the quality of care rather than simply the number of services delivered (Timmins and Ham, 2013). The Buurtzorg community nursing model is an example of value creation, as it enables patients to stay independent and prevents unnecessary hospital admissions (Gray, Sarnak and Burgers, 2015.). This demonstrates the value of investing in personalised care to achieve better outcomes at lower long-term costs.</w:t>
      </w:r>
    </w:p>
    <w:p w14:paraId="0B01EDD6" w14:textId="6A36AEFF" w:rsidR="00F03EDA" w:rsidRDefault="00F03EDA" w:rsidP="00F03EDA">
      <w:pPr>
        <w:spacing w:line="360" w:lineRule="auto"/>
        <w:jc w:val="both"/>
        <w:rPr>
          <w:rFonts w:ascii="Arial" w:hAnsi="Arial" w:cs="Arial"/>
          <w:sz w:val="22"/>
          <w:szCs w:val="20"/>
        </w:rPr>
      </w:pPr>
      <w:r w:rsidRPr="00F03EDA">
        <w:rPr>
          <w:rFonts w:ascii="Arial" w:hAnsi="Arial" w:cs="Arial"/>
          <w:b/>
          <w:bCs/>
          <w:sz w:val="22"/>
          <w:szCs w:val="20"/>
        </w:rPr>
        <w:lastRenderedPageBreak/>
        <w:t>Change</w:t>
      </w:r>
      <w:r w:rsidRPr="00F03EDA">
        <w:rPr>
          <w:rFonts w:ascii="Arial" w:hAnsi="Arial" w:cs="Arial"/>
          <w:sz w:val="22"/>
          <w:szCs w:val="20"/>
        </w:rPr>
        <w:t xml:space="preserve"> is the action of making improvements to practice to address new organisational, professional or patient needs. To achieve successful change, both organisational systems and the people impacted by them must be considered. According to Bridges' Transition Model, people require time and assistance to emotionally process change before new working patterns become ingrained (Bridges, 2011). In health and social care, leaders who involve staff throughout change are more likely to achieve successful and lasting improvements.</w:t>
      </w:r>
    </w:p>
    <w:p w14:paraId="4EE4504A" w14:textId="62BBC1FA" w:rsidR="008935B3" w:rsidRPr="00F03EDA" w:rsidRDefault="008935B3" w:rsidP="00F03EDA">
      <w:pPr>
        <w:spacing w:line="360" w:lineRule="auto"/>
        <w:jc w:val="both"/>
        <w:rPr>
          <w:rFonts w:ascii="Arial" w:hAnsi="Arial" w:cs="Arial"/>
          <w:sz w:val="22"/>
          <w:szCs w:val="20"/>
        </w:rPr>
      </w:pPr>
      <w:r w:rsidRPr="008935B3">
        <w:rPr>
          <w:rFonts w:ascii="Arial" w:hAnsi="Arial" w:cs="Arial"/>
          <w:noProof/>
          <w:sz w:val="22"/>
          <w:szCs w:val="20"/>
          <w:lang w:val="en-GB" w:eastAsia="en-GB"/>
        </w:rPr>
        <w:drawing>
          <wp:inline distT="0" distB="0" distL="0" distR="0" wp14:anchorId="658A81F1" wp14:editId="05477A8A">
            <wp:extent cx="5486400" cy="3084594"/>
            <wp:effectExtent l="0" t="0" r="0" b="1905"/>
            <wp:docPr id="2" name="Picture 2" descr="C:\Users\London PC\Pictures\Screenshots\Screenshot 2026-07-30 1021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ondon PC\Pictures\Screenshots\Screenshot 2026-07-30 102140.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3084594"/>
                    </a:xfrm>
                    <a:prstGeom prst="rect">
                      <a:avLst/>
                    </a:prstGeom>
                    <a:noFill/>
                    <a:ln>
                      <a:noFill/>
                    </a:ln>
                  </pic:spPr>
                </pic:pic>
              </a:graphicData>
            </a:graphic>
          </wp:inline>
        </w:drawing>
      </w:r>
    </w:p>
    <w:p w14:paraId="2D249052" w14:textId="15F249B2" w:rsidR="00FD7DB7" w:rsidRDefault="00CA0DA7" w:rsidP="00F03EDA">
      <w:pPr>
        <w:pStyle w:val="Heading2"/>
        <w:spacing w:line="360" w:lineRule="auto"/>
        <w:jc w:val="both"/>
        <w:rPr>
          <w:rFonts w:ascii="Arial" w:hAnsi="Arial" w:cs="Arial"/>
          <w:sz w:val="22"/>
          <w:szCs w:val="22"/>
        </w:rPr>
      </w:pPr>
      <w:bookmarkStart w:id="4" w:name="_Toc235649317"/>
      <w:r w:rsidRPr="002435E0">
        <w:rPr>
          <w:rFonts w:ascii="Arial" w:hAnsi="Arial" w:cs="Arial"/>
          <w:sz w:val="22"/>
          <w:szCs w:val="22"/>
        </w:rPr>
        <w:lastRenderedPageBreak/>
        <w:t>TASK 2: MIND MAP – MENTAL HEALTH SERVICE GAPS FOR ETHNIC MINORITY COMMUNITIES</w:t>
      </w:r>
      <w:bookmarkEnd w:id="4"/>
    </w:p>
    <w:p w14:paraId="77AD9C00" w14:textId="77777777" w:rsidR="001B71EC" w:rsidRDefault="000D212D" w:rsidP="001B71EC">
      <w:pPr>
        <w:keepNext/>
        <w:jc w:val="center"/>
      </w:pPr>
      <w:r>
        <w:rPr>
          <w:noProof/>
          <w:lang w:val="en-GB" w:eastAsia="en-GB"/>
        </w:rPr>
        <w:drawing>
          <wp:inline distT="0" distB="0" distL="0" distR="0" wp14:anchorId="46CC8958" wp14:editId="3295CB79">
            <wp:extent cx="4949504" cy="3299669"/>
            <wp:effectExtent l="0" t="0" r="3810" b="0"/>
            <wp:docPr id="1423387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72335" cy="3314890"/>
                    </a:xfrm>
                    <a:prstGeom prst="rect">
                      <a:avLst/>
                    </a:prstGeom>
                    <a:noFill/>
                  </pic:spPr>
                </pic:pic>
              </a:graphicData>
            </a:graphic>
          </wp:inline>
        </w:drawing>
      </w:r>
    </w:p>
    <w:p w14:paraId="37619675" w14:textId="48A52BC4" w:rsidR="000D212D" w:rsidRPr="001B71EC" w:rsidRDefault="001B71EC" w:rsidP="001B71EC">
      <w:pPr>
        <w:pStyle w:val="Caption"/>
        <w:jc w:val="center"/>
        <w:rPr>
          <w:rFonts w:ascii="Arial" w:hAnsi="Arial" w:cs="Arial"/>
          <w:b w:val="0"/>
          <w:bCs w:val="0"/>
          <w:i/>
          <w:iCs/>
          <w:color w:val="000000" w:themeColor="text1"/>
        </w:rPr>
      </w:pPr>
      <w:bookmarkStart w:id="5" w:name="_Toc235649299"/>
      <w:r w:rsidRPr="001B71EC">
        <w:rPr>
          <w:rFonts w:ascii="Arial" w:hAnsi="Arial" w:cs="Arial"/>
          <w:b w:val="0"/>
          <w:bCs w:val="0"/>
          <w:i/>
          <w:iCs/>
          <w:color w:val="000000" w:themeColor="text1"/>
        </w:rPr>
        <w:t xml:space="preserve">Figure </w:t>
      </w:r>
      <w:r w:rsidRPr="001B71EC">
        <w:rPr>
          <w:rFonts w:ascii="Arial" w:hAnsi="Arial" w:cs="Arial"/>
          <w:b w:val="0"/>
          <w:bCs w:val="0"/>
          <w:i/>
          <w:iCs/>
          <w:color w:val="000000" w:themeColor="text1"/>
        </w:rPr>
        <w:fldChar w:fldCharType="begin"/>
      </w:r>
      <w:r w:rsidRPr="001B71EC">
        <w:rPr>
          <w:rFonts w:ascii="Arial" w:hAnsi="Arial" w:cs="Arial"/>
          <w:b w:val="0"/>
          <w:bCs w:val="0"/>
          <w:i/>
          <w:iCs/>
          <w:color w:val="000000" w:themeColor="text1"/>
        </w:rPr>
        <w:instrText xml:space="preserve"> SEQ Figure \* ARABIC </w:instrText>
      </w:r>
      <w:r w:rsidRPr="001B71EC">
        <w:rPr>
          <w:rFonts w:ascii="Arial" w:hAnsi="Arial" w:cs="Arial"/>
          <w:b w:val="0"/>
          <w:bCs w:val="0"/>
          <w:i/>
          <w:iCs/>
          <w:color w:val="000000" w:themeColor="text1"/>
        </w:rPr>
        <w:fldChar w:fldCharType="separate"/>
      </w:r>
      <w:r w:rsidRPr="001B71EC">
        <w:rPr>
          <w:rFonts w:ascii="Arial" w:hAnsi="Arial" w:cs="Arial"/>
          <w:b w:val="0"/>
          <w:bCs w:val="0"/>
          <w:i/>
          <w:iCs/>
          <w:noProof/>
          <w:color w:val="000000" w:themeColor="text1"/>
        </w:rPr>
        <w:t>1</w:t>
      </w:r>
      <w:r w:rsidRPr="001B71EC">
        <w:rPr>
          <w:rFonts w:ascii="Arial" w:hAnsi="Arial" w:cs="Arial"/>
          <w:b w:val="0"/>
          <w:bCs w:val="0"/>
          <w:i/>
          <w:iCs/>
          <w:color w:val="000000" w:themeColor="text1"/>
        </w:rPr>
        <w:fldChar w:fldCharType="end"/>
      </w:r>
      <w:r w:rsidRPr="001B71EC">
        <w:rPr>
          <w:rFonts w:ascii="Arial" w:hAnsi="Arial" w:cs="Arial"/>
          <w:b w:val="0"/>
          <w:bCs w:val="0"/>
          <w:i/>
          <w:iCs/>
          <w:color w:val="000000" w:themeColor="text1"/>
        </w:rPr>
        <w:t>: Mind Gap (Source: Author)</w:t>
      </w:r>
      <w:bookmarkEnd w:id="5"/>
    </w:p>
    <w:p w14:paraId="23F5F87B" w14:textId="77777777" w:rsidR="001B71EC" w:rsidRPr="000D212D" w:rsidRDefault="001B71EC" w:rsidP="000D212D"/>
    <w:p w14:paraId="3091C574" w14:textId="059A110E" w:rsidR="00204C8A" w:rsidRDefault="00204C8A" w:rsidP="00204C8A">
      <w:pPr>
        <w:spacing w:line="360" w:lineRule="auto"/>
        <w:jc w:val="both"/>
        <w:rPr>
          <w:rFonts w:ascii="Arial" w:hAnsi="Arial" w:cs="Arial"/>
          <w:sz w:val="22"/>
        </w:rPr>
      </w:pPr>
      <w:r w:rsidRPr="00204C8A">
        <w:rPr>
          <w:rFonts w:ascii="Arial" w:hAnsi="Arial" w:cs="Arial"/>
          <w:sz w:val="22"/>
        </w:rPr>
        <w:t>The mind map discusses the reasons why many ethnic minority people have problems accessing mental health services. Language differences, cultural stigma, limited trust in services, socioeconomic disadvantage, and lack of culturally competent care are key barriers (Fernando, 2020). These barriers can lead to delayed treatment, suboptimal mental health outcomes, increased crisis admissions, and ongoing health disparities (Omiyefa, 2025). The proposed solutions include culturally adapted services, community outreach, bilingual staff, anti-stigma education, and greater involvement of local communities in service design. Meadows' (2008) systems thinking approach demonstrates that these issues are interrelated and that addressing one aspect alone will not resolve the overall issue. Therefore, a coordinated approach is required to bring about lasting improvements.</w:t>
      </w:r>
    </w:p>
    <w:p w14:paraId="028D09C0" w14:textId="7D7C6F8A" w:rsidR="00690449" w:rsidRPr="00204C8A" w:rsidRDefault="00690449" w:rsidP="00204C8A">
      <w:pPr>
        <w:spacing w:line="360" w:lineRule="auto"/>
        <w:jc w:val="both"/>
        <w:rPr>
          <w:rFonts w:ascii="Arial" w:hAnsi="Arial" w:cs="Arial"/>
          <w:b/>
          <w:bCs/>
          <w:sz w:val="22"/>
        </w:rPr>
      </w:pPr>
      <w:r w:rsidRPr="00690449">
        <w:rPr>
          <w:rFonts w:ascii="Arial" w:hAnsi="Arial" w:cs="Arial"/>
          <w:b/>
          <w:bCs/>
          <w:noProof/>
          <w:sz w:val="22"/>
          <w:lang w:val="en-GB" w:eastAsia="en-GB"/>
        </w:rPr>
        <w:lastRenderedPageBreak/>
        <w:drawing>
          <wp:inline distT="0" distB="0" distL="0" distR="0" wp14:anchorId="6D71C677" wp14:editId="6BCA36EF">
            <wp:extent cx="5486400" cy="2535351"/>
            <wp:effectExtent l="0" t="0" r="0" b="0"/>
            <wp:docPr id="1" name="Picture 1" descr="C:\Users\London PC\Desktop\Week2\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ndon PC\Desktop\Week2\map.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2535351"/>
                    </a:xfrm>
                    <a:prstGeom prst="rect">
                      <a:avLst/>
                    </a:prstGeom>
                    <a:noFill/>
                    <a:ln>
                      <a:noFill/>
                    </a:ln>
                  </pic:spPr>
                </pic:pic>
              </a:graphicData>
            </a:graphic>
          </wp:inline>
        </w:drawing>
      </w:r>
    </w:p>
    <w:p w14:paraId="31785397" w14:textId="6CB9D79E" w:rsidR="00FD7DB7" w:rsidRPr="002435E0" w:rsidRDefault="00CA0DA7" w:rsidP="002435E0">
      <w:pPr>
        <w:pStyle w:val="Heading2"/>
        <w:spacing w:line="360" w:lineRule="auto"/>
        <w:jc w:val="both"/>
        <w:rPr>
          <w:rFonts w:ascii="Arial" w:hAnsi="Arial" w:cs="Arial"/>
          <w:sz w:val="22"/>
          <w:szCs w:val="22"/>
        </w:rPr>
      </w:pPr>
      <w:bookmarkStart w:id="6" w:name="_Toc235649318"/>
      <w:r w:rsidRPr="002435E0">
        <w:rPr>
          <w:rFonts w:ascii="Arial" w:hAnsi="Arial" w:cs="Arial"/>
          <w:sz w:val="22"/>
          <w:szCs w:val="22"/>
        </w:rPr>
        <w:t>TASK 3: SELF-REFLECTION ON CONVERGENT AND DIVERGENT THINKING</w:t>
      </w:r>
      <w:bookmarkEnd w:id="6"/>
    </w:p>
    <w:p w14:paraId="43A144DA" w14:textId="77777777" w:rsidR="00DF6F42" w:rsidRPr="00CF309D" w:rsidRDefault="00DF6F42" w:rsidP="00DF6F42">
      <w:pPr>
        <w:spacing w:line="360" w:lineRule="auto"/>
        <w:jc w:val="both"/>
        <w:rPr>
          <w:rFonts w:ascii="Arial" w:hAnsi="Arial" w:cs="Arial"/>
          <w:sz w:val="22"/>
          <w:szCs w:val="20"/>
        </w:rPr>
      </w:pPr>
      <w:r w:rsidRPr="00CF309D">
        <w:rPr>
          <w:rFonts w:ascii="Arial" w:hAnsi="Arial" w:cs="Arial"/>
          <w:sz w:val="22"/>
          <w:szCs w:val="20"/>
        </w:rPr>
        <w:t>The group activity was useful to me in understanding the difference between divergent and convergent thinking. Divergent thinking involves generating a wide range of ideas, whereas convergent thinking involves narrowing down to the most appropriate solution (Rawlings et al, 2025).</w:t>
      </w:r>
    </w:p>
    <w:p w14:paraId="1CDB4447" w14:textId="77777777" w:rsidR="00DF6F42" w:rsidRPr="00CF309D" w:rsidRDefault="00DF6F42" w:rsidP="00DF6F42">
      <w:pPr>
        <w:spacing w:line="360" w:lineRule="auto"/>
        <w:jc w:val="both"/>
        <w:rPr>
          <w:rFonts w:ascii="Arial" w:hAnsi="Arial" w:cs="Arial"/>
          <w:sz w:val="22"/>
          <w:szCs w:val="20"/>
        </w:rPr>
      </w:pPr>
      <w:r w:rsidRPr="00CF309D">
        <w:rPr>
          <w:rFonts w:ascii="Arial" w:hAnsi="Arial" w:cs="Arial"/>
          <w:sz w:val="22"/>
          <w:szCs w:val="20"/>
        </w:rPr>
        <w:t>Using Gibbs' (1988) Reflective Cycle, I realised that I naturally preferred evaluating ideas quickly instead of exploring a wide range of possibilities. In the activity, my group talked about how to make vaccines more accessible. Initially, I wanted to concentrate on solutions that were practical. But when I heard from other members of the group, I was inspired to think of other things that I hadn't thought of before, like working with faith organisations and community leaders.</w:t>
      </w:r>
    </w:p>
    <w:p w14:paraId="3FB2FC76" w14:textId="77777777" w:rsidR="00DF6F42" w:rsidRPr="00CF309D" w:rsidRDefault="00DF6F42" w:rsidP="00DF6F42">
      <w:pPr>
        <w:spacing w:line="360" w:lineRule="auto"/>
        <w:jc w:val="both"/>
        <w:rPr>
          <w:rFonts w:ascii="Arial" w:hAnsi="Arial" w:cs="Arial"/>
          <w:b/>
          <w:bCs/>
          <w:sz w:val="22"/>
          <w:szCs w:val="20"/>
        </w:rPr>
      </w:pPr>
      <w:r w:rsidRPr="00CF309D">
        <w:rPr>
          <w:rFonts w:ascii="Arial" w:hAnsi="Arial" w:cs="Arial"/>
          <w:sz w:val="22"/>
          <w:szCs w:val="20"/>
        </w:rPr>
        <w:t>This experience taught me that creative problem solving is enhanced when people have time to share their various points of view before making decisions. It also helped me develop my communication and teamwork abilities, as I was encouraged to listen to others and value their perspectives. For future group work, I will give more time for brainstorming ideas before assessing them. I believe this approach will lead to more creative solutions and improve collaboration when addressing complex health and social care challenges.</w:t>
      </w:r>
    </w:p>
    <w:p w14:paraId="536C8180" w14:textId="12867872" w:rsidR="001D11EA" w:rsidRPr="002435E0" w:rsidRDefault="00CA0DA7" w:rsidP="00DF6F42">
      <w:pPr>
        <w:pStyle w:val="Heading2"/>
        <w:spacing w:line="360" w:lineRule="auto"/>
        <w:jc w:val="both"/>
        <w:rPr>
          <w:rFonts w:ascii="Arial" w:hAnsi="Arial" w:cs="Arial"/>
          <w:sz w:val="22"/>
          <w:szCs w:val="22"/>
        </w:rPr>
      </w:pPr>
      <w:bookmarkStart w:id="7" w:name="_Toc235649319"/>
      <w:r w:rsidRPr="002435E0">
        <w:rPr>
          <w:rFonts w:ascii="Arial" w:hAnsi="Arial" w:cs="Arial"/>
          <w:sz w:val="22"/>
          <w:szCs w:val="22"/>
        </w:rPr>
        <w:t>TASK 4: CASE STUDY</w:t>
      </w:r>
      <w:r w:rsidR="003C5E10">
        <w:rPr>
          <w:rFonts w:ascii="Arial" w:hAnsi="Arial" w:cs="Arial"/>
          <w:sz w:val="22"/>
          <w:szCs w:val="22"/>
        </w:rPr>
        <w:t xml:space="preserve"> - </w:t>
      </w:r>
      <w:r w:rsidR="003C5E10" w:rsidRPr="003C5E10">
        <w:rPr>
          <w:rFonts w:ascii="Arial" w:hAnsi="Arial" w:cs="Arial"/>
          <w:sz w:val="22"/>
          <w:szCs w:val="22"/>
        </w:rPr>
        <w:t>Virtual wards</w:t>
      </w:r>
      <w:bookmarkEnd w:id="7"/>
    </w:p>
    <w:p w14:paraId="1E9AB5EF" w14:textId="77777777" w:rsidR="00F52A7A" w:rsidRPr="00CF309D" w:rsidRDefault="00F52A7A" w:rsidP="00F52A7A">
      <w:pPr>
        <w:spacing w:line="360" w:lineRule="auto"/>
        <w:jc w:val="both"/>
        <w:rPr>
          <w:rFonts w:ascii="Arial" w:hAnsi="Arial" w:cs="Arial"/>
          <w:sz w:val="22"/>
          <w:szCs w:val="20"/>
        </w:rPr>
      </w:pPr>
      <w:r w:rsidRPr="003C5E10">
        <w:rPr>
          <w:rFonts w:ascii="Arial" w:hAnsi="Arial" w:cs="Arial"/>
          <w:b/>
          <w:bCs/>
          <w:sz w:val="22"/>
          <w:szCs w:val="20"/>
        </w:rPr>
        <w:t>Virtual wards</w:t>
      </w:r>
      <w:r w:rsidRPr="00CF309D">
        <w:rPr>
          <w:rFonts w:ascii="Arial" w:hAnsi="Arial" w:cs="Arial"/>
          <w:sz w:val="22"/>
          <w:szCs w:val="20"/>
        </w:rPr>
        <w:t xml:space="preserve"> are a key innovation in the NHS that enables the provision of hospital-level care in the home for patients who are suitable for this service, using remote monitoring and frequent clinical review. The primary issue they are tackling is the lack of beds in </w:t>
      </w:r>
      <w:r w:rsidRPr="00CF309D">
        <w:rPr>
          <w:rFonts w:ascii="Arial" w:hAnsi="Arial" w:cs="Arial"/>
          <w:sz w:val="22"/>
          <w:szCs w:val="20"/>
        </w:rPr>
        <w:lastRenderedPageBreak/>
        <w:t>hospitals due to patients being medically stable but still in need of observation (NHS England, 2022).</w:t>
      </w:r>
    </w:p>
    <w:p w14:paraId="30424F45" w14:textId="77777777" w:rsidR="00F52A7A" w:rsidRPr="00CF309D" w:rsidRDefault="00F52A7A" w:rsidP="00F52A7A">
      <w:pPr>
        <w:spacing w:line="360" w:lineRule="auto"/>
        <w:jc w:val="both"/>
        <w:rPr>
          <w:rFonts w:ascii="Arial" w:hAnsi="Arial" w:cs="Arial"/>
          <w:sz w:val="22"/>
          <w:szCs w:val="20"/>
        </w:rPr>
      </w:pPr>
      <w:r w:rsidRPr="00CF309D">
        <w:rPr>
          <w:rFonts w:ascii="Arial" w:hAnsi="Arial" w:cs="Arial"/>
          <w:sz w:val="22"/>
          <w:szCs w:val="20"/>
        </w:rPr>
        <w:t>The innovation of virtual wards is about the way care is provided. Healthcare professionals use digital devices to monitor vital signs as patients recover at home, rather than in hospital. Rogers' Diffusion of Innovation Theory suggests that innovations are more likely to be adopted by healthcare personnel if they are simple to use, enhance patient care, and offer clear advantages (Rogers, 2003).</w:t>
      </w:r>
    </w:p>
    <w:p w14:paraId="70CFD6CA" w14:textId="67AD1ACA" w:rsidR="00F52A7A" w:rsidRDefault="00F52A7A" w:rsidP="00F52A7A">
      <w:pPr>
        <w:spacing w:line="360" w:lineRule="auto"/>
        <w:jc w:val="both"/>
        <w:rPr>
          <w:rFonts w:ascii="Arial" w:hAnsi="Arial" w:cs="Arial"/>
          <w:sz w:val="22"/>
          <w:szCs w:val="20"/>
        </w:rPr>
      </w:pPr>
      <w:r w:rsidRPr="00CF309D">
        <w:rPr>
          <w:rFonts w:ascii="Arial" w:hAnsi="Arial" w:cs="Arial"/>
          <w:sz w:val="22"/>
          <w:szCs w:val="20"/>
        </w:rPr>
        <w:t>Virtual wards have added value by reducing hospital admissions, enhancing patient experience and enabling hospitals to use beds for patients with more clinical needs. NHS England (2022) reported high levels of patient satisfaction and safe clinical outcomes for patients who were appropriate. However, digital exclusion is a challenge as some patients may not have the technology or digital skills to benefit from this service.</w:t>
      </w:r>
      <w:r w:rsidR="004F1C36">
        <w:rPr>
          <w:rFonts w:ascii="Arial" w:hAnsi="Arial" w:cs="Arial"/>
          <w:noProof/>
          <w:sz w:val="22"/>
          <w:szCs w:val="20"/>
          <w:lang w:val="en-GB" w:eastAsia="en-GB"/>
        </w:rPr>
        <w:drawing>
          <wp:inline distT="0" distB="0" distL="0" distR="0" wp14:anchorId="496E2DBE" wp14:editId="6CA3EC4C">
            <wp:extent cx="4944110" cy="412115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44110" cy="4121150"/>
                    </a:xfrm>
                    <a:prstGeom prst="rect">
                      <a:avLst/>
                    </a:prstGeom>
                    <a:noFill/>
                  </pic:spPr>
                </pic:pic>
              </a:graphicData>
            </a:graphic>
          </wp:inline>
        </w:drawing>
      </w:r>
    </w:p>
    <w:p w14:paraId="79DE8BC6" w14:textId="77777777" w:rsidR="004F1C36" w:rsidRDefault="004F1C36" w:rsidP="00F52A7A">
      <w:pPr>
        <w:spacing w:line="360" w:lineRule="auto"/>
        <w:jc w:val="both"/>
        <w:rPr>
          <w:rFonts w:ascii="Arial" w:hAnsi="Arial" w:cs="Arial"/>
          <w:sz w:val="22"/>
          <w:szCs w:val="20"/>
        </w:rPr>
      </w:pPr>
    </w:p>
    <w:p w14:paraId="00213D78" w14:textId="77777777" w:rsidR="004F1C36" w:rsidRPr="00CF309D" w:rsidRDefault="004F1C36" w:rsidP="00F52A7A">
      <w:pPr>
        <w:spacing w:line="360" w:lineRule="auto"/>
        <w:jc w:val="both"/>
        <w:rPr>
          <w:rFonts w:ascii="Arial" w:hAnsi="Arial" w:cs="Arial"/>
          <w:b/>
          <w:bCs/>
          <w:sz w:val="22"/>
          <w:szCs w:val="20"/>
        </w:rPr>
      </w:pPr>
    </w:p>
    <w:p w14:paraId="14438AC9" w14:textId="08EDC76B" w:rsidR="001D11EA" w:rsidRPr="002435E0" w:rsidRDefault="00CA0DA7" w:rsidP="00F52A7A">
      <w:pPr>
        <w:pStyle w:val="Heading2"/>
        <w:spacing w:line="360" w:lineRule="auto"/>
        <w:jc w:val="both"/>
        <w:rPr>
          <w:rFonts w:ascii="Arial" w:hAnsi="Arial" w:cs="Arial"/>
          <w:sz w:val="22"/>
          <w:szCs w:val="22"/>
        </w:rPr>
      </w:pPr>
      <w:bookmarkStart w:id="8" w:name="_Toc235649320"/>
      <w:r w:rsidRPr="002435E0">
        <w:rPr>
          <w:rFonts w:ascii="Arial" w:hAnsi="Arial" w:cs="Arial"/>
          <w:sz w:val="22"/>
          <w:szCs w:val="22"/>
        </w:rPr>
        <w:lastRenderedPageBreak/>
        <w:t>TASK 5: RESEARCH TASK</w:t>
      </w:r>
      <w:r w:rsidR="007B2B58">
        <w:rPr>
          <w:rFonts w:ascii="Arial" w:hAnsi="Arial" w:cs="Arial"/>
          <w:sz w:val="22"/>
          <w:szCs w:val="22"/>
        </w:rPr>
        <w:t xml:space="preserve"> - M</w:t>
      </w:r>
      <w:r w:rsidR="007B2B58" w:rsidRPr="007B2B58">
        <w:rPr>
          <w:rFonts w:ascii="Arial" w:hAnsi="Arial" w:cs="Arial"/>
          <w:sz w:val="22"/>
          <w:szCs w:val="22"/>
        </w:rPr>
        <w:t xml:space="preserve">ental </w:t>
      </w:r>
      <w:r w:rsidR="007B2B58">
        <w:rPr>
          <w:rFonts w:ascii="Arial" w:hAnsi="Arial" w:cs="Arial"/>
          <w:sz w:val="22"/>
          <w:szCs w:val="22"/>
        </w:rPr>
        <w:t>H</w:t>
      </w:r>
      <w:r w:rsidR="007B2B58" w:rsidRPr="007B2B58">
        <w:rPr>
          <w:rFonts w:ascii="Arial" w:hAnsi="Arial" w:cs="Arial"/>
          <w:sz w:val="22"/>
          <w:szCs w:val="22"/>
        </w:rPr>
        <w:t>ealth access for</w:t>
      </w:r>
      <w:r w:rsidR="007B2B58">
        <w:rPr>
          <w:rFonts w:ascii="Arial" w:hAnsi="Arial" w:cs="Arial"/>
          <w:sz w:val="22"/>
          <w:szCs w:val="22"/>
        </w:rPr>
        <w:t xml:space="preserve"> </w:t>
      </w:r>
      <w:r w:rsidR="007B2B58" w:rsidRPr="007B2B58">
        <w:rPr>
          <w:rFonts w:ascii="Arial" w:hAnsi="Arial" w:cs="Arial"/>
          <w:sz w:val="22"/>
          <w:szCs w:val="22"/>
        </w:rPr>
        <w:t>Black, Asian, and Minority Ethnic</w:t>
      </w:r>
      <w:r w:rsidR="007B2B58">
        <w:rPr>
          <w:rFonts w:ascii="Arial" w:hAnsi="Arial" w:cs="Arial"/>
          <w:sz w:val="22"/>
          <w:szCs w:val="22"/>
        </w:rPr>
        <w:t xml:space="preserve"> Communities.</w:t>
      </w:r>
      <w:bookmarkEnd w:id="8"/>
    </w:p>
    <w:p w14:paraId="07C48BE5" w14:textId="7F1D8D8C" w:rsidR="004B3B62" w:rsidRPr="004B3B62" w:rsidRDefault="004B3B62" w:rsidP="004B3B62">
      <w:pPr>
        <w:spacing w:line="360" w:lineRule="auto"/>
        <w:jc w:val="both"/>
        <w:rPr>
          <w:rFonts w:ascii="Arial" w:hAnsi="Arial" w:cs="Arial"/>
          <w:sz w:val="22"/>
        </w:rPr>
      </w:pPr>
      <w:r w:rsidRPr="004B3B62">
        <w:rPr>
          <w:rFonts w:ascii="Arial" w:hAnsi="Arial" w:cs="Arial"/>
          <w:sz w:val="22"/>
        </w:rPr>
        <w:t xml:space="preserve">Bhui, Halvorsrud and Nazroo, (2018) examined why many people from African and Caribbean </w:t>
      </w:r>
      <w:r w:rsidR="00F563AC" w:rsidRPr="004B3B62">
        <w:rPr>
          <w:rFonts w:ascii="Arial" w:hAnsi="Arial" w:cs="Arial"/>
          <w:sz w:val="22"/>
        </w:rPr>
        <w:t>communities’</w:t>
      </w:r>
      <w:r w:rsidRPr="004B3B62">
        <w:rPr>
          <w:rFonts w:ascii="Arial" w:hAnsi="Arial" w:cs="Arial"/>
          <w:sz w:val="22"/>
        </w:rPr>
        <w:t xml:space="preserve"> access mental health services only during a crisis. The study identified that lack of trust in services, negative experiences and poor engagement with primary care services were common factors that delayed help-seeking. The authors recommended that services be reconfigured to enhance access and develop more robust partnerships with local communities.</w:t>
      </w:r>
    </w:p>
    <w:p w14:paraId="1A3785FE" w14:textId="77777777" w:rsidR="004B3B62" w:rsidRPr="004B3B62" w:rsidRDefault="004B3B62" w:rsidP="004B3B62">
      <w:pPr>
        <w:spacing w:line="360" w:lineRule="auto"/>
        <w:jc w:val="both"/>
        <w:rPr>
          <w:rFonts w:ascii="Arial" w:hAnsi="Arial" w:cs="Arial"/>
          <w:sz w:val="22"/>
        </w:rPr>
      </w:pPr>
      <w:r w:rsidRPr="004B3B62">
        <w:rPr>
          <w:rFonts w:ascii="Arial" w:hAnsi="Arial" w:cs="Arial"/>
          <w:sz w:val="22"/>
        </w:rPr>
        <w:t>Memon et al. (2016) also examined barriers to mental health care for Black and minority ethnic communities. The review found that cultural stigma, language barriers, lack of cultural competence among professionals, and socioeconomic disadvantage are the primary barriers to seeking support. They concluded that community-based services designed with local communities are more effective than simply adapting existing services.</w:t>
      </w:r>
    </w:p>
    <w:p w14:paraId="173535E7" w14:textId="77777777" w:rsidR="004B3B62" w:rsidRPr="004B3B62" w:rsidRDefault="004B3B62" w:rsidP="004B3B62">
      <w:pPr>
        <w:spacing w:line="360" w:lineRule="auto"/>
        <w:jc w:val="both"/>
        <w:rPr>
          <w:rFonts w:ascii="Arial" w:hAnsi="Arial" w:cs="Arial"/>
          <w:b/>
          <w:bCs/>
          <w:sz w:val="22"/>
        </w:rPr>
      </w:pPr>
      <w:r w:rsidRPr="004B3B62">
        <w:rPr>
          <w:rFonts w:ascii="Arial" w:hAnsi="Arial" w:cs="Arial"/>
          <w:sz w:val="22"/>
        </w:rPr>
        <w:t>The two studies concurred that service design is the primary cause of barriers to mental health care, not attitudes. While Bhui, Halvorsrud and Nazroo, (2018) focus on people's experiences when entering services, Memon et al. (2016) examine why many people never access services in the first place. They illustrate the importance of culturally responsive care across the care journey.</w:t>
      </w:r>
    </w:p>
    <w:p w14:paraId="168E566A" w14:textId="3EBDECE0" w:rsidR="002435E0" w:rsidRPr="002435E0" w:rsidRDefault="00CA0DA7" w:rsidP="004B3B62">
      <w:pPr>
        <w:pStyle w:val="Heading2"/>
        <w:spacing w:line="360" w:lineRule="auto"/>
        <w:jc w:val="both"/>
        <w:rPr>
          <w:rFonts w:ascii="Arial" w:hAnsi="Arial" w:cs="Arial"/>
          <w:sz w:val="22"/>
          <w:szCs w:val="22"/>
        </w:rPr>
      </w:pPr>
      <w:bookmarkStart w:id="9" w:name="_Toc235649321"/>
      <w:r w:rsidRPr="002435E0">
        <w:rPr>
          <w:rFonts w:ascii="Arial" w:hAnsi="Arial" w:cs="Arial"/>
          <w:sz w:val="22"/>
          <w:szCs w:val="22"/>
        </w:rPr>
        <w:t>TASK 6: EXPLORING DIGITAL INNOVATION IN HEALTH AND SOCIAL CARE</w:t>
      </w:r>
      <w:bookmarkEnd w:id="9"/>
    </w:p>
    <w:p w14:paraId="27CFBDC6" w14:textId="5CD86A9E" w:rsidR="002435E0" w:rsidRPr="0008454D" w:rsidRDefault="002435E0" w:rsidP="002435E0">
      <w:pPr>
        <w:spacing w:line="360" w:lineRule="auto"/>
        <w:jc w:val="both"/>
        <w:rPr>
          <w:rFonts w:ascii="Arial" w:hAnsi="Arial" w:cs="Arial"/>
          <w:b/>
          <w:bCs/>
          <w:sz w:val="22"/>
        </w:rPr>
      </w:pPr>
      <w:r w:rsidRPr="002435E0">
        <w:rPr>
          <w:rFonts w:ascii="Arial" w:hAnsi="Arial" w:cs="Arial"/>
          <w:b/>
          <w:bCs/>
          <w:sz w:val="22"/>
        </w:rPr>
        <w:t>Wearable Health Technologies</w:t>
      </w:r>
    </w:p>
    <w:p w14:paraId="5EF40932" w14:textId="77777777" w:rsidR="00C819CA" w:rsidRDefault="00C819CA" w:rsidP="002435E0">
      <w:pPr>
        <w:spacing w:line="360" w:lineRule="auto"/>
        <w:jc w:val="both"/>
        <w:rPr>
          <w:rFonts w:ascii="Arial" w:hAnsi="Arial" w:cs="Arial"/>
          <w:sz w:val="22"/>
        </w:rPr>
      </w:pPr>
      <w:r w:rsidRPr="00C819CA">
        <w:rPr>
          <w:rFonts w:ascii="Arial" w:hAnsi="Arial" w:cs="Arial"/>
          <w:sz w:val="22"/>
        </w:rPr>
        <w:t>Smartwatches and heart monitors are examples of wearable technology that can be used to track key health data and assist individuals in managing chronic conditions. For instance, patients with heart failure can be monitored remotely, and health care professionals can detect early signs of deterioration and provide treatment before admission to hospital is required (Koehler et al., 2011). According to the Technology Acceptance Model, patients will be more likely to use these devices if they think they are useful and easy to use (Davis, 1989).</w:t>
      </w:r>
    </w:p>
    <w:p w14:paraId="0BD3C2D5" w14:textId="28E11BCB" w:rsidR="002435E0" w:rsidRPr="002435E0" w:rsidRDefault="002435E0" w:rsidP="002435E0">
      <w:pPr>
        <w:spacing w:line="360" w:lineRule="auto"/>
        <w:jc w:val="both"/>
        <w:rPr>
          <w:rFonts w:ascii="Arial" w:hAnsi="Arial" w:cs="Arial"/>
          <w:b/>
          <w:bCs/>
          <w:sz w:val="22"/>
        </w:rPr>
      </w:pPr>
      <w:r w:rsidRPr="002435E0">
        <w:rPr>
          <w:rFonts w:ascii="Arial" w:hAnsi="Arial" w:cs="Arial"/>
          <w:b/>
          <w:bCs/>
          <w:sz w:val="22"/>
        </w:rPr>
        <w:t>Electronic Health Records</w:t>
      </w:r>
    </w:p>
    <w:p w14:paraId="4C54BD82" w14:textId="77777777" w:rsidR="00987991" w:rsidRDefault="00987991" w:rsidP="002435E0">
      <w:pPr>
        <w:spacing w:line="360" w:lineRule="auto"/>
        <w:jc w:val="both"/>
        <w:rPr>
          <w:rFonts w:ascii="Arial" w:hAnsi="Arial" w:cs="Arial"/>
          <w:sz w:val="22"/>
        </w:rPr>
      </w:pPr>
      <w:r w:rsidRPr="00987991">
        <w:rPr>
          <w:rFonts w:ascii="Arial" w:hAnsi="Arial" w:cs="Arial"/>
          <w:sz w:val="22"/>
        </w:rPr>
        <w:t xml:space="preserve">Electronic Health Records (EHRs) improve communication by allowing authorised healthcare professionals to access the same patient information across different services. This helps to avoid duplicate tests, medication errors and treatment delays (Hayrinen, </w:t>
      </w:r>
      <w:r w:rsidRPr="00987991">
        <w:rPr>
          <w:rFonts w:ascii="Arial" w:hAnsi="Arial" w:cs="Arial"/>
          <w:sz w:val="22"/>
        </w:rPr>
        <w:lastRenderedPageBreak/>
        <w:t>Saranto and Nykanen, 2008). Integrated Care Records have been encouraged by NHS England (2021) to facilitate better working between health and social care organisations. To be successful, systems must be in place that facilitate clinical practice without adding unnecessary administration.</w:t>
      </w:r>
    </w:p>
    <w:p w14:paraId="4C8C70A5" w14:textId="5C949CEB" w:rsidR="002435E0" w:rsidRPr="002435E0" w:rsidRDefault="002435E0" w:rsidP="002435E0">
      <w:pPr>
        <w:spacing w:line="360" w:lineRule="auto"/>
        <w:jc w:val="both"/>
        <w:rPr>
          <w:rFonts w:ascii="Arial" w:hAnsi="Arial" w:cs="Arial"/>
          <w:b/>
          <w:bCs/>
          <w:sz w:val="22"/>
        </w:rPr>
      </w:pPr>
      <w:r w:rsidRPr="002435E0">
        <w:rPr>
          <w:rFonts w:ascii="Arial" w:hAnsi="Arial" w:cs="Arial"/>
          <w:b/>
          <w:bCs/>
          <w:sz w:val="22"/>
        </w:rPr>
        <w:t>Digital Technology for Preventative Care</w:t>
      </w:r>
    </w:p>
    <w:p w14:paraId="0D1813A3" w14:textId="77777777" w:rsidR="00987991" w:rsidRPr="00987991" w:rsidRDefault="00987991" w:rsidP="00987991">
      <w:pPr>
        <w:spacing w:line="360" w:lineRule="auto"/>
        <w:jc w:val="both"/>
        <w:rPr>
          <w:rFonts w:ascii="Arial" w:hAnsi="Arial" w:cs="Arial"/>
          <w:b/>
          <w:bCs/>
          <w:sz w:val="22"/>
          <w:szCs w:val="20"/>
        </w:rPr>
      </w:pPr>
      <w:r w:rsidRPr="00987991">
        <w:rPr>
          <w:rFonts w:ascii="Arial" w:hAnsi="Arial" w:cs="Arial"/>
          <w:sz w:val="22"/>
          <w:szCs w:val="20"/>
        </w:rPr>
        <w:t xml:space="preserve">Digital technology can facilitate preventative care by enabling people to take control of their own health. The NHS App enables users to make appointments, request repeat prescriptions and access personalised health information (NHS Digital, 2023). Michie, Van Stralen and West (2011) Behaviour Change Wheel explains that behaviour changes are more successful when people have the knowledge, opportunity, and motivation to make healthier choices. Digital exclusion is a concern, however, as some older adults and </w:t>
      </w:r>
      <w:bookmarkStart w:id="10" w:name="_GoBack"/>
      <w:bookmarkEnd w:id="10"/>
      <w:r w:rsidRPr="00987991">
        <w:rPr>
          <w:rFonts w:ascii="Arial" w:hAnsi="Arial" w:cs="Arial"/>
          <w:sz w:val="22"/>
          <w:szCs w:val="20"/>
        </w:rPr>
        <w:t>disadvantaged groups have limited access to digital services. Alternative support should therefore be available to ensure equal access to preventative healthcare.</w:t>
      </w:r>
    </w:p>
    <w:p w14:paraId="5526BB2F" w14:textId="450933E1" w:rsidR="001D11EA" w:rsidRPr="002435E0" w:rsidRDefault="00CA0DA7" w:rsidP="002435E0">
      <w:pPr>
        <w:pStyle w:val="Heading2"/>
        <w:spacing w:line="360" w:lineRule="auto"/>
        <w:jc w:val="both"/>
        <w:rPr>
          <w:rFonts w:ascii="Arial" w:hAnsi="Arial" w:cs="Arial"/>
          <w:sz w:val="22"/>
          <w:szCs w:val="22"/>
        </w:rPr>
      </w:pPr>
      <w:bookmarkStart w:id="11" w:name="_Toc235649322"/>
      <w:r w:rsidRPr="002435E0">
        <w:rPr>
          <w:rFonts w:ascii="Arial" w:hAnsi="Arial" w:cs="Arial"/>
          <w:sz w:val="22"/>
          <w:szCs w:val="22"/>
        </w:rPr>
        <w:t>TASK 7: NHS LEADERSHIP FRAMEWORK</w:t>
      </w:r>
      <w:bookmarkEnd w:id="11"/>
    </w:p>
    <w:p w14:paraId="28ED8D44" w14:textId="77777777" w:rsidR="00A054EF" w:rsidRPr="00A054EF" w:rsidRDefault="00A054EF" w:rsidP="00A054EF">
      <w:pPr>
        <w:spacing w:line="360" w:lineRule="auto"/>
        <w:jc w:val="both"/>
        <w:rPr>
          <w:rFonts w:ascii="Arial" w:hAnsi="Arial" w:cs="Arial"/>
          <w:b/>
          <w:bCs/>
          <w:sz w:val="22"/>
        </w:rPr>
      </w:pPr>
      <w:r w:rsidRPr="00A054EF">
        <w:rPr>
          <w:rFonts w:ascii="Arial" w:hAnsi="Arial" w:cs="Arial"/>
          <w:b/>
          <w:bCs/>
          <w:sz w:val="22"/>
        </w:rPr>
        <w:t>The NHS Leadership Framework is a summary of the framework.</w:t>
      </w:r>
    </w:p>
    <w:p w14:paraId="1345CC6E" w14:textId="77777777" w:rsidR="00A054EF" w:rsidRPr="00A054EF" w:rsidRDefault="00A054EF" w:rsidP="00A054EF">
      <w:pPr>
        <w:spacing w:line="360" w:lineRule="auto"/>
        <w:jc w:val="both"/>
        <w:rPr>
          <w:rFonts w:ascii="Arial" w:hAnsi="Arial" w:cs="Arial"/>
          <w:sz w:val="22"/>
        </w:rPr>
      </w:pPr>
      <w:r w:rsidRPr="00A054EF">
        <w:rPr>
          <w:rFonts w:ascii="Arial" w:hAnsi="Arial" w:cs="Arial"/>
          <w:sz w:val="22"/>
        </w:rPr>
        <w:t>The NHS Leadership Framework (now incorporated into the NHS Healthcare Leadership Model) outlines seven behaviours of leadership that underpin high quality health and social care. These behaviours are inspiring shared purpose, leading with care, evaluating information, connecting services, sharing the vision, engaging the team, and holding to account (NHS Leadership Academy, 2013). The framework acknowledges that leadership is not just the job of managers, but is everyone's job in healthcare. It fosters a collaborative environment, evidence-based decision making and continuous improvement of services. Leadership is crucial because health and social care services are delivered in complex environments where teamwork, communication and innovation are key factors that impact patient safety and quality of care. According to West et al. (2014), positive leadership cultures are associated with increased staff engagement, better patient outcomes, and increased innovation within organisations. The framework thus offers practical guidance on how to build leadership behaviours that enhance staff performance and service user experiences. Transformational Leadership Theory also backs this up as it states that leaders can inspire change through vision, encouragement and support, not just authority (Bass and Avolio, 1994).</w:t>
      </w:r>
    </w:p>
    <w:p w14:paraId="41961AC9" w14:textId="751401D5" w:rsidR="00A054EF" w:rsidRPr="00A054EF" w:rsidRDefault="00A054EF" w:rsidP="00A054EF">
      <w:pPr>
        <w:spacing w:line="360" w:lineRule="auto"/>
        <w:jc w:val="both"/>
        <w:rPr>
          <w:rFonts w:ascii="Arial" w:hAnsi="Arial" w:cs="Arial"/>
          <w:b/>
          <w:bCs/>
          <w:sz w:val="22"/>
        </w:rPr>
      </w:pPr>
      <w:r w:rsidRPr="00A054EF">
        <w:rPr>
          <w:rFonts w:ascii="Arial" w:hAnsi="Arial" w:cs="Arial"/>
          <w:b/>
          <w:bCs/>
          <w:sz w:val="22"/>
        </w:rPr>
        <w:lastRenderedPageBreak/>
        <w:t>Leadership Behaviour: Leading with Care</w:t>
      </w:r>
    </w:p>
    <w:p w14:paraId="368E7978" w14:textId="77777777" w:rsidR="00A054EF" w:rsidRPr="00A054EF" w:rsidRDefault="00A054EF" w:rsidP="00A054EF">
      <w:pPr>
        <w:spacing w:line="360" w:lineRule="auto"/>
        <w:jc w:val="both"/>
        <w:rPr>
          <w:rFonts w:ascii="Arial" w:hAnsi="Arial" w:cs="Arial"/>
          <w:sz w:val="22"/>
        </w:rPr>
      </w:pPr>
      <w:r w:rsidRPr="00A054EF">
        <w:rPr>
          <w:rFonts w:ascii="Arial" w:hAnsi="Arial" w:cs="Arial"/>
          <w:sz w:val="22"/>
        </w:rPr>
        <w:t>Leading with Care is one of the most important leadership behaviours. Leaders who are caring, listen to staff concerns and foster a psychologically safe environment will enable staff to share ideas and find ways to do things better. Edmondson (1999) states that psychological safety enables team members to express themselves freely without fear of criticism, which fosters an environment for the development of creativity. For instance, a ward manager who actively invites staff ideas and takes them on board is more likely to promote innovation and continuous improvement. This approach to leadership is supportive, enhances staff confidence, fosters team working and ultimately results in safer and more person centred care for patients.</w:t>
      </w:r>
    </w:p>
    <w:p w14:paraId="10E64971" w14:textId="65ECB07E" w:rsidR="00A054EF" w:rsidRPr="00A054EF" w:rsidRDefault="00A054EF" w:rsidP="00A054EF">
      <w:pPr>
        <w:spacing w:line="360" w:lineRule="auto"/>
        <w:jc w:val="both"/>
        <w:rPr>
          <w:rFonts w:ascii="Arial" w:hAnsi="Arial" w:cs="Arial"/>
          <w:b/>
          <w:bCs/>
          <w:sz w:val="22"/>
        </w:rPr>
      </w:pPr>
      <w:r w:rsidRPr="00A054EF">
        <w:rPr>
          <w:rFonts w:ascii="Arial" w:hAnsi="Arial" w:cs="Arial"/>
          <w:b/>
          <w:bCs/>
          <w:sz w:val="22"/>
        </w:rPr>
        <w:t>Reflective Journal Entry</w:t>
      </w:r>
    </w:p>
    <w:p w14:paraId="20AC1E6E" w14:textId="45BF77D2" w:rsidR="00A054EF" w:rsidRPr="00A054EF" w:rsidRDefault="00A054EF" w:rsidP="00A054EF">
      <w:pPr>
        <w:spacing w:line="360" w:lineRule="auto"/>
        <w:jc w:val="both"/>
        <w:rPr>
          <w:rFonts w:ascii="Arial" w:hAnsi="Arial" w:cs="Arial"/>
          <w:b/>
          <w:bCs/>
          <w:sz w:val="22"/>
        </w:rPr>
      </w:pPr>
      <w:r w:rsidRPr="00A054EF">
        <w:rPr>
          <w:rFonts w:ascii="Arial" w:hAnsi="Arial" w:cs="Arial"/>
          <w:sz w:val="22"/>
        </w:rPr>
        <w:t xml:space="preserve">This module has influenced my thinking about leadership, creativity and value creation in health and social care. Initially, I thought that innovation was largely a matter of senior managers implementing new technology or policies. I now recognise that all health professionals can be innovative and can recognise problems, share ideas and collaborate to enhance practice. I have learnt about the NHS Leadership Framework and the reflective and </w:t>
      </w:r>
      <w:r w:rsidRPr="00A054EF">
        <w:rPr>
          <w:rFonts w:ascii="Arial" w:hAnsi="Arial" w:cs="Arial"/>
          <w:b/>
          <w:bCs/>
          <w:sz w:val="22"/>
        </w:rPr>
        <w:t>problem-solving</w:t>
      </w:r>
      <w:r w:rsidRPr="00A054EF">
        <w:rPr>
          <w:rFonts w:ascii="Arial" w:hAnsi="Arial" w:cs="Arial"/>
          <w:sz w:val="22"/>
        </w:rPr>
        <w:t xml:space="preserve"> activities have helped me to understand that leadership is about influencing others through communication, support and learning. The Transformational Leadership Theory developed by Bass and Avolio (1994) was helpful in understanding how leaders can foster creativity by motivating employees and establishing a vision for improvement. My future professional practice will seek to support colleagues, foster open communication and contribute to improvements that will lead to better outcomes for patients and service users.</w:t>
      </w:r>
    </w:p>
    <w:p w14:paraId="61E119D4" w14:textId="4C16C5B9" w:rsidR="001D11EA" w:rsidRPr="002435E0" w:rsidRDefault="004E5DF2" w:rsidP="00A054EF">
      <w:pPr>
        <w:pStyle w:val="Heading2"/>
        <w:spacing w:line="360" w:lineRule="auto"/>
        <w:jc w:val="both"/>
        <w:rPr>
          <w:rFonts w:ascii="Arial" w:hAnsi="Arial" w:cs="Arial"/>
          <w:sz w:val="22"/>
          <w:szCs w:val="22"/>
        </w:rPr>
      </w:pPr>
      <w:bookmarkStart w:id="12" w:name="_Toc235649323"/>
      <w:r w:rsidRPr="002435E0">
        <w:rPr>
          <w:rFonts w:ascii="Arial" w:hAnsi="Arial" w:cs="Arial"/>
          <w:sz w:val="22"/>
          <w:szCs w:val="22"/>
        </w:rPr>
        <w:t>TASK 8: SELF-REFLECTION JOURNAL</w:t>
      </w:r>
      <w:bookmarkEnd w:id="12"/>
    </w:p>
    <w:p w14:paraId="2569F26D" w14:textId="77777777" w:rsidR="00D14A02" w:rsidRPr="00D14A02" w:rsidRDefault="00D14A02" w:rsidP="00D14A02">
      <w:pPr>
        <w:spacing w:line="360" w:lineRule="auto"/>
        <w:jc w:val="both"/>
        <w:rPr>
          <w:rFonts w:ascii="Arial" w:hAnsi="Arial" w:cs="Arial"/>
          <w:sz w:val="22"/>
        </w:rPr>
      </w:pPr>
      <w:r w:rsidRPr="00D14A02">
        <w:rPr>
          <w:rFonts w:ascii="Arial" w:hAnsi="Arial" w:cs="Arial"/>
          <w:sz w:val="22"/>
        </w:rPr>
        <w:t>This module has broadened my understanding of creativity, innovation and value creation in health and social care. Prior to taking the module, I thought that innovation was primarily about new technology or senior management decisions. I now realize that creativity is something that can be shown by any health care professional in problem solving, teamwork, and continuous improvement.</w:t>
      </w:r>
    </w:p>
    <w:p w14:paraId="6C8602A8" w14:textId="77777777" w:rsidR="00D14A02" w:rsidRPr="00D14A02" w:rsidRDefault="00D14A02" w:rsidP="00D14A02">
      <w:pPr>
        <w:spacing w:line="360" w:lineRule="auto"/>
        <w:jc w:val="both"/>
        <w:rPr>
          <w:rFonts w:ascii="Arial" w:hAnsi="Arial" w:cs="Arial"/>
          <w:sz w:val="22"/>
        </w:rPr>
      </w:pPr>
      <w:r w:rsidRPr="00D14A02">
        <w:rPr>
          <w:rFonts w:ascii="Arial" w:hAnsi="Arial" w:cs="Arial"/>
          <w:sz w:val="22"/>
        </w:rPr>
        <w:t xml:space="preserve">The most impactful task was analysing mental health inequalities faced by ethnic minority communities. It taught me that sometimes you need to look at the bigger picture when </w:t>
      </w:r>
      <w:r w:rsidRPr="00D14A02">
        <w:rPr>
          <w:rFonts w:ascii="Arial" w:hAnsi="Arial" w:cs="Arial"/>
          <w:sz w:val="22"/>
        </w:rPr>
        <w:lastRenderedPageBreak/>
        <w:t>trying to improve healthcare, not just the individual issues. The systems thinking approach used by Meadows (2008) enabled me to see how social, cultural and organisational factors influence patient outcomes.</w:t>
      </w:r>
    </w:p>
    <w:p w14:paraId="35B86973" w14:textId="77777777" w:rsidR="00D14A02" w:rsidRDefault="00D14A02" w:rsidP="00D14A02">
      <w:pPr>
        <w:spacing w:line="360" w:lineRule="auto"/>
        <w:jc w:val="both"/>
        <w:rPr>
          <w:rFonts w:ascii="Arial" w:hAnsi="Arial" w:cs="Arial"/>
          <w:sz w:val="22"/>
        </w:rPr>
      </w:pPr>
      <w:r w:rsidRPr="00D14A02">
        <w:rPr>
          <w:rFonts w:ascii="Arial" w:hAnsi="Arial" w:cs="Arial"/>
          <w:sz w:val="22"/>
        </w:rPr>
        <w:t>The Reflective Cycle (Gibbs, 1988) has also helped me to reflect more on my own learning and practice. In my professional life, I will use creative thinking, engage others in decision making and think about how small changes can make a big difference for patients, families and healthcare organisations.</w:t>
      </w:r>
    </w:p>
    <w:p w14:paraId="5245A18E" w14:textId="77777777" w:rsidR="007A451F" w:rsidRDefault="007A451F" w:rsidP="00D14A02">
      <w:pPr>
        <w:spacing w:line="360" w:lineRule="auto"/>
        <w:jc w:val="both"/>
        <w:rPr>
          <w:rFonts w:ascii="Arial" w:hAnsi="Arial" w:cs="Arial"/>
          <w:sz w:val="22"/>
        </w:rPr>
      </w:pPr>
    </w:p>
    <w:p w14:paraId="2A4FE679" w14:textId="77777777" w:rsidR="007A451F" w:rsidRDefault="007A451F" w:rsidP="00D14A02">
      <w:pPr>
        <w:spacing w:line="360" w:lineRule="auto"/>
        <w:jc w:val="both"/>
        <w:rPr>
          <w:rFonts w:ascii="Arial" w:hAnsi="Arial" w:cs="Arial"/>
          <w:sz w:val="22"/>
        </w:rPr>
      </w:pPr>
    </w:p>
    <w:p w14:paraId="683C704E" w14:textId="77777777" w:rsidR="00E57EFA" w:rsidRDefault="00E57EFA" w:rsidP="00D14A02">
      <w:pPr>
        <w:spacing w:line="360" w:lineRule="auto"/>
        <w:jc w:val="both"/>
        <w:rPr>
          <w:rFonts w:ascii="Arial" w:hAnsi="Arial" w:cs="Arial"/>
          <w:sz w:val="22"/>
        </w:rPr>
      </w:pPr>
    </w:p>
    <w:p w14:paraId="1F892BE8" w14:textId="77777777" w:rsidR="00E57EFA" w:rsidRDefault="00E57EFA" w:rsidP="00D14A02">
      <w:pPr>
        <w:spacing w:line="360" w:lineRule="auto"/>
        <w:jc w:val="both"/>
        <w:rPr>
          <w:rFonts w:ascii="Arial" w:hAnsi="Arial" w:cs="Arial"/>
          <w:sz w:val="22"/>
        </w:rPr>
      </w:pPr>
    </w:p>
    <w:p w14:paraId="2715F906" w14:textId="77777777" w:rsidR="00E57EFA" w:rsidRDefault="00E57EFA" w:rsidP="00D14A02">
      <w:pPr>
        <w:spacing w:line="360" w:lineRule="auto"/>
        <w:jc w:val="both"/>
        <w:rPr>
          <w:rFonts w:ascii="Arial" w:hAnsi="Arial" w:cs="Arial"/>
          <w:sz w:val="22"/>
        </w:rPr>
      </w:pPr>
    </w:p>
    <w:p w14:paraId="28A4DDDF" w14:textId="77777777" w:rsidR="00E57EFA" w:rsidRDefault="00E57EFA" w:rsidP="00D14A02">
      <w:pPr>
        <w:spacing w:line="360" w:lineRule="auto"/>
        <w:jc w:val="both"/>
        <w:rPr>
          <w:rFonts w:ascii="Arial" w:hAnsi="Arial" w:cs="Arial"/>
          <w:sz w:val="22"/>
        </w:rPr>
      </w:pPr>
    </w:p>
    <w:p w14:paraId="59789ADA" w14:textId="77777777" w:rsidR="00E57EFA" w:rsidRDefault="00E57EFA" w:rsidP="00D14A02">
      <w:pPr>
        <w:spacing w:line="360" w:lineRule="auto"/>
        <w:jc w:val="both"/>
        <w:rPr>
          <w:rFonts w:ascii="Arial" w:hAnsi="Arial" w:cs="Arial"/>
          <w:sz w:val="22"/>
        </w:rPr>
      </w:pPr>
    </w:p>
    <w:p w14:paraId="6FCEB6DD" w14:textId="77777777" w:rsidR="00E57EFA" w:rsidRDefault="00E57EFA" w:rsidP="00D14A02">
      <w:pPr>
        <w:spacing w:line="360" w:lineRule="auto"/>
        <w:jc w:val="both"/>
        <w:rPr>
          <w:rFonts w:ascii="Arial" w:hAnsi="Arial" w:cs="Arial"/>
          <w:sz w:val="22"/>
        </w:rPr>
      </w:pPr>
    </w:p>
    <w:p w14:paraId="0258B797" w14:textId="77777777" w:rsidR="00E57EFA" w:rsidRDefault="00E57EFA" w:rsidP="00D14A02">
      <w:pPr>
        <w:spacing w:line="360" w:lineRule="auto"/>
        <w:jc w:val="both"/>
        <w:rPr>
          <w:rFonts w:ascii="Arial" w:hAnsi="Arial" w:cs="Arial"/>
          <w:sz w:val="22"/>
        </w:rPr>
      </w:pPr>
    </w:p>
    <w:p w14:paraId="150FE2B8" w14:textId="77777777" w:rsidR="00E57EFA" w:rsidRDefault="00E57EFA" w:rsidP="00D14A02">
      <w:pPr>
        <w:spacing w:line="360" w:lineRule="auto"/>
        <w:jc w:val="both"/>
        <w:rPr>
          <w:rFonts w:ascii="Arial" w:hAnsi="Arial" w:cs="Arial"/>
          <w:sz w:val="22"/>
        </w:rPr>
      </w:pPr>
    </w:p>
    <w:p w14:paraId="57A156BB" w14:textId="77777777" w:rsidR="00E57EFA" w:rsidRDefault="00E57EFA" w:rsidP="00D14A02">
      <w:pPr>
        <w:spacing w:line="360" w:lineRule="auto"/>
        <w:jc w:val="both"/>
        <w:rPr>
          <w:rFonts w:ascii="Arial" w:hAnsi="Arial" w:cs="Arial"/>
          <w:sz w:val="22"/>
        </w:rPr>
      </w:pPr>
    </w:p>
    <w:p w14:paraId="348E7447" w14:textId="77777777" w:rsidR="007A451F" w:rsidRDefault="007A451F" w:rsidP="00D14A02">
      <w:pPr>
        <w:spacing w:line="360" w:lineRule="auto"/>
        <w:jc w:val="both"/>
        <w:rPr>
          <w:rFonts w:ascii="Arial" w:hAnsi="Arial" w:cs="Arial"/>
          <w:sz w:val="22"/>
        </w:rPr>
      </w:pPr>
    </w:p>
    <w:p w14:paraId="4B6D1A32" w14:textId="30CCA3E6" w:rsidR="001D11EA" w:rsidRPr="009A61EA" w:rsidRDefault="005A12A9" w:rsidP="009A61EA">
      <w:pPr>
        <w:pStyle w:val="Heading1"/>
        <w:rPr>
          <w:rFonts w:ascii="Arial" w:hAnsi="Arial" w:cs="Arial"/>
          <w:sz w:val="22"/>
          <w:szCs w:val="22"/>
        </w:rPr>
      </w:pPr>
      <w:bookmarkStart w:id="13" w:name="_Toc235649324"/>
      <w:r w:rsidRPr="009A61EA">
        <w:rPr>
          <w:rFonts w:ascii="Arial" w:hAnsi="Arial" w:cs="Arial"/>
          <w:sz w:val="22"/>
          <w:szCs w:val="22"/>
        </w:rPr>
        <w:t>REFERENCE</w:t>
      </w:r>
      <w:r w:rsidR="000324BF" w:rsidRPr="009A61EA">
        <w:rPr>
          <w:rFonts w:ascii="Arial" w:hAnsi="Arial" w:cs="Arial"/>
          <w:sz w:val="22"/>
          <w:szCs w:val="22"/>
        </w:rPr>
        <w:t>S</w:t>
      </w:r>
      <w:bookmarkEnd w:id="13"/>
    </w:p>
    <w:p w14:paraId="65188046"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 xml:space="preserve">Bhui, K., Halvorsrud, K. and Nazroo, J., 2018. Making a difference: ethnic inequality and severe mental illness. The British Journal of Psychiatry, 213(4), pp.574-578. Available at: </w:t>
      </w:r>
      <w:hyperlink r:id="rId15" w:history="1">
        <w:r w:rsidRPr="006B537E">
          <w:rPr>
            <w:rFonts w:ascii="Arial" w:eastAsia="Calibri" w:hAnsi="Arial" w:cs="Arial"/>
            <w:color w:val="0563C1"/>
            <w:kern w:val="2"/>
            <w:sz w:val="22"/>
            <w:u w:val="single"/>
            <w:lang w:val="en-GB"/>
            <w14:ligatures w14:val="standardContextual"/>
          </w:rPr>
          <w:t>https://www.cambridge.org/core/services/aop-cambridge-core/content/view/03FFD6DA621D528D5741897CD0D977AA/S0007125018001484a.pdf/div-class-title-making-a-difference-ethnic-inequality-and-severe-mental-illness-div.pdf</w:t>
        </w:r>
      </w:hyperlink>
      <w:r w:rsidRPr="006B537E">
        <w:rPr>
          <w:rFonts w:ascii="Arial" w:eastAsia="Calibri" w:hAnsi="Arial" w:cs="Arial"/>
          <w:kern w:val="2"/>
          <w:sz w:val="22"/>
          <w:lang w:val="en-GB"/>
          <w14:ligatures w14:val="standardContextual"/>
        </w:rPr>
        <w:t xml:space="preserve"> (Accessed: 3 July 2026).</w:t>
      </w:r>
    </w:p>
    <w:p w14:paraId="77FDD9AA" w14:textId="0E6D595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lastRenderedPageBreak/>
        <w:t>Bridges, W.</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2011</w:t>
      </w:r>
      <w:r w:rsidR="0037652F">
        <w:rPr>
          <w:rFonts w:ascii="Arial" w:eastAsia="Calibri" w:hAnsi="Arial" w:cs="Arial"/>
          <w:kern w:val="2"/>
          <w:sz w:val="22"/>
          <w:lang w:val="en-GB"/>
          <w14:ligatures w14:val="standardContextual"/>
        </w:rPr>
        <w:t>.</w:t>
      </w:r>
      <w:r w:rsidRPr="006B537E">
        <w:rPr>
          <w:rFonts w:ascii="Arial" w:eastAsia="Calibri" w:hAnsi="Arial" w:cs="Arial"/>
          <w:kern w:val="2"/>
          <w:sz w:val="22"/>
          <w:lang w:val="en-GB"/>
          <w14:ligatures w14:val="standardContextual"/>
        </w:rPr>
        <w:t xml:space="preserve"> Managing Transitions: Making the Most of Change. 3rd Edition, Nicholas Brealey Publishing, London, UK/Boston, USA.</w:t>
      </w:r>
    </w:p>
    <w:p w14:paraId="60943F99"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 xml:space="preserve">Davis, F.D., 1989. Perceived usefulness, perceived ease of use, and user acceptance of information technology. MIS quarterly, 13(3), pp.319-340. Available at: </w:t>
      </w:r>
      <w:hyperlink r:id="rId16" w:history="1">
        <w:r w:rsidRPr="006B537E">
          <w:rPr>
            <w:rFonts w:ascii="Arial" w:eastAsia="Calibri" w:hAnsi="Arial" w:cs="Arial"/>
            <w:color w:val="0563C1"/>
            <w:kern w:val="2"/>
            <w:sz w:val="22"/>
            <w:u w:val="single"/>
            <w:lang w:val="en-GB"/>
            <w14:ligatures w14:val="standardContextual"/>
          </w:rPr>
          <w:t>https://www.researchgate.net/profile/Michel-Sylvie/publication/344247975_Mobile_Money_decryptage_d'une_succes_story_africaine/links/61603646ae47db4e57a80a60/Mobile-Money-decryptage-dune-succes-story-africaine.pdf</w:t>
        </w:r>
      </w:hyperlink>
      <w:r w:rsidRPr="006B537E">
        <w:rPr>
          <w:rFonts w:ascii="Arial" w:eastAsia="Calibri" w:hAnsi="Arial" w:cs="Arial"/>
          <w:kern w:val="2"/>
          <w:sz w:val="22"/>
          <w:lang w:val="en-GB"/>
          <w14:ligatures w14:val="standardContextual"/>
        </w:rPr>
        <w:t xml:space="preserve"> (Accessed: 3 July 2026).</w:t>
      </w:r>
    </w:p>
    <w:p w14:paraId="3258BFB4" w14:textId="227D40C9"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De Bono, E.</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1970. Lateral Thinking: Creativity Step by Step. New York: Harper &amp; Row.</w:t>
      </w:r>
    </w:p>
    <w:p w14:paraId="11BF1E2E"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Edmondson, A., 1999. Psychological safety and learning behavior in work teams. Administrative science quarterly, 44(2), pp.350-383.</w:t>
      </w:r>
    </w:p>
    <w:p w14:paraId="6BF5909E"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Fernando, S., 2020. Institutional Racism in Psychiatry and Clinical Psychology: Race Matters in Mental Health By Suman Fernando Palgrave Macmillan. 2018.£ 49.99 (pb). 232 pp. ISBN 9783319873800. The British Journal of Psychiatry.</w:t>
      </w:r>
    </w:p>
    <w:p w14:paraId="46B9E94C" w14:textId="4026E9EB"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Gibbs, G.</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1988</w:t>
      </w:r>
      <w:r w:rsidR="0037652F">
        <w:rPr>
          <w:rFonts w:ascii="Arial" w:eastAsia="Calibri" w:hAnsi="Arial" w:cs="Arial"/>
          <w:kern w:val="2"/>
          <w:sz w:val="22"/>
          <w:lang w:val="en-GB"/>
          <w14:ligatures w14:val="standardContextual"/>
        </w:rPr>
        <w:t>.</w:t>
      </w:r>
      <w:r w:rsidRPr="006B537E">
        <w:rPr>
          <w:rFonts w:ascii="Arial" w:eastAsia="Calibri" w:hAnsi="Arial" w:cs="Arial"/>
          <w:kern w:val="2"/>
          <w:sz w:val="22"/>
          <w:lang w:val="en-GB"/>
          <w14:ligatures w14:val="standardContextual"/>
        </w:rPr>
        <w:t xml:space="preserve"> Learning by doing: A guide to teaching and learning methods. Further Educational Unit, Oxford Polytechnic, Oxford.</w:t>
      </w:r>
    </w:p>
    <w:p w14:paraId="6537D1AA"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Gray, B.H., Sarnak, D.O. and Burgers, J.S., 2015. Home care by self-governing nursing teams: The Netherlands' Buurtzorg Model. New York: Commonwealth Fund.</w:t>
      </w:r>
    </w:p>
    <w:p w14:paraId="2973446B"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 xml:space="preserve">Häyrinen, K., Saranto, K. and Nykänen, P., 2008. Definition, structure, content, use and impacts of electronic health records: a review of the research literature. International journal of medical informatics, 77(5), pp.291-304. Available at: </w:t>
      </w:r>
      <w:hyperlink r:id="rId17" w:history="1">
        <w:r w:rsidRPr="006B537E">
          <w:rPr>
            <w:rFonts w:ascii="Arial" w:eastAsia="Calibri" w:hAnsi="Arial" w:cs="Arial"/>
            <w:color w:val="0563C1"/>
            <w:kern w:val="2"/>
            <w:sz w:val="22"/>
            <w:u w:val="single"/>
            <w:lang w:val="en-GB"/>
            <w14:ligatures w14:val="standardContextual"/>
          </w:rPr>
          <w:t>https://www.researchgate.net/profile/Kristiina-Haeyrinen/publication/266135748_Hayrinenetal2008/data/54257b050cf26120b7ac9c1b/Hayrinenetal2008.pdf</w:t>
        </w:r>
      </w:hyperlink>
      <w:r w:rsidRPr="006B537E">
        <w:rPr>
          <w:rFonts w:ascii="Arial" w:eastAsia="Calibri" w:hAnsi="Arial" w:cs="Arial"/>
          <w:kern w:val="2"/>
          <w:sz w:val="22"/>
          <w:lang w:val="en-GB"/>
          <w14:ligatures w14:val="standardContextual"/>
        </w:rPr>
        <w:t xml:space="preserve"> (Accessed: 2 July 2026).</w:t>
      </w:r>
    </w:p>
    <w:p w14:paraId="461498A9"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Koehler, F., Winkler, S., Schieber, M., Sechtem, U., Stangl, K., Böhm, M., Boll, H., Baumann, G., Honold, M., Koehler, K. and Gelbrich, G., 2011. Impact of remote telemedical management on mortality and hospitalizations in ambulatory patients with chronic heart failure: the telemedical interventional monitoring in heart failure study. Circulation, 123(17), pp.1873-1880.</w:t>
      </w:r>
    </w:p>
    <w:p w14:paraId="1F31526E" w14:textId="59F5D30B"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lastRenderedPageBreak/>
        <w:t>Meadows, D.H.</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2008</w:t>
      </w:r>
      <w:r w:rsidR="0037652F">
        <w:rPr>
          <w:rFonts w:ascii="Arial" w:eastAsia="Calibri" w:hAnsi="Arial" w:cs="Arial"/>
          <w:kern w:val="2"/>
          <w:sz w:val="22"/>
          <w:lang w:val="en-GB"/>
          <w14:ligatures w14:val="standardContextual"/>
        </w:rPr>
        <w:t>.</w:t>
      </w:r>
      <w:r w:rsidRPr="006B537E">
        <w:rPr>
          <w:rFonts w:ascii="Arial" w:eastAsia="Calibri" w:hAnsi="Arial" w:cs="Arial"/>
          <w:kern w:val="2"/>
          <w:sz w:val="22"/>
          <w:lang w:val="en-GB"/>
          <w14:ligatures w14:val="standardContextual"/>
        </w:rPr>
        <w:t xml:space="preserve"> Thinking in Systems: A Primer. Chelsea Green, White River Junction.</w:t>
      </w:r>
    </w:p>
    <w:p w14:paraId="423400EE"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Memon, A., Taylor, K., Mohebati, L.M., Sundin, J., Cooper, M., Scanlon, T. and De Visser, R., 2016. Perceived barriers to accessing mental health services among black and minority ethnic (BME) communities: a qualitative study in Southeast England. BMJ open, 6(11), p.e012337.</w:t>
      </w:r>
    </w:p>
    <w:p w14:paraId="6014826D"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 xml:space="preserve">Michie, S., Van Stralen, M.M. and West, R., 2011. The behaviour change wheel: a new method for characterising and designing behaviour change interventions. Implementation science, 6(1), p.42.  Available at: </w:t>
      </w:r>
      <w:hyperlink r:id="rId18" w:history="1">
        <w:r w:rsidRPr="006B537E">
          <w:rPr>
            <w:rFonts w:ascii="Arial" w:eastAsia="Calibri" w:hAnsi="Arial" w:cs="Arial"/>
            <w:color w:val="0563C1"/>
            <w:kern w:val="2"/>
            <w:sz w:val="22"/>
            <w:u w:val="single"/>
            <w:lang w:val="en-GB"/>
            <w14:ligatures w14:val="standardContextual"/>
          </w:rPr>
          <w:t>https://scholar.google.com/scholar?output=instlink&amp;q=info:inRniyQDrVwJ:scholar.google.com/&amp;hl=en&amp;as_sdt=0,5&amp;scillfp=14672038664732748048&amp;oi=lle</w:t>
        </w:r>
      </w:hyperlink>
      <w:r w:rsidRPr="006B537E">
        <w:rPr>
          <w:rFonts w:ascii="Arial" w:eastAsia="Calibri" w:hAnsi="Arial" w:cs="Arial"/>
          <w:kern w:val="2"/>
          <w:sz w:val="22"/>
          <w:lang w:val="en-GB"/>
          <w14:ligatures w14:val="standardContextual"/>
        </w:rPr>
        <w:t xml:space="preserve"> (Accessed: 3 July 2026).</w:t>
      </w:r>
    </w:p>
    <w:p w14:paraId="0DDC72E2" w14:textId="6EEAB1E8"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NHS Digital</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2023</w:t>
      </w:r>
      <w:r w:rsidR="0037652F">
        <w:rPr>
          <w:rFonts w:ascii="Arial" w:eastAsia="Calibri" w:hAnsi="Arial" w:cs="Arial"/>
          <w:kern w:val="2"/>
          <w:sz w:val="22"/>
          <w:lang w:val="en-GB"/>
          <w14:ligatures w14:val="standardContextual"/>
        </w:rPr>
        <w:t>.</w:t>
      </w:r>
      <w:r w:rsidRPr="006B537E">
        <w:rPr>
          <w:rFonts w:ascii="Arial" w:eastAsia="Calibri" w:hAnsi="Arial" w:cs="Arial"/>
          <w:kern w:val="2"/>
          <w:sz w:val="22"/>
          <w:lang w:val="en-GB"/>
          <w14:ligatures w14:val="standardContextual"/>
        </w:rPr>
        <w:t xml:space="preserve"> NHS App statistics. Available at: </w:t>
      </w:r>
      <w:hyperlink r:id="rId19" w:history="1">
        <w:r w:rsidRPr="006B537E">
          <w:rPr>
            <w:rFonts w:ascii="Arial" w:eastAsia="Calibri" w:hAnsi="Arial" w:cs="Arial"/>
            <w:color w:val="0563C1"/>
            <w:kern w:val="2"/>
            <w:sz w:val="22"/>
            <w:u w:val="single"/>
            <w:lang w:val="en-GB"/>
            <w14:ligatures w14:val="standardContextual"/>
          </w:rPr>
          <w:t>https://digital.nhs.uk/data-and-information/publications/statistical/nhs-app-statistics</w:t>
        </w:r>
      </w:hyperlink>
      <w:r w:rsidRPr="006B537E">
        <w:rPr>
          <w:rFonts w:ascii="Arial" w:eastAsia="Calibri" w:hAnsi="Arial" w:cs="Arial"/>
          <w:kern w:val="2"/>
          <w:sz w:val="22"/>
          <w:lang w:val="en-GB"/>
          <w14:ligatures w14:val="standardContextual"/>
        </w:rPr>
        <w:t xml:space="preserve"> (Accessed: 3 July 2026).</w:t>
      </w:r>
    </w:p>
    <w:p w14:paraId="5D2FEF10" w14:textId="19F0029C"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NHS England</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2019</w:t>
      </w:r>
      <w:r w:rsidR="0037652F">
        <w:rPr>
          <w:rFonts w:ascii="Arial" w:eastAsia="Calibri" w:hAnsi="Arial" w:cs="Arial"/>
          <w:kern w:val="2"/>
          <w:sz w:val="22"/>
          <w:lang w:val="en-GB"/>
          <w14:ligatures w14:val="standardContextual"/>
        </w:rPr>
        <w:t>.</w:t>
      </w:r>
      <w:r w:rsidRPr="006B537E">
        <w:rPr>
          <w:rFonts w:ascii="Arial" w:eastAsia="Calibri" w:hAnsi="Arial" w:cs="Arial"/>
          <w:kern w:val="2"/>
          <w:sz w:val="22"/>
          <w:lang w:val="en-GB"/>
          <w14:ligatures w14:val="standardContextual"/>
        </w:rPr>
        <w:t xml:space="preserve"> The NHS Long Term Plan. Available at: </w:t>
      </w:r>
      <w:hyperlink r:id="rId20" w:history="1">
        <w:r w:rsidRPr="006B537E">
          <w:rPr>
            <w:rFonts w:ascii="Arial" w:eastAsia="Calibri" w:hAnsi="Arial" w:cs="Arial"/>
            <w:color w:val="0563C1"/>
            <w:kern w:val="2"/>
            <w:sz w:val="22"/>
            <w:u w:val="single"/>
            <w:lang w:val="en-GB"/>
            <w14:ligatures w14:val="standardContextual"/>
          </w:rPr>
          <w:t>https://www.longtermplan.nhs.uk/</w:t>
        </w:r>
      </w:hyperlink>
      <w:r w:rsidRPr="006B537E">
        <w:rPr>
          <w:rFonts w:ascii="Arial" w:eastAsia="Calibri" w:hAnsi="Arial" w:cs="Arial"/>
          <w:kern w:val="2"/>
          <w:sz w:val="22"/>
          <w:lang w:val="en-GB"/>
          <w14:ligatures w14:val="standardContextual"/>
        </w:rPr>
        <w:t xml:space="preserve"> (Accessed: 29 June 2026).</w:t>
      </w:r>
    </w:p>
    <w:p w14:paraId="12F3240A" w14:textId="0570BB9C"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NHS England</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2021</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 xml:space="preserve"> Integrated Care Systems: Design Framework. Version 1, June 2022. Available at: </w:t>
      </w:r>
      <w:hyperlink r:id="rId21" w:history="1">
        <w:r w:rsidRPr="006B537E">
          <w:rPr>
            <w:rFonts w:ascii="Arial" w:eastAsia="Calibri" w:hAnsi="Arial" w:cs="Arial"/>
            <w:color w:val="0563C1"/>
            <w:kern w:val="2"/>
            <w:sz w:val="22"/>
            <w:u w:val="single"/>
            <w:lang w:val="en-GB"/>
            <w14:ligatures w14:val="standardContextual"/>
          </w:rPr>
          <w:t>https://www.england.nhs.uk/wp-content/uploads/2021/06/B0642-ics-design-framework-june-2021.pdf</w:t>
        </w:r>
      </w:hyperlink>
      <w:r w:rsidRPr="006B537E">
        <w:rPr>
          <w:rFonts w:ascii="Arial" w:eastAsia="Calibri" w:hAnsi="Arial" w:cs="Arial"/>
          <w:kern w:val="2"/>
          <w:sz w:val="22"/>
          <w:lang w:val="en-GB"/>
          <w14:ligatures w14:val="standardContextual"/>
        </w:rPr>
        <w:t xml:space="preserve"> (Accessed: 3 July 2026).</w:t>
      </w:r>
    </w:p>
    <w:p w14:paraId="14BA4457" w14:textId="2F491779"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NHS England</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2022</w:t>
      </w:r>
      <w:r w:rsidR="0037652F">
        <w:rPr>
          <w:rFonts w:ascii="Arial" w:eastAsia="Calibri" w:hAnsi="Arial" w:cs="Arial"/>
          <w:kern w:val="2"/>
          <w:sz w:val="22"/>
          <w:lang w:val="en-GB"/>
          <w14:ligatures w14:val="standardContextual"/>
        </w:rPr>
        <w:t>.</w:t>
      </w:r>
      <w:r w:rsidRPr="006B537E">
        <w:rPr>
          <w:rFonts w:ascii="Arial" w:eastAsia="Calibri" w:hAnsi="Arial" w:cs="Arial"/>
          <w:kern w:val="2"/>
          <w:sz w:val="22"/>
          <w:lang w:val="en-GB"/>
          <w14:ligatures w14:val="standardContextual"/>
        </w:rPr>
        <w:t xml:space="preserve"> Virtual wards including hospital at home. Available at: </w:t>
      </w:r>
      <w:hyperlink r:id="rId22" w:history="1">
        <w:r w:rsidRPr="006B537E">
          <w:rPr>
            <w:rFonts w:ascii="Arial" w:eastAsia="Calibri" w:hAnsi="Arial" w:cs="Arial"/>
            <w:color w:val="0563C1"/>
            <w:kern w:val="2"/>
            <w:sz w:val="22"/>
            <w:u w:val="single"/>
            <w:lang w:val="en-GB"/>
            <w14:ligatures w14:val="standardContextual"/>
          </w:rPr>
          <w:t>https://www.england.nhs.uk/virtual-wards/</w:t>
        </w:r>
      </w:hyperlink>
      <w:r w:rsidRPr="006B537E">
        <w:rPr>
          <w:rFonts w:ascii="Arial" w:eastAsia="Calibri" w:hAnsi="Arial" w:cs="Arial"/>
          <w:kern w:val="2"/>
          <w:sz w:val="22"/>
          <w:lang w:val="en-GB"/>
          <w14:ligatures w14:val="standardContextual"/>
        </w:rPr>
        <w:t xml:space="preserve"> (Accessed: 3 July 2026).</w:t>
      </w:r>
    </w:p>
    <w:p w14:paraId="48DC73A1" w14:textId="66C8F558"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NHS Leadership Academy</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2013</w:t>
      </w:r>
      <w:r w:rsidR="0037652F">
        <w:rPr>
          <w:rFonts w:ascii="Arial" w:eastAsia="Calibri" w:hAnsi="Arial" w:cs="Arial"/>
          <w:kern w:val="2"/>
          <w:sz w:val="22"/>
          <w:lang w:val="en-GB"/>
          <w14:ligatures w14:val="standardContextual"/>
        </w:rPr>
        <w:t>.</w:t>
      </w:r>
      <w:r w:rsidRPr="006B537E">
        <w:rPr>
          <w:rFonts w:ascii="Arial" w:eastAsia="Calibri" w:hAnsi="Arial" w:cs="Arial"/>
          <w:kern w:val="2"/>
          <w:sz w:val="22"/>
          <w:lang w:val="en-GB"/>
          <w14:ligatures w14:val="standardContextual"/>
        </w:rPr>
        <w:t xml:space="preserve"> Healthcare Leadership Model: The Nine Dimensions of Leadership Behaviour. NHS Leadership Academy, Leeds, 16. Available at: </w:t>
      </w:r>
      <w:hyperlink r:id="rId23" w:history="1">
        <w:r w:rsidRPr="006B537E">
          <w:rPr>
            <w:rFonts w:ascii="Arial" w:eastAsia="Calibri" w:hAnsi="Arial" w:cs="Arial"/>
            <w:color w:val="0563C1"/>
            <w:kern w:val="2"/>
            <w:sz w:val="22"/>
            <w:u w:val="single"/>
            <w:lang w:val="en-GB"/>
            <w14:ligatures w14:val="standardContextual"/>
          </w:rPr>
          <w:t>https://www.leadershipacademy.nhs.uk/wp-content/uploads/dlm_uploads/2014/10/NHSLeadership-LeadershipModel-colour.pdf?__cf_chl_f_tk=MfIHL2xD4pmawMeE_8mw9sHFt73LtO2nQlfGMlGPAEM-1783035275-1.0.1.1-bcEXWcA8AAcUAFqGtCnFG_NmyYaF4HHELVWYp1zEVms</w:t>
        </w:r>
      </w:hyperlink>
      <w:r w:rsidRPr="006B537E">
        <w:rPr>
          <w:rFonts w:ascii="Arial" w:eastAsia="Calibri" w:hAnsi="Arial" w:cs="Arial"/>
          <w:kern w:val="2"/>
          <w:sz w:val="22"/>
          <w:lang w:val="en-GB"/>
          <w14:ligatures w14:val="standardContextual"/>
        </w:rPr>
        <w:t xml:space="preserve"> (Accessed: 2 July 2026).</w:t>
      </w:r>
    </w:p>
    <w:p w14:paraId="4C4CBFE7"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 xml:space="preserve">Omiyefa, S., 2025. Mental healthcare disparities in low-income US populations: Barriers, policy challenges, and intervention strategies. International Journal of Research Publication and Reviews, 6(3), pp.2277-2290. Available at: </w:t>
      </w:r>
      <w:hyperlink r:id="rId24" w:history="1">
        <w:r w:rsidRPr="006B537E">
          <w:rPr>
            <w:rFonts w:ascii="Arial" w:eastAsia="Calibri" w:hAnsi="Arial" w:cs="Arial"/>
            <w:color w:val="0563C1"/>
            <w:kern w:val="2"/>
            <w:sz w:val="22"/>
            <w:u w:val="single"/>
            <w:lang w:val="en-GB"/>
            <w14:ligatures w14:val="standardContextual"/>
          </w:rPr>
          <w:t>https://connectwithcare.org/wp-content/uploads/2025/05/MentalHealthcareDisparitiesinLow-IncomeU.S.Populations-BarriersPolicyChallengesandInterventionStrategies-1.pdf</w:t>
        </w:r>
      </w:hyperlink>
      <w:r w:rsidRPr="006B537E">
        <w:rPr>
          <w:rFonts w:ascii="Arial" w:eastAsia="Calibri" w:hAnsi="Arial" w:cs="Arial"/>
          <w:kern w:val="2"/>
          <w:sz w:val="22"/>
          <w:lang w:val="en-GB"/>
          <w14:ligatures w14:val="standardContextual"/>
        </w:rPr>
        <w:t xml:space="preserve"> (Accessed: 29 June 2026).</w:t>
      </w:r>
    </w:p>
    <w:p w14:paraId="376AE7A5"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 xml:space="preserve">Rawlings, B.S., Chetwynd-Talbot, D., Husband, E., Nuttall, A., Quinn, E., Taggart, R. and Roome, H.E., 2025. Divergent thinking is linked with convergent thinking; implications for models of creativity. Thinking &amp; Reasoning, 31(4), pp.586-608. Available at: </w:t>
      </w:r>
      <w:hyperlink r:id="rId25" w:history="1">
        <w:r w:rsidRPr="006B537E">
          <w:rPr>
            <w:rFonts w:ascii="Arial" w:eastAsia="Calibri" w:hAnsi="Arial" w:cs="Arial"/>
            <w:color w:val="0563C1"/>
            <w:kern w:val="2"/>
            <w:sz w:val="22"/>
            <w:u w:val="single"/>
            <w:lang w:val="en-GB"/>
            <w14:ligatures w14:val="standardContextual"/>
          </w:rPr>
          <w:t>https://www.tandfonline.com/doi/pdf/10.1080/13546783.2025.2485059</w:t>
        </w:r>
      </w:hyperlink>
      <w:r w:rsidRPr="006B537E">
        <w:rPr>
          <w:rFonts w:ascii="Arial" w:eastAsia="Calibri" w:hAnsi="Arial" w:cs="Arial"/>
          <w:kern w:val="2"/>
          <w:sz w:val="22"/>
          <w:lang w:val="en-GB"/>
          <w14:ligatures w14:val="standardContextual"/>
        </w:rPr>
        <w:t xml:space="preserve"> (Accessed: 29 June 2026).</w:t>
      </w:r>
    </w:p>
    <w:p w14:paraId="1B457FE8" w14:textId="7AC90ACB"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Rogers, E.M.</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2003</w:t>
      </w:r>
      <w:r w:rsidR="0037652F">
        <w:rPr>
          <w:rFonts w:ascii="Arial" w:eastAsia="Calibri" w:hAnsi="Arial" w:cs="Arial"/>
          <w:kern w:val="2"/>
          <w:sz w:val="22"/>
          <w:lang w:val="en-GB"/>
          <w14:ligatures w14:val="standardContextual"/>
        </w:rPr>
        <w:t>.</w:t>
      </w:r>
      <w:r w:rsidRPr="006B537E">
        <w:rPr>
          <w:rFonts w:ascii="Arial" w:eastAsia="Calibri" w:hAnsi="Arial" w:cs="Arial"/>
          <w:kern w:val="2"/>
          <w:sz w:val="22"/>
          <w:lang w:val="en-GB"/>
          <w14:ligatures w14:val="standardContextual"/>
        </w:rPr>
        <w:t xml:space="preserve"> Diffusion of Innovations. 5th edn. New York: Free Press.</w:t>
      </w:r>
    </w:p>
    <w:p w14:paraId="5448AE63" w14:textId="1907E3F4"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Sternberg, R. J., &amp; Lubart, T. I.</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1999. The concept of creativity: Prospects and paradigms. In R. J. Sternberg (Ed.), Handbook of creativity (pp. 3-15). Cambridge: Cambridge University Press.</w:t>
      </w:r>
    </w:p>
    <w:p w14:paraId="0356F445" w14:textId="4B75F166"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Tidd, J. and Bessant, J.R.</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2018</w:t>
      </w:r>
      <w:r w:rsidR="0037652F">
        <w:rPr>
          <w:rFonts w:ascii="Arial" w:eastAsia="Calibri" w:hAnsi="Arial" w:cs="Arial"/>
          <w:kern w:val="2"/>
          <w:sz w:val="22"/>
          <w:lang w:val="en-GB"/>
          <w14:ligatures w14:val="standardContextual"/>
        </w:rPr>
        <w:t>.</w:t>
      </w:r>
      <w:r w:rsidRPr="006B537E">
        <w:rPr>
          <w:rFonts w:ascii="Arial" w:eastAsia="Calibri" w:hAnsi="Arial" w:cs="Arial"/>
          <w:kern w:val="2"/>
          <w:sz w:val="22"/>
          <w:lang w:val="en-GB"/>
          <w14:ligatures w14:val="standardContextual"/>
        </w:rPr>
        <w:t xml:space="preserve"> Managing Innovation: Integrating Technological, Market and Organizational Change. John Wiley &amp; Sons, Hoboken, NJ.</w:t>
      </w:r>
    </w:p>
    <w:p w14:paraId="39E5A88C" w14:textId="77777777"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Timmins, N. and Ham, C., 2013. The quest for integrated health and social care: a case study in Canterbury, New Zealand (p. 64). London: Kings Fund.</w:t>
      </w:r>
    </w:p>
    <w:p w14:paraId="3A7FE684" w14:textId="3843278C" w:rsidR="006B537E" w:rsidRPr="006B537E" w:rsidRDefault="006B537E" w:rsidP="006B537E">
      <w:pPr>
        <w:spacing w:after="160" w:line="360" w:lineRule="auto"/>
        <w:jc w:val="both"/>
        <w:rPr>
          <w:rFonts w:ascii="Arial" w:eastAsia="Calibri" w:hAnsi="Arial" w:cs="Arial"/>
          <w:kern w:val="2"/>
          <w:sz w:val="22"/>
          <w:lang w:val="en-GB"/>
          <w14:ligatures w14:val="standardContextual"/>
        </w:rPr>
      </w:pPr>
      <w:r w:rsidRPr="006B537E">
        <w:rPr>
          <w:rFonts w:ascii="Arial" w:eastAsia="Calibri" w:hAnsi="Arial" w:cs="Arial"/>
          <w:kern w:val="2"/>
          <w:sz w:val="22"/>
          <w:lang w:val="en-GB"/>
          <w14:ligatures w14:val="standardContextual"/>
        </w:rPr>
        <w:t>West, M. A., Eckert, R., Steward, K., &amp; Pasmore, B.</w:t>
      </w:r>
      <w:r w:rsidR="0037652F">
        <w:rPr>
          <w:rFonts w:ascii="Arial" w:eastAsia="Calibri" w:hAnsi="Arial" w:cs="Arial"/>
          <w:kern w:val="2"/>
          <w:sz w:val="22"/>
          <w:lang w:val="en-GB"/>
          <w14:ligatures w14:val="standardContextual"/>
        </w:rPr>
        <w:t xml:space="preserve">, </w:t>
      </w:r>
      <w:r w:rsidRPr="006B537E">
        <w:rPr>
          <w:rFonts w:ascii="Arial" w:eastAsia="Calibri" w:hAnsi="Arial" w:cs="Arial"/>
          <w:kern w:val="2"/>
          <w:sz w:val="22"/>
          <w:lang w:val="en-GB"/>
          <w14:ligatures w14:val="standardContextual"/>
        </w:rPr>
        <w:t xml:space="preserve">2014. Developing Collective Leadership for Healthcare. London: The King’s Fund. </w:t>
      </w:r>
      <w:hyperlink r:id="rId26" w:history="1">
        <w:r w:rsidR="00A24B36" w:rsidRPr="00AC11C8">
          <w:rPr>
            <w:rStyle w:val="Hyperlink"/>
            <w:rFonts w:ascii="Arial" w:eastAsia="Calibri" w:hAnsi="Arial" w:cs="Arial"/>
            <w:kern w:val="2"/>
            <w:sz w:val="22"/>
            <w:lang w:val="en-GB"/>
            <w14:ligatures w14:val="standardContextual"/>
          </w:rPr>
          <w:t>https://doi.org/10.35613/ccl.2014.1013</w:t>
        </w:r>
      </w:hyperlink>
      <w:r w:rsidR="00A24B36">
        <w:rPr>
          <w:rFonts w:ascii="Arial" w:eastAsia="Calibri" w:hAnsi="Arial" w:cs="Arial"/>
          <w:kern w:val="2"/>
          <w:sz w:val="22"/>
          <w:lang w:val="en-GB"/>
          <w14:ligatures w14:val="standardContextual"/>
        </w:rPr>
        <w:t xml:space="preserve"> </w:t>
      </w:r>
    </w:p>
    <w:p w14:paraId="3392BD44" w14:textId="3706D12A" w:rsidR="001D11EA" w:rsidRPr="002435E0" w:rsidRDefault="001D11EA" w:rsidP="000D2373">
      <w:pPr>
        <w:spacing w:line="360" w:lineRule="auto"/>
        <w:jc w:val="both"/>
        <w:rPr>
          <w:rFonts w:ascii="Arial" w:hAnsi="Arial" w:cs="Arial"/>
          <w:sz w:val="22"/>
        </w:rPr>
      </w:pPr>
    </w:p>
    <w:p w14:paraId="10DC4A4B" w14:textId="77777777" w:rsidR="007A1490" w:rsidRPr="002435E0" w:rsidRDefault="007A1490">
      <w:pPr>
        <w:spacing w:line="360" w:lineRule="auto"/>
        <w:jc w:val="both"/>
        <w:rPr>
          <w:rFonts w:ascii="Arial" w:hAnsi="Arial" w:cs="Arial"/>
          <w:sz w:val="22"/>
        </w:rPr>
      </w:pPr>
    </w:p>
    <w:sectPr w:rsidR="007A1490" w:rsidRPr="002435E0" w:rsidSect="009A61EA">
      <w:pgSz w:w="12240" w:h="15840"/>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E36284" w14:textId="77777777" w:rsidR="00F24603" w:rsidRDefault="00F24603" w:rsidP="00CA0DA7">
      <w:pPr>
        <w:spacing w:after="0" w:line="240" w:lineRule="auto"/>
      </w:pPr>
      <w:r>
        <w:separator/>
      </w:r>
    </w:p>
  </w:endnote>
  <w:endnote w:type="continuationSeparator" w:id="0">
    <w:p w14:paraId="4FC668E3" w14:textId="77777777" w:rsidR="00F24603" w:rsidRDefault="00F24603" w:rsidP="00CA0D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3041772"/>
      <w:docPartObj>
        <w:docPartGallery w:val="Page Numbers (Bottom of Page)"/>
        <w:docPartUnique/>
      </w:docPartObj>
    </w:sdtPr>
    <w:sdtEndPr>
      <w:rPr>
        <w:noProof/>
      </w:rPr>
    </w:sdtEndPr>
    <w:sdtContent>
      <w:p w14:paraId="2E47661B" w14:textId="63AEED47" w:rsidR="009A61EA" w:rsidRDefault="009A61EA">
        <w:pPr>
          <w:pStyle w:val="Footer"/>
          <w:jc w:val="center"/>
        </w:pPr>
        <w:r>
          <w:fldChar w:fldCharType="begin"/>
        </w:r>
        <w:r>
          <w:instrText xml:space="preserve"> PAGE   \* MERGEFORMAT </w:instrText>
        </w:r>
        <w:r>
          <w:fldChar w:fldCharType="separate"/>
        </w:r>
        <w:r w:rsidR="00982062">
          <w:rPr>
            <w:noProof/>
          </w:rPr>
          <w:t>7</w:t>
        </w:r>
        <w:r>
          <w:rPr>
            <w:noProof/>
          </w:rPr>
          <w:fldChar w:fldCharType="end"/>
        </w:r>
      </w:p>
    </w:sdtContent>
  </w:sdt>
  <w:p w14:paraId="47CE0E1C" w14:textId="77777777" w:rsidR="009A61EA" w:rsidRDefault="009A61EA">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7942510"/>
      <w:docPartObj>
        <w:docPartGallery w:val="Page Numbers (Bottom of Page)"/>
        <w:docPartUnique/>
      </w:docPartObj>
    </w:sdtPr>
    <w:sdtEndPr>
      <w:rPr>
        <w:noProof/>
      </w:rPr>
    </w:sdtEndPr>
    <w:sdtContent>
      <w:p w14:paraId="5F46C92A" w14:textId="66E35F7E" w:rsidR="009A61EA" w:rsidRDefault="009A61EA">
        <w:pPr>
          <w:pStyle w:val="Footer"/>
          <w:jc w:val="center"/>
        </w:pPr>
        <w:r>
          <w:fldChar w:fldCharType="begin"/>
        </w:r>
        <w:r>
          <w:instrText xml:space="preserve"> PAGE   \* MERGEFORMAT </w:instrText>
        </w:r>
        <w:r>
          <w:fldChar w:fldCharType="separate"/>
        </w:r>
        <w:r w:rsidR="00982062">
          <w:rPr>
            <w:noProof/>
          </w:rPr>
          <w:t>1</w:t>
        </w:r>
        <w:r>
          <w:rPr>
            <w:noProof/>
          </w:rPr>
          <w:fldChar w:fldCharType="end"/>
        </w:r>
      </w:p>
    </w:sdtContent>
  </w:sdt>
  <w:p w14:paraId="3E18FA4A" w14:textId="77777777" w:rsidR="009A61EA" w:rsidRDefault="009A61E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0E7CF6" w14:textId="77777777" w:rsidR="00F24603" w:rsidRDefault="00F24603" w:rsidP="00CA0DA7">
      <w:pPr>
        <w:spacing w:after="0" w:line="240" w:lineRule="auto"/>
      </w:pPr>
      <w:r>
        <w:separator/>
      </w:r>
    </w:p>
  </w:footnote>
  <w:footnote w:type="continuationSeparator" w:id="0">
    <w:p w14:paraId="15D8B7E0" w14:textId="77777777" w:rsidR="00F24603" w:rsidRDefault="00F24603" w:rsidP="00CA0D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251C5"/>
    <w:rsid w:val="00027153"/>
    <w:rsid w:val="000324BF"/>
    <w:rsid w:val="00034616"/>
    <w:rsid w:val="0005149F"/>
    <w:rsid w:val="0006063C"/>
    <w:rsid w:val="0008454D"/>
    <w:rsid w:val="000B1661"/>
    <w:rsid w:val="000D212D"/>
    <w:rsid w:val="000D2373"/>
    <w:rsid w:val="001026C2"/>
    <w:rsid w:val="00120521"/>
    <w:rsid w:val="0014156B"/>
    <w:rsid w:val="0015074B"/>
    <w:rsid w:val="0015278E"/>
    <w:rsid w:val="00162D6A"/>
    <w:rsid w:val="001B71EC"/>
    <w:rsid w:val="001D11EA"/>
    <w:rsid w:val="001D390C"/>
    <w:rsid w:val="00201F96"/>
    <w:rsid w:val="00204C8A"/>
    <w:rsid w:val="0020504F"/>
    <w:rsid w:val="002374F2"/>
    <w:rsid w:val="002435E0"/>
    <w:rsid w:val="00243A86"/>
    <w:rsid w:val="0029639D"/>
    <w:rsid w:val="002A3945"/>
    <w:rsid w:val="002E662E"/>
    <w:rsid w:val="00301B98"/>
    <w:rsid w:val="00302BAD"/>
    <w:rsid w:val="00326F90"/>
    <w:rsid w:val="00340453"/>
    <w:rsid w:val="00343D6B"/>
    <w:rsid w:val="00354F8E"/>
    <w:rsid w:val="0036152B"/>
    <w:rsid w:val="0037652F"/>
    <w:rsid w:val="00386073"/>
    <w:rsid w:val="003A22D0"/>
    <w:rsid w:val="003C5E10"/>
    <w:rsid w:val="003E5188"/>
    <w:rsid w:val="0040604B"/>
    <w:rsid w:val="00413257"/>
    <w:rsid w:val="00484A52"/>
    <w:rsid w:val="004B3B62"/>
    <w:rsid w:val="004B3F9E"/>
    <w:rsid w:val="004B4F56"/>
    <w:rsid w:val="004C33C5"/>
    <w:rsid w:val="004E5DF2"/>
    <w:rsid w:val="004F1C36"/>
    <w:rsid w:val="004F4BB9"/>
    <w:rsid w:val="005034BF"/>
    <w:rsid w:val="00523B6D"/>
    <w:rsid w:val="00571008"/>
    <w:rsid w:val="00596DA2"/>
    <w:rsid w:val="00597475"/>
    <w:rsid w:val="005A12A9"/>
    <w:rsid w:val="005C7DC9"/>
    <w:rsid w:val="00603000"/>
    <w:rsid w:val="00604054"/>
    <w:rsid w:val="006456D6"/>
    <w:rsid w:val="00684662"/>
    <w:rsid w:val="00690449"/>
    <w:rsid w:val="006B537E"/>
    <w:rsid w:val="006C58CB"/>
    <w:rsid w:val="0076247E"/>
    <w:rsid w:val="007716CA"/>
    <w:rsid w:val="007A1490"/>
    <w:rsid w:val="007A451F"/>
    <w:rsid w:val="007A5706"/>
    <w:rsid w:val="007B2B58"/>
    <w:rsid w:val="008045C0"/>
    <w:rsid w:val="0083473E"/>
    <w:rsid w:val="00854D74"/>
    <w:rsid w:val="00856841"/>
    <w:rsid w:val="00861821"/>
    <w:rsid w:val="00866FC8"/>
    <w:rsid w:val="00872688"/>
    <w:rsid w:val="00880E76"/>
    <w:rsid w:val="008935B3"/>
    <w:rsid w:val="00894480"/>
    <w:rsid w:val="008F6604"/>
    <w:rsid w:val="008F6ED3"/>
    <w:rsid w:val="00924A6B"/>
    <w:rsid w:val="00933D04"/>
    <w:rsid w:val="0094427B"/>
    <w:rsid w:val="009447B7"/>
    <w:rsid w:val="00982062"/>
    <w:rsid w:val="00987991"/>
    <w:rsid w:val="009930A2"/>
    <w:rsid w:val="009A61EA"/>
    <w:rsid w:val="009B20B2"/>
    <w:rsid w:val="009C0728"/>
    <w:rsid w:val="009C1310"/>
    <w:rsid w:val="009E1E5D"/>
    <w:rsid w:val="00A054EF"/>
    <w:rsid w:val="00A160A7"/>
    <w:rsid w:val="00A16164"/>
    <w:rsid w:val="00A24B36"/>
    <w:rsid w:val="00A34714"/>
    <w:rsid w:val="00A95DD4"/>
    <w:rsid w:val="00AA1D8D"/>
    <w:rsid w:val="00AD72D8"/>
    <w:rsid w:val="00B034C4"/>
    <w:rsid w:val="00B17110"/>
    <w:rsid w:val="00B26463"/>
    <w:rsid w:val="00B37F50"/>
    <w:rsid w:val="00B47730"/>
    <w:rsid w:val="00B5225E"/>
    <w:rsid w:val="00B76697"/>
    <w:rsid w:val="00B77558"/>
    <w:rsid w:val="00BE6CD4"/>
    <w:rsid w:val="00BE702C"/>
    <w:rsid w:val="00C12E54"/>
    <w:rsid w:val="00C57C52"/>
    <w:rsid w:val="00C819CA"/>
    <w:rsid w:val="00C94715"/>
    <w:rsid w:val="00CA0DA7"/>
    <w:rsid w:val="00CB0664"/>
    <w:rsid w:val="00CB3308"/>
    <w:rsid w:val="00CC63DC"/>
    <w:rsid w:val="00CD04ED"/>
    <w:rsid w:val="00CF0E79"/>
    <w:rsid w:val="00CF309D"/>
    <w:rsid w:val="00D14A02"/>
    <w:rsid w:val="00D24329"/>
    <w:rsid w:val="00D35EFD"/>
    <w:rsid w:val="00D44D26"/>
    <w:rsid w:val="00D600F0"/>
    <w:rsid w:val="00D831FD"/>
    <w:rsid w:val="00DA17E8"/>
    <w:rsid w:val="00DF1D0A"/>
    <w:rsid w:val="00DF6F42"/>
    <w:rsid w:val="00E12BD9"/>
    <w:rsid w:val="00E43619"/>
    <w:rsid w:val="00E57EFA"/>
    <w:rsid w:val="00E928FA"/>
    <w:rsid w:val="00F03EDA"/>
    <w:rsid w:val="00F24603"/>
    <w:rsid w:val="00F436AA"/>
    <w:rsid w:val="00F45F11"/>
    <w:rsid w:val="00F52A7A"/>
    <w:rsid w:val="00F53471"/>
    <w:rsid w:val="00F563AC"/>
    <w:rsid w:val="00F72191"/>
    <w:rsid w:val="00FC2D79"/>
    <w:rsid w:val="00FC693F"/>
    <w:rsid w:val="00FD7CD0"/>
    <w:rsid w:val="00FD7DB7"/>
    <w:rsid w:val="00FE165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C429BC9"/>
  <w14:defaultImageDpi w14:val="300"/>
  <w15:docId w15:val="{B395350B-CED1-41E5-BC2F-B37D1A686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dq2pgselectionanchorcontainer">
    <w:name w:val="pdq2pg_selectionanchorcontainer"/>
    <w:basedOn w:val="Normal"/>
    <w:rsid w:val="002435E0"/>
    <w:pPr>
      <w:spacing w:before="100" w:beforeAutospacing="1" w:after="100" w:afterAutospacing="1" w:line="240" w:lineRule="auto"/>
    </w:pPr>
    <w:rPr>
      <w:rFonts w:eastAsia="Times New Roman" w:cs="Times New Roman"/>
      <w:szCs w:val="24"/>
    </w:rPr>
  </w:style>
  <w:style w:type="paragraph" w:styleId="NormalWeb">
    <w:name w:val="Normal (Web)"/>
    <w:basedOn w:val="Normal"/>
    <w:uiPriority w:val="99"/>
    <w:semiHidden/>
    <w:unhideWhenUsed/>
    <w:rsid w:val="002435E0"/>
    <w:pPr>
      <w:spacing w:before="100" w:beforeAutospacing="1" w:after="100" w:afterAutospacing="1" w:line="240" w:lineRule="auto"/>
    </w:pPr>
    <w:rPr>
      <w:rFonts w:eastAsia="Times New Roman" w:cs="Times New Roman"/>
      <w:szCs w:val="24"/>
    </w:rPr>
  </w:style>
  <w:style w:type="character" w:styleId="CommentReference">
    <w:name w:val="annotation reference"/>
    <w:basedOn w:val="DefaultParagraphFont"/>
    <w:uiPriority w:val="99"/>
    <w:semiHidden/>
    <w:unhideWhenUsed/>
    <w:rsid w:val="00AD72D8"/>
    <w:rPr>
      <w:sz w:val="16"/>
      <w:szCs w:val="16"/>
    </w:rPr>
  </w:style>
  <w:style w:type="paragraph" w:styleId="CommentText">
    <w:name w:val="annotation text"/>
    <w:basedOn w:val="Normal"/>
    <w:link w:val="CommentTextChar"/>
    <w:uiPriority w:val="99"/>
    <w:semiHidden/>
    <w:unhideWhenUsed/>
    <w:rsid w:val="00AD72D8"/>
    <w:pPr>
      <w:spacing w:line="240" w:lineRule="auto"/>
    </w:pPr>
    <w:rPr>
      <w:sz w:val="20"/>
      <w:szCs w:val="20"/>
    </w:rPr>
  </w:style>
  <w:style w:type="character" w:customStyle="1" w:styleId="CommentTextChar">
    <w:name w:val="Comment Text Char"/>
    <w:basedOn w:val="DefaultParagraphFont"/>
    <w:link w:val="CommentText"/>
    <w:uiPriority w:val="99"/>
    <w:semiHidden/>
    <w:rsid w:val="00AD72D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D72D8"/>
    <w:rPr>
      <w:b/>
      <w:bCs/>
    </w:rPr>
  </w:style>
  <w:style w:type="character" w:customStyle="1" w:styleId="CommentSubjectChar">
    <w:name w:val="Comment Subject Char"/>
    <w:basedOn w:val="CommentTextChar"/>
    <w:link w:val="CommentSubject"/>
    <w:uiPriority w:val="99"/>
    <w:semiHidden/>
    <w:rsid w:val="00AD72D8"/>
    <w:rPr>
      <w:rFonts w:ascii="Times New Roman" w:hAnsi="Times New Roman"/>
      <w:b/>
      <w:bCs/>
      <w:sz w:val="20"/>
      <w:szCs w:val="20"/>
    </w:rPr>
  </w:style>
  <w:style w:type="character" w:styleId="Hyperlink">
    <w:name w:val="Hyperlink"/>
    <w:basedOn w:val="DefaultParagraphFont"/>
    <w:uiPriority w:val="99"/>
    <w:unhideWhenUsed/>
    <w:rsid w:val="00A24B36"/>
    <w:rPr>
      <w:color w:val="0000FF" w:themeColor="hyperlink"/>
      <w:u w:val="single"/>
    </w:rPr>
  </w:style>
  <w:style w:type="character" w:customStyle="1" w:styleId="UnresolvedMention">
    <w:name w:val="Unresolved Mention"/>
    <w:basedOn w:val="DefaultParagraphFont"/>
    <w:uiPriority w:val="99"/>
    <w:semiHidden/>
    <w:unhideWhenUsed/>
    <w:rsid w:val="00A24B36"/>
    <w:rPr>
      <w:color w:val="605E5C"/>
      <w:shd w:val="clear" w:color="auto" w:fill="E1DFDD"/>
    </w:rPr>
  </w:style>
  <w:style w:type="paragraph" w:styleId="TOC1">
    <w:name w:val="toc 1"/>
    <w:basedOn w:val="Normal"/>
    <w:next w:val="Normal"/>
    <w:autoRedefine/>
    <w:uiPriority w:val="39"/>
    <w:unhideWhenUsed/>
    <w:rsid w:val="009A61EA"/>
    <w:pPr>
      <w:spacing w:after="100"/>
    </w:pPr>
  </w:style>
  <w:style w:type="paragraph" w:styleId="TOC2">
    <w:name w:val="toc 2"/>
    <w:basedOn w:val="Normal"/>
    <w:next w:val="Normal"/>
    <w:autoRedefine/>
    <w:uiPriority w:val="39"/>
    <w:unhideWhenUsed/>
    <w:rsid w:val="009A61EA"/>
    <w:pPr>
      <w:spacing w:after="100"/>
      <w:ind w:left="240"/>
    </w:pPr>
  </w:style>
  <w:style w:type="paragraph" w:styleId="TableofFigures">
    <w:name w:val="table of figures"/>
    <w:basedOn w:val="Normal"/>
    <w:next w:val="Normal"/>
    <w:uiPriority w:val="99"/>
    <w:unhideWhenUsed/>
    <w:rsid w:val="007716C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jpeg"/><Relationship Id="rId18" Type="http://schemas.openxmlformats.org/officeDocument/2006/relationships/hyperlink" Target="https://scholar.google.com/scholar?output=instlink&amp;q=info:inRniyQDrVwJ:scholar.google.com/&amp;hl=en&amp;as_sdt=0,5&amp;scillfp=14672038664732748048&amp;oi=lle" TargetMode="External"/><Relationship Id="rId26" Type="http://schemas.openxmlformats.org/officeDocument/2006/relationships/hyperlink" Target="https://doi.org/10.35613/ccl.2014.1013" TargetMode="External"/><Relationship Id="rId3" Type="http://schemas.openxmlformats.org/officeDocument/2006/relationships/styles" Target="styles.xml"/><Relationship Id="rId21" Type="http://schemas.openxmlformats.org/officeDocument/2006/relationships/hyperlink" Target="https://www.england.nhs.uk/wp-content/uploads/2021/06/B0642-ics-design-framework-june-2021.pdf"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researchgate.net/profile/Kristiina-Haeyrinen/publication/266135748_Hayrinenetal2008/data/54257b050cf26120b7ac9c1b/Hayrinenetal2008.pdf" TargetMode="External"/><Relationship Id="rId25" Type="http://schemas.openxmlformats.org/officeDocument/2006/relationships/hyperlink" Target="https://www.tandfonline.com/doi/pdf/10.1080/13546783.2025.2485059" TargetMode="External"/><Relationship Id="rId2" Type="http://schemas.openxmlformats.org/officeDocument/2006/relationships/numbering" Target="numbering.xml"/><Relationship Id="rId16" Type="http://schemas.openxmlformats.org/officeDocument/2006/relationships/hyperlink" Target="https://www.researchgate.net/profile/Michel-Sylvie/publication/344247975_Mobile_Money_decryptage_d'une_succes_story_africaine/links/61603646ae47db4e57a80a60/Mobile-Money-decryptage-dune-succes-story-africaine.pdf" TargetMode="External"/><Relationship Id="rId20" Type="http://schemas.openxmlformats.org/officeDocument/2006/relationships/hyperlink" Target="https://www.longtermplan.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connectwithcare.org/wp-content/uploads/2025/05/MentalHealthcareDisparitiesinLow-IncomeU.S.Populations-BarriersPolicyChallengesandInterventionStrategies-1.pdf" TargetMode="External"/><Relationship Id="rId5" Type="http://schemas.openxmlformats.org/officeDocument/2006/relationships/webSettings" Target="webSettings.xml"/><Relationship Id="rId15" Type="http://schemas.openxmlformats.org/officeDocument/2006/relationships/hyperlink" Target="https://www.cambridge.org/core/services/aop-cambridge-core/content/view/03FFD6DA621D528D5741897CD0D977AA/S0007125018001484a.pdf/div-class-title-making-a-difference-ethnic-inequality-and-severe-mental-illness-div.pdf" TargetMode="External"/><Relationship Id="rId23" Type="http://schemas.openxmlformats.org/officeDocument/2006/relationships/hyperlink" Target="https://www.leadershipacademy.nhs.uk/wp-content/uploads/dlm_uploads/2014/10/NHSLeadership-LeadershipModel-colour.pdf?__cf_chl_f_tk=MfIHL2xD4pmawMeE_8mw9sHFt73LtO2nQlfGMlGPAEM-1783035275-1.0.1.1-bcEXWcA8AAcUAFqGtCnFG_NmyYaF4HHELVWYp1zEVms"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digital.nhs.uk/data-and-information/publications/statistical/nhs-app-statistic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www.england.nhs.uk/virtual-ward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F304B5-B57E-48D1-91AE-0D1A3B721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3457</Words>
  <Characters>19709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23120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London PC</cp:lastModifiedBy>
  <cp:revision>2</cp:revision>
  <dcterms:created xsi:type="dcterms:W3CDTF">2026-07-30T10:58:00Z</dcterms:created>
  <dcterms:modified xsi:type="dcterms:W3CDTF">2026-07-30T10:58:00Z</dcterms:modified>
  <cp:category/>
</cp:coreProperties>
</file>